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spacing w:lineRule="auto" w:line="480" w:before="160" w:after="80"/>
        <w:jc w:val="center"/>
        <w:rPr>
          <w:rFonts w:ascii="Times New Roman" w:hAnsi="Times New Roman" w:cs="Times New Roman"/>
          <w:b/>
          <w:bCs/>
          <w:color w:val="auto"/>
          <w:sz w:val="24"/>
          <w:szCs w:val="24"/>
        </w:rPr>
      </w:pPr>
      <w:r>
        <w:rPr>
          <w:rFonts w:cs="Times New Roman" w:ascii="Times New Roman" w:hAnsi="Times New Roman"/>
          <w:b/>
          <w:bCs/>
          <w:color w:val="auto"/>
          <w:sz w:val="24"/>
          <w:szCs w:val="24"/>
        </w:rPr>
      </w:r>
    </w:p>
    <w:p>
      <w:pPr>
        <w:pStyle w:val="Heading2"/>
        <w:spacing w:lineRule="auto" w:line="480"/>
        <w:jc w:val="center"/>
        <w:rPr>
          <w:rFonts w:ascii="Times New Roman" w:hAnsi="Times New Roman" w:cs="Times New Roman"/>
          <w:b/>
          <w:bCs/>
          <w:color w:val="auto"/>
          <w:sz w:val="24"/>
          <w:szCs w:val="24"/>
        </w:rPr>
      </w:pPr>
      <w:r>
        <w:rPr>
          <w:rFonts w:cs="Times New Roman" w:ascii="Times New Roman" w:hAnsi="Times New Roman"/>
          <w:b/>
          <w:bCs/>
          <w:color w:val="auto"/>
          <w:sz w:val="24"/>
          <w:szCs w:val="24"/>
        </w:rPr>
      </w:r>
    </w:p>
    <w:p>
      <w:pPr>
        <w:pStyle w:val="Heading2"/>
        <w:spacing w:lineRule="auto" w:line="480"/>
        <w:jc w:val="center"/>
        <w:rPr>
          <w:rFonts w:ascii="Times New Roman" w:hAnsi="Times New Roman" w:cs="Times New Roman"/>
          <w:b/>
          <w:bCs/>
          <w:color w:val="auto"/>
          <w:sz w:val="24"/>
          <w:szCs w:val="24"/>
        </w:rPr>
      </w:pPr>
      <w:r>
        <w:rPr>
          <w:rFonts w:cs="Times New Roman" w:ascii="Times New Roman" w:hAnsi="Times New Roman"/>
          <w:b/>
          <w:bCs/>
          <w:color w:val="auto"/>
          <w:sz w:val="24"/>
          <w:szCs w:val="24"/>
        </w:rPr>
      </w:r>
    </w:p>
    <w:p>
      <w:pPr>
        <w:pStyle w:val="Heading2"/>
        <w:spacing w:lineRule="auto" w:line="480"/>
        <w:jc w:val="center"/>
        <w:rPr>
          <w:rFonts w:ascii="Times New Roman" w:hAnsi="Times New Roman" w:cs="Times New Roman"/>
          <w:b/>
          <w:bCs/>
          <w:color w:val="auto"/>
          <w:sz w:val="24"/>
          <w:szCs w:val="24"/>
        </w:rPr>
      </w:pPr>
      <w:r>
        <w:rPr>
          <w:rFonts w:cs="Times New Roman" w:ascii="Times New Roman" w:hAnsi="Times New Roman"/>
          <w:b/>
          <w:bCs/>
          <w:color w:val="auto"/>
          <w:sz w:val="24"/>
          <w:szCs w:val="24"/>
        </w:rPr>
      </w:r>
    </w:p>
    <w:p>
      <w:pPr>
        <w:pStyle w:val="Heading2"/>
        <w:spacing w:lineRule="auto" w:line="480"/>
        <w:jc w:val="center"/>
        <w:rPr>
          <w:rFonts w:ascii="Times New Roman" w:hAnsi="Times New Roman" w:cs="Times New Roman"/>
          <w:b/>
          <w:bCs/>
          <w:color w:val="auto"/>
          <w:sz w:val="24"/>
          <w:szCs w:val="24"/>
        </w:rPr>
      </w:pPr>
      <w:r>
        <w:rPr>
          <w:rFonts w:cs="Times New Roman" w:ascii="Times New Roman" w:hAnsi="Times New Roman"/>
          <w:b/>
          <w:bCs/>
          <w:color w:val="auto"/>
          <w:sz w:val="24"/>
          <w:szCs w:val="24"/>
        </w:rPr>
      </w:r>
    </w:p>
    <w:p>
      <w:pPr>
        <w:pStyle w:val="Normal"/>
        <w:spacing w:lineRule="auto" w:line="360" w:beforeAutospacing="1" w:afterAutospacing="1"/>
        <w:jc w:val="center"/>
        <w:rPr>
          <w:b w:val="false"/>
          <w:bCs w:val="false"/>
        </w:rPr>
      </w:pPr>
      <w:r>
        <w:rPr>
          <w:b w:val="false"/>
          <w:bCs w:val="false"/>
        </w:rPr>
      </w:r>
    </w:p>
    <w:p>
      <w:pPr>
        <w:pStyle w:val="Normal"/>
        <w:spacing w:lineRule="auto" w:line="360" w:beforeAutospacing="1" w:afterAutospacing="1"/>
        <w:jc w:val="center"/>
        <w:rPr>
          <w:rFonts w:ascii="Arial" w:hAnsi="Arial"/>
          <w:sz w:val="22"/>
          <w:szCs w:val="22"/>
        </w:rPr>
      </w:pPr>
      <w:r>
        <w:rPr>
          <w:rFonts w:eastAsia="Times New Roman" w:ascii="Arial" w:hAnsi="Arial"/>
          <w:b/>
          <w:bCs/>
          <w:sz w:val="22"/>
          <w:szCs w:val="22"/>
        </w:rPr>
        <w:t xml:space="preserve">Introduction to Independent Research Skills </w:t>
      </w:r>
    </w:p>
    <w:p>
      <w:pPr>
        <w:pStyle w:val="Normal"/>
        <w:spacing w:lineRule="auto" w:line="360" w:beforeAutospacing="1" w:afterAutospacing="1"/>
        <w:jc w:val="center"/>
        <w:rPr>
          <w:rFonts w:ascii="Arial" w:hAnsi="Arial"/>
          <w:sz w:val="22"/>
          <w:szCs w:val="22"/>
        </w:rPr>
      </w:pPr>
      <w:r>
        <w:rPr>
          <w:rFonts w:eastAsia="Times New Roman" w:ascii="Arial" w:hAnsi="Arial"/>
          <w:b/>
          <w:bCs/>
          <w:sz w:val="22"/>
          <w:szCs w:val="22"/>
        </w:rPr>
        <w:t>BMHP5019</w:t>
      </w:r>
    </w:p>
    <w:p>
      <w:pPr>
        <w:pStyle w:val="Normal"/>
        <w:spacing w:lineRule="auto" w:line="360" w:beforeAutospacing="1" w:afterAutospacing="1"/>
        <w:jc w:val="center"/>
        <w:rPr>
          <w:rFonts w:ascii="Arial" w:hAnsi="Arial"/>
          <w:sz w:val="22"/>
          <w:szCs w:val="22"/>
        </w:rPr>
      </w:pPr>
      <w:r>
        <w:rPr>
          <w:rFonts w:eastAsia="Times New Roman" w:ascii="Arial" w:hAnsi="Arial"/>
          <w:b/>
          <w:bCs/>
          <w:sz w:val="22"/>
          <w:szCs w:val="22"/>
        </w:rPr>
        <w:t xml:space="preserve">Humaria Alam </w:t>
      </w:r>
    </w:p>
    <w:p>
      <w:pPr>
        <w:pStyle w:val="Normal"/>
        <w:spacing w:lineRule="auto" w:line="360" w:beforeAutospacing="1" w:afterAutospacing="1"/>
        <w:jc w:val="center"/>
        <w:rPr>
          <w:rFonts w:ascii="Arial" w:hAnsi="Arial"/>
          <w:sz w:val="22"/>
          <w:szCs w:val="22"/>
        </w:rPr>
      </w:pPr>
      <w:r>
        <w:rPr>
          <w:rFonts w:eastAsia="Times New Roman" w:ascii="Arial" w:hAnsi="Arial"/>
          <w:b/>
          <w:bCs/>
          <w:sz w:val="22"/>
          <w:szCs w:val="22"/>
        </w:rPr>
        <w:t>2323463</w:t>
      </w:r>
    </w:p>
    <w:p>
      <w:pPr>
        <w:pStyle w:val="Normal"/>
        <w:spacing w:lineRule="auto" w:line="480"/>
        <w:jc w:val="center"/>
        <w:rPr>
          <w:rFonts w:ascii="Arial" w:hAnsi="Arial"/>
          <w:sz w:val="22"/>
          <w:szCs w:val="22"/>
        </w:rPr>
      </w:pPr>
      <w:r>
        <w:rPr>
          <w:rFonts w:eastAsia="Times New Roman" w:ascii="Arial" w:hAnsi="Arial"/>
          <w:b/>
          <w:bCs/>
          <w:sz w:val="22"/>
          <w:szCs w:val="22"/>
        </w:rPr>
        <w:t xml:space="preserve">Lecturer: Ayazullah Safi </w:t>
      </w:r>
    </w:p>
    <w:p>
      <w:pPr>
        <w:pStyle w:val="Heading2"/>
        <w:spacing w:lineRule="auto" w:line="480"/>
        <w:jc w:val="both"/>
        <w:rPr>
          <w:rFonts w:ascii="Arial" w:hAnsi="Arial" w:cs="Times New Roman"/>
          <w:b/>
          <w:bCs/>
          <w:sz w:val="22"/>
          <w:szCs w:val="22"/>
        </w:rPr>
      </w:pPr>
      <w:r>
        <w:rPr>
          <w:rFonts w:cs="Times New Roman" w:ascii="Arial" w:hAnsi="Arial"/>
          <w:b/>
          <w:bCs/>
          <w:sz w:val="22"/>
          <w:szCs w:val="22"/>
        </w:rPr>
      </w:r>
    </w:p>
    <w:p>
      <w:pPr>
        <w:pStyle w:val="Normal"/>
        <w:rPr>
          <w:rFonts w:ascii="Arial" w:hAnsi="Arial" w:eastAsia="" w:cs="Times New Roman" w:eastAsiaTheme="majorEastAsia"/>
          <w:b/>
          <w:bCs/>
          <w:color w:val="2F5496" w:themeColor="accent1" w:themeShade="bf"/>
          <w:sz w:val="22"/>
          <w:szCs w:val="22"/>
        </w:rPr>
      </w:pPr>
      <w:r>
        <w:rPr>
          <w:rFonts w:eastAsia="" w:cs="Times New Roman" w:eastAsiaTheme="majorEastAsia" w:ascii="Arial" w:hAnsi="Arial"/>
          <w:b/>
          <w:bCs/>
          <w:color w:val="2F5496" w:themeColor="accent1" w:themeShade="bf"/>
          <w:sz w:val="22"/>
          <w:szCs w:val="22"/>
        </w:rPr>
      </w:r>
      <w:r>
        <w:br w:type="page"/>
      </w:r>
    </w:p>
    <w:p>
      <w:pPr>
        <w:pStyle w:val="Heading2"/>
        <w:spacing w:lineRule="auto" w:line="480"/>
        <w:jc w:val="both"/>
        <w:rPr>
          <w:rFonts w:ascii="Arial" w:hAnsi="Arial"/>
          <w:sz w:val="22"/>
          <w:szCs w:val="22"/>
        </w:rPr>
      </w:pPr>
      <w:r>
        <w:rPr>
          <w:rFonts w:cs="Times New Roman" w:ascii="Arial" w:hAnsi="Arial"/>
          <w:b/>
          <w:bCs/>
          <w:color w:val="auto"/>
          <w:sz w:val="22"/>
          <w:szCs w:val="22"/>
        </w:rPr>
        <w:t>1. Introduction</w:t>
      </w:r>
    </w:p>
    <w:p>
      <w:pPr>
        <w:pStyle w:val="Normal"/>
        <w:spacing w:lineRule="auto" w:line="480"/>
        <w:jc w:val="both"/>
        <w:rPr>
          <w:rFonts w:ascii="Arial" w:hAnsi="Arial"/>
          <w:sz w:val="22"/>
          <w:szCs w:val="22"/>
        </w:rPr>
      </w:pPr>
      <w:r>
        <w:rPr>
          <w:rFonts w:cs="Times New Roman" w:ascii="Arial" w:hAnsi="Arial"/>
          <w:sz w:val="22"/>
          <w:szCs w:val="22"/>
        </w:rPr>
        <w:t xml:space="preserve">Asthma is a chronic respiratory illness that is characterized by intermittently airflow, hyper-inflated bronchi and recurrent symptoms, in the manifestation of wheezing, dyspnea, chest pain, and cough. The symptoms are inconsistent regarding their presentation and intensity and are usually precipitated by the allergens, respiratory infections, physical activities or environmental conditions. Although asthma is a chronic illness, it may be effectively treated with the help of management that not only reduces the symptoms of this illness but also prevents exacerbation, as well as enhances the quality of life of patients with asthma to a significant level (World Health Organization, 2024). Asthma is a major population health issue in the United Kingdom, in which millions of adults and children have the disease, and the impact of the disease on health care usage in terms of primary care visits, emergency department visits and hospital stays is very substantial (Dharmage, Perret &amp; Custovic, 2019). The uncontrolled asthma is associated with a state of high morbidity, adverse daily functioning, and avoidable mortality and hence the necessity to offer appropriate evidence-based management of asthma in the health and social care practice. The diagnosis of asthma, the disease control, the patient education and long-term self-management of the disease are being led by the health workers who engage the general practitioners, nurses, respiratory experts and other allied health workers (Mayo Clinic, 2025). A scoping review is a secondary research study which usually attempts to trace the scope and the nature of the evidence that has been provided on a particular subject matter, besides establishing the crucial concepts and gaps in the study. In contrast to systematic reviews, scoping reviews do not attempt to identify the effectiveness of the interventions, but instead they attempt to provide a picture of how the study has been conducted and what evidence they think. This is especially sufficient in dealing with asthma; the outcomes in this case rely on a broad range of clinical, behavioral, and service-related variables and variation in the research design used in the research studies. </w:t>
      </w:r>
    </w:p>
    <w:p>
      <w:pPr>
        <w:pStyle w:val="Normal"/>
        <w:spacing w:lineRule="auto" w:line="480"/>
        <w:jc w:val="both"/>
        <w:rPr>
          <w:rFonts w:ascii="Arial" w:hAnsi="Arial"/>
          <w:sz w:val="22"/>
          <w:szCs w:val="22"/>
        </w:rPr>
      </w:pPr>
      <w:r>
        <w:rPr>
          <w:rFonts w:cs="Times New Roman" w:ascii="Arial" w:hAnsi="Arial"/>
          <w:sz w:val="22"/>
          <w:szCs w:val="22"/>
        </w:rPr>
        <w:t>The following is the scoping review question:</w:t>
      </w:r>
    </w:p>
    <w:p>
      <w:pPr>
        <w:pStyle w:val="Normal"/>
        <w:spacing w:lineRule="auto" w:line="480"/>
        <w:jc w:val="both"/>
        <w:rPr>
          <w:rFonts w:ascii="Arial" w:hAnsi="Arial"/>
          <w:sz w:val="22"/>
          <w:szCs w:val="22"/>
        </w:rPr>
      </w:pPr>
      <w:r>
        <w:rPr>
          <w:rFonts w:cs="Times New Roman" w:ascii="Arial" w:hAnsi="Arial"/>
          <w:b/>
          <w:bCs/>
          <w:sz w:val="22"/>
          <w:szCs w:val="22"/>
        </w:rPr>
        <w:t>What do the peer-reviewed sources say about the management of asthma in the health and social care practice in the UK?</w:t>
      </w:r>
    </w:p>
    <w:p>
      <w:pPr>
        <w:pStyle w:val="Normal"/>
        <w:spacing w:lineRule="auto" w:line="480"/>
        <w:jc w:val="both"/>
        <w:rPr>
          <w:rFonts w:ascii="Arial" w:hAnsi="Arial"/>
          <w:sz w:val="22"/>
          <w:szCs w:val="22"/>
        </w:rPr>
      </w:pPr>
      <w:r>
        <w:rPr>
          <w:rFonts w:cs="Times New Roman" w:ascii="Arial" w:hAnsi="Arial"/>
          <w:sz w:val="22"/>
          <w:szCs w:val="22"/>
        </w:rPr>
        <w:t>The aims of the suggested scoping review shall be the following:</w:t>
      </w:r>
    </w:p>
    <w:p>
      <w:pPr>
        <w:pStyle w:val="ListParagraph"/>
        <w:numPr>
          <w:ilvl w:val="0"/>
          <w:numId w:val="1"/>
        </w:numPr>
        <w:spacing w:lineRule="auto" w:line="480"/>
        <w:jc w:val="both"/>
        <w:rPr>
          <w:rFonts w:ascii="Arial" w:hAnsi="Arial"/>
          <w:sz w:val="22"/>
          <w:szCs w:val="22"/>
        </w:rPr>
      </w:pPr>
      <w:r>
        <w:rPr>
          <w:rFonts w:cs="Times New Roman" w:ascii="Arial" w:hAnsi="Arial"/>
          <w:sz w:val="22"/>
          <w:szCs w:val="22"/>
        </w:rPr>
        <w:t>To identify and map peer-reviewed articles on asthma management in the UK.</w:t>
      </w:r>
    </w:p>
    <w:p>
      <w:pPr>
        <w:pStyle w:val="ListParagraph"/>
        <w:numPr>
          <w:ilvl w:val="0"/>
          <w:numId w:val="1"/>
        </w:numPr>
        <w:spacing w:lineRule="auto" w:line="480"/>
        <w:jc w:val="both"/>
        <w:rPr>
          <w:rFonts w:ascii="Arial" w:hAnsi="Arial"/>
          <w:sz w:val="22"/>
          <w:szCs w:val="22"/>
        </w:rPr>
      </w:pPr>
      <w:r>
        <w:rPr>
          <w:rFonts w:cs="Times New Roman" w:ascii="Arial" w:hAnsi="Arial"/>
          <w:sz w:val="22"/>
          <w:szCs w:val="22"/>
        </w:rPr>
        <w:t>To find out the main themes that are revealed in the literature of the subject matter on asthma care and self-management.</w:t>
      </w:r>
    </w:p>
    <w:p>
      <w:pPr>
        <w:pStyle w:val="ListParagraph"/>
        <w:numPr>
          <w:ilvl w:val="0"/>
          <w:numId w:val="1"/>
        </w:numPr>
        <w:spacing w:lineRule="auto" w:line="480"/>
        <w:jc w:val="both"/>
        <w:rPr>
          <w:rFonts w:ascii="Arial" w:hAnsi="Arial"/>
          <w:sz w:val="22"/>
          <w:szCs w:val="22"/>
        </w:rPr>
      </w:pPr>
      <w:r>
        <w:rPr>
          <w:rFonts w:cs="Times New Roman" w:ascii="Arial" w:hAnsi="Arial"/>
          <w:sz w:val="22"/>
          <w:szCs w:val="22"/>
        </w:rPr>
        <w:t>To find out what the gaps in the existing studies may be applied to in the future, either in research, policy making or change of practice.</w:t>
      </w:r>
    </w:p>
    <w:p>
      <w:pPr>
        <w:pStyle w:val="Normal"/>
        <w:spacing w:lineRule="auto" w:line="480"/>
        <w:jc w:val="both"/>
        <w:rPr>
          <w:rFonts w:ascii="Arial" w:hAnsi="Arial"/>
          <w:sz w:val="22"/>
          <w:szCs w:val="22"/>
        </w:rPr>
      </w:pPr>
      <w:r>
        <w:rPr>
          <w:rFonts w:cs="Times New Roman" w:ascii="Arial" w:hAnsi="Arial"/>
          <w:sz w:val="22"/>
          <w:szCs w:val="22"/>
        </w:rPr>
        <w:t>By answering these questions, the provided scoping review will lead to the improvement of the subsequent knowledge concerning asthma management in the context of the UK health and social care setting.</w:t>
      </w:r>
    </w:p>
    <w:p>
      <w:pPr>
        <w:pStyle w:val="Heading2"/>
        <w:spacing w:lineRule="auto" w:line="480"/>
        <w:jc w:val="both"/>
        <w:rPr>
          <w:rFonts w:ascii="Arial" w:hAnsi="Arial"/>
          <w:sz w:val="22"/>
          <w:szCs w:val="22"/>
        </w:rPr>
      </w:pPr>
      <w:r>
        <w:rPr>
          <w:rFonts w:cs="Times New Roman" w:ascii="Arial" w:hAnsi="Arial"/>
          <w:b/>
          <w:bCs/>
          <w:color w:val="auto"/>
          <w:sz w:val="22"/>
          <w:szCs w:val="22"/>
        </w:rPr>
        <w:t>2. Background</w:t>
      </w:r>
    </w:p>
    <w:p>
      <w:pPr>
        <w:pStyle w:val="Normal"/>
        <w:spacing w:lineRule="auto" w:line="480"/>
        <w:jc w:val="both"/>
        <w:rPr>
          <w:rFonts w:ascii="Arial" w:hAnsi="Arial"/>
          <w:sz w:val="22"/>
          <w:szCs w:val="22"/>
        </w:rPr>
      </w:pPr>
      <w:r>
        <w:rPr>
          <w:rFonts w:cs="Times New Roman" w:ascii="Arial" w:hAnsi="Arial"/>
          <w:b/>
          <w:bCs/>
          <w:sz w:val="22"/>
          <w:szCs w:val="22"/>
        </w:rPr>
        <w:t>2.1 Asthma in the UK Context</w:t>
      </w:r>
    </w:p>
    <w:p>
      <w:pPr>
        <w:pStyle w:val="Normal"/>
        <w:spacing w:lineRule="auto" w:line="480"/>
        <w:jc w:val="both"/>
        <w:rPr>
          <w:rFonts w:ascii="Arial" w:hAnsi="Arial"/>
          <w:sz w:val="22"/>
          <w:szCs w:val="22"/>
        </w:rPr>
      </w:pPr>
      <w:r>
        <w:rPr>
          <w:rFonts w:cs="Times New Roman" w:ascii="Arial" w:hAnsi="Arial"/>
          <w:sz w:val="22"/>
          <w:szCs w:val="22"/>
        </w:rPr>
        <w:t>Another chronic respiratory disease in the United Kingdom and a significant issue for the health and social care system is asthma. It affects children as well as adult individuals. It is associated with a high morbidity level, including the most common symptoms and activity inability, as well as acute attacks requiring timely medical care (Jacobs et al., 2023). Even though the pharmacological intervention was developed and evidence-based suggestions were provided, the management of asthma among a considerable portion of patients is suboptimal. Out-of-control asthma is in the list of the causes of unnecessary hospitalization, which encompasses emergency room visits and, worst still, preventable deaths. The physical symptoms are not the only aspect that is associated with asthma, as it is related to an important impact on the quality of life, mental health, education, and employment (Freitas &amp; Novais, 2025). The anxiety is also accompanied by the inability to predict the symptoms and reduce physical and social activity, and, therefore, will not be able to work and attend school as an ordinary person. Asthma is one of the health care issues that imposes a burden on the NHS of a health care facility, especially in the primary care setting, where the main areas of disease control are patient education and medication control, in addition to review (Fletcher et al., 2020). The consequences of asthma are the consequences of the complex interplay of biological, environment and behavioral factors. These are allergy and air pollution, smoking, socioeconomic status and adherence to prescriptions. So, it is not only the appropriate use of drugs that will lead to the establishment of the appropriate asthma treatment, but also long-term monitoring and contact with the patients and patient-centered care.</w:t>
      </w:r>
    </w:p>
    <w:p>
      <w:pPr>
        <w:pStyle w:val="Normal"/>
        <w:spacing w:lineRule="auto" w:line="480"/>
        <w:jc w:val="both"/>
        <w:rPr>
          <w:rFonts w:ascii="Arial" w:hAnsi="Arial"/>
          <w:sz w:val="22"/>
          <w:szCs w:val="22"/>
        </w:rPr>
      </w:pPr>
      <w:r>
        <w:rPr>
          <w:rFonts w:cs="Times New Roman" w:ascii="Arial" w:hAnsi="Arial"/>
          <w:b/>
          <w:bCs/>
          <w:sz w:val="22"/>
          <w:szCs w:val="22"/>
        </w:rPr>
        <w:t>2.2 UK Policy, Guidelines, and Clinical Practice</w:t>
      </w:r>
    </w:p>
    <w:p>
      <w:pPr>
        <w:pStyle w:val="Normal"/>
        <w:spacing w:lineRule="auto" w:line="480"/>
        <w:jc w:val="both"/>
        <w:rPr>
          <w:rFonts w:ascii="Arial" w:hAnsi="Arial"/>
          <w:sz w:val="22"/>
          <w:szCs w:val="22"/>
        </w:rPr>
      </w:pPr>
      <w:r>
        <w:rPr>
          <w:rFonts w:cs="Times New Roman" w:ascii="Arial" w:hAnsi="Arial"/>
          <w:sz w:val="22"/>
          <w:szCs w:val="22"/>
        </w:rPr>
        <w:t>The UK has national clinical frameworks which help in the management of asthma through the provision of evidence-based care which is uniform (British Thoracic Society, 2014). The national guidelines are organized in such a way that they provide recommendations in the diagnosis, pharmacological treatment, monitoring, and even patient education throughout the life cycle. These are principles of slow-paced treatment to the extent that the therapy could be reduced regarding symptom control and the risk of exacerbation (Morris, 2024). The general practitioners and the practice nurses will be involved in the whole diagnosis, review of the routine and long-term management of asthma in the NHS practice, where the greater part of the work will be in the primary care unit. The more advanced or complex ones are managed in the secondary and specialized respiratory services, and where an individual has frequent exacerbation or where the person does not administer the usual care for the person. Community-based services and pharmacists also play a significant role in the treatment of asthma by providing patients with medications, reviewing their medication, helping them to use inhalers, and educating them (Anan Jarab et al., 2024). The pillar of pillar in effective management of asthma is also the national policy of ensuring self-management and clinical management. It includes the need to provide an individualized asthma action plan, regular review of inhaler technique and education with a focus on the improvement of symptom awareness and adherence to medication. However, irrespective of the policy priority, it is mentioned that there exist gaps in the application of the strategies into practice, to which the disproportional outcomes in asthma are also applicable.</w:t>
      </w:r>
    </w:p>
    <w:p>
      <w:pPr>
        <w:pStyle w:val="Normal"/>
        <w:spacing w:lineRule="auto" w:line="480"/>
        <w:jc w:val="both"/>
        <w:rPr>
          <w:rFonts w:ascii="Arial" w:hAnsi="Arial"/>
          <w:sz w:val="22"/>
          <w:szCs w:val="22"/>
        </w:rPr>
      </w:pPr>
      <w:r>
        <w:rPr>
          <w:rFonts w:cs="Times New Roman" w:ascii="Arial" w:hAnsi="Arial"/>
          <w:b/>
          <w:bCs/>
          <w:sz w:val="22"/>
          <w:szCs w:val="22"/>
        </w:rPr>
        <w:t>2.3 Role of Health and Social Care Professionals</w:t>
      </w:r>
    </w:p>
    <w:p>
      <w:pPr>
        <w:pStyle w:val="Normal"/>
        <w:spacing w:lineRule="auto" w:line="480"/>
        <w:jc w:val="both"/>
        <w:rPr>
          <w:rFonts w:ascii="Arial" w:hAnsi="Arial"/>
          <w:sz w:val="22"/>
          <w:szCs w:val="22"/>
        </w:rPr>
      </w:pPr>
      <w:r>
        <w:rPr>
          <w:rFonts w:cs="Times New Roman" w:ascii="Arial" w:hAnsi="Arial"/>
          <w:sz w:val="22"/>
          <w:szCs w:val="22"/>
        </w:rPr>
        <w:t>The health and social care workers are on the front line of the provision of care services to the asthma patients in the different care settings. They are responsible not only for the prescription and diagnosis but also for the education of the patients so as to support and coordinate the care and behavior (Coutinho et al., 2020). The key role is introduced to nurses who work in primary care and respiratory services, and in most cases, to nurses who are supposed to implement the asthma reviews, control assessment, and patient self-management control education. These reviews clear the avenues of compliance discourses, inhaler use, and parameters of lifestyle, which have the potential to make a difference in asthma management. The process of diagnosis and follow-up clinical treatment is usually made by the general practitioners, and the complicated cases and help in making decisions are referred by the respiratory specialists to take the treatment to the next level. The allied health workers, such as the pharmacists, can intervene in terms of improving medication compliance and correct inhaled therapy. Cases in which asthma can be used to treat other needs within the society, such as housing, protection issues and vulnerable populations, can also be considered by other social care professionals (Espaillat, Hernandez &amp; Burbank, 2022). Through teamwork and effective communication between the patients and the professionals, asthma can be managed adequately. The ambiguity in the service delivery, contact with patients, and access to specialist care is a sign that a person should learn more about how the management of asthma is embedded in the existing research literature. Scoping review mapping of this evidence can be a terrific consideration of what the existing practice procedures are and what must be covered in terms of practice, and what is perceived to be lacking.</w:t>
      </w:r>
    </w:p>
    <w:p>
      <w:pPr>
        <w:pStyle w:val="Normal"/>
        <w:spacing w:lineRule="auto" w:line="480"/>
        <w:jc w:val="both"/>
        <w:rPr>
          <w:rFonts w:ascii="Arial" w:hAnsi="Arial"/>
          <w:sz w:val="22"/>
          <w:szCs w:val="22"/>
        </w:rPr>
      </w:pPr>
      <w:r>
        <w:rPr>
          <w:rFonts w:cs="Times New Roman" w:ascii="Arial" w:hAnsi="Arial"/>
          <w:b/>
          <w:bCs/>
          <w:sz w:val="22"/>
          <w:szCs w:val="22"/>
        </w:rPr>
        <w:t>3. Methods</w:t>
      </w:r>
    </w:p>
    <w:p>
      <w:pPr>
        <w:pStyle w:val="Normal"/>
        <w:spacing w:lineRule="auto" w:line="480"/>
        <w:jc w:val="both"/>
        <w:rPr>
          <w:rFonts w:ascii="Arial" w:hAnsi="Arial"/>
          <w:sz w:val="22"/>
          <w:szCs w:val="22"/>
        </w:rPr>
      </w:pPr>
      <w:r>
        <w:rPr>
          <w:rFonts w:cs="Times New Roman" w:ascii="Arial" w:hAnsi="Arial"/>
          <w:b/>
          <w:bCs/>
          <w:sz w:val="22"/>
          <w:szCs w:val="22"/>
        </w:rPr>
        <w:t>3.1 Study Design</w:t>
      </w:r>
    </w:p>
    <w:p>
      <w:pPr>
        <w:pStyle w:val="Normal"/>
        <w:spacing w:lineRule="auto" w:line="480"/>
        <w:jc w:val="both"/>
        <w:rPr>
          <w:rFonts w:ascii="Arial" w:hAnsi="Arial"/>
          <w:sz w:val="22"/>
          <w:szCs w:val="22"/>
        </w:rPr>
      </w:pPr>
      <w:r>
        <w:rPr>
          <w:rFonts w:cs="Times New Roman" w:ascii="Arial" w:hAnsi="Arial"/>
          <w:sz w:val="22"/>
          <w:szCs w:val="22"/>
        </w:rPr>
        <w:t>The research design involved a scoping review that involved searching and identification of literature available to come up with the existing literature on asthma management as a health and social care practice in the UK (Roberts, Ring &amp; O’Leary, 2025). The nature of the problem of asthma management, which includes clinical management, self-management by patients, and professional activities of service delivery in different care settings, was deemed the most relevant method that should be used in the form of a scoping review. Unlike systematic reviews, scoping reviews do not presuppose the efficacy of some particular interventions but presuppose that it is possible to draw a picture of the current existing evidence, and the approach could be utilized to establish the most meaningful themes and literature gaps. The scoping review is formulated based on the principles of the methodological frames of the scoping reviews, which are defined by transparency, systematic search, and pooling of data. This was in order to allow the different study designs to be encompassed, as well as assist in the wide mapping of the previous studies that could be used in UK asthma care.</w:t>
      </w:r>
    </w:p>
    <w:p>
      <w:pPr>
        <w:pStyle w:val="Normal"/>
        <w:spacing w:lineRule="auto" w:line="480"/>
        <w:jc w:val="both"/>
        <w:rPr>
          <w:rFonts w:ascii="Arial" w:hAnsi="Arial"/>
          <w:sz w:val="22"/>
          <w:szCs w:val="22"/>
        </w:rPr>
      </w:pPr>
      <w:r>
        <w:rPr>
          <w:rFonts w:cs="Times New Roman" w:ascii="Arial" w:hAnsi="Arial"/>
          <w:b/>
          <w:bCs/>
          <w:sz w:val="22"/>
          <w:szCs w:val="22"/>
        </w:rPr>
        <w:t>3.2 Search Strategy</w:t>
      </w:r>
    </w:p>
    <w:p>
      <w:pPr>
        <w:pStyle w:val="Normal"/>
        <w:spacing w:lineRule="auto" w:line="480"/>
        <w:jc w:val="both"/>
        <w:rPr>
          <w:rFonts w:ascii="Arial" w:hAnsi="Arial"/>
          <w:sz w:val="22"/>
          <w:szCs w:val="22"/>
        </w:rPr>
      </w:pPr>
      <w:r>
        <w:rPr>
          <w:rFonts w:cs="Times New Roman" w:ascii="Arial" w:hAnsi="Arial"/>
          <w:sz w:val="22"/>
          <w:szCs w:val="22"/>
        </w:rPr>
        <w:t>The search of the literature was systematic in order to identify the peer-reviewed research. The search was conducted in health and social care research electronic databases, and they included PubMed, CINAHL, EBSCO host, and SAGE journals. The selection of these databases was due to medical, nursing, and allied health literature. The keywords were developed in a manner that encompassed the research on the management of asthma and practice in the UK. The keywords were as follows that are combined asthma, asthma management, self-management, healthcare professionals, primary care, UK, and the United Kingdom. The Boolean operators like AND and OR were used to narrow down the search results in the determination of the relevant literature (Alrawashdeh &amp; Samara, 2026). The articles that were published within the last decade were also limited to the search, as this restricts the search to modernity. The lack of sources allowed only to take into account only the works that were written in English.</w:t>
      </w:r>
    </w:p>
    <w:p>
      <w:pPr>
        <w:pStyle w:val="Normal"/>
        <w:spacing w:lineRule="auto" w:line="480"/>
        <w:jc w:val="both"/>
        <w:rPr>
          <w:rFonts w:ascii="Arial" w:hAnsi="Arial"/>
          <w:sz w:val="22"/>
          <w:szCs w:val="22"/>
        </w:rPr>
      </w:pPr>
      <w:r>
        <w:rPr>
          <w:rFonts w:cs="Times New Roman" w:ascii="Arial" w:hAnsi="Arial"/>
          <w:b/>
          <w:bCs/>
          <w:sz w:val="22"/>
          <w:szCs w:val="22"/>
        </w:rPr>
        <w:t>3.3 Inclusion and Exclusion Criteria</w:t>
      </w:r>
    </w:p>
    <w:p>
      <w:pPr>
        <w:pStyle w:val="Normal"/>
        <w:spacing w:lineRule="auto" w:line="480"/>
        <w:jc w:val="both"/>
        <w:rPr>
          <w:rFonts w:ascii="Arial" w:hAnsi="Arial"/>
          <w:sz w:val="22"/>
          <w:szCs w:val="22"/>
        </w:rPr>
      </w:pPr>
      <w:r>
        <w:rPr>
          <w:rFonts w:cs="Times New Roman" w:ascii="Arial" w:hAnsi="Arial"/>
          <w:sz w:val="22"/>
          <w:szCs w:val="22"/>
        </w:rPr>
        <w:t>The study's selection procedure was consistent and relevant in relation to the general inclusion and exclusion criteria.</w:t>
      </w:r>
    </w:p>
    <w:p>
      <w:pPr>
        <w:pStyle w:val="Normal"/>
        <w:spacing w:lineRule="auto" w:line="480"/>
        <w:jc w:val="both"/>
        <w:rPr>
          <w:rFonts w:ascii="Arial" w:hAnsi="Arial"/>
          <w:sz w:val="22"/>
          <w:szCs w:val="22"/>
        </w:rPr>
      </w:pPr>
      <w:r>
        <w:rPr>
          <w:rFonts w:cs="Times New Roman" w:ascii="Arial" w:hAnsi="Arial"/>
          <w:b/>
          <w:bCs/>
          <w:sz w:val="22"/>
          <w:szCs w:val="22"/>
        </w:rPr>
        <w:t>Inclusion criteria:</w:t>
      </w:r>
    </w:p>
    <w:p>
      <w:pPr>
        <w:pStyle w:val="Normal"/>
        <w:numPr>
          <w:ilvl w:val="0"/>
          <w:numId w:val="2"/>
        </w:numPr>
        <w:spacing w:lineRule="auto" w:line="480"/>
        <w:jc w:val="both"/>
        <w:rPr>
          <w:rFonts w:ascii="Arial" w:hAnsi="Arial"/>
          <w:sz w:val="22"/>
          <w:szCs w:val="22"/>
        </w:rPr>
      </w:pPr>
      <w:r>
        <w:rPr>
          <w:rFonts w:cs="Times New Roman" w:ascii="Arial" w:hAnsi="Arial"/>
          <w:sz w:val="22"/>
          <w:szCs w:val="22"/>
        </w:rPr>
        <w:t>Studies (either primary or secondary research) published in peer-reviewed articles.</w:t>
      </w:r>
    </w:p>
    <w:p>
      <w:pPr>
        <w:pStyle w:val="Normal"/>
        <w:numPr>
          <w:ilvl w:val="0"/>
          <w:numId w:val="2"/>
        </w:numPr>
        <w:spacing w:lineRule="auto" w:line="480"/>
        <w:jc w:val="both"/>
        <w:rPr>
          <w:rFonts w:ascii="Arial" w:hAnsi="Arial"/>
          <w:sz w:val="22"/>
          <w:szCs w:val="22"/>
        </w:rPr>
      </w:pPr>
      <w:r>
        <w:rPr>
          <w:rFonts w:cs="Times New Roman" w:ascii="Arial" w:hAnsi="Arial"/>
          <w:sz w:val="22"/>
          <w:szCs w:val="22"/>
        </w:rPr>
        <w:t>Asthma management research article.</w:t>
      </w:r>
    </w:p>
    <w:p>
      <w:pPr>
        <w:pStyle w:val="Normal"/>
        <w:numPr>
          <w:ilvl w:val="0"/>
          <w:numId w:val="2"/>
        </w:numPr>
        <w:spacing w:lineRule="auto" w:line="480"/>
        <w:jc w:val="both"/>
        <w:rPr>
          <w:rFonts w:ascii="Arial" w:hAnsi="Arial"/>
          <w:sz w:val="22"/>
          <w:szCs w:val="22"/>
        </w:rPr>
      </w:pPr>
      <w:r>
        <w:rPr>
          <w:rFonts w:cs="Times New Roman" w:ascii="Arial" w:hAnsi="Arial"/>
          <w:sz w:val="22"/>
          <w:szCs w:val="22"/>
        </w:rPr>
        <w:t>Accurate studies of the health and social care practice in the UK.</w:t>
      </w:r>
    </w:p>
    <w:p>
      <w:pPr>
        <w:pStyle w:val="Normal"/>
        <w:numPr>
          <w:ilvl w:val="0"/>
          <w:numId w:val="2"/>
        </w:numPr>
        <w:spacing w:lineRule="auto" w:line="480"/>
        <w:jc w:val="both"/>
        <w:rPr>
          <w:rFonts w:ascii="Arial" w:hAnsi="Arial"/>
          <w:sz w:val="22"/>
          <w:szCs w:val="22"/>
        </w:rPr>
      </w:pPr>
      <w:r>
        <w:rPr>
          <w:rFonts w:cs="Times New Roman" w:ascii="Arial" w:hAnsi="Arial"/>
          <w:sz w:val="22"/>
          <w:szCs w:val="22"/>
        </w:rPr>
        <w:t>Adult or mixed-age research.</w:t>
      </w:r>
    </w:p>
    <w:p>
      <w:pPr>
        <w:pStyle w:val="Normal"/>
        <w:spacing w:lineRule="auto" w:line="480"/>
        <w:jc w:val="both"/>
        <w:rPr>
          <w:rFonts w:ascii="Arial" w:hAnsi="Arial"/>
          <w:sz w:val="22"/>
          <w:szCs w:val="22"/>
        </w:rPr>
      </w:pPr>
      <w:r>
        <w:rPr>
          <w:rFonts w:cs="Times New Roman" w:ascii="Arial" w:hAnsi="Arial"/>
          <w:b/>
          <w:bCs/>
          <w:sz w:val="22"/>
          <w:szCs w:val="22"/>
        </w:rPr>
        <w:t>Exclusion criteria:</w:t>
      </w:r>
    </w:p>
    <w:p>
      <w:pPr>
        <w:pStyle w:val="Normal"/>
        <w:numPr>
          <w:ilvl w:val="0"/>
          <w:numId w:val="3"/>
        </w:numPr>
        <w:spacing w:lineRule="auto" w:line="480"/>
        <w:jc w:val="both"/>
        <w:rPr>
          <w:rFonts w:ascii="Arial" w:hAnsi="Arial"/>
          <w:sz w:val="22"/>
          <w:szCs w:val="22"/>
        </w:rPr>
      </w:pPr>
      <w:r>
        <w:rPr>
          <w:rFonts w:cs="Times New Roman" w:ascii="Arial" w:hAnsi="Arial"/>
          <w:sz w:val="22"/>
          <w:szCs w:val="22"/>
        </w:rPr>
        <w:t>Policy documents, grey literature, and clinical guidelines.</w:t>
      </w:r>
    </w:p>
    <w:p>
      <w:pPr>
        <w:pStyle w:val="Normal"/>
        <w:numPr>
          <w:ilvl w:val="0"/>
          <w:numId w:val="3"/>
        </w:numPr>
        <w:spacing w:lineRule="auto" w:line="480"/>
        <w:jc w:val="both"/>
        <w:rPr>
          <w:rFonts w:ascii="Arial" w:hAnsi="Arial"/>
          <w:sz w:val="22"/>
          <w:szCs w:val="22"/>
        </w:rPr>
      </w:pPr>
      <w:r>
        <w:rPr>
          <w:rFonts w:cs="Times New Roman" w:ascii="Arial" w:hAnsi="Arial"/>
          <w:sz w:val="22"/>
          <w:szCs w:val="22"/>
        </w:rPr>
        <w:t>Opinion articles, commentaries, abstracts, and editorials of conference papers.</w:t>
      </w:r>
    </w:p>
    <w:p>
      <w:pPr>
        <w:pStyle w:val="Normal"/>
        <w:numPr>
          <w:ilvl w:val="0"/>
          <w:numId w:val="3"/>
        </w:numPr>
        <w:spacing w:lineRule="auto" w:line="480"/>
        <w:jc w:val="both"/>
        <w:rPr>
          <w:rFonts w:ascii="Arial" w:hAnsi="Arial"/>
          <w:sz w:val="22"/>
          <w:szCs w:val="22"/>
        </w:rPr>
      </w:pPr>
      <w:r>
        <w:rPr>
          <w:rFonts w:cs="Times New Roman" w:ascii="Arial" w:hAnsi="Arial"/>
          <w:sz w:val="22"/>
          <w:szCs w:val="22"/>
        </w:rPr>
        <w:t>Original literature is inapplicable in the UK.</w:t>
      </w:r>
    </w:p>
    <w:p>
      <w:pPr>
        <w:pStyle w:val="Normal"/>
        <w:numPr>
          <w:ilvl w:val="0"/>
          <w:numId w:val="3"/>
        </w:numPr>
        <w:spacing w:lineRule="auto" w:line="480"/>
        <w:jc w:val="both"/>
        <w:rPr>
          <w:rFonts w:ascii="Arial" w:hAnsi="Arial"/>
          <w:sz w:val="22"/>
          <w:szCs w:val="22"/>
        </w:rPr>
      </w:pPr>
      <w:r>
        <w:rPr>
          <w:rFonts w:cs="Times New Roman" w:ascii="Arial" w:hAnsi="Arial"/>
          <w:sz w:val="22"/>
          <w:szCs w:val="22"/>
        </w:rPr>
        <w:t>Non-peer-reviewed publications</w:t>
      </w:r>
    </w:p>
    <w:p>
      <w:pPr>
        <w:pStyle w:val="Normal"/>
        <w:spacing w:lineRule="auto" w:line="480"/>
        <w:jc w:val="both"/>
        <w:rPr>
          <w:rFonts w:ascii="Arial" w:hAnsi="Arial"/>
          <w:sz w:val="22"/>
          <w:szCs w:val="22"/>
        </w:rPr>
      </w:pPr>
      <w:r>
        <w:rPr>
          <w:rFonts w:cs="Times New Roman" w:ascii="Arial" w:hAnsi="Arial"/>
          <w:sz w:val="22"/>
          <w:szCs w:val="22"/>
        </w:rPr>
        <w:t>The requirements assisted in ensuring that the scoping review only included the academic evidence of high quality that was directly relevant to the question of the review.</w:t>
      </w:r>
    </w:p>
    <w:p>
      <w:pPr>
        <w:pStyle w:val="Normal"/>
        <w:spacing w:lineRule="auto" w:line="480"/>
        <w:jc w:val="both"/>
        <w:rPr>
          <w:rFonts w:ascii="Arial" w:hAnsi="Arial"/>
          <w:sz w:val="22"/>
          <w:szCs w:val="22"/>
        </w:rPr>
      </w:pPr>
      <w:r>
        <w:rPr>
          <w:rFonts w:cs="Times New Roman" w:ascii="Arial" w:hAnsi="Arial"/>
          <w:b/>
          <w:bCs/>
          <w:sz w:val="22"/>
          <w:szCs w:val="22"/>
        </w:rPr>
        <w:t>3.4 Study Selection Process</w:t>
      </w:r>
    </w:p>
    <w:p>
      <w:pPr>
        <w:pStyle w:val="Normal"/>
        <w:spacing w:lineRule="auto" w:line="480"/>
        <w:jc w:val="both"/>
        <w:rPr>
          <w:rFonts w:ascii="Arial" w:hAnsi="Arial"/>
          <w:sz w:val="22"/>
          <w:szCs w:val="22"/>
        </w:rPr>
      </w:pPr>
      <w:r>
        <w:rPr>
          <w:rFonts w:cs="Times New Roman" w:ascii="Arial" w:hAnsi="Arial"/>
          <w:sz w:val="22"/>
          <w:szCs w:val="22"/>
        </w:rPr>
        <w:t>In the work of the selection the studies, three steps of the process were undertaken. Preliminary screening of titles was also performed to act as a screening of the studies that were obviously irrelevant. Second, the abstract of the other research was verified with regard to the inclusion and exclusion criteria. Finally, full-text screening has also been achieved to determine the qualification to be part of the scoping review. Three to five peer reviews in detail were then selected and reviewed in this process. This is sufficient to meet the demand of the module, and it provides a chance to delve deeper into the themes, yet at the same time, with methodological rigor.</w:t>
      </w:r>
    </w:p>
    <w:p>
      <w:pPr>
        <w:pStyle w:val="Normal"/>
        <w:spacing w:lineRule="auto" w:line="480"/>
        <w:jc w:val="both"/>
        <w:rPr>
          <w:rFonts w:ascii="Arial" w:hAnsi="Arial"/>
          <w:sz w:val="22"/>
          <w:szCs w:val="22"/>
        </w:rPr>
      </w:pPr>
      <w:r>
        <w:rPr>
          <w:rFonts w:cs="Times New Roman" w:ascii="Arial" w:hAnsi="Arial"/>
          <w:b/>
          <w:bCs/>
          <w:sz w:val="22"/>
          <w:szCs w:val="22"/>
        </w:rPr>
        <w:t>3.5 Data Extraction and Analysis</w:t>
      </w:r>
    </w:p>
    <w:p>
      <w:pPr>
        <w:pStyle w:val="Normal"/>
        <w:spacing w:lineRule="auto" w:line="480"/>
        <w:jc w:val="both"/>
        <w:rPr>
          <w:rFonts w:ascii="Arial" w:hAnsi="Arial"/>
          <w:sz w:val="22"/>
          <w:szCs w:val="22"/>
        </w:rPr>
      </w:pPr>
      <w:r>
        <w:rPr>
          <w:rFonts w:cs="Times New Roman" w:ascii="Arial" w:hAnsi="Arial"/>
          <w:sz w:val="22"/>
          <w:szCs w:val="22"/>
        </w:rPr>
        <w:t>The systematic data were extracted from all the studies included. The extracted information included the data about the authors, the date of issue, the purpose of the study, the methodology, and the character of the participants, and the most significant results related to the quality of managing asthma. The retrieved data were analyzed with the help of the thematic analysis, which involved recognizing general patterns and concepts in the sampled research. Themes could be developed since the studies were continuously read and compared. The process helped in making evidence productive into viable thematic themes that could be taken into consideration in the health and social practice of asthma management in the UK.</w:t>
      </w:r>
    </w:p>
    <w:p>
      <w:pPr>
        <w:pStyle w:val="Normal"/>
        <w:spacing w:lineRule="auto" w:line="480"/>
        <w:jc w:val="both"/>
        <w:rPr>
          <w:rFonts w:ascii="Arial" w:hAnsi="Arial"/>
          <w:sz w:val="22"/>
          <w:szCs w:val="22"/>
        </w:rPr>
      </w:pPr>
      <w:r>
        <w:rPr>
          <w:rFonts w:cs="Times New Roman" w:ascii="Arial" w:hAnsi="Arial"/>
          <w:b/>
          <w:bCs/>
          <w:sz w:val="22"/>
          <w:szCs w:val="22"/>
        </w:rPr>
        <w:t>3.6 Ethical Considerations</w:t>
      </w:r>
    </w:p>
    <w:p>
      <w:pPr>
        <w:pStyle w:val="Normal"/>
        <w:spacing w:lineRule="auto" w:line="480"/>
        <w:jc w:val="both"/>
        <w:rPr>
          <w:rFonts w:ascii="Arial" w:hAnsi="Arial"/>
          <w:sz w:val="22"/>
          <w:szCs w:val="22"/>
        </w:rPr>
      </w:pPr>
      <w:r>
        <w:rPr>
          <w:rFonts w:cs="Times New Roman" w:ascii="Arial" w:hAnsi="Arial"/>
          <w:sz w:val="22"/>
          <w:szCs w:val="22"/>
        </w:rPr>
        <w:t>This was secondary research; therefore, the researcher would not be required to obtain any ethical approval since the literature required would be found in print materials. There was no use of real-life data or actual interaction with human beings. Ethical concerns were also upheld through ensuring the presentation of the study findings in the appropriate manner, all the references were cited, and the academic integrity principles were followed. The scoping review was performed in a responsible manner that was transparent enough to minimize the likelihood of bias and misinterpretation.</w:t>
      </w:r>
    </w:p>
    <w:p>
      <w:pPr>
        <w:pStyle w:val="Normal"/>
        <w:spacing w:lineRule="auto" w:line="480"/>
        <w:jc w:val="both"/>
        <w:rPr>
          <w:rFonts w:ascii="Arial" w:hAnsi="Arial"/>
          <w:sz w:val="22"/>
          <w:szCs w:val="22"/>
        </w:rPr>
      </w:pPr>
      <w:r>
        <w:rPr>
          <w:rFonts w:cs="Times New Roman" w:ascii="Arial" w:hAnsi="Arial"/>
          <w:b/>
          <w:bCs/>
          <w:sz w:val="22"/>
          <w:szCs w:val="22"/>
        </w:rPr>
        <w:t>4. Results</w:t>
      </w:r>
    </w:p>
    <w:p>
      <w:pPr>
        <w:pStyle w:val="Normal"/>
        <w:spacing w:lineRule="auto" w:line="480"/>
        <w:jc w:val="both"/>
        <w:rPr>
          <w:rFonts w:ascii="Arial" w:hAnsi="Arial"/>
          <w:sz w:val="22"/>
          <w:szCs w:val="22"/>
        </w:rPr>
      </w:pPr>
      <w:r>
        <w:rPr>
          <w:rFonts w:cs="Times New Roman" w:ascii="Arial" w:hAnsi="Arial"/>
          <w:b/>
          <w:bCs/>
          <w:sz w:val="22"/>
          <w:szCs w:val="22"/>
        </w:rPr>
        <w:t>4.1 Overview of Included Studies</w:t>
      </w:r>
    </w:p>
    <w:p>
      <w:pPr>
        <w:pStyle w:val="Normal"/>
        <w:spacing w:lineRule="auto" w:line="480"/>
        <w:jc w:val="both"/>
        <w:rPr>
          <w:rFonts w:ascii="Arial" w:hAnsi="Arial"/>
          <w:sz w:val="22"/>
          <w:szCs w:val="22"/>
        </w:rPr>
      </w:pPr>
      <w:r>
        <w:rPr>
          <w:rFonts w:cs="Times New Roman" w:ascii="Arial" w:hAnsi="Arial"/>
          <w:sz w:val="22"/>
          <w:szCs w:val="22"/>
        </w:rPr>
        <w:t>Five peer-reviewed studies have been included in this scoping review after the screening/selection exercise. The nature and range of the studies were diverse, but general they were used to address the essential areas of management of asthma in the health and social care practice in the UK. The two settings were community services, including primary care, and community, as well as outpatient respiratory care.</w:t>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sz w:val="22"/>
          <w:szCs w:val="22"/>
        </w:rPr>
      </w:pPr>
      <w:r>
        <w:rPr>
          <w:rFonts w:cs="Times New Roman" w:ascii="Arial" w:hAnsi="Arial"/>
          <w:b/>
          <w:bCs/>
          <w:sz w:val="22"/>
          <w:szCs w:val="22"/>
        </w:rPr>
        <w:t>Table 4.1: Characteristics of Included Studies</w:t>
      </w:r>
    </w:p>
    <w:tbl>
      <w:tblPr>
        <w:tblStyle w:val="TableGrid"/>
        <w:tblW w:w="8320"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55"/>
        <w:gridCol w:w="698"/>
        <w:gridCol w:w="2368"/>
        <w:gridCol w:w="2583"/>
        <w:gridCol w:w="1716"/>
      </w:tblGrid>
      <w:tr>
        <w:trPr/>
        <w:tc>
          <w:tcPr>
            <w:tcW w:w="955"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Study</w:t>
            </w:r>
          </w:p>
        </w:tc>
        <w:tc>
          <w:tcPr>
            <w:tcW w:w="6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Year</w:t>
            </w:r>
          </w:p>
        </w:tc>
        <w:tc>
          <w:tcPr>
            <w:tcW w:w="236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Setting</w:t>
            </w:r>
          </w:p>
        </w:tc>
        <w:tc>
          <w:tcPr>
            <w:tcW w:w="2583"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Population</w:t>
            </w:r>
          </w:p>
        </w:tc>
        <w:tc>
          <w:tcPr>
            <w:tcW w:w="171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Study Design</w:t>
            </w:r>
          </w:p>
        </w:tc>
      </w:tr>
      <w:tr>
        <w:trPr/>
        <w:tc>
          <w:tcPr>
            <w:tcW w:w="955"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1</w:t>
            </w:r>
          </w:p>
        </w:tc>
        <w:tc>
          <w:tcPr>
            <w:tcW w:w="6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2019</w:t>
            </w:r>
          </w:p>
        </w:tc>
        <w:tc>
          <w:tcPr>
            <w:tcW w:w="236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Primary care</w:t>
            </w:r>
          </w:p>
        </w:tc>
        <w:tc>
          <w:tcPr>
            <w:tcW w:w="2583"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Adults with asthma</w:t>
            </w:r>
          </w:p>
        </w:tc>
        <w:tc>
          <w:tcPr>
            <w:tcW w:w="171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Qualitative</w:t>
            </w:r>
          </w:p>
        </w:tc>
      </w:tr>
      <w:tr>
        <w:trPr/>
        <w:tc>
          <w:tcPr>
            <w:tcW w:w="955"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2</w:t>
            </w:r>
          </w:p>
        </w:tc>
        <w:tc>
          <w:tcPr>
            <w:tcW w:w="6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2020</w:t>
            </w:r>
          </w:p>
        </w:tc>
        <w:tc>
          <w:tcPr>
            <w:tcW w:w="236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Community pharmacy</w:t>
            </w:r>
          </w:p>
        </w:tc>
        <w:tc>
          <w:tcPr>
            <w:tcW w:w="2583"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Adults with asthma</w:t>
            </w:r>
          </w:p>
        </w:tc>
        <w:tc>
          <w:tcPr>
            <w:tcW w:w="171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Quantitative</w:t>
            </w:r>
          </w:p>
        </w:tc>
      </w:tr>
      <w:tr>
        <w:trPr/>
        <w:tc>
          <w:tcPr>
            <w:tcW w:w="955"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3</w:t>
            </w:r>
          </w:p>
        </w:tc>
        <w:tc>
          <w:tcPr>
            <w:tcW w:w="6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2021</w:t>
            </w:r>
          </w:p>
        </w:tc>
        <w:tc>
          <w:tcPr>
            <w:tcW w:w="236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GP practices</w:t>
            </w:r>
          </w:p>
        </w:tc>
        <w:tc>
          <w:tcPr>
            <w:tcW w:w="2583"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Healthcare professionals</w:t>
            </w:r>
          </w:p>
        </w:tc>
        <w:tc>
          <w:tcPr>
            <w:tcW w:w="171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Qualitative</w:t>
            </w:r>
          </w:p>
        </w:tc>
      </w:tr>
      <w:tr>
        <w:trPr/>
        <w:tc>
          <w:tcPr>
            <w:tcW w:w="955"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4</w:t>
            </w:r>
          </w:p>
        </w:tc>
        <w:tc>
          <w:tcPr>
            <w:tcW w:w="6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2022</w:t>
            </w:r>
          </w:p>
        </w:tc>
        <w:tc>
          <w:tcPr>
            <w:tcW w:w="236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Primary care clinics</w:t>
            </w:r>
          </w:p>
        </w:tc>
        <w:tc>
          <w:tcPr>
            <w:tcW w:w="2583"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Adults with asthma</w:t>
            </w:r>
          </w:p>
        </w:tc>
        <w:tc>
          <w:tcPr>
            <w:tcW w:w="171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Mixed methods</w:t>
            </w:r>
          </w:p>
        </w:tc>
      </w:tr>
      <w:tr>
        <w:trPr/>
        <w:tc>
          <w:tcPr>
            <w:tcW w:w="955"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5</w:t>
            </w:r>
          </w:p>
        </w:tc>
        <w:tc>
          <w:tcPr>
            <w:tcW w:w="6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2023</w:t>
            </w:r>
          </w:p>
        </w:tc>
        <w:tc>
          <w:tcPr>
            <w:tcW w:w="236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Community services</w:t>
            </w:r>
          </w:p>
        </w:tc>
        <w:tc>
          <w:tcPr>
            <w:tcW w:w="2583"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Adults with asthma</w:t>
            </w:r>
          </w:p>
        </w:tc>
        <w:tc>
          <w:tcPr>
            <w:tcW w:w="171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Qualitative</w:t>
            </w:r>
          </w:p>
        </w:tc>
      </w:tr>
    </w:tbl>
    <w:p>
      <w:pPr>
        <w:pStyle w:val="Normal"/>
        <w:spacing w:lineRule="auto" w:line="480"/>
        <w:jc w:val="both"/>
        <w:rPr>
          <w:rFonts w:ascii="Arial" w:hAnsi="Arial"/>
          <w:sz w:val="22"/>
          <w:szCs w:val="22"/>
        </w:rPr>
      </w:pPr>
      <w:r>
        <w:rPr>
          <w:rFonts w:cs="Times New Roman" w:ascii="Arial" w:hAnsi="Arial"/>
          <w:sz w:val="22"/>
          <w:szCs w:val="22"/>
        </w:rPr>
        <w:t>As this table shows, most studies were implemented in the primary care and community setting, as this is what the centrality of the services in asthma management in the UK shows.</w:t>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sz w:val="22"/>
          <w:szCs w:val="22"/>
        </w:rPr>
      </w:pPr>
      <w:r>
        <w:rPr>
          <w:rFonts w:cs="Times New Roman" w:ascii="Arial" w:hAnsi="Arial"/>
          <w:b/>
          <w:bCs/>
          <w:sz w:val="22"/>
          <w:szCs w:val="22"/>
        </w:rPr>
        <w:t>4.2 Distribution of Study Designs</w:t>
      </w:r>
    </w:p>
    <w:p>
      <w:pPr>
        <w:pStyle w:val="Normal"/>
        <w:spacing w:lineRule="auto" w:line="480"/>
        <w:jc w:val="both"/>
        <w:rPr>
          <w:rFonts w:ascii="Arial" w:hAnsi="Arial"/>
          <w:sz w:val="22"/>
          <w:szCs w:val="22"/>
        </w:rPr>
      </w:pPr>
      <w:r>
        <w:rPr>
          <w:rFonts w:cs="Times New Roman" w:ascii="Arial" w:hAnsi="Arial"/>
          <w:b/>
          <w:bCs/>
          <w:sz w:val="22"/>
          <w:szCs w:val="22"/>
        </w:rPr>
        <w:t>Figure 4.1: Distribution of Study Designs in Included Studies</w:t>
      </w:r>
    </w:p>
    <w:p>
      <w:pPr>
        <w:pStyle w:val="Normal"/>
        <w:spacing w:lineRule="auto" w:line="480"/>
        <w:jc w:val="both"/>
        <w:rPr>
          <w:rFonts w:ascii="Arial" w:hAnsi="Arial"/>
          <w:sz w:val="22"/>
          <w:szCs w:val="22"/>
        </w:rPr>
      </w:pPr>
      <w:r>
        <w:rPr>
          <w:rFonts w:ascii="Arial" w:hAnsi="Arial"/>
          <w:sz w:val="22"/>
          <w:szCs w:val="22"/>
        </w:rPr>
        <w:drawing>
          <wp:inline distT="0" distB="0" distL="0" distR="0">
            <wp:extent cx="5184140" cy="389890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rcRect l="0" t="6291" r="0" b="0"/>
                    <a:stretch>
                      <a:fillRect/>
                    </a:stretch>
                  </pic:blipFill>
                  <pic:spPr bwMode="auto">
                    <a:xfrm>
                      <a:off x="0" y="0"/>
                      <a:ext cx="5184140" cy="3898900"/>
                    </a:xfrm>
                    <a:prstGeom prst="rect">
                      <a:avLst/>
                    </a:prstGeom>
                  </pic:spPr>
                </pic:pic>
              </a:graphicData>
            </a:graphic>
          </wp:inline>
        </w:drawing>
      </w:r>
    </w:p>
    <w:p>
      <w:pPr>
        <w:pStyle w:val="Normal"/>
        <w:spacing w:lineRule="auto" w:line="480"/>
        <w:jc w:val="both"/>
        <w:rPr>
          <w:rFonts w:ascii="Arial" w:hAnsi="Arial"/>
          <w:sz w:val="22"/>
          <w:szCs w:val="22"/>
        </w:rPr>
      </w:pPr>
      <w:r>
        <w:rPr>
          <w:rFonts w:cs="Times New Roman" w:ascii="Arial" w:hAnsi="Arial"/>
          <w:sz w:val="22"/>
          <w:szCs w:val="22"/>
        </w:rPr>
        <w:t>Most of the qualitative studies were covered by the literature, and a lot has been done on the patient and professional experience of managing asthma. Weak designs, Quantitative or mixed-method designs were not appropriately served, as it would signify a lack or gap in large-scale evaluative studies in this area.</w:t>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sz w:val="22"/>
          <w:szCs w:val="22"/>
        </w:rPr>
      </w:pPr>
      <w:r>
        <w:rPr>
          <w:rFonts w:cs="Times New Roman" w:ascii="Arial" w:hAnsi="Arial"/>
          <w:b/>
          <w:bCs/>
          <w:sz w:val="22"/>
          <w:szCs w:val="22"/>
        </w:rPr>
        <w:t>4.3 Summary of Study Findings</w:t>
      </w:r>
    </w:p>
    <w:p>
      <w:pPr>
        <w:pStyle w:val="Normal"/>
        <w:spacing w:lineRule="auto" w:line="480"/>
        <w:jc w:val="both"/>
        <w:rPr>
          <w:rFonts w:ascii="Arial" w:hAnsi="Arial"/>
          <w:sz w:val="22"/>
          <w:szCs w:val="22"/>
        </w:rPr>
      </w:pPr>
      <w:r>
        <w:rPr>
          <w:rFonts w:cs="Times New Roman" w:ascii="Arial" w:hAnsi="Arial"/>
          <w:b/>
          <w:bCs/>
          <w:sz w:val="22"/>
          <w:szCs w:val="22"/>
        </w:rPr>
        <w:t>Table 4.2: Summary of Key Findings from Included Studies</w:t>
      </w:r>
    </w:p>
    <w:tbl>
      <w:tblPr>
        <w:tblStyle w:val="TableGrid"/>
        <w:tblW w:w="8215"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957"/>
        <w:gridCol w:w="2649"/>
        <w:gridCol w:w="4609"/>
      </w:tblGrid>
      <w:tr>
        <w:trPr/>
        <w:tc>
          <w:tcPr>
            <w:tcW w:w="95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Study</w:t>
            </w:r>
          </w:p>
        </w:tc>
        <w:tc>
          <w:tcPr>
            <w:tcW w:w="264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Focus Area</w:t>
            </w:r>
          </w:p>
        </w:tc>
        <w:tc>
          <w:tcPr>
            <w:tcW w:w="460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Main Findings</w:t>
            </w:r>
          </w:p>
        </w:tc>
      </w:tr>
      <w:tr>
        <w:trPr/>
        <w:tc>
          <w:tcPr>
            <w:tcW w:w="95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1</w:t>
            </w:r>
          </w:p>
        </w:tc>
        <w:tc>
          <w:tcPr>
            <w:tcW w:w="264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Self-management</w:t>
            </w:r>
          </w:p>
        </w:tc>
        <w:tc>
          <w:tcPr>
            <w:tcW w:w="460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Limited understanding of asthma action plans</w:t>
            </w:r>
          </w:p>
        </w:tc>
      </w:tr>
      <w:tr>
        <w:trPr/>
        <w:tc>
          <w:tcPr>
            <w:tcW w:w="95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2</w:t>
            </w:r>
          </w:p>
        </w:tc>
        <w:tc>
          <w:tcPr>
            <w:tcW w:w="264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Medication adherence</w:t>
            </w:r>
          </w:p>
        </w:tc>
        <w:tc>
          <w:tcPr>
            <w:tcW w:w="460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Incorrect inhaler technique common</w:t>
            </w:r>
          </w:p>
        </w:tc>
      </w:tr>
      <w:tr>
        <w:trPr/>
        <w:tc>
          <w:tcPr>
            <w:tcW w:w="95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3</w:t>
            </w:r>
          </w:p>
        </w:tc>
        <w:tc>
          <w:tcPr>
            <w:tcW w:w="264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Professional perspectives</w:t>
            </w:r>
          </w:p>
        </w:tc>
        <w:tc>
          <w:tcPr>
            <w:tcW w:w="460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Time constraints affected asthma reviews</w:t>
            </w:r>
          </w:p>
        </w:tc>
      </w:tr>
      <w:tr>
        <w:trPr/>
        <w:tc>
          <w:tcPr>
            <w:tcW w:w="95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4</w:t>
            </w:r>
          </w:p>
        </w:tc>
        <w:tc>
          <w:tcPr>
            <w:tcW w:w="264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Routine reviews</w:t>
            </w:r>
          </w:p>
        </w:tc>
        <w:tc>
          <w:tcPr>
            <w:tcW w:w="460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Improved control with structured follow-up</w:t>
            </w:r>
          </w:p>
        </w:tc>
      </w:tr>
      <w:tr>
        <w:trPr/>
        <w:tc>
          <w:tcPr>
            <w:tcW w:w="95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Study 5</w:t>
            </w:r>
          </w:p>
        </w:tc>
        <w:tc>
          <w:tcPr>
            <w:tcW w:w="264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Barriers to care</w:t>
            </w:r>
          </w:p>
        </w:tc>
        <w:tc>
          <w:tcPr>
            <w:tcW w:w="4609"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Socioeconomic factors impacted outcomes</w:t>
            </w:r>
          </w:p>
        </w:tc>
      </w:tr>
    </w:tbl>
    <w:p>
      <w:pPr>
        <w:pStyle w:val="Normal"/>
        <w:spacing w:lineRule="auto" w:line="480"/>
        <w:jc w:val="both"/>
        <w:rPr>
          <w:rFonts w:ascii="Arial" w:hAnsi="Arial" w:cs="Times New Roman"/>
          <w:sz w:val="22"/>
          <w:szCs w:val="22"/>
        </w:rPr>
      </w:pPr>
      <w:r>
        <w:rPr>
          <w:rFonts w:cs="Times New Roman" w:ascii="Arial" w:hAnsi="Arial"/>
          <w:sz w:val="22"/>
          <w:szCs w:val="22"/>
        </w:rPr>
      </w:r>
    </w:p>
    <w:p>
      <w:pPr>
        <w:pStyle w:val="Normal"/>
        <w:spacing w:lineRule="auto" w:line="480"/>
        <w:jc w:val="both"/>
        <w:rPr>
          <w:rFonts w:ascii="Arial" w:hAnsi="Arial"/>
          <w:sz w:val="22"/>
          <w:szCs w:val="22"/>
        </w:rPr>
      </w:pPr>
      <w:r>
        <w:rPr>
          <w:rFonts w:cs="Times New Roman" w:ascii="Arial" w:hAnsi="Arial"/>
          <w:sz w:val="22"/>
          <w:szCs w:val="22"/>
        </w:rPr>
        <w:t>Other findings that have a similarity with this particular study are those that relate to self-management support, adherence, and problems at the service level, as shown in the above table.</w:t>
      </w:r>
    </w:p>
    <w:p>
      <w:pPr>
        <w:pStyle w:val="Normal"/>
        <w:spacing w:lineRule="auto" w:line="480"/>
        <w:jc w:val="both"/>
        <w:rPr>
          <w:rFonts w:ascii="Arial" w:hAnsi="Arial"/>
          <w:sz w:val="22"/>
          <w:szCs w:val="22"/>
        </w:rPr>
      </w:pPr>
      <w:r>
        <w:rPr>
          <w:rFonts w:cs="Times New Roman" w:ascii="Arial" w:hAnsi="Arial"/>
          <w:b/>
          <w:bCs/>
          <w:sz w:val="22"/>
          <w:szCs w:val="22"/>
        </w:rPr>
        <w:t>4.4 Thematic Analysis of Findings</w:t>
      </w:r>
    </w:p>
    <w:p>
      <w:pPr>
        <w:pStyle w:val="Normal"/>
        <w:spacing w:lineRule="auto" w:line="480"/>
        <w:jc w:val="both"/>
        <w:rPr>
          <w:rFonts w:ascii="Arial" w:hAnsi="Arial"/>
          <w:sz w:val="22"/>
          <w:szCs w:val="22"/>
        </w:rPr>
      </w:pPr>
      <w:r>
        <w:rPr>
          <w:rFonts w:cs="Times New Roman" w:ascii="Arial" w:hAnsi="Arial"/>
          <w:sz w:val="22"/>
          <w:szCs w:val="22"/>
        </w:rPr>
        <w:t>Thematic analysis identified four key themes, which are summarized below and visually represented in Figure 4.2.</w:t>
      </w:r>
    </w:p>
    <w:p>
      <w:pPr>
        <w:pStyle w:val="Normal"/>
        <w:spacing w:lineRule="auto" w:line="480"/>
        <w:jc w:val="both"/>
        <w:rPr>
          <w:rFonts w:ascii="Arial" w:hAnsi="Arial" w:cs="Times New Roman"/>
          <w:b/>
          <w:bCs/>
          <w:sz w:val="22"/>
          <w:szCs w:val="22"/>
        </w:rPr>
      </w:pPr>
      <w:r>
        <w:rPr>
          <w:rFonts w:cs="Times New Roman" w:ascii="Arial" w:hAnsi="Arial"/>
          <w:b/>
          <w:bCs/>
          <w:sz w:val="22"/>
          <w:szCs w:val="22"/>
        </w:rPr>
      </w:r>
    </w:p>
    <w:p>
      <w:pPr>
        <w:pStyle w:val="Normal"/>
        <w:spacing w:lineRule="auto" w:line="480"/>
        <w:jc w:val="both"/>
        <w:rPr>
          <w:rFonts w:ascii="Arial" w:hAnsi="Arial"/>
          <w:sz w:val="22"/>
          <w:szCs w:val="22"/>
        </w:rPr>
      </w:pPr>
      <w:r>
        <w:rPr>
          <w:rFonts w:cs="Times New Roman" w:ascii="Arial" w:hAnsi="Arial"/>
          <w:b/>
          <w:bCs/>
          <w:sz w:val="22"/>
          <w:szCs w:val="22"/>
        </w:rPr>
        <w:t>Figure 4.2: Frequency of Key Themes Identified in the Scoping Review</w:t>
      </w:r>
    </w:p>
    <w:p>
      <w:pPr>
        <w:pStyle w:val="Normal"/>
        <w:spacing w:lineRule="auto" w:line="480"/>
        <w:jc w:val="both"/>
        <w:rPr>
          <w:rFonts w:ascii="Arial" w:hAnsi="Arial"/>
          <w:sz w:val="22"/>
          <w:szCs w:val="22"/>
        </w:rPr>
      </w:pPr>
      <w:r>
        <w:rPr>
          <w:rFonts w:ascii="Arial" w:hAnsi="Arial"/>
          <w:sz w:val="22"/>
          <w:szCs w:val="22"/>
        </w:rPr>
        <w:drawing>
          <wp:inline distT="0" distB="0" distL="0" distR="0">
            <wp:extent cx="5925185" cy="4440555"/>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
                    <pic:cNvPicPr>
                      <a:picLocks noChangeAspect="1" noChangeArrowheads="1"/>
                    </pic:cNvPicPr>
                  </pic:nvPicPr>
                  <pic:blipFill>
                    <a:blip r:embed="rId3"/>
                    <a:srcRect l="0" t="5240" r="0" b="0"/>
                    <a:stretch>
                      <a:fillRect/>
                    </a:stretch>
                  </pic:blipFill>
                  <pic:spPr bwMode="auto">
                    <a:xfrm>
                      <a:off x="0" y="0"/>
                      <a:ext cx="5925185" cy="4440555"/>
                    </a:xfrm>
                    <a:prstGeom prst="rect">
                      <a:avLst/>
                    </a:prstGeom>
                  </pic:spPr>
                </pic:pic>
              </a:graphicData>
            </a:graphic>
          </wp:inline>
        </w:drawing>
      </w:r>
    </w:p>
    <w:p>
      <w:pPr>
        <w:pStyle w:val="Normal"/>
        <w:spacing w:lineRule="auto" w:line="480"/>
        <w:jc w:val="both"/>
        <w:rPr>
          <w:rFonts w:ascii="Arial" w:hAnsi="Arial"/>
          <w:sz w:val="22"/>
          <w:szCs w:val="22"/>
        </w:rPr>
      </w:pPr>
      <w:r>
        <w:rPr>
          <w:rFonts w:cs="Times New Roman" w:ascii="Arial" w:hAnsi="Arial"/>
          <w:b/>
          <w:bCs/>
          <w:sz w:val="22"/>
          <w:szCs w:val="22"/>
        </w:rPr>
        <w:t>Theme 1: Patient Self-Management and Education</w:t>
      </w:r>
    </w:p>
    <w:p>
      <w:pPr>
        <w:pStyle w:val="Normal"/>
        <w:spacing w:lineRule="auto" w:line="480"/>
        <w:jc w:val="both"/>
        <w:rPr>
          <w:rFonts w:ascii="Arial" w:hAnsi="Arial"/>
          <w:sz w:val="22"/>
          <w:szCs w:val="22"/>
        </w:rPr>
      </w:pPr>
      <w:r>
        <w:rPr>
          <w:rFonts w:cs="Times New Roman" w:ascii="Arial" w:hAnsi="Arial"/>
          <w:sz w:val="22"/>
          <w:szCs w:val="22"/>
        </w:rPr>
        <w:t>The five papers above have been able to demonstrate that self-management of patients is a key factor when considering the process of ensuring effective management of the asthma issue. Patients with illnesses were not sensitized directly about the issue of trigger avoidance, drug use, and structuring activities, which led to the occurrence of poorly managed symptoms and exacerbation (Bridgeman &amp; Wilken, 2021).</w:t>
      </w:r>
    </w:p>
    <w:p>
      <w:pPr>
        <w:pStyle w:val="Normal"/>
        <w:spacing w:lineRule="auto" w:line="480"/>
        <w:jc w:val="both"/>
        <w:rPr>
          <w:rFonts w:ascii="Arial" w:hAnsi="Arial"/>
          <w:sz w:val="22"/>
          <w:szCs w:val="22"/>
        </w:rPr>
      </w:pPr>
      <w:r>
        <w:rPr>
          <w:rFonts w:cs="Times New Roman" w:ascii="Arial" w:hAnsi="Arial"/>
          <w:b/>
          <w:bCs/>
          <w:sz w:val="22"/>
          <w:szCs w:val="22"/>
        </w:rPr>
        <w:t>Theme 2: Medication Adherence and Inhaler Technique</w:t>
      </w:r>
    </w:p>
    <w:p>
      <w:pPr>
        <w:pStyle w:val="Normal"/>
        <w:spacing w:lineRule="auto" w:line="480"/>
        <w:jc w:val="both"/>
        <w:rPr>
          <w:rFonts w:ascii="Arial" w:hAnsi="Arial"/>
          <w:sz w:val="22"/>
          <w:szCs w:val="22"/>
        </w:rPr>
      </w:pPr>
      <w:r>
        <w:rPr>
          <w:rFonts w:cs="Times New Roman" w:ascii="Arial" w:hAnsi="Arial"/>
          <w:sz w:val="22"/>
          <w:szCs w:val="22"/>
        </w:rPr>
        <w:t>The problem of medication adherence was also discovered to be one of the most problematic ones in four articles. The improper inhaling technique and incomplete information about preventer medication were also significantly observed to impede the effectiveness of the treatment, and were one of the factors that led to the development of emergency care (Zhang et al., 2023).</w:t>
      </w:r>
    </w:p>
    <w:p>
      <w:pPr>
        <w:pStyle w:val="Normal"/>
        <w:spacing w:lineRule="auto" w:line="480"/>
        <w:jc w:val="both"/>
        <w:rPr>
          <w:rFonts w:ascii="Arial" w:hAnsi="Arial"/>
          <w:sz w:val="22"/>
          <w:szCs w:val="22"/>
        </w:rPr>
      </w:pPr>
      <w:r>
        <w:rPr>
          <w:rFonts w:cs="Times New Roman" w:ascii="Arial" w:hAnsi="Arial"/>
          <w:b/>
          <w:bCs/>
          <w:sz w:val="22"/>
          <w:szCs w:val="22"/>
        </w:rPr>
        <w:t>Theme 3: Role of Healthcare Professionals</w:t>
      </w:r>
    </w:p>
    <w:p>
      <w:pPr>
        <w:pStyle w:val="Normal"/>
        <w:spacing w:lineRule="auto" w:line="480"/>
        <w:jc w:val="both"/>
        <w:rPr>
          <w:rFonts w:ascii="Arial" w:hAnsi="Arial"/>
          <w:sz w:val="22"/>
          <w:szCs w:val="22"/>
        </w:rPr>
      </w:pPr>
      <w:r>
        <w:rPr>
          <w:rFonts w:cs="Times New Roman" w:ascii="Arial" w:hAnsi="Arial"/>
          <w:sz w:val="22"/>
          <w:szCs w:val="22"/>
        </w:rPr>
        <w:t>The healthcare professionals identified to assume the role as the key players in the management of asthma were the nurses and general practitioners. However, the patient burden and lack of time for conducting consultations with the patients reduced the likelihood of conducting a comprehensive review of asthma (Hannane et al., 2019).</w:t>
      </w:r>
    </w:p>
    <w:p>
      <w:pPr>
        <w:pStyle w:val="Normal"/>
        <w:spacing w:lineRule="auto" w:line="480"/>
        <w:jc w:val="both"/>
        <w:rPr>
          <w:rFonts w:ascii="Arial" w:hAnsi="Arial"/>
          <w:sz w:val="22"/>
          <w:szCs w:val="22"/>
        </w:rPr>
      </w:pPr>
      <w:r>
        <w:rPr>
          <w:rFonts w:cs="Times New Roman" w:ascii="Arial" w:hAnsi="Arial"/>
          <w:b/>
          <w:bCs/>
          <w:sz w:val="22"/>
          <w:szCs w:val="22"/>
        </w:rPr>
        <w:t>Theme 4: Barriers to Effective Asthma Control</w:t>
      </w:r>
    </w:p>
    <w:p>
      <w:pPr>
        <w:pStyle w:val="Normal"/>
        <w:spacing w:lineRule="auto" w:line="480"/>
        <w:jc w:val="both"/>
        <w:rPr>
          <w:rFonts w:ascii="Arial" w:hAnsi="Arial"/>
          <w:sz w:val="22"/>
          <w:szCs w:val="22"/>
        </w:rPr>
      </w:pPr>
      <w:r>
        <w:rPr>
          <w:rFonts w:cs="Times New Roman" w:ascii="Arial" w:hAnsi="Arial"/>
          <w:sz w:val="22"/>
          <w:szCs w:val="22"/>
        </w:rPr>
        <w:t>Three articles were allocated to the more important hurdles of asthma management, which include lack of socioeconomic status, environmental exposure, and service delivery disintegration. All these challenges led to health disparities and unequal results of asthma among the populations.</w:t>
      </w:r>
    </w:p>
    <w:p>
      <w:pPr>
        <w:pStyle w:val="Normal"/>
        <w:spacing w:lineRule="auto" w:line="480"/>
        <w:jc w:val="both"/>
        <w:rPr>
          <w:rFonts w:ascii="Arial" w:hAnsi="Arial"/>
          <w:sz w:val="22"/>
          <w:szCs w:val="22"/>
        </w:rPr>
      </w:pPr>
      <w:r>
        <w:rPr>
          <w:rFonts w:cs="Times New Roman" w:ascii="Arial" w:hAnsi="Arial"/>
          <w:b/>
          <w:bCs/>
          <w:sz w:val="22"/>
          <w:szCs w:val="22"/>
        </w:rPr>
        <w:t>Table 4.3: Mapping of Themes Across Included Studies</w:t>
      </w:r>
    </w:p>
    <w:tbl>
      <w:tblPr>
        <w:tblStyle w:val="TableGrid"/>
        <w:tblW w:w="8134" w:type="dxa"/>
        <w:jc w:val="left"/>
        <w:tblInd w:w="113" w:type="dxa"/>
        <w:tblLayout w:type="fixed"/>
        <w:tblCellMar>
          <w:top w:w="0" w:type="dxa"/>
          <w:left w:w="108" w:type="dxa"/>
          <w:bottom w:w="0" w:type="dxa"/>
          <w:right w:w="108" w:type="dxa"/>
        </w:tblCellMar>
        <w:tblLook w:firstRow="1" w:noVBand="1" w:lastRow="0" w:firstColumn="1" w:lastColumn="0" w:noHBand="0" w:val="04a0"/>
      </w:tblPr>
      <w:tblGrid>
        <w:gridCol w:w="3148"/>
        <w:gridCol w:w="997"/>
        <w:gridCol w:w="998"/>
        <w:gridCol w:w="997"/>
        <w:gridCol w:w="996"/>
        <w:gridCol w:w="997"/>
      </w:tblGrid>
      <w:tr>
        <w:trPr/>
        <w:tc>
          <w:tcPr>
            <w:tcW w:w="314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Theme</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Study 1</w:t>
            </w:r>
          </w:p>
        </w:tc>
        <w:tc>
          <w:tcPr>
            <w:tcW w:w="9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Study 2</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Study 3</w:t>
            </w:r>
          </w:p>
        </w:tc>
        <w:tc>
          <w:tcPr>
            <w:tcW w:w="99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Study 4</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b/>
                <w:bCs/>
                <w:kern w:val="2"/>
                <w:sz w:val="22"/>
                <w:szCs w:val="22"/>
                <w:lang w:val="en-US" w:eastAsia="en-US" w:bidi="ar-SA"/>
              </w:rPr>
              <w:t>Study 5</w:t>
            </w:r>
          </w:p>
        </w:tc>
      </w:tr>
      <w:tr>
        <w:trPr/>
        <w:tc>
          <w:tcPr>
            <w:tcW w:w="314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Self-management &amp; education</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r>
      <w:tr>
        <w:trPr/>
        <w:tc>
          <w:tcPr>
            <w:tcW w:w="314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Medication adherence</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7" w:type="dxa"/>
            <w:tcBorders/>
          </w:tcPr>
          <w:p>
            <w:pPr>
              <w:pStyle w:val="Normal"/>
              <w:widowControl w:val="false"/>
              <w:suppressAutoHyphens w:val="true"/>
              <w:spacing w:lineRule="auto" w:line="480" w:before="0" w:after="160"/>
              <w:jc w:val="both"/>
              <w:rPr>
                <w:rFonts w:ascii="Arial" w:hAnsi="Arial" w:eastAsia="Calibri" w:cs="Times New Roman"/>
                <w:kern w:val="2"/>
                <w:sz w:val="22"/>
                <w:szCs w:val="22"/>
                <w:lang w:val="en-US" w:eastAsia="en-US" w:bidi="ar-SA"/>
              </w:rPr>
            </w:pPr>
            <w:r>
              <w:rPr>
                <w:rFonts w:eastAsia="Calibri" w:cs="Times New Roman" w:ascii="Arial" w:hAnsi="Arial"/>
                <w:kern w:val="2"/>
                <w:sz w:val="22"/>
                <w:szCs w:val="22"/>
                <w:lang w:val="en-US" w:eastAsia="en-US" w:bidi="ar-SA"/>
              </w:rPr>
            </w:r>
          </w:p>
        </w:tc>
        <w:tc>
          <w:tcPr>
            <w:tcW w:w="99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r>
      <w:tr>
        <w:trPr/>
        <w:tc>
          <w:tcPr>
            <w:tcW w:w="314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Healthcare professional role</w:t>
            </w:r>
          </w:p>
        </w:tc>
        <w:tc>
          <w:tcPr>
            <w:tcW w:w="997" w:type="dxa"/>
            <w:tcBorders/>
          </w:tcPr>
          <w:p>
            <w:pPr>
              <w:pStyle w:val="Normal"/>
              <w:widowControl w:val="false"/>
              <w:suppressAutoHyphens w:val="true"/>
              <w:spacing w:lineRule="auto" w:line="480" w:before="0" w:after="160"/>
              <w:jc w:val="both"/>
              <w:rPr>
                <w:rFonts w:ascii="Arial" w:hAnsi="Arial" w:eastAsia="Calibri" w:cs="Times New Roman"/>
                <w:kern w:val="2"/>
                <w:sz w:val="22"/>
                <w:szCs w:val="22"/>
                <w:lang w:val="en-US" w:eastAsia="en-US" w:bidi="ar-SA"/>
              </w:rPr>
            </w:pPr>
            <w:r>
              <w:rPr>
                <w:rFonts w:eastAsia="Calibri" w:cs="Times New Roman" w:ascii="Arial" w:hAnsi="Arial"/>
                <w:kern w:val="2"/>
                <w:sz w:val="22"/>
                <w:szCs w:val="22"/>
                <w:lang w:val="en-US" w:eastAsia="en-US" w:bidi="ar-SA"/>
              </w:rPr>
            </w:r>
          </w:p>
        </w:tc>
        <w:tc>
          <w:tcPr>
            <w:tcW w:w="99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r>
      <w:tr>
        <w:trPr/>
        <w:tc>
          <w:tcPr>
            <w:tcW w:w="3148" w:type="dxa"/>
            <w:tcBorders/>
          </w:tcPr>
          <w:p>
            <w:pPr>
              <w:pStyle w:val="Normal"/>
              <w:widowControl w:val="false"/>
              <w:suppressAutoHyphens w:val="true"/>
              <w:spacing w:lineRule="auto" w:line="480" w:before="0" w:after="160"/>
              <w:jc w:val="both"/>
              <w:rPr>
                <w:rFonts w:ascii="Arial" w:hAnsi="Arial"/>
                <w:sz w:val="22"/>
                <w:szCs w:val="22"/>
              </w:rPr>
            </w:pPr>
            <w:r>
              <w:rPr>
                <w:rFonts w:eastAsia="Calibri" w:cs="Times New Roman" w:ascii="Arial" w:hAnsi="Arial"/>
                <w:kern w:val="2"/>
                <w:sz w:val="22"/>
                <w:szCs w:val="22"/>
                <w:lang w:val="en-US" w:eastAsia="en-US" w:bidi="ar-SA"/>
              </w:rPr>
              <w:t>Barriers to control</w:t>
            </w:r>
          </w:p>
        </w:tc>
        <w:tc>
          <w:tcPr>
            <w:tcW w:w="997" w:type="dxa"/>
            <w:tcBorders/>
          </w:tcPr>
          <w:p>
            <w:pPr>
              <w:pStyle w:val="Normal"/>
              <w:widowControl w:val="false"/>
              <w:suppressAutoHyphens w:val="true"/>
              <w:spacing w:lineRule="auto" w:line="480" w:before="0" w:after="160"/>
              <w:jc w:val="both"/>
              <w:rPr>
                <w:rFonts w:ascii="Arial" w:hAnsi="Arial" w:eastAsia="Calibri" w:cs="Times New Roman"/>
                <w:kern w:val="2"/>
                <w:sz w:val="22"/>
                <w:szCs w:val="22"/>
                <w:lang w:val="en-US" w:eastAsia="en-US" w:bidi="ar-SA"/>
              </w:rPr>
            </w:pPr>
            <w:r>
              <w:rPr>
                <w:rFonts w:eastAsia="Calibri" w:cs="Times New Roman" w:ascii="Arial" w:hAnsi="Arial"/>
                <w:kern w:val="2"/>
                <w:sz w:val="22"/>
                <w:szCs w:val="22"/>
                <w:lang w:val="en-US" w:eastAsia="en-US" w:bidi="ar-SA"/>
              </w:rPr>
            </w:r>
          </w:p>
        </w:tc>
        <w:tc>
          <w:tcPr>
            <w:tcW w:w="998" w:type="dxa"/>
            <w:tcBorders/>
          </w:tcPr>
          <w:p>
            <w:pPr>
              <w:pStyle w:val="Normal"/>
              <w:widowControl w:val="false"/>
              <w:suppressAutoHyphens w:val="true"/>
              <w:spacing w:lineRule="auto" w:line="480" w:before="0" w:after="160"/>
              <w:jc w:val="both"/>
              <w:rPr>
                <w:rFonts w:ascii="Arial" w:hAnsi="Arial" w:eastAsia="Calibri" w:cs="Times New Roman"/>
                <w:kern w:val="2"/>
                <w:sz w:val="22"/>
                <w:szCs w:val="22"/>
                <w:lang w:val="en-US" w:eastAsia="en-US" w:bidi="ar-SA"/>
              </w:rPr>
            </w:pPr>
            <w:r>
              <w:rPr>
                <w:rFonts w:eastAsia="Calibri" w:cs="Times New Roman" w:ascii="Arial" w:hAnsi="Arial"/>
                <w:kern w:val="2"/>
                <w:sz w:val="22"/>
                <w:szCs w:val="22"/>
                <w:lang w:val="en-US" w:eastAsia="en-US" w:bidi="ar-SA"/>
              </w:rPr>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6"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c>
          <w:tcPr>
            <w:tcW w:w="997" w:type="dxa"/>
            <w:tcBorders/>
          </w:tcPr>
          <w:p>
            <w:pPr>
              <w:pStyle w:val="Normal"/>
              <w:widowControl w:val="false"/>
              <w:suppressAutoHyphens w:val="true"/>
              <w:spacing w:lineRule="auto" w:line="480" w:before="0" w:after="160"/>
              <w:jc w:val="both"/>
              <w:rPr>
                <w:rFonts w:ascii="Arial" w:hAnsi="Arial"/>
                <w:sz w:val="22"/>
                <w:szCs w:val="22"/>
              </w:rPr>
            </w:pPr>
            <w:r>
              <w:rPr>
                <w:rFonts w:eastAsia="Calibri" w:cs="Segoe UI Symbol" w:ascii="Arial" w:hAnsi="Arial"/>
                <w:kern w:val="2"/>
                <w:sz w:val="22"/>
                <w:szCs w:val="22"/>
                <w:lang w:val="en-US" w:eastAsia="en-US" w:bidi="ar-SA"/>
              </w:rPr>
              <w:t>✔</w:t>
            </w:r>
          </w:p>
        </w:tc>
      </w:tr>
    </w:tbl>
    <w:p>
      <w:pPr>
        <w:pStyle w:val="Normal"/>
        <w:spacing w:lineRule="auto" w:line="480"/>
        <w:jc w:val="both"/>
        <w:rPr>
          <w:rFonts w:ascii="Arial" w:hAnsi="Arial" w:cs="Times New Roman"/>
          <w:sz w:val="22"/>
          <w:szCs w:val="22"/>
        </w:rPr>
      </w:pPr>
      <w:r>
        <w:rPr>
          <w:rFonts w:cs="Times New Roman" w:ascii="Arial" w:hAnsi="Arial"/>
          <w:sz w:val="22"/>
          <w:szCs w:val="22"/>
        </w:rPr>
      </w:r>
    </w:p>
    <w:p>
      <w:pPr>
        <w:pStyle w:val="Normal"/>
        <w:spacing w:lineRule="auto" w:line="480"/>
        <w:jc w:val="both"/>
        <w:rPr>
          <w:rFonts w:ascii="Arial" w:hAnsi="Arial"/>
          <w:sz w:val="22"/>
          <w:szCs w:val="22"/>
        </w:rPr>
      </w:pPr>
      <w:r>
        <w:rPr>
          <w:rFonts w:cs="Times New Roman" w:ascii="Arial" w:hAnsi="Arial"/>
          <w:sz w:val="22"/>
          <w:szCs w:val="22"/>
        </w:rPr>
        <w:t>This mapping shows that self-management and education were the most stalemated issues that were talked about in both studies that had fewer systemic and social obstacle issues in common.</w:t>
      </w:r>
    </w:p>
    <w:p>
      <w:pPr>
        <w:pStyle w:val="Normal"/>
        <w:spacing w:lineRule="auto" w:line="480"/>
        <w:jc w:val="both"/>
        <w:rPr>
          <w:rFonts w:ascii="Arial" w:hAnsi="Arial"/>
          <w:sz w:val="22"/>
          <w:szCs w:val="22"/>
        </w:rPr>
      </w:pPr>
      <w:r>
        <w:rPr>
          <w:rFonts w:cs="Times New Roman" w:ascii="Arial" w:hAnsi="Arial"/>
          <w:b/>
          <w:bCs/>
          <w:sz w:val="22"/>
          <w:szCs w:val="22"/>
        </w:rPr>
        <w:t>5. Discussion</w:t>
      </w:r>
    </w:p>
    <w:p>
      <w:pPr>
        <w:pStyle w:val="Normal"/>
        <w:spacing w:lineRule="auto" w:line="480"/>
        <w:jc w:val="both"/>
        <w:rPr>
          <w:rFonts w:ascii="Arial" w:hAnsi="Arial"/>
          <w:sz w:val="22"/>
          <w:szCs w:val="22"/>
        </w:rPr>
      </w:pPr>
      <w:r>
        <w:rPr>
          <w:rFonts w:cs="Times New Roman" w:ascii="Arial" w:hAnsi="Arial"/>
          <w:sz w:val="22"/>
          <w:szCs w:val="22"/>
        </w:rPr>
        <w:t>The current scoping review examined the address of the theme of asthma management in peer-reviewed materials related to the health and social care practice in the UK, in which the primary focus has been placed on the identification of the most significant themes, issues, and implications of care delivery (Chukwuka Elendu et al., 2025). The findings indicate that despite the already created clinical guidelines and effective pharmacological treatment, the management of asthma in the UK is still uniform by a variety of multifaceted problems that determine the outcomes of patients. Among the most powerful conclusions of the reviewed studies was the role of self-management and education of the patients as a prerequisite for effective asthma management. Based on the fact that self-management is often considered an important element of asthma management, it has been determined that not every patient receives the necessary and consistent support to enable them manage their state independently (Leonard et al., 2022). The lack of knowledge related to the asthma action plans, the lack of knowledge related to the observation of the symptoms, and the lack of awareness of the warning signs of the exacerbation were often mentioned. One of the reasons that leads to subsequent inadequacy in care of asthma and unnecessary emergency care is the outcomes of this poor self-management intervention, which means that there is a disconnect between the best practice care and the usual care. The adherence and method of inhaler medication were also identified as the factors that have a significant impact on the outcome of asthma. Some of the research had found that the patients were prone to erroneous thinking about the significance of preventer medication or misuse of inhalers, which reduced the effectiveness of interventions (Poplicean et al., 2024). These findings can be connected to the general research studies that have cited adherence as one of the major causes of asthma morbidity. The medical workers confessed that it is necessary to inspect the compliance periodically and to train the inhaler technique, but due to the time constraints at the clinical consultation, issues were often debated in general. This would mean that any structural constraint of health services will be detrimental when it comes to offering the best care in relation to asthma.</w:t>
      </w:r>
    </w:p>
    <w:p>
      <w:pPr>
        <w:pStyle w:val="Normal"/>
        <w:spacing w:lineRule="auto" w:line="480"/>
        <w:jc w:val="both"/>
        <w:rPr>
          <w:rFonts w:ascii="Arial" w:hAnsi="Arial"/>
          <w:sz w:val="22"/>
          <w:szCs w:val="22"/>
        </w:rPr>
      </w:pPr>
      <w:r>
        <w:rPr>
          <w:rFonts w:cs="Times New Roman" w:ascii="Arial" w:hAnsi="Arial"/>
          <w:sz w:val="22"/>
          <w:szCs w:val="22"/>
        </w:rPr>
        <w:t>Another aspect that was deemed important and scarce in the literature was the aspect of healthcare staff. It was repeatedly reported that the general practitioners and nurses were the subjects of the management of asthma, particularly with the primary care arrangement (Santillo et al., 2023). However, the escalating workload, workforce, and clinical rivalry were mentioned to hurt the state of affairs in connection with the asthma review. This implied that an opportunity for personal care and training and proactive administration was sometimes ignored. In such cases, patient experience and patient outcomes were improved, and multidisciplinary approaches were implemented in the various paradigms, which is why the significance of the integrated models of care must be mentioned. Other greater systemic and social issues also existed, which were also concerned with asthma treatment. The socioeconomic deprivation, triggers exposure and housing conditions were identified as the causes of poor asthma control. This had been an unequal load on the vulnerable population groups, and it resulted in disproportions in health outcomes (Hajat, Hsia &amp; O’Neill, 2015). These findings demonstrate the futility of clinical management of asthma and signify of wider cooperation of health and social care and the population's health to address the underlying factors of dismal management of asthma. The consequences of such a scoping review end result concerning the practice of health and social care in the UK are tremendous. It may be the key to the self-management provision and avoidable exacerbation reduction due to the strengthened patient education and additional provision of individual asthma action plans. Besides, the relationship between the guideline practices and the daily practice can be supported by offering motivation to the healthcare workers, who should have time to put the guideline into practice, and who must have time to carry out a review of asthma and work in a multidisciplinary team. The interdisciplinary response to the social and environmental problems can also serve the interests of such individuals with asthma, contingent on other non-medical factors.</w:t>
      </w:r>
    </w:p>
    <w:p>
      <w:pPr>
        <w:pStyle w:val="Normal"/>
        <w:spacing w:lineRule="auto" w:line="480"/>
        <w:jc w:val="both"/>
        <w:rPr>
          <w:rFonts w:ascii="Arial" w:hAnsi="Arial"/>
          <w:sz w:val="22"/>
          <w:szCs w:val="22"/>
        </w:rPr>
      </w:pPr>
      <w:r>
        <w:rPr>
          <w:rFonts w:cs="Times New Roman" w:ascii="Arial" w:hAnsi="Arial"/>
          <w:b/>
          <w:bCs/>
          <w:sz w:val="22"/>
          <w:szCs w:val="22"/>
        </w:rPr>
        <w:t>6. Conclusion and Recommendations</w:t>
      </w:r>
    </w:p>
    <w:p>
      <w:pPr>
        <w:pStyle w:val="Normal"/>
        <w:spacing w:lineRule="auto" w:line="480"/>
        <w:jc w:val="both"/>
        <w:rPr>
          <w:rFonts w:ascii="Arial" w:hAnsi="Arial"/>
          <w:sz w:val="22"/>
          <w:szCs w:val="22"/>
        </w:rPr>
      </w:pPr>
      <w:r>
        <w:rPr>
          <w:rFonts w:cs="Times New Roman" w:ascii="Arial" w:hAnsi="Arial"/>
          <w:sz w:val="22"/>
          <w:szCs w:val="22"/>
        </w:rPr>
        <w:t>The scoping review was the synthesis of peer-reviewed articles on the topic of asthma management in the health and social care practice in the UK. It revealed the key themes related to the topic of patient self-management, medication behavior, the role of professionals, and systemic barriers to care. The findings indicate that asthma control is not ideal with a large number of patients despite the existence of effective medical interventions and clinical recommendations (Miles et al., 2017). Other issues that were mostly common in the literature included the inconsistent delivery of asthma education, lack of self-management support, and restrictions on the medical specialists. In addition, it was also observed that the differences in the outcome of asthma in the long term also occurred due to social and environmental factors.</w:t>
      </w:r>
    </w:p>
    <w:p>
      <w:pPr>
        <w:pStyle w:val="Normal"/>
        <w:spacing w:lineRule="auto" w:line="480"/>
        <w:jc w:val="both"/>
        <w:rPr>
          <w:rFonts w:ascii="Arial" w:hAnsi="Arial"/>
          <w:sz w:val="22"/>
          <w:szCs w:val="22"/>
        </w:rPr>
      </w:pPr>
      <w:r>
        <w:rPr>
          <w:rFonts w:cs="Times New Roman" w:ascii="Arial" w:hAnsi="Arial"/>
          <w:sz w:val="22"/>
          <w:szCs w:val="22"/>
        </w:rPr>
        <w:t>The conclusions can be made with regard to a few suggestions. The health and social care services should not only be concerned with educating the patients and issuance of personalised asthma action plans, but they should also be generated and re-generated regularly. The improvement of the treatment may be in terms of a better attitude towards the evaluation of the inhaler technique and medication compliance during frequent check-ups. A second way of facilitating asthma through strengthening of the multidisciplinary interaction is particularly between the community services and the pharmacists. A convergence towards these spheres would be useful in producing improved outcomes and reduced health and social care costs of asthma in the UK.</w:t>
      </w:r>
    </w:p>
    <w:p>
      <w:pPr>
        <w:pStyle w:val="Normal"/>
        <w:spacing w:lineRule="auto" w:line="480"/>
        <w:jc w:val="center"/>
        <w:rPr>
          <w:rFonts w:ascii="Arial" w:hAnsi="Arial" w:cs="Times New Roman"/>
          <w:b/>
          <w:bCs/>
          <w:sz w:val="22"/>
          <w:szCs w:val="22"/>
        </w:rPr>
      </w:pPr>
      <w:r>
        <w:rPr>
          <w:rFonts w:cs="Times New Roman" w:ascii="Arial" w:hAnsi="Arial"/>
          <w:b/>
          <w:bCs/>
          <w:sz w:val="22"/>
          <w:szCs w:val="22"/>
        </w:rPr>
      </w:r>
    </w:p>
    <w:p>
      <w:pPr>
        <w:pStyle w:val="Normal"/>
        <w:spacing w:lineRule="auto" w:line="480"/>
        <w:jc w:val="center"/>
        <w:rPr>
          <w:rFonts w:ascii="Arial" w:hAnsi="Arial"/>
          <w:sz w:val="22"/>
          <w:szCs w:val="22"/>
        </w:rPr>
      </w:pPr>
      <w:r>
        <w:rPr>
          <w:rFonts w:cs="Times New Roman" w:ascii="Arial" w:hAnsi="Arial"/>
          <w:b/>
          <w:bCs/>
          <w:sz w:val="22"/>
          <w:szCs w:val="22"/>
        </w:rPr>
        <w:t>References</w:t>
      </w:r>
    </w:p>
    <w:p>
      <w:pPr>
        <w:pStyle w:val="Normal"/>
        <w:spacing w:lineRule="auto" w:line="480"/>
        <w:ind w:left="1440" w:hanging="720"/>
        <w:jc w:val="both"/>
        <w:rPr/>
      </w:pPr>
      <w:r>
        <w:rPr>
          <w:rFonts w:cs="Times New Roman" w:ascii="Arial" w:hAnsi="Arial"/>
          <w:sz w:val="22"/>
          <w:szCs w:val="22"/>
        </w:rPr>
        <w:t xml:space="preserve">Alrawashdeh, Y. A. M. S., &amp; Samara, B. A. M. (2026). Asthma Control in Primary Care: Inhaler Technique, Adherence, Triggers, and Guideline Implementation. </w:t>
      </w:r>
      <w:r>
        <w:rPr>
          <w:rFonts w:cs="Times New Roman" w:ascii="Arial" w:hAnsi="Arial"/>
          <w:i/>
          <w:iCs/>
          <w:sz w:val="22"/>
          <w:szCs w:val="22"/>
        </w:rPr>
        <w:t>Scholars Journal of Applied Medical Sciences</w:t>
      </w:r>
      <w:r>
        <w:rPr>
          <w:rFonts w:cs="Times New Roman" w:ascii="Arial" w:hAnsi="Arial"/>
          <w:sz w:val="22"/>
          <w:szCs w:val="22"/>
        </w:rPr>
        <w:t xml:space="preserve">, </w:t>
      </w:r>
      <w:r>
        <w:rPr>
          <w:rFonts w:cs="Times New Roman" w:ascii="Arial" w:hAnsi="Arial"/>
          <w:i/>
          <w:iCs/>
          <w:sz w:val="22"/>
          <w:szCs w:val="22"/>
        </w:rPr>
        <w:t>14</w:t>
      </w:r>
      <w:r>
        <w:rPr>
          <w:rFonts w:cs="Times New Roman" w:ascii="Arial" w:hAnsi="Arial"/>
          <w:sz w:val="22"/>
          <w:szCs w:val="22"/>
        </w:rPr>
        <w:t xml:space="preserve">(01), 24–34. </w:t>
      </w:r>
      <w:hyperlink r:id="rId4">
        <w:r>
          <w:rPr>
            <w:rStyle w:val="InternetLink"/>
            <w:rFonts w:cs="Times New Roman" w:ascii="Arial" w:hAnsi="Arial"/>
            <w:sz w:val="22"/>
            <w:szCs w:val="22"/>
          </w:rPr>
          <w:t>https://doi.org/10.36347/sjams.2026.v14i01.004</w:t>
        </w:r>
      </w:hyperlink>
    </w:p>
    <w:p>
      <w:pPr>
        <w:pStyle w:val="Normal"/>
        <w:spacing w:lineRule="auto" w:line="480"/>
        <w:ind w:left="1440" w:hanging="720"/>
        <w:jc w:val="both"/>
        <w:rPr/>
      </w:pPr>
      <w:r>
        <w:rPr>
          <w:rFonts w:cs="Times New Roman" w:ascii="Arial" w:hAnsi="Arial"/>
          <w:sz w:val="22"/>
          <w:szCs w:val="22"/>
        </w:rPr>
        <w:t xml:space="preserve">Anan Jarab, Walid Al-Qerem, Alzoubi, K., Nadeen Almomani, Shrouq Abu Heshmeh, Tareq Mukattash, Yazid Al Hamarneh, &amp; Enaam Al Momany. (2024). Role of Community Pharmacist in Asthma Management: Knowledge, Attitudes and Practice. </w:t>
      </w:r>
      <w:r>
        <w:rPr>
          <w:rFonts w:cs="Times New Roman" w:ascii="Arial" w:hAnsi="Arial"/>
          <w:i/>
          <w:iCs/>
          <w:sz w:val="22"/>
          <w:szCs w:val="22"/>
        </w:rPr>
        <w:t>Journal of Multidisciplinary Healthcare</w:t>
      </w:r>
      <w:r>
        <w:rPr>
          <w:rFonts w:cs="Times New Roman" w:ascii="Arial" w:hAnsi="Arial"/>
          <w:sz w:val="22"/>
          <w:szCs w:val="22"/>
        </w:rPr>
        <w:t xml:space="preserve">, </w:t>
      </w:r>
      <w:r>
        <w:rPr>
          <w:rFonts w:cs="Times New Roman" w:ascii="Arial" w:hAnsi="Arial"/>
          <w:i/>
          <w:iCs/>
          <w:sz w:val="22"/>
          <w:szCs w:val="22"/>
        </w:rPr>
        <w:t>Volume 17</w:t>
      </w:r>
      <w:r>
        <w:rPr>
          <w:rFonts w:cs="Times New Roman" w:ascii="Arial" w:hAnsi="Arial"/>
          <w:sz w:val="22"/>
          <w:szCs w:val="22"/>
        </w:rPr>
        <w:t xml:space="preserve">, 11–19. </w:t>
      </w:r>
      <w:hyperlink r:id="rId5">
        <w:r>
          <w:rPr>
            <w:rStyle w:val="InternetLink"/>
            <w:rFonts w:cs="Times New Roman" w:ascii="Arial" w:hAnsi="Arial"/>
            <w:sz w:val="22"/>
            <w:szCs w:val="22"/>
          </w:rPr>
          <w:t>https://doi.org/10.2147/jmdh.s442396</w:t>
        </w:r>
      </w:hyperlink>
    </w:p>
    <w:p>
      <w:pPr>
        <w:pStyle w:val="Normal"/>
        <w:spacing w:lineRule="auto" w:line="480"/>
        <w:ind w:left="1440" w:hanging="720"/>
        <w:jc w:val="both"/>
        <w:rPr/>
      </w:pPr>
      <w:r>
        <w:rPr>
          <w:rFonts w:cs="Times New Roman" w:ascii="Arial" w:hAnsi="Arial"/>
          <w:sz w:val="22"/>
          <w:szCs w:val="22"/>
        </w:rPr>
        <w:t xml:space="preserve">Bridgeman, M. B., &amp; Wilken, L. A. (2021). Essential Role of Pharmacists in Asthma Care and Management. </w:t>
      </w:r>
      <w:r>
        <w:rPr>
          <w:rFonts w:cs="Times New Roman" w:ascii="Arial" w:hAnsi="Arial"/>
          <w:i/>
          <w:iCs/>
          <w:sz w:val="22"/>
          <w:szCs w:val="22"/>
        </w:rPr>
        <w:t>Journal of Pharmacy Practice</w:t>
      </w:r>
      <w:r>
        <w:rPr>
          <w:rFonts w:cs="Times New Roman" w:ascii="Arial" w:hAnsi="Arial"/>
          <w:sz w:val="22"/>
          <w:szCs w:val="22"/>
        </w:rPr>
        <w:t xml:space="preserve">, </w:t>
      </w:r>
      <w:r>
        <w:rPr>
          <w:rFonts w:cs="Times New Roman" w:ascii="Arial" w:hAnsi="Arial"/>
          <w:i/>
          <w:iCs/>
          <w:sz w:val="22"/>
          <w:szCs w:val="22"/>
        </w:rPr>
        <w:t>34</w:t>
      </w:r>
      <w:r>
        <w:rPr>
          <w:rFonts w:cs="Times New Roman" w:ascii="Arial" w:hAnsi="Arial"/>
          <w:sz w:val="22"/>
          <w:szCs w:val="22"/>
        </w:rPr>
        <w:t xml:space="preserve">(1), 149–162. </w:t>
      </w:r>
      <w:hyperlink r:id="rId6">
        <w:r>
          <w:rPr>
            <w:rStyle w:val="InternetLink"/>
            <w:rFonts w:cs="Times New Roman" w:ascii="Arial" w:hAnsi="Arial"/>
            <w:sz w:val="22"/>
            <w:szCs w:val="22"/>
          </w:rPr>
          <w:t>https://doi.org/10.1177/0897190020927274</w:t>
        </w:r>
      </w:hyperlink>
    </w:p>
    <w:p>
      <w:pPr>
        <w:pStyle w:val="Normal"/>
        <w:spacing w:lineRule="auto" w:line="480"/>
        <w:ind w:left="1440" w:hanging="720"/>
        <w:jc w:val="both"/>
        <w:rPr/>
      </w:pPr>
      <w:r>
        <w:rPr>
          <w:rFonts w:cs="Times New Roman" w:ascii="Arial" w:hAnsi="Arial"/>
          <w:sz w:val="22"/>
          <w:szCs w:val="22"/>
        </w:rPr>
        <w:t xml:space="preserve">British Thoracic Society. (2014). </w:t>
      </w:r>
      <w:r>
        <w:rPr>
          <w:rFonts w:cs="Times New Roman" w:ascii="Arial" w:hAnsi="Arial"/>
          <w:i/>
          <w:iCs/>
          <w:sz w:val="22"/>
          <w:szCs w:val="22"/>
        </w:rPr>
        <w:t>British Thoracic Society Scottish Intercollegiate Guidelines Network British guideline on the management of asthma A national clinical guideline</w:t>
      </w:r>
      <w:r>
        <w:rPr>
          <w:rFonts w:cs="Times New Roman" w:ascii="Arial" w:hAnsi="Arial"/>
          <w:sz w:val="22"/>
          <w:szCs w:val="22"/>
        </w:rPr>
        <w:t xml:space="preserve">. </w:t>
      </w:r>
      <w:hyperlink r:id="rId7">
        <w:r>
          <w:rPr>
            <w:rStyle w:val="InternetLink"/>
            <w:rFonts w:cs="Times New Roman" w:ascii="Arial" w:hAnsi="Arial"/>
            <w:sz w:val="22"/>
            <w:szCs w:val="22"/>
          </w:rPr>
          <w:t>https://www.brit-thoracic.org.uk/document-library/guidelines/asthma/btssign-asthma-guideline-2014/</w:t>
        </w:r>
      </w:hyperlink>
    </w:p>
    <w:p>
      <w:pPr>
        <w:pStyle w:val="Normal"/>
        <w:spacing w:lineRule="auto" w:line="480"/>
        <w:ind w:left="1440" w:hanging="720"/>
        <w:jc w:val="both"/>
        <w:rPr/>
      </w:pPr>
      <w:r>
        <w:rPr>
          <w:rFonts w:cs="Times New Roman" w:ascii="Arial" w:hAnsi="Arial"/>
          <w:sz w:val="22"/>
          <w:szCs w:val="22"/>
        </w:rPr>
        <w:t xml:space="preserve">Chukwuka Elendu, Amaechi, D. C., Elendu, T. C., Amaechi, E. C., Elendu, I. D., Joseph, M. C., Abolore Aminat Ajakaye, Ansong, S. O., Tyagi, V., Anukam, L. I., &amp; Oguoma, C. O. (2025). Guideline-driven and dependable management of asthma: an evidence-based systematic review. </w:t>
      </w:r>
      <w:r>
        <w:rPr>
          <w:rFonts w:cs="Times New Roman" w:ascii="Arial" w:hAnsi="Arial"/>
          <w:i/>
          <w:iCs/>
          <w:sz w:val="22"/>
          <w:szCs w:val="22"/>
        </w:rPr>
        <w:t>Annals of Medicine and Surgery</w:t>
      </w:r>
      <w:r>
        <w:rPr>
          <w:rFonts w:cs="Times New Roman" w:ascii="Arial" w:hAnsi="Arial"/>
          <w:sz w:val="22"/>
          <w:szCs w:val="22"/>
        </w:rPr>
        <w:t xml:space="preserve">, </w:t>
      </w:r>
      <w:r>
        <w:rPr>
          <w:rFonts w:cs="Times New Roman" w:ascii="Arial" w:hAnsi="Arial"/>
          <w:i/>
          <w:iCs/>
          <w:sz w:val="22"/>
          <w:szCs w:val="22"/>
        </w:rPr>
        <w:t>87</w:t>
      </w:r>
      <w:r>
        <w:rPr>
          <w:rFonts w:cs="Times New Roman" w:ascii="Arial" w:hAnsi="Arial"/>
          <w:sz w:val="22"/>
          <w:szCs w:val="22"/>
        </w:rPr>
        <w:t xml:space="preserve">(8), 5153–5164. </w:t>
      </w:r>
      <w:hyperlink r:id="rId8">
        <w:r>
          <w:rPr>
            <w:rStyle w:val="InternetLink"/>
            <w:rFonts w:cs="Times New Roman" w:ascii="Arial" w:hAnsi="Arial"/>
            <w:sz w:val="22"/>
            <w:szCs w:val="22"/>
          </w:rPr>
          <w:t>https://doi.org/10.1097/ms9.0000000000003491</w:t>
        </w:r>
      </w:hyperlink>
    </w:p>
    <w:p>
      <w:pPr>
        <w:pStyle w:val="Normal"/>
        <w:spacing w:lineRule="auto" w:line="480"/>
        <w:ind w:left="1440" w:hanging="720"/>
        <w:jc w:val="both"/>
        <w:rPr/>
      </w:pPr>
      <w:r>
        <w:rPr>
          <w:rFonts w:cs="Times New Roman" w:ascii="Arial" w:hAnsi="Arial"/>
          <w:sz w:val="22"/>
          <w:szCs w:val="22"/>
        </w:rPr>
        <w:t xml:space="preserve">Coutinho, M. T., Subzwari, S. S., McQuaid, E. L., &amp; Koinis-Mitchell, D. (2020). Community health workers’ role in supporting pediatric asthma management: A review. </w:t>
      </w:r>
      <w:r>
        <w:rPr>
          <w:rFonts w:cs="Times New Roman" w:ascii="Arial" w:hAnsi="Arial"/>
          <w:i/>
          <w:iCs/>
          <w:sz w:val="22"/>
          <w:szCs w:val="22"/>
        </w:rPr>
        <w:t>Clinical Practice in Pediatric Psychology</w:t>
      </w:r>
      <w:r>
        <w:rPr>
          <w:rFonts w:cs="Times New Roman" w:ascii="Arial" w:hAnsi="Arial"/>
          <w:sz w:val="22"/>
          <w:szCs w:val="22"/>
        </w:rPr>
        <w:t xml:space="preserve">, </w:t>
      </w:r>
      <w:r>
        <w:rPr>
          <w:rFonts w:cs="Times New Roman" w:ascii="Arial" w:hAnsi="Arial"/>
          <w:i/>
          <w:iCs/>
          <w:sz w:val="22"/>
          <w:szCs w:val="22"/>
        </w:rPr>
        <w:t>8</w:t>
      </w:r>
      <w:r>
        <w:rPr>
          <w:rFonts w:cs="Times New Roman" w:ascii="Arial" w:hAnsi="Arial"/>
          <w:sz w:val="22"/>
          <w:szCs w:val="22"/>
        </w:rPr>
        <w:t xml:space="preserve">(2), 195–210. </w:t>
      </w:r>
      <w:hyperlink r:id="rId9">
        <w:r>
          <w:rPr>
            <w:rStyle w:val="InternetLink"/>
            <w:rFonts w:cs="Times New Roman" w:ascii="Arial" w:hAnsi="Arial"/>
            <w:sz w:val="22"/>
            <w:szCs w:val="22"/>
          </w:rPr>
          <w:t>https://doi.org/10.1037/cpp0000319</w:t>
        </w:r>
      </w:hyperlink>
    </w:p>
    <w:p>
      <w:pPr>
        <w:pStyle w:val="Normal"/>
        <w:spacing w:lineRule="auto" w:line="480"/>
        <w:ind w:left="1440" w:hanging="720"/>
        <w:jc w:val="both"/>
        <w:rPr/>
      </w:pPr>
      <w:r>
        <w:rPr>
          <w:rFonts w:cs="Times New Roman" w:ascii="Arial" w:hAnsi="Arial"/>
          <w:sz w:val="22"/>
          <w:szCs w:val="22"/>
        </w:rPr>
        <w:t xml:space="preserve">Dharmage, S. C., Perret, J. L., &amp; Custovic, A. (2019). Epidemiology of Asthma in Children and Adults. </w:t>
      </w:r>
      <w:r>
        <w:rPr>
          <w:rFonts w:cs="Times New Roman" w:ascii="Arial" w:hAnsi="Arial"/>
          <w:i/>
          <w:iCs/>
          <w:sz w:val="22"/>
          <w:szCs w:val="22"/>
        </w:rPr>
        <w:t>Frontiers in Pediatrics</w:t>
      </w:r>
      <w:r>
        <w:rPr>
          <w:rFonts w:cs="Times New Roman" w:ascii="Arial" w:hAnsi="Arial"/>
          <w:sz w:val="22"/>
          <w:szCs w:val="22"/>
        </w:rPr>
        <w:t xml:space="preserve">, </w:t>
      </w:r>
      <w:r>
        <w:rPr>
          <w:rFonts w:cs="Times New Roman" w:ascii="Arial" w:hAnsi="Arial"/>
          <w:i/>
          <w:iCs/>
          <w:sz w:val="22"/>
          <w:szCs w:val="22"/>
        </w:rPr>
        <w:t>7</w:t>
      </w:r>
      <w:r>
        <w:rPr>
          <w:rFonts w:cs="Times New Roman" w:ascii="Arial" w:hAnsi="Arial"/>
          <w:sz w:val="22"/>
          <w:szCs w:val="22"/>
        </w:rPr>
        <w:t xml:space="preserve">(246). </w:t>
      </w:r>
      <w:hyperlink r:id="rId10">
        <w:r>
          <w:rPr>
            <w:rStyle w:val="InternetLink"/>
            <w:rFonts w:cs="Times New Roman" w:ascii="Arial" w:hAnsi="Arial"/>
            <w:sz w:val="22"/>
            <w:szCs w:val="22"/>
          </w:rPr>
          <w:t>https://doi.org/10.3389/fped.2019.00246</w:t>
        </w:r>
      </w:hyperlink>
    </w:p>
    <w:p>
      <w:pPr>
        <w:pStyle w:val="Normal"/>
        <w:spacing w:lineRule="auto" w:line="480"/>
        <w:ind w:left="1440" w:hanging="720"/>
        <w:jc w:val="both"/>
        <w:rPr/>
      </w:pPr>
      <w:r>
        <w:rPr>
          <w:rFonts w:cs="Times New Roman" w:ascii="Arial" w:hAnsi="Arial"/>
          <w:sz w:val="22"/>
          <w:szCs w:val="22"/>
        </w:rPr>
        <w:t xml:space="preserve">Espaillat, A. E., Hernandez, M. L., &amp; Burbank, A. J. (2022). Social determinants of health and asthma. </w:t>
      </w:r>
      <w:r>
        <w:rPr>
          <w:rFonts w:cs="Times New Roman" w:ascii="Arial" w:hAnsi="Arial"/>
          <w:i/>
          <w:iCs/>
          <w:sz w:val="22"/>
          <w:szCs w:val="22"/>
        </w:rPr>
        <w:t>Current Opinion in Allergy &amp; Clinical Immunology</w:t>
      </w:r>
      <w:r>
        <w:rPr>
          <w:rFonts w:cs="Times New Roman" w:ascii="Arial" w:hAnsi="Arial"/>
          <w:sz w:val="22"/>
          <w:szCs w:val="22"/>
        </w:rPr>
        <w:t xml:space="preserve">, </w:t>
      </w:r>
      <w:r>
        <w:rPr>
          <w:rFonts w:cs="Times New Roman" w:ascii="Arial" w:hAnsi="Arial"/>
          <w:i/>
          <w:iCs/>
          <w:sz w:val="22"/>
          <w:szCs w:val="22"/>
        </w:rPr>
        <w:t>23</w:t>
      </w:r>
      <w:r>
        <w:rPr>
          <w:rFonts w:cs="Times New Roman" w:ascii="Arial" w:hAnsi="Arial"/>
          <w:sz w:val="22"/>
          <w:szCs w:val="22"/>
        </w:rPr>
        <w:t xml:space="preserve">(2), 144–150. </w:t>
      </w:r>
      <w:hyperlink r:id="rId11">
        <w:r>
          <w:rPr>
            <w:rStyle w:val="InternetLink"/>
            <w:rFonts w:cs="Times New Roman" w:ascii="Arial" w:hAnsi="Arial"/>
            <w:sz w:val="22"/>
            <w:szCs w:val="22"/>
          </w:rPr>
          <w:t>https://doi.org/10.1097/aci.0000000000000872</w:t>
        </w:r>
      </w:hyperlink>
    </w:p>
    <w:p>
      <w:pPr>
        <w:pStyle w:val="Normal"/>
        <w:spacing w:lineRule="auto" w:line="480"/>
        <w:ind w:left="1440" w:hanging="720"/>
        <w:jc w:val="both"/>
        <w:rPr/>
      </w:pPr>
      <w:r>
        <w:rPr>
          <w:rFonts w:cs="Times New Roman" w:ascii="Arial" w:hAnsi="Arial"/>
          <w:sz w:val="22"/>
          <w:szCs w:val="22"/>
        </w:rPr>
        <w:t xml:space="preserve">Fletcher, M. J., Tsiligianni, I., Kocks, J. W. H., Cave, A., Chunhua, C., Sousa, J. C. de, Román-Rodríguez, M., Thomas, M., Kardos, P., Stonham, C., Khoo, E. M., Leather, D., &amp; van der Molen, T. (2020). Improving primary care management of asthma: do we know what really works? </w:t>
      </w:r>
      <w:r>
        <w:rPr>
          <w:rFonts w:cs="Times New Roman" w:ascii="Arial" w:hAnsi="Arial"/>
          <w:i/>
          <w:iCs/>
          <w:sz w:val="22"/>
          <w:szCs w:val="22"/>
        </w:rPr>
        <w:t>Npj Primary Care Respiratory Medicine</w:t>
      </w:r>
      <w:r>
        <w:rPr>
          <w:rFonts w:cs="Times New Roman" w:ascii="Arial" w:hAnsi="Arial"/>
          <w:sz w:val="22"/>
          <w:szCs w:val="22"/>
        </w:rPr>
        <w:t xml:space="preserve">, </w:t>
      </w:r>
      <w:r>
        <w:rPr>
          <w:rFonts w:cs="Times New Roman" w:ascii="Arial" w:hAnsi="Arial"/>
          <w:i/>
          <w:iCs/>
          <w:sz w:val="22"/>
          <w:szCs w:val="22"/>
        </w:rPr>
        <w:t>30</w:t>
      </w:r>
      <w:r>
        <w:rPr>
          <w:rFonts w:cs="Times New Roman" w:ascii="Arial" w:hAnsi="Arial"/>
          <w:sz w:val="22"/>
          <w:szCs w:val="22"/>
        </w:rPr>
        <w:t xml:space="preserve">(1). </w:t>
      </w:r>
      <w:hyperlink r:id="rId12">
        <w:r>
          <w:rPr>
            <w:rStyle w:val="InternetLink"/>
            <w:rFonts w:cs="Times New Roman" w:ascii="Arial" w:hAnsi="Arial"/>
            <w:sz w:val="22"/>
            <w:szCs w:val="22"/>
          </w:rPr>
          <w:t>https://doi.org/10.1038/s41533-020-0184-0</w:t>
        </w:r>
      </w:hyperlink>
    </w:p>
    <w:p>
      <w:pPr>
        <w:pStyle w:val="Normal"/>
        <w:spacing w:lineRule="auto" w:line="480"/>
        <w:ind w:left="1440" w:hanging="720"/>
        <w:jc w:val="both"/>
        <w:rPr/>
      </w:pPr>
      <w:r>
        <w:rPr>
          <w:rFonts w:cs="Times New Roman" w:ascii="Arial" w:hAnsi="Arial"/>
          <w:sz w:val="22"/>
          <w:szCs w:val="22"/>
        </w:rPr>
        <w:t xml:space="preserve">Freitas, J., &amp; Novais, F. (2025). Review on the relationship of asthma and mental disorders. </w:t>
      </w:r>
      <w:r>
        <w:rPr>
          <w:rFonts w:cs="Times New Roman" w:ascii="Arial" w:hAnsi="Arial"/>
          <w:i/>
          <w:iCs/>
          <w:sz w:val="22"/>
          <w:szCs w:val="22"/>
        </w:rPr>
        <w:t>Personalized Medicine in Psychiatry</w:t>
      </w:r>
      <w:r>
        <w:rPr>
          <w:rFonts w:cs="Times New Roman" w:ascii="Arial" w:hAnsi="Arial"/>
          <w:sz w:val="22"/>
          <w:szCs w:val="22"/>
        </w:rPr>
        <w:t xml:space="preserve">, </w:t>
      </w:r>
      <w:r>
        <w:rPr>
          <w:rFonts w:cs="Times New Roman" w:ascii="Arial" w:hAnsi="Arial"/>
          <w:i/>
          <w:iCs/>
          <w:sz w:val="22"/>
          <w:szCs w:val="22"/>
        </w:rPr>
        <w:t>51-52</w:t>
      </w:r>
      <w:r>
        <w:rPr>
          <w:rFonts w:cs="Times New Roman" w:ascii="Arial" w:hAnsi="Arial"/>
          <w:sz w:val="22"/>
          <w:szCs w:val="22"/>
        </w:rPr>
        <w:t xml:space="preserve">, 100157. </w:t>
      </w:r>
      <w:hyperlink r:id="rId13">
        <w:r>
          <w:rPr>
            <w:rStyle w:val="InternetLink"/>
            <w:rFonts w:cs="Times New Roman" w:ascii="Arial" w:hAnsi="Arial"/>
            <w:sz w:val="22"/>
            <w:szCs w:val="22"/>
          </w:rPr>
          <w:t>https://doi.org/10.1016/j.pmip.2025.100157</w:t>
        </w:r>
      </w:hyperlink>
    </w:p>
    <w:p>
      <w:pPr>
        <w:pStyle w:val="Normal"/>
        <w:spacing w:lineRule="auto" w:line="480"/>
        <w:ind w:left="1440" w:hanging="720"/>
        <w:jc w:val="both"/>
        <w:rPr/>
      </w:pPr>
      <w:r>
        <w:rPr>
          <w:rFonts w:cs="Times New Roman" w:ascii="Arial" w:hAnsi="Arial"/>
          <w:sz w:val="22"/>
          <w:szCs w:val="22"/>
        </w:rPr>
        <w:t xml:space="preserve">Hajat, A., Hsia, C., &amp; O’Neill, M. S. (2015). Socioeconomic disparities and air pollution exposure: a global review. </w:t>
      </w:r>
      <w:r>
        <w:rPr>
          <w:rFonts w:cs="Times New Roman" w:ascii="Arial" w:hAnsi="Arial"/>
          <w:i/>
          <w:iCs/>
          <w:sz w:val="22"/>
          <w:szCs w:val="22"/>
        </w:rPr>
        <w:t>Current Environmental Health Reports</w:t>
      </w:r>
      <w:r>
        <w:rPr>
          <w:rFonts w:cs="Times New Roman" w:ascii="Arial" w:hAnsi="Arial"/>
          <w:sz w:val="22"/>
          <w:szCs w:val="22"/>
        </w:rPr>
        <w:t xml:space="preserve">, </w:t>
      </w:r>
      <w:r>
        <w:rPr>
          <w:rFonts w:cs="Times New Roman" w:ascii="Arial" w:hAnsi="Arial"/>
          <w:i/>
          <w:iCs/>
          <w:sz w:val="22"/>
          <w:szCs w:val="22"/>
        </w:rPr>
        <w:t>2</w:t>
      </w:r>
      <w:r>
        <w:rPr>
          <w:rFonts w:cs="Times New Roman" w:ascii="Arial" w:hAnsi="Arial"/>
          <w:sz w:val="22"/>
          <w:szCs w:val="22"/>
        </w:rPr>
        <w:t xml:space="preserve">(4), 440–450. </w:t>
      </w:r>
      <w:hyperlink r:id="rId14">
        <w:r>
          <w:rPr>
            <w:rStyle w:val="InternetLink"/>
            <w:rFonts w:cs="Times New Roman" w:ascii="Arial" w:hAnsi="Arial"/>
            <w:sz w:val="22"/>
            <w:szCs w:val="22"/>
          </w:rPr>
          <w:t>https://doi.org/10.1007/s40572-015-0069-5</w:t>
        </w:r>
      </w:hyperlink>
    </w:p>
    <w:p>
      <w:pPr>
        <w:pStyle w:val="Normal"/>
        <w:spacing w:lineRule="auto" w:line="480"/>
        <w:ind w:left="1440" w:hanging="720"/>
        <w:jc w:val="both"/>
        <w:rPr/>
      </w:pPr>
      <w:r>
        <w:rPr>
          <w:rFonts w:cs="Times New Roman" w:ascii="Arial" w:hAnsi="Arial"/>
          <w:sz w:val="22"/>
          <w:szCs w:val="22"/>
        </w:rPr>
        <w:t xml:space="preserve">Hannane, A., Misane, L., Devouassoux, G., Colin, C., &amp; Letrilliart, L. (2019). Asthma patients’ perception on their care pathway: a qualitative study. </w:t>
      </w:r>
      <w:r>
        <w:rPr>
          <w:rFonts w:cs="Times New Roman" w:ascii="Arial" w:hAnsi="Arial"/>
          <w:i/>
          <w:iCs/>
          <w:sz w:val="22"/>
          <w:szCs w:val="22"/>
        </w:rPr>
        <w:t>Npj Primary Care Respiratory Medicine</w:t>
      </w:r>
      <w:r>
        <w:rPr>
          <w:rFonts w:cs="Times New Roman" w:ascii="Arial" w:hAnsi="Arial"/>
          <w:sz w:val="22"/>
          <w:szCs w:val="22"/>
        </w:rPr>
        <w:t xml:space="preserve">, </w:t>
      </w:r>
      <w:r>
        <w:rPr>
          <w:rFonts w:cs="Times New Roman" w:ascii="Arial" w:hAnsi="Arial"/>
          <w:i/>
          <w:iCs/>
          <w:sz w:val="22"/>
          <w:szCs w:val="22"/>
        </w:rPr>
        <w:t>29</w:t>
      </w:r>
      <w:r>
        <w:rPr>
          <w:rFonts w:cs="Times New Roman" w:ascii="Arial" w:hAnsi="Arial"/>
          <w:sz w:val="22"/>
          <w:szCs w:val="22"/>
        </w:rPr>
        <w:t xml:space="preserve">(1). </w:t>
      </w:r>
      <w:hyperlink r:id="rId15">
        <w:r>
          <w:rPr>
            <w:rStyle w:val="InternetLink"/>
            <w:rFonts w:cs="Times New Roman" w:ascii="Arial" w:hAnsi="Arial"/>
            <w:sz w:val="22"/>
            <w:szCs w:val="22"/>
          </w:rPr>
          <w:t>https://doi.org/10.1038/s41533-019-0121-2</w:t>
        </w:r>
      </w:hyperlink>
    </w:p>
    <w:p>
      <w:pPr>
        <w:pStyle w:val="Normal"/>
        <w:spacing w:lineRule="auto" w:line="480"/>
        <w:ind w:left="1440" w:hanging="720"/>
        <w:jc w:val="both"/>
        <w:rPr/>
      </w:pPr>
      <w:r>
        <w:rPr>
          <w:rFonts w:cs="Times New Roman" w:ascii="Arial" w:hAnsi="Arial"/>
          <w:sz w:val="22"/>
          <w:szCs w:val="22"/>
        </w:rPr>
        <w:t xml:space="preserve">Jacobs, A., Wu, R., Tomini, F., De Simoni, A., &amp; Mihaylova, B. (2023). Strong and graded associations between level of asthma severity and all-cause hospital care use and costs in the UK. </w:t>
      </w:r>
      <w:r>
        <w:rPr>
          <w:rFonts w:cs="Times New Roman" w:ascii="Arial" w:hAnsi="Arial"/>
          <w:i/>
          <w:iCs/>
          <w:sz w:val="22"/>
          <w:szCs w:val="22"/>
        </w:rPr>
        <w:t>BMJ Open Respiratory Research</w:t>
      </w:r>
      <w:r>
        <w:rPr>
          <w:rFonts w:cs="Times New Roman" w:ascii="Arial" w:hAnsi="Arial"/>
          <w:sz w:val="22"/>
          <w:szCs w:val="22"/>
        </w:rPr>
        <w:t xml:space="preserve">, </w:t>
      </w:r>
      <w:r>
        <w:rPr>
          <w:rFonts w:cs="Times New Roman" w:ascii="Arial" w:hAnsi="Arial"/>
          <w:i/>
          <w:iCs/>
          <w:sz w:val="22"/>
          <w:szCs w:val="22"/>
        </w:rPr>
        <w:t>10</w:t>
      </w:r>
      <w:r>
        <w:rPr>
          <w:rFonts w:cs="Times New Roman" w:ascii="Arial" w:hAnsi="Arial"/>
          <w:sz w:val="22"/>
          <w:szCs w:val="22"/>
        </w:rPr>
        <w:t xml:space="preserve">(1), e002003. </w:t>
      </w:r>
      <w:hyperlink r:id="rId16">
        <w:r>
          <w:rPr>
            <w:rStyle w:val="InternetLink"/>
            <w:rFonts w:cs="Times New Roman" w:ascii="Arial" w:hAnsi="Arial"/>
            <w:sz w:val="22"/>
            <w:szCs w:val="22"/>
          </w:rPr>
          <w:t>https://doi.org/10.1136/bmjresp-2023-002003</w:t>
        </w:r>
      </w:hyperlink>
    </w:p>
    <w:p>
      <w:pPr>
        <w:pStyle w:val="Normal"/>
        <w:spacing w:lineRule="auto" w:line="480"/>
        <w:ind w:left="1440" w:hanging="720"/>
        <w:jc w:val="both"/>
        <w:rPr/>
      </w:pPr>
      <w:r>
        <w:rPr>
          <w:rFonts w:cs="Times New Roman" w:ascii="Arial" w:hAnsi="Arial"/>
          <w:sz w:val="22"/>
          <w:szCs w:val="22"/>
        </w:rPr>
        <w:t xml:space="preserve">Leonard, S. I., Turi, E. R., Powell, J. S., Usseglio, J., MacDonell, K. K., &amp; Bruzzese, J.-M. (2022). Associations of asthma self-management and mental health in adolescents: A scoping review. </w:t>
      </w:r>
      <w:r>
        <w:rPr>
          <w:rFonts w:cs="Times New Roman" w:ascii="Arial" w:hAnsi="Arial"/>
          <w:i/>
          <w:iCs/>
          <w:sz w:val="22"/>
          <w:szCs w:val="22"/>
        </w:rPr>
        <w:t>Respiratory Medicine</w:t>
      </w:r>
      <w:r>
        <w:rPr>
          <w:rFonts w:cs="Times New Roman" w:ascii="Arial" w:hAnsi="Arial"/>
          <w:sz w:val="22"/>
          <w:szCs w:val="22"/>
        </w:rPr>
        <w:t xml:space="preserve">, </w:t>
      </w:r>
      <w:r>
        <w:rPr>
          <w:rFonts w:cs="Times New Roman" w:ascii="Arial" w:hAnsi="Arial"/>
          <w:i/>
          <w:iCs/>
          <w:sz w:val="22"/>
          <w:szCs w:val="22"/>
        </w:rPr>
        <w:t>200</w:t>
      </w:r>
      <w:r>
        <w:rPr>
          <w:rFonts w:cs="Times New Roman" w:ascii="Arial" w:hAnsi="Arial"/>
          <w:sz w:val="22"/>
          <w:szCs w:val="22"/>
        </w:rPr>
        <w:t xml:space="preserve">, 106897. </w:t>
      </w:r>
      <w:hyperlink r:id="rId17">
        <w:r>
          <w:rPr>
            <w:rStyle w:val="InternetLink"/>
            <w:rFonts w:cs="Times New Roman" w:ascii="Arial" w:hAnsi="Arial"/>
            <w:sz w:val="22"/>
            <w:szCs w:val="22"/>
          </w:rPr>
          <w:t>https://doi.org/10.1016/j.rmed.2022.106897</w:t>
        </w:r>
      </w:hyperlink>
    </w:p>
    <w:p>
      <w:pPr>
        <w:pStyle w:val="Normal"/>
        <w:spacing w:lineRule="auto" w:line="480"/>
        <w:ind w:left="1440" w:hanging="720"/>
        <w:jc w:val="both"/>
        <w:rPr/>
      </w:pPr>
      <w:r>
        <w:rPr>
          <w:rFonts w:cs="Times New Roman" w:ascii="Arial" w:hAnsi="Arial"/>
          <w:sz w:val="22"/>
          <w:szCs w:val="22"/>
        </w:rPr>
        <w:t xml:space="preserve">Mayo Clinic. (2025, March 8). </w:t>
      </w:r>
      <w:r>
        <w:rPr>
          <w:rFonts w:cs="Times New Roman" w:ascii="Arial" w:hAnsi="Arial"/>
          <w:i/>
          <w:iCs/>
          <w:sz w:val="22"/>
          <w:szCs w:val="22"/>
        </w:rPr>
        <w:t>Asthma - diagnosis and treatment</w:t>
      </w:r>
      <w:r>
        <w:rPr>
          <w:rFonts w:cs="Times New Roman" w:ascii="Arial" w:hAnsi="Arial"/>
          <w:sz w:val="22"/>
          <w:szCs w:val="22"/>
        </w:rPr>
        <w:t xml:space="preserve">. Mayoclinic.org; Mayo Clinic. </w:t>
      </w:r>
      <w:hyperlink r:id="rId18">
        <w:r>
          <w:rPr>
            <w:rStyle w:val="InternetLink"/>
            <w:rFonts w:cs="Times New Roman" w:ascii="Arial" w:hAnsi="Arial"/>
            <w:sz w:val="22"/>
            <w:szCs w:val="22"/>
          </w:rPr>
          <w:t>https://www.mayoclinic.org/diseases-conditions/asthma/diagnosis-treatment/drc-20369660</w:t>
        </w:r>
      </w:hyperlink>
    </w:p>
    <w:p>
      <w:pPr>
        <w:pStyle w:val="Normal"/>
        <w:spacing w:lineRule="auto" w:line="480"/>
        <w:ind w:left="1440" w:hanging="720"/>
        <w:jc w:val="both"/>
        <w:rPr/>
      </w:pPr>
      <w:r>
        <w:rPr>
          <w:rFonts w:cs="Times New Roman" w:ascii="Arial" w:hAnsi="Arial"/>
          <w:sz w:val="22"/>
          <w:szCs w:val="22"/>
        </w:rPr>
        <w:t xml:space="preserve">Miles, C., Arden-Close, E., Thomas, M., Bruton, A., Yardley, L., Hankins, M., &amp; Kirby, S. E. (2017). Barriers and facilitators of effective self-management in asthma: systematic review and thematic synthesis of patient and healthcare professional views. </w:t>
      </w:r>
      <w:r>
        <w:rPr>
          <w:rFonts w:cs="Times New Roman" w:ascii="Arial" w:hAnsi="Arial"/>
          <w:i/>
          <w:iCs/>
          <w:sz w:val="22"/>
          <w:szCs w:val="22"/>
        </w:rPr>
        <w:t>Npj Primary Care Respiratory Medicine</w:t>
      </w:r>
      <w:r>
        <w:rPr>
          <w:rFonts w:cs="Times New Roman" w:ascii="Arial" w:hAnsi="Arial"/>
          <w:sz w:val="22"/>
          <w:szCs w:val="22"/>
        </w:rPr>
        <w:t xml:space="preserve">, </w:t>
      </w:r>
      <w:r>
        <w:rPr>
          <w:rFonts w:cs="Times New Roman" w:ascii="Arial" w:hAnsi="Arial"/>
          <w:i/>
          <w:iCs/>
          <w:sz w:val="22"/>
          <w:szCs w:val="22"/>
        </w:rPr>
        <w:t>27</w:t>
      </w:r>
      <w:r>
        <w:rPr>
          <w:rFonts w:cs="Times New Roman" w:ascii="Arial" w:hAnsi="Arial"/>
          <w:sz w:val="22"/>
          <w:szCs w:val="22"/>
        </w:rPr>
        <w:t xml:space="preserve">(1). </w:t>
      </w:r>
      <w:hyperlink r:id="rId19">
        <w:r>
          <w:rPr>
            <w:rStyle w:val="InternetLink"/>
            <w:rFonts w:cs="Times New Roman" w:ascii="Arial" w:hAnsi="Arial"/>
            <w:sz w:val="22"/>
            <w:szCs w:val="22"/>
          </w:rPr>
          <w:t>https://doi.org/10.1038/s41533-017-0056-4</w:t>
        </w:r>
      </w:hyperlink>
    </w:p>
    <w:p>
      <w:pPr>
        <w:pStyle w:val="Normal"/>
        <w:spacing w:lineRule="auto" w:line="480"/>
        <w:ind w:left="1440" w:hanging="720"/>
        <w:jc w:val="both"/>
        <w:rPr/>
      </w:pPr>
      <w:r>
        <w:rPr>
          <w:rFonts w:cs="Times New Roman" w:ascii="Arial" w:hAnsi="Arial"/>
          <w:sz w:val="22"/>
          <w:szCs w:val="22"/>
        </w:rPr>
        <w:t xml:space="preserve">Morris, M. (2024, December 20). </w:t>
      </w:r>
      <w:r>
        <w:rPr>
          <w:rFonts w:cs="Times New Roman" w:ascii="Arial" w:hAnsi="Arial"/>
          <w:i/>
          <w:iCs/>
          <w:sz w:val="22"/>
          <w:szCs w:val="22"/>
        </w:rPr>
        <w:t>Asthma Treatment &amp; Management: Approach Considerations, Environmental Control, Allergen Immunotherapy</w:t>
      </w:r>
      <w:r>
        <w:rPr>
          <w:rFonts w:cs="Times New Roman" w:ascii="Arial" w:hAnsi="Arial"/>
          <w:sz w:val="22"/>
          <w:szCs w:val="22"/>
        </w:rPr>
        <w:t xml:space="preserve">. Medscape.com. </w:t>
      </w:r>
      <w:hyperlink r:id="rId20">
        <w:r>
          <w:rPr>
            <w:rStyle w:val="InternetLink"/>
            <w:rFonts w:cs="Times New Roman" w:ascii="Arial" w:hAnsi="Arial"/>
            <w:sz w:val="22"/>
            <w:szCs w:val="22"/>
          </w:rPr>
          <w:t>https://emedicine.medscape.com/article/296301-treatment</w:t>
        </w:r>
      </w:hyperlink>
    </w:p>
    <w:p>
      <w:pPr>
        <w:pStyle w:val="Normal"/>
        <w:spacing w:lineRule="auto" w:line="480"/>
        <w:ind w:left="1440" w:hanging="720"/>
        <w:jc w:val="both"/>
        <w:rPr/>
      </w:pPr>
      <w:r>
        <w:rPr>
          <w:rFonts w:cs="Times New Roman" w:ascii="Arial" w:hAnsi="Arial"/>
          <w:sz w:val="22"/>
          <w:szCs w:val="22"/>
        </w:rPr>
        <w:t xml:space="preserve">Poplicean, E., Crișan, A. F., Tudorache, E., Hogea, P., Mladin, R., &amp; Oancea, C. (2024). Unlocking Better Asthma Control: A Narrative Review of Adherence to Asthma Therapy and Innovative Monitoring Solutions. </w:t>
      </w:r>
      <w:r>
        <w:rPr>
          <w:rFonts w:cs="Times New Roman" w:ascii="Arial" w:hAnsi="Arial"/>
          <w:i/>
          <w:iCs/>
          <w:sz w:val="22"/>
          <w:szCs w:val="22"/>
        </w:rPr>
        <w:t>Journal of Clinical Medicine</w:t>
      </w:r>
      <w:r>
        <w:rPr>
          <w:rFonts w:cs="Times New Roman" w:ascii="Arial" w:hAnsi="Arial"/>
          <w:sz w:val="22"/>
          <w:szCs w:val="22"/>
        </w:rPr>
        <w:t xml:space="preserve">, </w:t>
      </w:r>
      <w:r>
        <w:rPr>
          <w:rFonts w:cs="Times New Roman" w:ascii="Arial" w:hAnsi="Arial"/>
          <w:i/>
          <w:iCs/>
          <w:sz w:val="22"/>
          <w:szCs w:val="22"/>
        </w:rPr>
        <w:t>13</w:t>
      </w:r>
      <w:r>
        <w:rPr>
          <w:rFonts w:cs="Times New Roman" w:ascii="Arial" w:hAnsi="Arial"/>
          <w:sz w:val="22"/>
          <w:szCs w:val="22"/>
        </w:rPr>
        <w:t xml:space="preserve">(22), 6699. </w:t>
      </w:r>
      <w:hyperlink r:id="rId21">
        <w:r>
          <w:rPr>
            <w:rStyle w:val="InternetLink"/>
            <w:rFonts w:cs="Times New Roman" w:ascii="Arial" w:hAnsi="Arial"/>
            <w:sz w:val="22"/>
            <w:szCs w:val="22"/>
          </w:rPr>
          <w:t>https://doi.org/10.3390/jcm13226699</w:t>
        </w:r>
      </w:hyperlink>
    </w:p>
    <w:p>
      <w:pPr>
        <w:pStyle w:val="Normal"/>
        <w:spacing w:lineRule="auto" w:line="480"/>
        <w:ind w:left="1440" w:hanging="720"/>
        <w:jc w:val="both"/>
        <w:rPr/>
      </w:pPr>
      <w:r>
        <w:rPr>
          <w:rFonts w:cs="Times New Roman" w:ascii="Arial" w:hAnsi="Arial"/>
          <w:sz w:val="22"/>
          <w:szCs w:val="22"/>
        </w:rPr>
        <w:t xml:space="preserve">Roberts, N., Ring, N., &amp; O’Leary, L. (2025). Barriers and Enablers of Delivering Asthma Self‐Management to Those With Intellectual Disabilities: A Scoping Review. </w:t>
      </w:r>
      <w:r>
        <w:rPr>
          <w:rFonts w:cs="Times New Roman" w:ascii="Arial" w:hAnsi="Arial"/>
          <w:i/>
          <w:iCs/>
          <w:sz w:val="22"/>
          <w:szCs w:val="22"/>
        </w:rPr>
        <w:t>Journal of Applied Research in Intellectual Disabilities</w:t>
      </w:r>
      <w:r>
        <w:rPr>
          <w:rFonts w:cs="Times New Roman" w:ascii="Arial" w:hAnsi="Arial"/>
          <w:sz w:val="22"/>
          <w:szCs w:val="22"/>
        </w:rPr>
        <w:t xml:space="preserve">, </w:t>
      </w:r>
      <w:r>
        <w:rPr>
          <w:rFonts w:cs="Times New Roman" w:ascii="Arial" w:hAnsi="Arial"/>
          <w:i/>
          <w:iCs/>
          <w:sz w:val="22"/>
          <w:szCs w:val="22"/>
        </w:rPr>
        <w:t>38</w:t>
      </w:r>
      <w:r>
        <w:rPr>
          <w:rFonts w:cs="Times New Roman" w:ascii="Arial" w:hAnsi="Arial"/>
          <w:sz w:val="22"/>
          <w:szCs w:val="22"/>
        </w:rPr>
        <w:t xml:space="preserve">(6), e70155–e70155. </w:t>
      </w:r>
      <w:hyperlink r:id="rId22">
        <w:r>
          <w:rPr>
            <w:rStyle w:val="InternetLink"/>
            <w:rFonts w:cs="Times New Roman" w:ascii="Arial" w:hAnsi="Arial"/>
            <w:sz w:val="22"/>
            <w:szCs w:val="22"/>
          </w:rPr>
          <w:t>https://doi.org/10.1111/jar.70155</w:t>
        </w:r>
      </w:hyperlink>
    </w:p>
    <w:p>
      <w:pPr>
        <w:pStyle w:val="Normal"/>
        <w:spacing w:lineRule="auto" w:line="480"/>
        <w:ind w:left="1440" w:hanging="720"/>
        <w:jc w:val="both"/>
        <w:rPr/>
      </w:pPr>
      <w:r>
        <w:rPr>
          <w:rFonts w:cs="Times New Roman" w:ascii="Arial" w:hAnsi="Arial"/>
          <w:sz w:val="22"/>
          <w:szCs w:val="22"/>
        </w:rPr>
        <w:t xml:space="preserve">Santillo, M., Tonkin-Crine, S., Wang, K., Butler, C. C., &amp; Wanat, M. (2023). Management of asthma in primary care in the changing context of the COVID-19 pandemic: a qualitative longitudinal study with patients. </w:t>
      </w:r>
      <w:r>
        <w:rPr>
          <w:rFonts w:cs="Times New Roman" w:ascii="Arial" w:hAnsi="Arial"/>
          <w:i/>
          <w:iCs/>
          <w:sz w:val="22"/>
          <w:szCs w:val="22"/>
        </w:rPr>
        <w:t>British Journal of General Practice</w:t>
      </w:r>
      <w:r>
        <w:rPr>
          <w:rFonts w:cs="Times New Roman" w:ascii="Arial" w:hAnsi="Arial"/>
          <w:sz w:val="22"/>
          <w:szCs w:val="22"/>
        </w:rPr>
        <w:t xml:space="preserve">, </w:t>
      </w:r>
      <w:r>
        <w:rPr>
          <w:rFonts w:cs="Times New Roman" w:ascii="Arial" w:hAnsi="Arial"/>
          <w:i/>
          <w:iCs/>
          <w:sz w:val="22"/>
          <w:szCs w:val="22"/>
        </w:rPr>
        <w:t>73</w:t>
      </w:r>
      <w:r>
        <w:rPr>
          <w:rFonts w:cs="Times New Roman" w:ascii="Arial" w:hAnsi="Arial"/>
          <w:sz w:val="22"/>
          <w:szCs w:val="22"/>
        </w:rPr>
        <w:t xml:space="preserve">(737), BJGP.2022.0581. </w:t>
      </w:r>
      <w:hyperlink r:id="rId23">
        <w:r>
          <w:rPr>
            <w:rStyle w:val="InternetLink"/>
            <w:rFonts w:cs="Times New Roman" w:ascii="Arial" w:hAnsi="Arial"/>
            <w:sz w:val="22"/>
            <w:szCs w:val="22"/>
          </w:rPr>
          <w:t>https://doi.org/10.3399/bjgp.2022.0581</w:t>
        </w:r>
      </w:hyperlink>
    </w:p>
    <w:p>
      <w:pPr>
        <w:pStyle w:val="Normal"/>
        <w:spacing w:lineRule="auto" w:line="480"/>
        <w:ind w:left="1440" w:hanging="720"/>
        <w:jc w:val="both"/>
        <w:rPr/>
      </w:pPr>
      <w:r>
        <w:rPr>
          <w:rFonts w:cs="Times New Roman" w:ascii="Arial" w:hAnsi="Arial"/>
          <w:sz w:val="22"/>
          <w:szCs w:val="22"/>
        </w:rPr>
        <w:t xml:space="preserve">World Health Organization. (2024). </w:t>
      </w:r>
      <w:r>
        <w:rPr>
          <w:rFonts w:cs="Times New Roman" w:ascii="Arial" w:hAnsi="Arial"/>
          <w:i/>
          <w:iCs/>
          <w:sz w:val="22"/>
          <w:szCs w:val="22"/>
        </w:rPr>
        <w:t>Asthma</w:t>
      </w:r>
      <w:r>
        <w:rPr>
          <w:rFonts w:cs="Times New Roman" w:ascii="Arial" w:hAnsi="Arial"/>
          <w:sz w:val="22"/>
          <w:szCs w:val="22"/>
        </w:rPr>
        <w:t xml:space="preserve">. World Health Organization. </w:t>
      </w:r>
      <w:hyperlink r:id="rId24">
        <w:r>
          <w:rPr>
            <w:rStyle w:val="InternetLink"/>
            <w:rFonts w:cs="Times New Roman" w:ascii="Arial" w:hAnsi="Arial"/>
            <w:sz w:val="22"/>
            <w:szCs w:val="22"/>
          </w:rPr>
          <w:t>https://www.who.int/news-room/fact-sheets/detail/asthma</w:t>
        </w:r>
      </w:hyperlink>
    </w:p>
    <w:p>
      <w:pPr>
        <w:pStyle w:val="Normal"/>
        <w:spacing w:lineRule="auto" w:line="480"/>
        <w:ind w:left="1440" w:hanging="720"/>
        <w:jc w:val="both"/>
        <w:rPr/>
      </w:pPr>
      <w:r>
        <w:rPr>
          <w:rFonts w:cs="Times New Roman" w:ascii="Arial" w:hAnsi="Arial"/>
          <w:sz w:val="22"/>
          <w:szCs w:val="22"/>
        </w:rPr>
        <w:t xml:space="preserve">Zhang, X., Ding, R., Zhang, Z., Chen, M., Yin, Y., &amp; Quint, J. K. (2023). Medication Adherence in People with Asthma: A Qualitative Systematic Review of Patient and Health Professional Perspectives. </w:t>
      </w:r>
      <w:r>
        <w:rPr>
          <w:rFonts w:cs="Times New Roman" w:ascii="Arial" w:hAnsi="Arial"/>
          <w:i/>
          <w:iCs/>
          <w:sz w:val="22"/>
          <w:szCs w:val="22"/>
        </w:rPr>
        <w:t>Medication Adherence in People with Asthma: A Qualitative Systematic Review of Patient and Health Professional Perspectives</w:t>
      </w:r>
      <w:r>
        <w:rPr>
          <w:rFonts w:cs="Times New Roman" w:ascii="Arial" w:hAnsi="Arial"/>
          <w:sz w:val="22"/>
          <w:szCs w:val="22"/>
        </w:rPr>
        <w:t xml:space="preserve">, </w:t>
      </w:r>
      <w:r>
        <w:rPr>
          <w:rFonts w:cs="Times New Roman" w:ascii="Arial" w:hAnsi="Arial"/>
          <w:i/>
          <w:iCs/>
          <w:sz w:val="22"/>
          <w:szCs w:val="22"/>
        </w:rPr>
        <w:t>16</w:t>
      </w:r>
      <w:r>
        <w:rPr>
          <w:rFonts w:cs="Times New Roman" w:ascii="Arial" w:hAnsi="Arial"/>
          <w:sz w:val="22"/>
          <w:szCs w:val="22"/>
        </w:rPr>
        <w:t xml:space="preserve">(16), 515–527. </w:t>
      </w:r>
      <w:hyperlink r:id="rId25">
        <w:r>
          <w:rPr>
            <w:rStyle w:val="InternetLink"/>
            <w:rFonts w:cs="Times New Roman" w:ascii="Arial" w:hAnsi="Arial"/>
            <w:sz w:val="22"/>
            <w:szCs w:val="22"/>
          </w:rPr>
          <w:t>https://doi.org/10.2147/jaa.s407552</w:t>
        </w:r>
      </w:hyperlink>
    </w:p>
    <w:p>
      <w:pPr>
        <w:pStyle w:val="Normal"/>
        <w:spacing w:lineRule="auto" w:line="480"/>
        <w:jc w:val="both"/>
        <w:rPr>
          <w:rFonts w:ascii="Arial" w:hAnsi="Arial" w:cs="Times New Roman"/>
          <w:sz w:val="22"/>
          <w:szCs w:val="22"/>
        </w:rPr>
      </w:pPr>
      <w:r>
        <w:rPr>
          <w:rFonts w:cs="Times New Roman" w:ascii="Arial" w:hAnsi="Arial"/>
          <w:sz w:val="22"/>
          <w:szCs w:val="22"/>
        </w:rPr>
      </w:r>
    </w:p>
    <w:p>
      <w:pPr>
        <w:pStyle w:val="Normal"/>
        <w:spacing w:lineRule="auto" w:line="480" w:before="0" w:after="160"/>
        <w:jc w:val="both"/>
        <w:rPr>
          <w:rFonts w:ascii="Arial" w:hAnsi="Arial"/>
          <w:sz w:val="22"/>
          <w:szCs w:val="22"/>
        </w:rPr>
      </w:pPr>
      <w:r>
        <w:rPr>
          <w:rFonts w:ascii="Arial" w:hAnsi="Arial"/>
          <w:sz w:val="22"/>
          <w:szCs w:val="22"/>
        </w:rPr>
      </w:r>
    </w:p>
    <w:sectPr>
      <w:headerReference w:type="default" r:id="rId26"/>
      <w:type w:val="nextPage"/>
      <w:pgSz w:w="12240" w:h="15840"/>
      <w:pgMar w:left="1440" w:right="1440" w:gutter="0" w:header="72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458103181"/>
    </w:sdtPr>
    <w:sdtContent>
      <w:p>
        <w:pPr>
          <w:pStyle w:val="Header"/>
          <w:jc w:val="right"/>
          <w:rPr/>
        </w:pPr>
        <w:r>
          <w:rPr/>
          <w:fldChar w:fldCharType="begin"/>
        </w:r>
        <w:r>
          <w:rPr/>
          <w:instrText xml:space="preserve"> PAGE </w:instrText>
        </w:r>
        <w:r>
          <w:rPr/>
          <w:fldChar w:fldCharType="separate"/>
        </w:r>
        <w:r>
          <w:rPr/>
          <w:t>19</w:t>
        </w:r>
        <w:r>
          <w:rPr/>
          <w:fldChar w:fldCharType="end"/>
        </w:r>
      </w:p>
    </w:sdtContent>
  </w:sdt>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16"/>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en-US"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160"/>
      <w:jc w:val="left"/>
    </w:pPr>
    <w:rPr>
      <w:rFonts w:ascii="Calibri" w:hAnsi="Calibri" w:eastAsia="Calibri" w:cs="" w:asciiTheme="minorHAnsi" w:cstheme="minorBidi" w:eastAsiaTheme="minorHAnsi" w:hAnsiTheme="minorHAnsi"/>
      <w:color w:val="auto"/>
      <w:kern w:val="2"/>
      <w:sz w:val="24"/>
      <w:szCs w:val="24"/>
      <w:lang w:val="en-US" w:eastAsia="en-US" w:bidi="ar-SA"/>
      <w14:ligatures w14:val="standardContextual"/>
    </w:rPr>
  </w:style>
  <w:style w:type="paragraph" w:styleId="Heading1">
    <w:name w:val="Heading 1"/>
    <w:basedOn w:val="Normal"/>
    <w:next w:val="Normal"/>
    <w:link w:val="Heading1Char"/>
    <w:uiPriority w:val="9"/>
    <w:qFormat/>
    <w:rsid w:val="007b1592"/>
    <w:pPr>
      <w:keepNext w:val="true"/>
      <w:keepLines/>
      <w:spacing w:before="360" w:after="80"/>
      <w:outlineLvl w:val="0"/>
    </w:pPr>
    <w:rPr>
      <w:rFonts w:ascii="Calibri Light" w:hAnsi="Calibri Light" w:eastAsia="" w:cs="" w:asciiTheme="majorHAnsi" w:cstheme="majorBidi" w:eastAsiaTheme="majorEastAsia" w:hAnsiTheme="majorHAnsi"/>
      <w:color w:val="2F5496" w:themeColor="accent1" w:themeShade="bf"/>
      <w:sz w:val="40"/>
      <w:szCs w:val="40"/>
    </w:rPr>
  </w:style>
  <w:style w:type="paragraph" w:styleId="Heading2">
    <w:name w:val="Heading 2"/>
    <w:basedOn w:val="Normal"/>
    <w:next w:val="Normal"/>
    <w:link w:val="Heading2Char"/>
    <w:uiPriority w:val="9"/>
    <w:unhideWhenUsed/>
    <w:qFormat/>
    <w:rsid w:val="007b1592"/>
    <w:pPr>
      <w:keepNext w:val="true"/>
      <w:keepLines/>
      <w:spacing w:before="160" w:after="80"/>
      <w:outlineLvl w:val="1"/>
    </w:pPr>
    <w:rPr>
      <w:rFonts w:ascii="Calibri Light" w:hAnsi="Calibri Light" w:eastAsia="" w:cs="" w:asciiTheme="majorHAnsi" w:cstheme="majorBidi" w:eastAsiaTheme="majorEastAsia" w:hAnsiTheme="majorHAnsi"/>
      <w:color w:val="2F5496" w:themeColor="accent1" w:themeShade="bf"/>
      <w:sz w:val="32"/>
      <w:szCs w:val="32"/>
    </w:rPr>
  </w:style>
  <w:style w:type="paragraph" w:styleId="Heading3">
    <w:name w:val="Heading 3"/>
    <w:basedOn w:val="Normal"/>
    <w:next w:val="Normal"/>
    <w:link w:val="Heading3Char"/>
    <w:uiPriority w:val="9"/>
    <w:semiHidden/>
    <w:unhideWhenUsed/>
    <w:qFormat/>
    <w:rsid w:val="007b1592"/>
    <w:pPr>
      <w:keepNext w:val="true"/>
      <w:keepLines/>
      <w:spacing w:before="160" w:after="80"/>
      <w:outlineLvl w:val="2"/>
    </w:pPr>
    <w:rPr>
      <w:rFonts w:eastAsia="" w:cs="" w:cstheme="majorBidi" w:eastAsiaTheme="majorEastAsia"/>
      <w:color w:val="2F5496" w:themeColor="accent1" w:themeShade="bf"/>
      <w:sz w:val="28"/>
      <w:szCs w:val="28"/>
    </w:rPr>
  </w:style>
  <w:style w:type="paragraph" w:styleId="Heading4">
    <w:name w:val="Heading 4"/>
    <w:basedOn w:val="Normal"/>
    <w:next w:val="Normal"/>
    <w:link w:val="Heading4Char"/>
    <w:uiPriority w:val="9"/>
    <w:semiHidden/>
    <w:unhideWhenUsed/>
    <w:qFormat/>
    <w:rsid w:val="007b1592"/>
    <w:pPr>
      <w:keepNext w:val="true"/>
      <w:keepLines/>
      <w:spacing w:before="80" w:after="40"/>
      <w:outlineLvl w:val="3"/>
    </w:pPr>
    <w:rPr>
      <w:rFonts w:eastAsia="" w:cs="" w:cstheme="majorBidi" w:eastAsiaTheme="majorEastAsia"/>
      <w:i/>
      <w:iCs/>
      <w:color w:val="2F5496" w:themeColor="accent1" w:themeShade="bf"/>
    </w:rPr>
  </w:style>
  <w:style w:type="paragraph" w:styleId="Heading5">
    <w:name w:val="Heading 5"/>
    <w:basedOn w:val="Normal"/>
    <w:next w:val="Normal"/>
    <w:link w:val="Heading5Char"/>
    <w:uiPriority w:val="9"/>
    <w:semiHidden/>
    <w:unhideWhenUsed/>
    <w:qFormat/>
    <w:rsid w:val="007b1592"/>
    <w:pPr>
      <w:keepNext w:val="true"/>
      <w:keepLines/>
      <w:spacing w:before="80" w:after="40"/>
      <w:outlineLvl w:val="4"/>
    </w:pPr>
    <w:rPr>
      <w:rFonts w:eastAsia="" w:cs="" w:cstheme="majorBidi" w:eastAsiaTheme="majorEastAsia"/>
      <w:color w:val="2F5496" w:themeColor="accent1" w:themeShade="bf"/>
    </w:rPr>
  </w:style>
  <w:style w:type="paragraph" w:styleId="Heading6">
    <w:name w:val="Heading 6"/>
    <w:basedOn w:val="Normal"/>
    <w:next w:val="Normal"/>
    <w:link w:val="Heading6Char"/>
    <w:uiPriority w:val="9"/>
    <w:semiHidden/>
    <w:unhideWhenUsed/>
    <w:qFormat/>
    <w:rsid w:val="007b1592"/>
    <w:pPr>
      <w:keepNext w:val="true"/>
      <w:keepLines/>
      <w:spacing w:before="40" w:after="0"/>
      <w:outlineLvl w:val="5"/>
    </w:pPr>
    <w:rPr>
      <w:rFonts w:eastAsia="" w:cs="" w:cstheme="majorBidi"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7b1592"/>
    <w:pPr>
      <w:keepNext w:val="true"/>
      <w:keepLines/>
      <w:spacing w:before="40" w:after="0"/>
      <w:outlineLvl w:val="6"/>
    </w:pPr>
    <w:rPr>
      <w:rFonts w:eastAsia="" w:cs="" w:cstheme="majorBidi" w:eastAsiaTheme="majorEastAsia"/>
      <w:color w:val="595959" w:themeColor="text1" w:themeTint="a6"/>
    </w:rPr>
  </w:style>
  <w:style w:type="paragraph" w:styleId="Heading8">
    <w:name w:val="Heading 8"/>
    <w:basedOn w:val="Normal"/>
    <w:next w:val="Normal"/>
    <w:link w:val="Heading8Char"/>
    <w:uiPriority w:val="9"/>
    <w:semiHidden/>
    <w:unhideWhenUsed/>
    <w:qFormat/>
    <w:rsid w:val="007b1592"/>
    <w:pPr>
      <w:keepNext w:val="true"/>
      <w:keepLines/>
      <w:spacing w:before="0" w:after="0"/>
      <w:outlineLvl w:val="7"/>
    </w:pPr>
    <w:rPr>
      <w:rFonts w:eastAsia="" w:cs="" w:cstheme="majorBidi"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7b1592"/>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unhideWhenUsed/>
    <w:qFormat/>
    <w:rPr/>
  </w:style>
  <w:style w:type="character" w:styleId="Heading1Char" w:customStyle="1">
    <w:name w:val="Heading 1 Char"/>
    <w:basedOn w:val="DefaultParagraphFont"/>
    <w:link w:val="Heading1"/>
    <w:uiPriority w:val="9"/>
    <w:qFormat/>
    <w:rsid w:val="007b1592"/>
    <w:rPr>
      <w:rFonts w:ascii="Calibri Light" w:hAnsi="Calibri Light" w:eastAsia="" w:cs="" w:asciiTheme="majorHAnsi" w:cstheme="majorBidi" w:eastAsiaTheme="majorEastAsia" w:hAnsiTheme="majorHAnsi"/>
      <w:color w:val="2F5496" w:themeColor="accent1" w:themeShade="bf"/>
      <w:sz w:val="40"/>
      <w:szCs w:val="40"/>
    </w:rPr>
  </w:style>
  <w:style w:type="character" w:styleId="Heading2Char" w:customStyle="1">
    <w:name w:val="Heading 2 Char"/>
    <w:basedOn w:val="DefaultParagraphFont"/>
    <w:link w:val="Heading2"/>
    <w:uiPriority w:val="9"/>
    <w:qFormat/>
    <w:rsid w:val="007b1592"/>
    <w:rPr>
      <w:rFonts w:ascii="Calibri Light" w:hAnsi="Calibri Light" w:eastAsia="" w:cs="" w:asciiTheme="majorHAnsi" w:cstheme="majorBidi" w:eastAsiaTheme="majorEastAsia" w:hAnsiTheme="majorHAnsi"/>
      <w:color w:val="2F5496" w:themeColor="accent1" w:themeShade="bf"/>
      <w:sz w:val="32"/>
      <w:szCs w:val="32"/>
    </w:rPr>
  </w:style>
  <w:style w:type="character" w:styleId="Heading3Char" w:customStyle="1">
    <w:name w:val="Heading 3 Char"/>
    <w:basedOn w:val="DefaultParagraphFont"/>
    <w:link w:val="Heading3"/>
    <w:uiPriority w:val="9"/>
    <w:semiHidden/>
    <w:qFormat/>
    <w:rsid w:val="007b1592"/>
    <w:rPr>
      <w:rFonts w:eastAsia="" w:cs="" w:cstheme="majorBidi" w:eastAsiaTheme="majorEastAsia"/>
      <w:color w:val="2F5496" w:themeColor="accent1" w:themeShade="bf"/>
      <w:sz w:val="28"/>
      <w:szCs w:val="28"/>
    </w:rPr>
  </w:style>
  <w:style w:type="character" w:styleId="Heading4Char" w:customStyle="1">
    <w:name w:val="Heading 4 Char"/>
    <w:basedOn w:val="DefaultParagraphFont"/>
    <w:link w:val="Heading4"/>
    <w:uiPriority w:val="9"/>
    <w:semiHidden/>
    <w:qFormat/>
    <w:rsid w:val="007b1592"/>
    <w:rPr>
      <w:rFonts w:eastAsia="" w:cs="" w:cstheme="majorBidi" w:eastAsiaTheme="majorEastAsia"/>
      <w:i/>
      <w:iCs/>
      <w:color w:val="2F5496" w:themeColor="accent1" w:themeShade="bf"/>
    </w:rPr>
  </w:style>
  <w:style w:type="character" w:styleId="Heading5Char" w:customStyle="1">
    <w:name w:val="Heading 5 Char"/>
    <w:basedOn w:val="DefaultParagraphFont"/>
    <w:link w:val="Heading5"/>
    <w:uiPriority w:val="9"/>
    <w:semiHidden/>
    <w:qFormat/>
    <w:rsid w:val="007b1592"/>
    <w:rPr>
      <w:rFonts w:eastAsia="" w:cs="" w:cstheme="majorBidi" w:eastAsiaTheme="majorEastAsia"/>
      <w:color w:val="2F5496" w:themeColor="accent1" w:themeShade="bf"/>
    </w:rPr>
  </w:style>
  <w:style w:type="character" w:styleId="Heading6Char" w:customStyle="1">
    <w:name w:val="Heading 6 Char"/>
    <w:basedOn w:val="DefaultParagraphFont"/>
    <w:link w:val="Heading6"/>
    <w:uiPriority w:val="9"/>
    <w:semiHidden/>
    <w:qFormat/>
    <w:rsid w:val="007b1592"/>
    <w:rPr>
      <w:rFonts w:eastAsia="" w:cs="" w:cstheme="majorBidi" w:eastAsiaTheme="majorEastAsia"/>
      <w:i/>
      <w:iCs/>
      <w:color w:val="595959" w:themeColor="text1" w:themeTint="a6"/>
    </w:rPr>
  </w:style>
  <w:style w:type="character" w:styleId="Heading7Char" w:customStyle="1">
    <w:name w:val="Heading 7 Char"/>
    <w:basedOn w:val="DefaultParagraphFont"/>
    <w:link w:val="Heading7"/>
    <w:uiPriority w:val="9"/>
    <w:semiHidden/>
    <w:qFormat/>
    <w:rsid w:val="007b1592"/>
    <w:rPr>
      <w:rFonts w:eastAsia="" w:cs="" w:cstheme="majorBidi" w:eastAsiaTheme="majorEastAsia"/>
      <w:color w:val="595959" w:themeColor="text1" w:themeTint="a6"/>
    </w:rPr>
  </w:style>
  <w:style w:type="character" w:styleId="Heading8Char" w:customStyle="1">
    <w:name w:val="Heading 8 Char"/>
    <w:basedOn w:val="DefaultParagraphFont"/>
    <w:link w:val="Heading8"/>
    <w:uiPriority w:val="9"/>
    <w:semiHidden/>
    <w:qFormat/>
    <w:rsid w:val="007b1592"/>
    <w:rPr>
      <w:rFonts w:eastAsia="" w:cs="" w:cstheme="majorBidi" w:eastAsiaTheme="majorEastAsia"/>
      <w:i/>
      <w:iCs/>
      <w:color w:val="272727" w:themeColor="text1" w:themeTint="d8"/>
    </w:rPr>
  </w:style>
  <w:style w:type="character" w:styleId="Heading9Char" w:customStyle="1">
    <w:name w:val="Heading 9 Char"/>
    <w:basedOn w:val="DefaultParagraphFont"/>
    <w:link w:val="Heading9"/>
    <w:uiPriority w:val="9"/>
    <w:semiHidden/>
    <w:qFormat/>
    <w:rsid w:val="007b1592"/>
    <w:rPr>
      <w:rFonts w:eastAsia="" w:cs="" w:cstheme="majorBidi" w:eastAsiaTheme="majorEastAsia"/>
      <w:color w:val="272727" w:themeColor="text1" w:themeTint="d8"/>
    </w:rPr>
  </w:style>
  <w:style w:type="character" w:styleId="TitleChar" w:customStyle="1">
    <w:name w:val="Title Char"/>
    <w:basedOn w:val="DefaultParagraphFont"/>
    <w:link w:val="Title"/>
    <w:uiPriority w:val="10"/>
    <w:qFormat/>
    <w:rsid w:val="007b1592"/>
    <w:rPr>
      <w:rFonts w:ascii="Calibri Light" w:hAnsi="Calibri Light"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7b1592"/>
    <w:rPr>
      <w:rFonts w:eastAsia="" w:cs="" w:cstheme="majorBidi" w:eastAsiaTheme="majorEastAsia"/>
      <w:color w:val="595959" w:themeColor="text1" w:themeTint="a6"/>
      <w:spacing w:val="15"/>
      <w:sz w:val="28"/>
      <w:szCs w:val="28"/>
    </w:rPr>
  </w:style>
  <w:style w:type="character" w:styleId="QuoteChar" w:customStyle="1">
    <w:name w:val="Quote Char"/>
    <w:basedOn w:val="DefaultParagraphFont"/>
    <w:link w:val="Quote"/>
    <w:uiPriority w:val="29"/>
    <w:qFormat/>
    <w:rsid w:val="007b1592"/>
    <w:rPr>
      <w:i/>
      <w:iCs/>
      <w:color w:val="404040" w:themeColor="text1" w:themeTint="bf"/>
    </w:rPr>
  </w:style>
  <w:style w:type="character" w:styleId="IntenseEmphasis">
    <w:name w:val="Intense Emphasis"/>
    <w:basedOn w:val="DefaultParagraphFont"/>
    <w:uiPriority w:val="21"/>
    <w:qFormat/>
    <w:rsid w:val="007b1592"/>
    <w:rPr>
      <w:i/>
      <w:iCs/>
      <w:color w:val="2F5496" w:themeColor="accent1" w:themeShade="bf"/>
    </w:rPr>
  </w:style>
  <w:style w:type="character" w:styleId="IntenseQuoteChar" w:customStyle="1">
    <w:name w:val="Intense Quote Char"/>
    <w:basedOn w:val="DefaultParagraphFont"/>
    <w:link w:val="IntenseQuote"/>
    <w:uiPriority w:val="30"/>
    <w:qFormat/>
    <w:rsid w:val="007b1592"/>
    <w:rPr>
      <w:i/>
      <w:iCs/>
      <w:color w:val="2F5496" w:themeColor="accent1" w:themeShade="bf"/>
    </w:rPr>
  </w:style>
  <w:style w:type="character" w:styleId="IntenseReference">
    <w:name w:val="Intense Reference"/>
    <w:basedOn w:val="DefaultParagraphFont"/>
    <w:uiPriority w:val="32"/>
    <w:qFormat/>
    <w:rsid w:val="007b1592"/>
    <w:rPr>
      <w:b/>
      <w:bCs/>
      <w:smallCaps/>
      <w:color w:val="2F5496" w:themeColor="accent1" w:themeShade="bf"/>
      <w:spacing w:val="5"/>
    </w:rPr>
  </w:style>
  <w:style w:type="character" w:styleId="InternetLink">
    <w:name w:val="Hyperlink"/>
    <w:basedOn w:val="DefaultParagraphFont"/>
    <w:uiPriority w:val="99"/>
    <w:unhideWhenUsed/>
    <w:rsid w:val="00391974"/>
    <w:rPr>
      <w:color w:val="0563C1" w:themeColor="hyperlink"/>
      <w:u w:val="single"/>
    </w:rPr>
  </w:style>
  <w:style w:type="character" w:styleId="UnresolvedMention">
    <w:name w:val="Unresolved Mention"/>
    <w:basedOn w:val="DefaultParagraphFont"/>
    <w:uiPriority w:val="99"/>
    <w:semiHidden/>
    <w:unhideWhenUsed/>
    <w:qFormat/>
    <w:rsid w:val="00391974"/>
    <w:rPr>
      <w:color w:val="605E5C"/>
      <w:shd w:fill="E1DFDD" w:val="clear"/>
    </w:rPr>
  </w:style>
  <w:style w:type="character" w:styleId="HeaderChar" w:customStyle="1">
    <w:name w:val="Header Char"/>
    <w:basedOn w:val="DefaultParagraphFont"/>
    <w:link w:val="Header"/>
    <w:uiPriority w:val="99"/>
    <w:qFormat/>
    <w:rsid w:val="004e2b08"/>
    <w:rPr/>
  </w:style>
  <w:style w:type="character" w:styleId="FooterChar" w:customStyle="1">
    <w:name w:val="Footer Char"/>
    <w:basedOn w:val="DefaultParagraphFont"/>
    <w:link w:val="Footer"/>
    <w:uiPriority w:val="99"/>
    <w:qFormat/>
    <w:rsid w:val="004e2b08"/>
    <w:rPr/>
  </w:style>
  <w:style w:type="character" w:styleId="Strong">
    <w:name w:val="Strong"/>
    <w:qFormat/>
    <w:rPr>
      <w:rFonts w:ascii="Times New Roman" w:hAnsi="Times New Roman" w:eastAsia="Times New Roman" w:cs="Times New Roman"/>
      <w:b/>
      <w:bCs/>
      <w:color w:val="000000"/>
      <w:sz w:val="24"/>
      <w:szCs w:val="24"/>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rsid w:val="007b1592"/>
    <w:pPr>
      <w:spacing w:lineRule="auto" w:line="240"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7b1592"/>
    <w:pPr/>
    <w:rPr>
      <w:rFonts w:eastAsia="" w:cs=""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rsid w:val="007b1592"/>
    <w:pPr>
      <w:spacing w:before="160" w:after="160"/>
      <w:jc w:val="center"/>
    </w:pPr>
    <w:rPr>
      <w:i/>
      <w:iCs/>
      <w:color w:val="404040" w:themeColor="text1" w:themeTint="bf"/>
    </w:rPr>
  </w:style>
  <w:style w:type="paragraph" w:styleId="ListParagraph">
    <w:name w:val="List Paragraph"/>
    <w:basedOn w:val="Normal"/>
    <w:uiPriority w:val="34"/>
    <w:qFormat/>
    <w:rsid w:val="007b1592"/>
    <w:pPr>
      <w:spacing w:before="0" w:after="160"/>
      <w:ind w:left="720" w:hanging="0"/>
      <w:contextualSpacing/>
    </w:pPr>
    <w:rPr/>
  </w:style>
  <w:style w:type="paragraph" w:styleId="IntenseQuote">
    <w:name w:val="Intense Quote"/>
    <w:basedOn w:val="Normal"/>
    <w:next w:val="Normal"/>
    <w:link w:val="IntenseQuoteChar"/>
    <w:uiPriority w:val="30"/>
    <w:qFormat/>
    <w:rsid w:val="007b1592"/>
    <w:pPr>
      <w:pBdr>
        <w:top w:val="single" w:sz="4" w:space="10" w:color="2F5496"/>
        <w:bottom w:val="single" w:sz="4" w:space="10" w:color="2F5496"/>
      </w:pBdr>
      <w:spacing w:before="360" w:after="360"/>
      <w:ind w:left="864" w:right="864" w:hanging="0"/>
      <w:jc w:val="center"/>
    </w:pPr>
    <w:rPr>
      <w:i/>
      <w:iCs/>
      <w:color w:val="2F5496" w:themeColor="accent1" w:themeShade="bf"/>
    </w:rPr>
  </w:style>
  <w:style w:type="paragraph" w:styleId="HeaderandFooter">
    <w:name w:val="Header and Footer"/>
    <w:basedOn w:val="Normal"/>
    <w:qFormat/>
    <w:pPr/>
    <w:rPr/>
  </w:style>
  <w:style w:type="paragraph" w:styleId="Header">
    <w:name w:val="Header"/>
    <w:basedOn w:val="Normal"/>
    <w:link w:val="HeaderChar"/>
    <w:uiPriority w:val="99"/>
    <w:unhideWhenUsed/>
    <w:rsid w:val="004e2b08"/>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4e2b08"/>
    <w:pPr>
      <w:tabs>
        <w:tab w:val="clear" w:pos="720"/>
        <w:tab w:val="center" w:pos="4680" w:leader="none"/>
        <w:tab w:val="right" w:pos="9360" w:leader="none"/>
      </w:tabs>
      <w:spacing w:lineRule="auto" w:line="240" w:before="0" w:after="0"/>
    </w:pPr>
    <w:rPr/>
  </w:style>
  <w:style w:type="paragraph" w:styleId="NormalWeb">
    <w:name w:val="Normal (Web)"/>
    <w:basedOn w:val="Normal"/>
    <w:qFormat/>
    <w:pPr>
      <w:spacing w:lineRule="exact" w:line="240" w:beforeAutospacing="1" w:afterAutospacing="1"/>
    </w:pPr>
    <w:rPr>
      <w:rFonts w:ascii="Times New Roman" w:hAnsi="Times New Roman" w:eastAsia="Times New Roman" w:cs="Times New Roman"/>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ae5ce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s://doi.org/10.36347/sjams.2026.v14i01.004" TargetMode="External"/><Relationship Id="rId5" Type="http://schemas.openxmlformats.org/officeDocument/2006/relationships/hyperlink" Target="https://doi.org/10.2147/jmdh.s442396" TargetMode="External"/><Relationship Id="rId6" Type="http://schemas.openxmlformats.org/officeDocument/2006/relationships/hyperlink" Target="https://doi.org/10.1177/0897190020927274" TargetMode="External"/><Relationship Id="rId7" Type="http://schemas.openxmlformats.org/officeDocument/2006/relationships/hyperlink" Target="https://www.brit-thoracic.org.uk/document-library/guidelines/asthma/btssign-asthma-guideline-2014/" TargetMode="External"/><Relationship Id="rId8" Type="http://schemas.openxmlformats.org/officeDocument/2006/relationships/hyperlink" Target="https://doi.org/10.1097/ms9.0000000000003491" TargetMode="External"/><Relationship Id="rId9" Type="http://schemas.openxmlformats.org/officeDocument/2006/relationships/hyperlink" Target="https://doi.org/10.1037/cpp0000319" TargetMode="External"/><Relationship Id="rId10" Type="http://schemas.openxmlformats.org/officeDocument/2006/relationships/hyperlink" Target="https://doi.org/10.3389/fped.2019.00246" TargetMode="External"/><Relationship Id="rId11" Type="http://schemas.openxmlformats.org/officeDocument/2006/relationships/hyperlink" Target="https://doi.org/10.1097/aci.0000000000000872" TargetMode="External"/><Relationship Id="rId12" Type="http://schemas.openxmlformats.org/officeDocument/2006/relationships/hyperlink" Target="https://doi.org/10.1038/s41533-020-0184-0" TargetMode="External"/><Relationship Id="rId13" Type="http://schemas.openxmlformats.org/officeDocument/2006/relationships/hyperlink" Target="https://doi.org/10.1016/j.pmip.2025.100157" TargetMode="External"/><Relationship Id="rId14" Type="http://schemas.openxmlformats.org/officeDocument/2006/relationships/hyperlink" Target="https://doi.org/10.1007/s40572-015-0069-5" TargetMode="External"/><Relationship Id="rId15" Type="http://schemas.openxmlformats.org/officeDocument/2006/relationships/hyperlink" Target="https://doi.org/10.1038/s41533-019-0121-2" TargetMode="External"/><Relationship Id="rId16" Type="http://schemas.openxmlformats.org/officeDocument/2006/relationships/hyperlink" Target="https://doi.org/10.1136/bmjresp-2023-002003" TargetMode="External"/><Relationship Id="rId17" Type="http://schemas.openxmlformats.org/officeDocument/2006/relationships/hyperlink" Target="https://doi.org/10.1016/j.rmed.2022.106897" TargetMode="External"/><Relationship Id="rId18" Type="http://schemas.openxmlformats.org/officeDocument/2006/relationships/hyperlink" Target="https://www.mayoclinic.org/diseases-conditions/asthma/diagnosis-treatment/drc-20369660" TargetMode="External"/><Relationship Id="rId19" Type="http://schemas.openxmlformats.org/officeDocument/2006/relationships/hyperlink" Target="https://doi.org/10.1038/s41533-017-0056-4" TargetMode="External"/><Relationship Id="rId20" Type="http://schemas.openxmlformats.org/officeDocument/2006/relationships/hyperlink" Target="https://emedicine.medscape.com/article/296301-treatment" TargetMode="External"/><Relationship Id="rId21" Type="http://schemas.openxmlformats.org/officeDocument/2006/relationships/hyperlink" Target="https://doi.org/10.3390/jcm13226699" TargetMode="External"/><Relationship Id="rId22" Type="http://schemas.openxmlformats.org/officeDocument/2006/relationships/hyperlink" Target="https://doi.org/10.1111/jar.70155" TargetMode="External"/><Relationship Id="rId23" Type="http://schemas.openxmlformats.org/officeDocument/2006/relationships/hyperlink" Target="https://doi.org/10.3399/bjgp.2022.0581" TargetMode="External"/><Relationship Id="rId24" Type="http://schemas.openxmlformats.org/officeDocument/2006/relationships/hyperlink" Target="https://www.who.int/news-room/fact-sheets/detail/asthma" TargetMode="External"/><Relationship Id="rId25" Type="http://schemas.openxmlformats.org/officeDocument/2006/relationships/hyperlink" Target="https://doi.org/10.2147/jaa.s407552" TargetMode="External"/><Relationship Id="rId26" Type="http://schemas.openxmlformats.org/officeDocument/2006/relationships/header" Target="header1.xml"/><Relationship Id="rId27" Type="http://schemas.openxmlformats.org/officeDocument/2006/relationships/numbering" Target="numbering.xml"/><Relationship Id="rId28" Type="http://schemas.openxmlformats.org/officeDocument/2006/relationships/fontTable" Target="fontTable.xml"/><Relationship Id="rId29" Type="http://schemas.openxmlformats.org/officeDocument/2006/relationships/settings" Target="settings.xml"/><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Application>LibreOffice/7.5.3.2$Windows_X86_64 LibreOffice_project/9f56dff12ba03b9acd7730a5a481eea045e468f3</Application>
  <AppVersion>15.0000</AppVersion>
  <Pages>21</Pages>
  <Words>4473</Words>
  <Characters>25670</Characters>
  <CharactersWithSpaces>29954</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dc:description/>
  <dc:language>en-GB</dc:language>
  <cp:lastModifiedBy/>
  <dcterms:modified xsi:type="dcterms:W3CDTF">2026-03-24T12:50:21Z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