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45030" w14:textId="422207D6" w:rsidR="00E2417F" w:rsidRPr="002527A3" w:rsidRDefault="0082222E">
      <w:pPr>
        <w:spacing w:before="240"/>
        <w:jc w:val="center"/>
      </w:pPr>
      <w:r w:rsidRPr="002527A3">
        <w:rPr>
          <w:rFonts w:cs="Arial"/>
          <w:noProof/>
        </w:rPr>
        <w:drawing>
          <wp:anchor distT="0" distB="0" distL="114300" distR="114300" simplePos="0" relativeHeight="251659264" behindDoc="0" locked="0" layoutInCell="1" allowOverlap="1" wp14:anchorId="2E937708" wp14:editId="45AC3A26">
            <wp:simplePos x="0" y="0"/>
            <wp:positionH relativeFrom="column">
              <wp:posOffset>0</wp:posOffset>
            </wp:positionH>
            <wp:positionV relativeFrom="paragraph">
              <wp:posOffset>161925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B8EEC5C" w14:textId="77777777" w:rsidR="0082222E" w:rsidRPr="002527A3" w:rsidRDefault="0082222E">
      <w:pPr>
        <w:spacing w:before="240"/>
        <w:jc w:val="center"/>
      </w:pPr>
    </w:p>
    <w:p w14:paraId="53BA872A" w14:textId="77777777" w:rsidR="0082222E" w:rsidRPr="002527A3" w:rsidRDefault="0082222E">
      <w:pPr>
        <w:spacing w:before="240"/>
        <w:jc w:val="center"/>
      </w:pPr>
    </w:p>
    <w:tbl>
      <w:tblPr>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798"/>
        <w:gridCol w:w="2268"/>
        <w:gridCol w:w="2268"/>
      </w:tblGrid>
      <w:tr w:rsidR="0082222E" w:rsidRPr="002527A3" w14:paraId="2921E600" w14:textId="77777777" w:rsidTr="002527A3">
        <w:trPr>
          <w:jc w:val="center"/>
        </w:trPr>
        <w:tc>
          <w:tcPr>
            <w:tcW w:w="1843" w:type="dxa"/>
            <w:shd w:val="clear" w:color="auto" w:fill="D9D9D9" w:themeFill="background1" w:themeFillShade="D9"/>
          </w:tcPr>
          <w:p w14:paraId="03BF4D8F" w14:textId="77777777" w:rsidR="0082222E" w:rsidRPr="002527A3" w:rsidRDefault="0082222E" w:rsidP="0082222E">
            <w:pPr>
              <w:spacing w:before="120" w:after="120" w:line="360" w:lineRule="auto"/>
              <w:jc w:val="both"/>
              <w:rPr>
                <w:rFonts w:cs="Arial"/>
                <w:b/>
              </w:rPr>
            </w:pPr>
            <w:r w:rsidRPr="002527A3">
              <w:rPr>
                <w:rFonts w:cs="Arial"/>
                <w:b/>
              </w:rPr>
              <w:t>Programme:</w:t>
            </w:r>
          </w:p>
        </w:tc>
        <w:tc>
          <w:tcPr>
            <w:tcW w:w="8334" w:type="dxa"/>
            <w:gridSpan w:val="3"/>
          </w:tcPr>
          <w:p w14:paraId="5D0F2596" w14:textId="77777777" w:rsidR="0082222E" w:rsidRPr="002527A3" w:rsidRDefault="0082222E" w:rsidP="0082222E">
            <w:pPr>
              <w:spacing w:before="120" w:after="120" w:line="360" w:lineRule="auto"/>
              <w:jc w:val="both"/>
              <w:rPr>
                <w:rFonts w:cs="Arial"/>
                <w:b/>
              </w:rPr>
            </w:pPr>
            <w:r w:rsidRPr="002527A3">
              <w:rPr>
                <w:rFonts w:cs="Arial"/>
                <w:b/>
              </w:rPr>
              <w:t>BSc Health and Social Care</w:t>
            </w:r>
          </w:p>
        </w:tc>
      </w:tr>
      <w:tr w:rsidR="0082222E" w:rsidRPr="002527A3" w14:paraId="450816AB" w14:textId="77777777" w:rsidTr="002527A3">
        <w:trPr>
          <w:jc w:val="center"/>
        </w:trPr>
        <w:tc>
          <w:tcPr>
            <w:tcW w:w="1843" w:type="dxa"/>
            <w:shd w:val="clear" w:color="auto" w:fill="D9D9D9" w:themeFill="background1" w:themeFillShade="D9"/>
          </w:tcPr>
          <w:p w14:paraId="1481672B" w14:textId="77777777" w:rsidR="0082222E" w:rsidRPr="002527A3" w:rsidRDefault="0082222E" w:rsidP="0082222E">
            <w:pPr>
              <w:spacing w:before="120" w:after="120" w:line="360" w:lineRule="auto"/>
              <w:jc w:val="both"/>
              <w:rPr>
                <w:rFonts w:cs="Arial"/>
                <w:b/>
              </w:rPr>
            </w:pPr>
            <w:r w:rsidRPr="002527A3">
              <w:rPr>
                <w:rFonts w:cs="Arial"/>
                <w:b/>
              </w:rPr>
              <w:t>Module:</w:t>
            </w:r>
          </w:p>
        </w:tc>
        <w:tc>
          <w:tcPr>
            <w:tcW w:w="8334" w:type="dxa"/>
            <w:gridSpan w:val="3"/>
          </w:tcPr>
          <w:p w14:paraId="435F95F1" w14:textId="77777777" w:rsidR="0082222E" w:rsidRPr="002527A3" w:rsidRDefault="0082222E" w:rsidP="0082222E">
            <w:pPr>
              <w:spacing w:before="120" w:after="120" w:line="360" w:lineRule="auto"/>
              <w:jc w:val="both"/>
              <w:rPr>
                <w:rFonts w:cs="Arial"/>
                <w:b/>
              </w:rPr>
            </w:pPr>
            <w:r w:rsidRPr="002527A3">
              <w:rPr>
                <w:rFonts w:cs="Arial"/>
                <w:b/>
              </w:rPr>
              <w:t>Introduction to Independent Research Skills</w:t>
            </w:r>
          </w:p>
        </w:tc>
      </w:tr>
      <w:tr w:rsidR="0082222E" w:rsidRPr="002527A3" w14:paraId="2E8BF6BD" w14:textId="77777777" w:rsidTr="002527A3">
        <w:trPr>
          <w:jc w:val="center"/>
        </w:trPr>
        <w:tc>
          <w:tcPr>
            <w:tcW w:w="1843" w:type="dxa"/>
            <w:shd w:val="clear" w:color="auto" w:fill="D9D9D9" w:themeFill="background1" w:themeFillShade="D9"/>
          </w:tcPr>
          <w:p w14:paraId="625A68F9" w14:textId="77777777" w:rsidR="0082222E" w:rsidRPr="002527A3" w:rsidRDefault="0082222E" w:rsidP="0082222E">
            <w:pPr>
              <w:spacing w:before="120" w:after="120" w:line="360" w:lineRule="auto"/>
              <w:jc w:val="both"/>
              <w:rPr>
                <w:rFonts w:cs="Arial"/>
                <w:b/>
              </w:rPr>
            </w:pPr>
            <w:r w:rsidRPr="002527A3">
              <w:rPr>
                <w:rFonts w:cs="Arial"/>
                <w:b/>
              </w:rPr>
              <w:t>Module code:</w:t>
            </w:r>
          </w:p>
        </w:tc>
        <w:tc>
          <w:tcPr>
            <w:tcW w:w="8334" w:type="dxa"/>
            <w:gridSpan w:val="3"/>
          </w:tcPr>
          <w:p w14:paraId="43CD1ADA" w14:textId="1E0A216F" w:rsidR="0082222E" w:rsidRPr="002527A3" w:rsidRDefault="0082222E" w:rsidP="0082222E">
            <w:pPr>
              <w:spacing w:before="120" w:after="120" w:line="360" w:lineRule="auto"/>
              <w:jc w:val="both"/>
              <w:rPr>
                <w:rFonts w:cs="Arial"/>
                <w:b/>
              </w:rPr>
            </w:pPr>
            <w:r w:rsidRPr="002527A3">
              <w:rPr>
                <w:rFonts w:cs="Arial"/>
                <w:b/>
              </w:rPr>
              <w:t>BMHP5019</w:t>
            </w:r>
          </w:p>
        </w:tc>
      </w:tr>
      <w:tr w:rsidR="0082222E" w:rsidRPr="002527A3" w14:paraId="44770306" w14:textId="77777777" w:rsidTr="002527A3">
        <w:trPr>
          <w:jc w:val="center"/>
        </w:trPr>
        <w:tc>
          <w:tcPr>
            <w:tcW w:w="1843" w:type="dxa"/>
            <w:shd w:val="clear" w:color="auto" w:fill="D9D9D9" w:themeFill="background1" w:themeFillShade="D9"/>
          </w:tcPr>
          <w:p w14:paraId="5E2CBBF2" w14:textId="77B4F01B" w:rsidR="0082222E" w:rsidRPr="002527A3" w:rsidRDefault="0082222E" w:rsidP="0082222E">
            <w:pPr>
              <w:spacing w:before="120" w:after="120" w:line="360" w:lineRule="auto"/>
              <w:jc w:val="both"/>
              <w:rPr>
                <w:rFonts w:cs="Arial"/>
                <w:b/>
              </w:rPr>
            </w:pPr>
            <w:r w:rsidRPr="002527A3">
              <w:rPr>
                <w:rFonts w:cs="Arial"/>
                <w:b/>
              </w:rPr>
              <w:t>Student Name</w:t>
            </w:r>
          </w:p>
        </w:tc>
        <w:tc>
          <w:tcPr>
            <w:tcW w:w="8334" w:type="dxa"/>
            <w:gridSpan w:val="3"/>
          </w:tcPr>
          <w:p w14:paraId="753319F0" w14:textId="5351C3A1" w:rsidR="0082222E" w:rsidRPr="002527A3" w:rsidRDefault="00CA41AA" w:rsidP="0082222E">
            <w:pPr>
              <w:spacing w:before="120" w:after="120" w:line="360" w:lineRule="auto"/>
              <w:jc w:val="both"/>
              <w:rPr>
                <w:rFonts w:cs="Arial"/>
                <w:b/>
              </w:rPr>
            </w:pPr>
            <w:r>
              <w:rPr>
                <w:rFonts w:cs="Arial"/>
                <w:b/>
              </w:rPr>
              <w:t xml:space="preserve">MARIE ANDREWS </w:t>
            </w:r>
          </w:p>
        </w:tc>
      </w:tr>
      <w:tr w:rsidR="0082222E" w:rsidRPr="002527A3" w14:paraId="328D0FF1" w14:textId="77777777" w:rsidTr="002527A3">
        <w:trPr>
          <w:jc w:val="center"/>
        </w:trPr>
        <w:tc>
          <w:tcPr>
            <w:tcW w:w="1843" w:type="dxa"/>
            <w:shd w:val="clear" w:color="auto" w:fill="D9D9D9" w:themeFill="background1" w:themeFillShade="D9"/>
          </w:tcPr>
          <w:p w14:paraId="0A522701" w14:textId="39F1A852" w:rsidR="0082222E" w:rsidRPr="002527A3" w:rsidRDefault="0082222E" w:rsidP="0082222E">
            <w:pPr>
              <w:spacing w:before="120" w:after="120" w:line="360" w:lineRule="auto"/>
              <w:jc w:val="both"/>
              <w:rPr>
                <w:rFonts w:cs="Arial"/>
                <w:b/>
              </w:rPr>
            </w:pPr>
            <w:r w:rsidRPr="002527A3">
              <w:rPr>
                <w:rFonts w:cs="Arial"/>
                <w:b/>
              </w:rPr>
              <w:t>Student ID</w:t>
            </w:r>
          </w:p>
        </w:tc>
        <w:tc>
          <w:tcPr>
            <w:tcW w:w="8334" w:type="dxa"/>
            <w:gridSpan w:val="3"/>
          </w:tcPr>
          <w:p w14:paraId="0CAF0CDC" w14:textId="540DE516" w:rsidR="0082222E" w:rsidRPr="002527A3" w:rsidRDefault="00CA41AA" w:rsidP="0082222E">
            <w:pPr>
              <w:spacing w:before="120" w:after="120" w:line="360" w:lineRule="auto"/>
              <w:jc w:val="both"/>
              <w:rPr>
                <w:rFonts w:cs="Arial"/>
                <w:b/>
              </w:rPr>
            </w:pPr>
            <w:r>
              <w:rPr>
                <w:rFonts w:cs="Arial"/>
                <w:b/>
              </w:rPr>
              <w:t>2411716</w:t>
            </w:r>
          </w:p>
        </w:tc>
      </w:tr>
      <w:tr w:rsidR="0082222E" w:rsidRPr="002527A3" w14:paraId="4402D01D" w14:textId="77777777" w:rsidTr="002527A3">
        <w:trPr>
          <w:jc w:val="center"/>
        </w:trPr>
        <w:tc>
          <w:tcPr>
            <w:tcW w:w="1843" w:type="dxa"/>
            <w:shd w:val="clear" w:color="auto" w:fill="D9D9D9" w:themeFill="background1" w:themeFillShade="D9"/>
          </w:tcPr>
          <w:p w14:paraId="4A8571EC" w14:textId="77777777" w:rsidR="0082222E" w:rsidRPr="002527A3" w:rsidRDefault="0082222E" w:rsidP="0082222E">
            <w:pPr>
              <w:spacing w:before="120" w:after="120" w:line="360" w:lineRule="auto"/>
              <w:jc w:val="both"/>
              <w:rPr>
                <w:rFonts w:cs="Arial"/>
                <w:b/>
              </w:rPr>
            </w:pPr>
            <w:r w:rsidRPr="002527A3">
              <w:rPr>
                <w:rFonts w:cs="Arial"/>
                <w:b/>
              </w:rPr>
              <w:t>Lecturer:</w:t>
            </w:r>
          </w:p>
        </w:tc>
        <w:tc>
          <w:tcPr>
            <w:tcW w:w="3798" w:type="dxa"/>
          </w:tcPr>
          <w:p w14:paraId="7C704C96" w14:textId="77777777" w:rsidR="0082222E" w:rsidRPr="002527A3" w:rsidRDefault="0082222E" w:rsidP="0082222E">
            <w:pPr>
              <w:spacing w:before="120" w:after="120" w:line="360" w:lineRule="auto"/>
              <w:jc w:val="both"/>
              <w:rPr>
                <w:rFonts w:cs="Arial"/>
                <w:b/>
                <w:bCs/>
              </w:rPr>
            </w:pPr>
            <w:r w:rsidRPr="002527A3">
              <w:rPr>
                <w:rFonts w:cs="Arial"/>
                <w:b/>
                <w:bCs/>
              </w:rPr>
              <w:t xml:space="preserve">Philip Jones, Raheela Shaikh and Zakiyyah Ahmed </w:t>
            </w:r>
          </w:p>
        </w:tc>
        <w:tc>
          <w:tcPr>
            <w:tcW w:w="2268" w:type="dxa"/>
            <w:shd w:val="clear" w:color="auto" w:fill="D9D9D9" w:themeFill="background1" w:themeFillShade="D9"/>
          </w:tcPr>
          <w:p w14:paraId="7B371F3C" w14:textId="77777777" w:rsidR="0082222E" w:rsidRPr="002527A3" w:rsidRDefault="0082222E" w:rsidP="0082222E">
            <w:pPr>
              <w:spacing w:before="120" w:after="120" w:line="360" w:lineRule="auto"/>
              <w:jc w:val="both"/>
              <w:rPr>
                <w:rFonts w:cs="Arial"/>
                <w:b/>
              </w:rPr>
            </w:pPr>
            <w:r w:rsidRPr="002527A3">
              <w:rPr>
                <w:rFonts w:cs="Arial"/>
                <w:b/>
              </w:rPr>
              <w:t>Internal Verifier:</w:t>
            </w:r>
          </w:p>
        </w:tc>
        <w:tc>
          <w:tcPr>
            <w:tcW w:w="2268" w:type="dxa"/>
          </w:tcPr>
          <w:p w14:paraId="0CB62DAC" w14:textId="77777777" w:rsidR="0082222E" w:rsidRPr="002527A3" w:rsidRDefault="0082222E" w:rsidP="0082222E">
            <w:pPr>
              <w:spacing w:before="120" w:after="120" w:line="360" w:lineRule="auto"/>
              <w:rPr>
                <w:rFonts w:cs="Arial"/>
                <w:b/>
              </w:rPr>
            </w:pPr>
            <w:r w:rsidRPr="002527A3">
              <w:rPr>
                <w:rFonts w:cs="Arial"/>
                <w:b/>
              </w:rPr>
              <w:t xml:space="preserve">Chloe Harries </w:t>
            </w:r>
          </w:p>
        </w:tc>
      </w:tr>
      <w:tr w:rsidR="0082222E" w:rsidRPr="002527A3" w14:paraId="783AFC66" w14:textId="77777777" w:rsidTr="002527A3">
        <w:trPr>
          <w:jc w:val="center"/>
        </w:trPr>
        <w:tc>
          <w:tcPr>
            <w:tcW w:w="1843" w:type="dxa"/>
            <w:shd w:val="clear" w:color="auto" w:fill="D9D9D9" w:themeFill="background1" w:themeFillShade="D9"/>
          </w:tcPr>
          <w:p w14:paraId="3AF6BDF4" w14:textId="77777777" w:rsidR="0082222E" w:rsidRPr="002527A3" w:rsidRDefault="0082222E" w:rsidP="0082222E">
            <w:pPr>
              <w:spacing w:before="120" w:after="120" w:line="360" w:lineRule="auto"/>
              <w:jc w:val="both"/>
              <w:rPr>
                <w:rFonts w:cs="Arial"/>
                <w:b/>
              </w:rPr>
            </w:pPr>
            <w:r w:rsidRPr="002527A3">
              <w:rPr>
                <w:rFonts w:cs="Arial"/>
                <w:b/>
              </w:rPr>
              <w:t>Assignment Title:</w:t>
            </w:r>
          </w:p>
        </w:tc>
        <w:tc>
          <w:tcPr>
            <w:tcW w:w="3798" w:type="dxa"/>
          </w:tcPr>
          <w:p w14:paraId="26E2162E" w14:textId="77777777" w:rsidR="0082222E" w:rsidRPr="002527A3" w:rsidRDefault="0082222E" w:rsidP="0082222E">
            <w:pPr>
              <w:spacing w:before="120" w:after="120" w:line="360" w:lineRule="auto"/>
              <w:rPr>
                <w:rFonts w:cs="Arial"/>
                <w:b/>
                <w:bCs/>
              </w:rPr>
            </w:pPr>
            <w:r w:rsidRPr="002527A3">
              <w:rPr>
                <w:rFonts w:cs="Arial"/>
                <w:b/>
                <w:bCs/>
              </w:rPr>
              <w:t xml:space="preserve">Component 1: </w:t>
            </w:r>
          </w:p>
          <w:p w14:paraId="4A79A2B3" w14:textId="77777777" w:rsidR="0082222E" w:rsidRPr="002527A3" w:rsidRDefault="0082222E" w:rsidP="0082222E">
            <w:pPr>
              <w:spacing w:before="120" w:after="120" w:line="360" w:lineRule="auto"/>
              <w:rPr>
                <w:rFonts w:cs="Arial"/>
                <w:b/>
                <w:bCs/>
              </w:rPr>
            </w:pPr>
            <w:r w:rsidRPr="002527A3">
              <w:rPr>
                <w:rFonts w:cs="Arial"/>
                <w:b/>
                <w:bCs/>
              </w:rPr>
              <w:t>Written Assignment (Research Proposal)</w:t>
            </w:r>
          </w:p>
        </w:tc>
        <w:tc>
          <w:tcPr>
            <w:tcW w:w="2268" w:type="dxa"/>
            <w:shd w:val="clear" w:color="auto" w:fill="D9D9D9" w:themeFill="background1" w:themeFillShade="D9"/>
          </w:tcPr>
          <w:p w14:paraId="37638B83" w14:textId="77777777" w:rsidR="0082222E" w:rsidRPr="002527A3" w:rsidRDefault="0082222E" w:rsidP="0082222E">
            <w:pPr>
              <w:spacing w:before="120" w:after="120" w:line="360" w:lineRule="auto"/>
              <w:jc w:val="both"/>
              <w:rPr>
                <w:rFonts w:cs="Arial"/>
                <w:b/>
              </w:rPr>
            </w:pPr>
            <w:r w:rsidRPr="002527A3">
              <w:rPr>
                <w:rFonts w:cs="Arial"/>
                <w:b/>
              </w:rPr>
              <w:t>Word count (or equivalent):</w:t>
            </w:r>
          </w:p>
        </w:tc>
        <w:tc>
          <w:tcPr>
            <w:tcW w:w="2268" w:type="dxa"/>
          </w:tcPr>
          <w:p w14:paraId="00EBFC4E" w14:textId="0A630049" w:rsidR="0082222E" w:rsidRPr="002527A3" w:rsidRDefault="00111828" w:rsidP="0082222E">
            <w:pPr>
              <w:spacing w:before="120" w:after="120" w:line="360" w:lineRule="auto"/>
              <w:jc w:val="both"/>
              <w:rPr>
                <w:rFonts w:cs="Arial"/>
                <w:b/>
              </w:rPr>
            </w:pPr>
            <w:r>
              <w:rPr>
                <w:rFonts w:cs="Arial"/>
                <w:b/>
              </w:rPr>
              <w:t>426</w:t>
            </w:r>
          </w:p>
        </w:tc>
      </w:tr>
    </w:tbl>
    <w:p w14:paraId="73998CA6" w14:textId="77777777" w:rsidR="0082222E" w:rsidRPr="002527A3" w:rsidRDefault="0082222E" w:rsidP="0082222E"/>
    <w:p w14:paraId="77DBABDF" w14:textId="77777777" w:rsidR="0082222E" w:rsidRPr="002527A3" w:rsidRDefault="0082222E">
      <w:pPr>
        <w:spacing w:before="240"/>
        <w:jc w:val="center"/>
      </w:pPr>
    </w:p>
    <w:p w14:paraId="0F8501E1" w14:textId="77777777" w:rsidR="00E2417F" w:rsidRPr="002527A3" w:rsidRDefault="00206CAF">
      <w:r w:rsidRPr="002527A3">
        <w:br w:type="page"/>
      </w:r>
    </w:p>
    <w:p w14:paraId="7CA5D04E" w14:textId="77777777" w:rsidR="00E2417F" w:rsidRPr="002527A3" w:rsidRDefault="00206CAF" w:rsidP="0004450F">
      <w:pPr>
        <w:pStyle w:val="Heading1"/>
      </w:pPr>
      <w:r w:rsidRPr="002527A3">
        <w:t>Topic, review question and objectives</w:t>
      </w:r>
    </w:p>
    <w:p w14:paraId="303E6C3B" w14:textId="43903047" w:rsidR="00040667" w:rsidRPr="002527A3" w:rsidRDefault="00040667" w:rsidP="00040667">
      <w:pPr>
        <w:spacing w:after="120" w:line="360" w:lineRule="auto"/>
        <w:jc w:val="both"/>
      </w:pPr>
      <w:r w:rsidRPr="002527A3">
        <w:t xml:space="preserve">This proposed secondary research will examine remote patient monitoring (RPM) for people aged 18 and over with type 2 diabetes in UK primary care. The review question is: What is the current literature's description of the benefits, limitations and implementation considerations of RPM for the support of type 2 diabetes self-management in UK health and digital health practice? The aims are to describe the type of RPM interventions reported, </w:t>
      </w:r>
      <w:r w:rsidR="0004450F" w:rsidRPr="002527A3">
        <w:t>summaries</w:t>
      </w:r>
      <w:r w:rsidRPr="002527A3">
        <w:t xml:space="preserve"> outcomes of the interventions including glycaemic control, engagement and service use, identify barriers for patients and professionals and highlight areas for future practice and research.</w:t>
      </w:r>
    </w:p>
    <w:p w14:paraId="128D0767" w14:textId="77777777" w:rsidR="00E2417F" w:rsidRPr="002527A3" w:rsidRDefault="00206CAF" w:rsidP="0004450F">
      <w:pPr>
        <w:pStyle w:val="Heading1"/>
      </w:pPr>
      <w:r w:rsidRPr="002527A3">
        <w:t>Justification and relevance</w:t>
      </w:r>
    </w:p>
    <w:p w14:paraId="4761B251" w14:textId="4CA94756" w:rsidR="00E2417F" w:rsidRPr="002527A3" w:rsidRDefault="00040667">
      <w:pPr>
        <w:spacing w:after="120" w:line="360" w:lineRule="auto"/>
        <w:jc w:val="both"/>
      </w:pPr>
      <w:r w:rsidRPr="002527A3">
        <w:t>Type 2 diabetes has a long-term impact on the UK primary care service and digital interventions have emerged to facilitate self-management outside of the clinic. There is evidence of the impact of telemedicine on enhancing HbA1c when structured monitoring and feedback is provided (Hangaard et al., 2023). Timely professional coaching, however, seems to be the strongest factor to support digital interventions and technology is not enough (Kerr et al., 2024). There is less evidence around costs and health/social care utilisation (Morris et al., 2023). This is why RPM is important, as it links clinical outcomes, workload, health inequalities and patient autonomy. A scoping review is suitable given that the evidence comprises a range of technologies, populations, outcomes and contexts of implementation, and not one very specific intervention effect.</w:t>
      </w:r>
    </w:p>
    <w:p w14:paraId="0A02A29B" w14:textId="77777777" w:rsidR="00E2417F" w:rsidRPr="002527A3" w:rsidRDefault="00206CAF" w:rsidP="0004450F">
      <w:pPr>
        <w:pStyle w:val="Heading1"/>
      </w:pPr>
      <w:r w:rsidRPr="002527A3">
        <w:t>Methods</w:t>
      </w:r>
    </w:p>
    <w:p w14:paraId="2F3D4B9C" w14:textId="5E59A989" w:rsidR="00E2198F" w:rsidRPr="002527A3" w:rsidRDefault="00040667" w:rsidP="003B139B">
      <w:pPr>
        <w:spacing w:after="120" w:line="360" w:lineRule="auto"/>
        <w:jc w:val="both"/>
      </w:pPr>
      <w:r w:rsidRPr="002527A3">
        <w:t>The review will be conducted following the guidance of JBI for scoping reviews, which promotes transparency of evidence mapping, decisions for inclusion and gaps in knowledge (Peters et al., 2020). PRISMA-ScR will be used to guide reporting to ensure that the review is clear, reproducible and structured (Tricco et al., 2018).</w:t>
      </w:r>
      <w:r w:rsidR="00116385" w:rsidRPr="002527A3">
        <w:t xml:space="preserve"> Searches will be conducted in CINAHL, MEDLINE, PubMed, Scopus and Google Scholar using terms including “type 2 diabetes”, “remote patient monitoring”, “telemonitoring”, “digital health”, “primary care” and “UK”. </w:t>
      </w:r>
      <w:r w:rsidRPr="002527A3">
        <w:t xml:space="preserve">Studies and secondary literature published since 2018 and peer-reviewed will be considered. The inclusion criteria will be adults with type 2 diabetes and interventions of interest to primary/community care that involve RPM or telemonitoring. Data will be displayed in a table that includes author, year, country, design, intervention, outcomes, barriers and practice implications. </w:t>
      </w:r>
    </w:p>
    <w:p w14:paraId="76848D89" w14:textId="77777777" w:rsidR="00E2417F" w:rsidRPr="002527A3" w:rsidRDefault="00206CAF" w:rsidP="0004450F">
      <w:pPr>
        <w:pStyle w:val="Heading1"/>
      </w:pPr>
      <w:r w:rsidRPr="002527A3">
        <w:t>Ethical considerations</w:t>
      </w:r>
    </w:p>
    <w:p w14:paraId="5636B9C7" w14:textId="5C6AB0BA" w:rsidR="00E2417F" w:rsidRPr="002527A3" w:rsidRDefault="00040667">
      <w:pPr>
        <w:spacing w:after="120" w:line="360" w:lineRule="auto"/>
        <w:jc w:val="both"/>
      </w:pPr>
      <w:r w:rsidRPr="002527A3">
        <w:t>This is secondary research so no participants will be recruited, and no personal data will be collected. Ethical practice will include proper attribution, clear and transparent inclusion/exclusion criteria, reporting of positive and negative results, and careful consideration of the limitations of findings and their implications to ensure that the benefits of digital technologies to various patient groups are not overstated.</w:t>
      </w:r>
    </w:p>
    <w:p w14:paraId="0C81EE9F" w14:textId="77777777" w:rsidR="00E2417F" w:rsidRPr="002527A3" w:rsidRDefault="00206CAF" w:rsidP="0004450F">
      <w:pPr>
        <w:pStyle w:val="Heading1"/>
      </w:pPr>
      <w:r w:rsidRPr="002527A3">
        <w:t>Reference list</w:t>
      </w:r>
    </w:p>
    <w:p w14:paraId="6FAC0FBE" w14:textId="4E2F3BB2" w:rsidR="00E2417F" w:rsidRPr="002527A3" w:rsidRDefault="00F374FA" w:rsidP="00F374FA">
      <w:pPr>
        <w:spacing w:after="120" w:line="360" w:lineRule="auto"/>
        <w:ind w:left="360" w:hanging="360"/>
        <w:jc w:val="both"/>
      </w:pPr>
      <w:r w:rsidRPr="00F374FA">
        <w:t>Hangaard, S., Laursen, S. H., Andersen, J. D., Kronborg, T., Vestergaard, P., Hejlesen, O., &amp; Udsen, F. W. (2023). The effectiveness of telemedicine solutions for the management of type 2 diabetes: a systematic review, meta-analysis, and meta-regression. </w:t>
      </w:r>
      <w:r w:rsidRPr="00F374FA">
        <w:rPr>
          <w:i/>
          <w:iCs/>
        </w:rPr>
        <w:t>Journal of Diabetes Science and Technology</w:t>
      </w:r>
      <w:r w:rsidRPr="00F374FA">
        <w:t>, </w:t>
      </w:r>
      <w:r w:rsidRPr="00F374FA">
        <w:rPr>
          <w:i/>
          <w:iCs/>
        </w:rPr>
        <w:t>17</w:t>
      </w:r>
      <w:r w:rsidRPr="00F374FA">
        <w:t>(3), 794-825.</w:t>
      </w:r>
    </w:p>
    <w:p w14:paraId="36E4DEE4" w14:textId="521FC4A7" w:rsidR="00E2417F" w:rsidRPr="002527A3" w:rsidRDefault="00F374FA" w:rsidP="00F374FA">
      <w:pPr>
        <w:spacing w:after="120" w:line="360" w:lineRule="auto"/>
        <w:ind w:left="360" w:hanging="360"/>
        <w:jc w:val="both"/>
      </w:pPr>
      <w:r w:rsidRPr="00F374FA">
        <w:rPr>
          <w:lang w:val="de-DE"/>
        </w:rPr>
        <w:t xml:space="preserve">Kerr, D., Ahn, D., Waki, K., Wang, J., Breznen, B., &amp; Klonoff, D. C. (2024). </w:t>
      </w:r>
      <w:r w:rsidRPr="00F374FA">
        <w:t>Digital Interventions for Self-Management of Type 2 Diabetes Mellitus: Systematic Literature Review and Meta-Analysis. </w:t>
      </w:r>
      <w:r w:rsidRPr="00F374FA">
        <w:rPr>
          <w:i/>
          <w:iCs/>
        </w:rPr>
        <w:t>Journal of medical Internet research</w:t>
      </w:r>
      <w:r w:rsidRPr="00F374FA">
        <w:t>, </w:t>
      </w:r>
      <w:r w:rsidRPr="00F374FA">
        <w:rPr>
          <w:i/>
          <w:iCs/>
        </w:rPr>
        <w:t>26</w:t>
      </w:r>
      <w:r w:rsidRPr="00F374FA">
        <w:t>, 1.</w:t>
      </w:r>
    </w:p>
    <w:p w14:paraId="054795D7" w14:textId="048C5F74" w:rsidR="00E2417F" w:rsidRPr="002527A3" w:rsidRDefault="00F374FA" w:rsidP="00F374FA">
      <w:pPr>
        <w:spacing w:after="120" w:line="360" w:lineRule="auto"/>
        <w:ind w:left="360" w:hanging="360"/>
        <w:jc w:val="both"/>
      </w:pPr>
      <w:r w:rsidRPr="00F374FA">
        <w:t>Morris, T., Aspinal, F., Ledger, J., Li, K., &amp; Gomes, M. (2023). The impact of digital health interventions for the management of type 2 diabetes on health and social care utilisation and costs: a systematic review. </w:t>
      </w:r>
      <w:r w:rsidRPr="00F374FA">
        <w:rPr>
          <w:i/>
          <w:iCs/>
        </w:rPr>
        <w:t>PharmacoEconomics-Open</w:t>
      </w:r>
      <w:r w:rsidRPr="00F374FA">
        <w:t>, </w:t>
      </w:r>
      <w:r w:rsidRPr="00F374FA">
        <w:rPr>
          <w:i/>
          <w:iCs/>
        </w:rPr>
        <w:t>7</w:t>
      </w:r>
      <w:r w:rsidRPr="00F374FA">
        <w:t>(2), 163-173.</w:t>
      </w:r>
    </w:p>
    <w:p w14:paraId="264C17BF" w14:textId="71AABECD" w:rsidR="00E2417F" w:rsidRPr="002527A3" w:rsidRDefault="00F374FA" w:rsidP="00F374FA">
      <w:pPr>
        <w:spacing w:after="120" w:line="360" w:lineRule="auto"/>
        <w:ind w:left="360" w:hanging="360"/>
        <w:jc w:val="both"/>
      </w:pPr>
      <w:r w:rsidRPr="00F374FA">
        <w:t>Peters, M. D., Marnie, C., Tricco, A. C., Pollock, D., Munn, Z., Alexander, L., ... &amp; Khalil, H. (2020). Updated methodological guidance for the conduct of scoping reviews. </w:t>
      </w:r>
      <w:r w:rsidRPr="00F374FA">
        <w:rPr>
          <w:i/>
          <w:iCs/>
        </w:rPr>
        <w:t>JBI evidence synthesis</w:t>
      </w:r>
      <w:r w:rsidRPr="00F374FA">
        <w:t>, </w:t>
      </w:r>
      <w:r w:rsidRPr="00F374FA">
        <w:rPr>
          <w:i/>
          <w:iCs/>
        </w:rPr>
        <w:t>18</w:t>
      </w:r>
      <w:r w:rsidRPr="00F374FA">
        <w:t>(10), 2119-2126.</w:t>
      </w:r>
    </w:p>
    <w:p w14:paraId="5037CE88" w14:textId="7BF93CFD" w:rsidR="00E2417F" w:rsidRDefault="00F374FA" w:rsidP="00F374FA">
      <w:pPr>
        <w:spacing w:after="120" w:line="360" w:lineRule="auto"/>
        <w:ind w:left="360" w:hanging="360"/>
        <w:jc w:val="both"/>
      </w:pPr>
      <w:r w:rsidRPr="00F374FA">
        <w:rPr>
          <w:lang w:val="de-DE"/>
        </w:rPr>
        <w:t xml:space="preserve">Tricco, A. C., Lillie, E., Zarin, W., O'Brien, K. K., Colquhoun, H., Levac, D., ... &amp; Straus, S. E. (2018). </w:t>
      </w:r>
      <w:r w:rsidRPr="00F374FA">
        <w:t>PRISMA extension for scoping reviews (PRISMA-ScR): checklist and explanation. </w:t>
      </w:r>
      <w:r w:rsidRPr="00F374FA">
        <w:rPr>
          <w:i/>
          <w:iCs/>
        </w:rPr>
        <w:t>Annals of internal medicine</w:t>
      </w:r>
      <w:r w:rsidRPr="00F374FA">
        <w:t>, </w:t>
      </w:r>
      <w:r w:rsidRPr="00F374FA">
        <w:rPr>
          <w:i/>
          <w:iCs/>
        </w:rPr>
        <w:t>169</w:t>
      </w:r>
      <w:r w:rsidRPr="00F374FA">
        <w:t>(7), 467-473.</w:t>
      </w:r>
    </w:p>
    <w:sectPr w:rsidR="00E2417F" w:rsidSect="0003461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0DAFD" w14:textId="77777777" w:rsidR="00D04FE0" w:rsidRPr="002527A3" w:rsidRDefault="00D04FE0">
      <w:pPr>
        <w:spacing w:after="0" w:line="240" w:lineRule="auto"/>
      </w:pPr>
      <w:r w:rsidRPr="002527A3">
        <w:separator/>
      </w:r>
    </w:p>
  </w:endnote>
  <w:endnote w:type="continuationSeparator" w:id="0">
    <w:p w14:paraId="784F38F4" w14:textId="77777777" w:rsidR="00D04FE0" w:rsidRPr="002527A3" w:rsidRDefault="00D04FE0">
      <w:pPr>
        <w:spacing w:after="0" w:line="240" w:lineRule="auto"/>
      </w:pPr>
      <w:r w:rsidRPr="002527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DF829" w14:textId="77777777" w:rsidR="00E2417F" w:rsidRPr="002527A3" w:rsidRDefault="00206CAF">
    <w:pPr>
      <w:pStyle w:val="Footer"/>
      <w:jc w:val="center"/>
    </w:pPr>
    <w:r w:rsidRPr="002527A3">
      <w:rPr>
        <w:sz w:val="20"/>
      </w:rPr>
      <w:fldChar w:fldCharType="begin"/>
    </w:r>
    <w:r w:rsidRPr="002527A3">
      <w:rPr>
        <w:sz w:val="20"/>
      </w:rPr>
      <w:instrText>PAGE</w:instrText>
    </w:r>
    <w:r w:rsidRPr="002527A3">
      <w:rPr>
        <w:sz w:val="20"/>
      </w:rPr>
      <w:fldChar w:fldCharType="separate"/>
    </w:r>
    <w:r w:rsidR="0082222E" w:rsidRPr="002527A3">
      <w:rPr>
        <w:sz w:val="20"/>
      </w:rPr>
      <w:t>1</w:t>
    </w:r>
    <w:r w:rsidRPr="002527A3">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93B60" w14:textId="77777777" w:rsidR="00D04FE0" w:rsidRPr="002527A3" w:rsidRDefault="00D04FE0">
      <w:pPr>
        <w:spacing w:after="0" w:line="240" w:lineRule="auto"/>
      </w:pPr>
      <w:r w:rsidRPr="002527A3">
        <w:separator/>
      </w:r>
    </w:p>
  </w:footnote>
  <w:footnote w:type="continuationSeparator" w:id="0">
    <w:p w14:paraId="0FDF90D4" w14:textId="77777777" w:rsidR="00D04FE0" w:rsidRPr="002527A3" w:rsidRDefault="00D04FE0">
      <w:pPr>
        <w:spacing w:after="0" w:line="240" w:lineRule="auto"/>
      </w:pPr>
      <w:r w:rsidRPr="002527A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35930123">
    <w:abstractNumId w:val="8"/>
  </w:num>
  <w:num w:numId="2" w16cid:durableId="135463428">
    <w:abstractNumId w:val="6"/>
  </w:num>
  <w:num w:numId="3" w16cid:durableId="381488410">
    <w:abstractNumId w:val="5"/>
  </w:num>
  <w:num w:numId="4" w16cid:durableId="1974822998">
    <w:abstractNumId w:val="4"/>
  </w:num>
  <w:num w:numId="5" w16cid:durableId="759256144">
    <w:abstractNumId w:val="7"/>
  </w:num>
  <w:num w:numId="6" w16cid:durableId="1037125907">
    <w:abstractNumId w:val="3"/>
  </w:num>
  <w:num w:numId="7" w16cid:durableId="1946692856">
    <w:abstractNumId w:val="2"/>
  </w:num>
  <w:num w:numId="8" w16cid:durableId="1363094806">
    <w:abstractNumId w:val="1"/>
  </w:num>
  <w:num w:numId="9" w16cid:durableId="1540125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667"/>
    <w:rsid w:val="0004450F"/>
    <w:rsid w:val="0006063C"/>
    <w:rsid w:val="00111828"/>
    <w:rsid w:val="00116385"/>
    <w:rsid w:val="0015074B"/>
    <w:rsid w:val="001A59BD"/>
    <w:rsid w:val="002527A3"/>
    <w:rsid w:val="0029639D"/>
    <w:rsid w:val="00326F90"/>
    <w:rsid w:val="00390945"/>
    <w:rsid w:val="003B139B"/>
    <w:rsid w:val="004E5E35"/>
    <w:rsid w:val="005609E7"/>
    <w:rsid w:val="0082222E"/>
    <w:rsid w:val="00963ED3"/>
    <w:rsid w:val="009E0E19"/>
    <w:rsid w:val="00A92EDF"/>
    <w:rsid w:val="00AA1D8D"/>
    <w:rsid w:val="00AA570D"/>
    <w:rsid w:val="00B47730"/>
    <w:rsid w:val="00CA41AA"/>
    <w:rsid w:val="00CB0664"/>
    <w:rsid w:val="00D04FE0"/>
    <w:rsid w:val="00D3463A"/>
    <w:rsid w:val="00D43613"/>
    <w:rsid w:val="00E2198F"/>
    <w:rsid w:val="00E2417F"/>
    <w:rsid w:val="00E8341F"/>
    <w:rsid w:val="00F374F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A7B9F1"/>
  <w14:defaultImageDpi w14:val="300"/>
  <w15:docId w15:val="{D4E36D26-A2D7-4C4F-8BD4-956C7DB75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color w:val="000000"/>
      <w:lang w:val="en-GB"/>
    </w:rPr>
  </w:style>
  <w:style w:type="paragraph" w:styleId="Heading1">
    <w:name w:val="heading 1"/>
    <w:basedOn w:val="Normal"/>
    <w:next w:val="Normal"/>
    <w:link w:val="Heading1Char"/>
    <w:uiPriority w:val="9"/>
    <w:qFormat/>
    <w:rsid w:val="0004450F"/>
    <w:pPr>
      <w:spacing w:before="120" w:after="60" w:line="360" w:lineRule="auto"/>
      <w:outlineLvl w:val="0"/>
    </w:pPr>
    <w:rPr>
      <w:b/>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4450F"/>
    <w:rPr>
      <w:rFonts w:ascii="Arial" w:eastAsia="Arial" w:hAnsi="Arial"/>
      <w:b/>
      <w:color w:val="000000"/>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cid:image001.png@01D0EA4A.2BD679A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Research Proposal - Remote Patient Monitoring for Type 2 Diabetes</vt:lpstr>
    </vt:vector>
  </TitlesOfParts>
  <Manager/>
  <Company/>
  <LinksUpToDate>false</LinksUpToDate>
  <CharactersWithSpaces>4585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 Remote Patient Monitoring for Type 2 Diabetes</dc:title>
  <dc:subject>BMHP5019 Research Proposal</dc:subject>
  <cp:keywords>remote patient monitoring; type 2 diabetes; scoping review; digital health; primary care</cp:keywords>
  <cp:lastModifiedBy>marie andrews</cp:lastModifiedBy>
  <cp:revision>2</cp:revision>
  <dcterms:created xsi:type="dcterms:W3CDTF">2026-06-14T13:13:00Z</dcterms:created>
  <dcterms:modified xsi:type="dcterms:W3CDTF">2026-06-14T13:13:00Z</dcterms:modified>
  <cp:category/>
</cp:coreProperties>
</file>