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EEC0" w:rsidP="080FFCA3" w:rsidRDefault="004AEEC0" w14:paraId="2AED9A23" w14:textId="715BA286">
      <w:pPr>
        <w:pStyle w:val="Normal"/>
        <w:rPr>
          <w:rFonts w:ascii="Arial" w:hAnsi="Arial" w:eastAsia="Arial" w:cs="Arial"/>
          <w:color w:val="auto"/>
          <w:sz w:val="24"/>
          <w:szCs w:val="24"/>
        </w:rPr>
      </w:pPr>
      <w:r w:rsidRPr="4718DF32" w:rsidR="22C88610">
        <w:rPr>
          <w:rFonts w:ascii="Arial" w:hAnsi="Arial" w:eastAsia="Arial" w:cs="Arial"/>
          <w:color w:val="auto"/>
          <w:sz w:val="24"/>
          <w:szCs w:val="24"/>
        </w:rPr>
        <w:t xml:space="preserve">2306465 – Tia </w:t>
      </w:r>
      <w:r w:rsidRPr="4718DF32" w:rsidR="7BBE5950">
        <w:rPr>
          <w:rFonts w:ascii="Arial" w:hAnsi="Arial" w:eastAsia="Arial" w:cs="Arial"/>
          <w:color w:val="auto"/>
          <w:sz w:val="24"/>
          <w:szCs w:val="24"/>
        </w:rPr>
        <w:t>Lewis</w:t>
      </w:r>
    </w:p>
    <w:p w:rsidR="004AEEC0" w:rsidP="080FFCA3" w:rsidRDefault="004AEEC0" w14:paraId="336A7EC5" w14:textId="25253B54">
      <w:pPr>
        <w:pStyle w:val="Normal"/>
        <w:rPr>
          <w:rFonts w:ascii="Arial" w:hAnsi="Arial" w:eastAsia="Arial" w:cs="Arial"/>
          <w:color w:val="auto"/>
          <w:sz w:val="24"/>
          <w:szCs w:val="24"/>
        </w:rPr>
      </w:pPr>
      <w:r w:rsidRPr="4718DF32" w:rsidR="004AEEC0">
        <w:rPr>
          <w:rFonts w:ascii="Arial" w:hAnsi="Arial" w:eastAsia="Arial" w:cs="Arial"/>
          <w:color w:val="auto"/>
          <w:sz w:val="24"/>
          <w:szCs w:val="24"/>
        </w:rPr>
        <w:t xml:space="preserve">Understanding </w:t>
      </w:r>
      <w:r w:rsidRPr="4718DF32" w:rsidR="158E1A2E">
        <w:rPr>
          <w:rFonts w:ascii="Arial" w:hAnsi="Arial" w:eastAsia="Arial" w:cs="Arial"/>
          <w:color w:val="auto"/>
          <w:sz w:val="24"/>
          <w:szCs w:val="24"/>
        </w:rPr>
        <w:t>consent</w:t>
      </w:r>
      <w:r w:rsidRPr="4718DF32" w:rsidR="004AEEC0">
        <w:rPr>
          <w:rFonts w:ascii="Arial" w:hAnsi="Arial" w:eastAsia="Arial" w:cs="Arial"/>
          <w:color w:val="auto"/>
          <w:sz w:val="24"/>
          <w:szCs w:val="24"/>
        </w:rPr>
        <w:t xml:space="preserve"> and battery in the </w:t>
      </w:r>
      <w:r w:rsidRPr="4718DF32" w:rsidR="672BF850">
        <w:rPr>
          <w:rFonts w:ascii="Arial" w:hAnsi="Arial" w:eastAsia="Arial" w:cs="Arial"/>
          <w:color w:val="auto"/>
          <w:sz w:val="24"/>
          <w:szCs w:val="24"/>
        </w:rPr>
        <w:t>Uk</w:t>
      </w:r>
      <w:r w:rsidRPr="4718DF32" w:rsidR="004AEEC0">
        <w:rPr>
          <w:rFonts w:ascii="Arial" w:hAnsi="Arial" w:eastAsia="Arial" w:cs="Arial"/>
          <w:color w:val="auto"/>
          <w:sz w:val="24"/>
          <w:szCs w:val="24"/>
        </w:rPr>
        <w:t>.</w:t>
      </w:r>
      <w:r w:rsidRPr="4718DF32" w:rsidR="004AEEC0">
        <w:rPr>
          <w:rFonts w:ascii="Arial" w:hAnsi="Arial" w:eastAsia="Arial" w:cs="Arial"/>
          <w:color w:val="auto"/>
          <w:sz w:val="24"/>
          <w:szCs w:val="24"/>
        </w:rPr>
        <w:t xml:space="preserve"> </w:t>
      </w:r>
    </w:p>
    <w:p w:rsidR="7B3A9612" w:rsidP="4718DF32" w:rsidRDefault="7B3A9612" w14:paraId="354D1CCE" w14:textId="7912FC61">
      <w:pPr>
        <w:pStyle w:val="Normal"/>
        <w:rPr>
          <w:rFonts w:ascii="Arial" w:hAnsi="Arial" w:eastAsia="Arial" w:cs="Arial"/>
          <w:noProof w:val="0"/>
          <w:sz w:val="24"/>
          <w:szCs w:val="24"/>
          <w:lang w:val="en-US"/>
        </w:rPr>
      </w:pPr>
      <w:r w:rsidRPr="4718DF32" w:rsidR="2EFEBD37">
        <w:rPr>
          <w:rFonts w:ascii="Arial" w:hAnsi="Arial" w:eastAsia="Arial" w:cs="Arial"/>
          <w:color w:val="auto"/>
          <w:sz w:val="24"/>
          <w:szCs w:val="24"/>
        </w:rPr>
        <w:t xml:space="preserve">In this assignment there will be clear indications to gain an </w:t>
      </w:r>
      <w:r w:rsidRPr="4718DF32" w:rsidR="739AAAF4">
        <w:rPr>
          <w:rFonts w:ascii="Arial" w:hAnsi="Arial" w:eastAsia="Arial" w:cs="Arial"/>
          <w:color w:val="auto"/>
          <w:sz w:val="24"/>
          <w:szCs w:val="24"/>
        </w:rPr>
        <w:t>understanding</w:t>
      </w:r>
      <w:r w:rsidRPr="4718DF32" w:rsidR="2EFEBD37">
        <w:rPr>
          <w:rFonts w:ascii="Arial" w:hAnsi="Arial" w:eastAsia="Arial" w:cs="Arial"/>
          <w:color w:val="auto"/>
          <w:sz w:val="24"/>
          <w:szCs w:val="24"/>
        </w:rPr>
        <w:t xml:space="preserve"> of the importance of con</w:t>
      </w:r>
      <w:r w:rsidRPr="4718DF32" w:rsidR="78F9A242">
        <w:rPr>
          <w:rFonts w:ascii="Arial" w:hAnsi="Arial" w:eastAsia="Arial" w:cs="Arial"/>
          <w:color w:val="auto"/>
          <w:sz w:val="24"/>
          <w:szCs w:val="24"/>
        </w:rPr>
        <w:t xml:space="preserve">sent in the United Kingdom using cases of battery to </w:t>
      </w:r>
      <w:r w:rsidRPr="4718DF32" w:rsidR="713257D5">
        <w:rPr>
          <w:rFonts w:ascii="Arial" w:hAnsi="Arial" w:eastAsia="Arial" w:cs="Arial"/>
          <w:color w:val="auto"/>
          <w:sz w:val="24"/>
          <w:szCs w:val="24"/>
        </w:rPr>
        <w:t xml:space="preserve">provide enough support and evidence to </w:t>
      </w:r>
      <w:r w:rsidRPr="4718DF32" w:rsidR="713257D5">
        <w:rPr>
          <w:rFonts w:ascii="Arial" w:hAnsi="Arial" w:eastAsia="Arial" w:cs="Arial"/>
          <w:color w:val="auto"/>
          <w:sz w:val="24"/>
          <w:szCs w:val="24"/>
        </w:rPr>
        <w:t>anaylise</w:t>
      </w:r>
      <w:r w:rsidRPr="4718DF32" w:rsidR="713257D5">
        <w:rPr>
          <w:rFonts w:ascii="Arial" w:hAnsi="Arial" w:eastAsia="Arial" w:cs="Arial"/>
          <w:color w:val="auto"/>
          <w:sz w:val="24"/>
          <w:szCs w:val="24"/>
        </w:rPr>
        <w:t xml:space="preserve"> and give a clear understanding to readers. </w:t>
      </w:r>
      <w:r w:rsidRPr="4718DF32" w:rsidR="2907AFA6">
        <w:rPr>
          <w:rFonts w:ascii="Arial" w:hAnsi="Arial" w:eastAsia="Arial" w:cs="Arial"/>
          <w:noProof w:val="0"/>
          <w:color w:val="auto"/>
          <w:sz w:val="24"/>
          <w:szCs w:val="24"/>
          <w:lang w:val="en-US"/>
        </w:rPr>
        <w:t>The main body of this essay will ensure all aspects of b</w:t>
      </w:r>
      <w:r w:rsidRPr="4718DF32" w:rsidR="0820FBBB">
        <w:rPr>
          <w:rFonts w:ascii="Arial" w:hAnsi="Arial" w:eastAsia="Arial" w:cs="Arial"/>
          <w:noProof w:val="0"/>
          <w:color w:val="auto"/>
          <w:sz w:val="24"/>
          <w:szCs w:val="24"/>
          <w:lang w:val="en-US"/>
        </w:rPr>
        <w:t xml:space="preserve">oth consent and battery will be succinctly defined within a legal context, focusing on their essential elements. </w:t>
      </w:r>
      <w:r w:rsidRPr="4718DF32" w:rsidR="66DE3EE2">
        <w:rPr>
          <w:rFonts w:ascii="Arial" w:hAnsi="Arial" w:eastAsia="Arial" w:cs="Arial"/>
          <w:noProof w:val="0"/>
          <w:color w:val="auto"/>
          <w:sz w:val="24"/>
          <w:szCs w:val="24"/>
          <w:lang w:val="en-US"/>
        </w:rPr>
        <w:t>Consent is defined as the permission for something to happen or agreement to do something</w:t>
      </w:r>
      <w:r w:rsidRPr="4718DF32" w:rsidR="4AD0B725">
        <w:rPr>
          <w:rFonts w:ascii="Arial" w:hAnsi="Arial" w:eastAsia="Arial" w:cs="Arial"/>
          <w:noProof w:val="0"/>
          <w:color w:val="auto"/>
          <w:sz w:val="24"/>
          <w:szCs w:val="24"/>
          <w:lang w:val="en-US"/>
        </w:rPr>
        <w:t>.</w:t>
      </w:r>
      <w:r w:rsidRPr="4718DF32" w:rsidR="66DE3EE2">
        <w:rPr>
          <w:rFonts w:ascii="Arial" w:hAnsi="Arial" w:eastAsia="Arial" w:cs="Arial"/>
          <w:noProof w:val="0"/>
          <w:color w:val="auto"/>
          <w:sz w:val="24"/>
          <w:szCs w:val="24"/>
          <w:lang w:val="en-US"/>
        </w:rPr>
        <w:t xml:space="preserve"> </w:t>
      </w:r>
      <w:r w:rsidRPr="4718DF32" w:rsidR="56187DE5">
        <w:rPr>
          <w:rFonts w:ascii="Arial" w:hAnsi="Arial" w:eastAsia="Arial" w:cs="Arial"/>
          <w:noProof w:val="0"/>
          <w:color w:val="auto"/>
          <w:sz w:val="24"/>
          <w:szCs w:val="24"/>
          <w:lang w:val="en-US"/>
        </w:rPr>
        <w:t xml:space="preserve">(Oxford Language Dictionary, 2024) </w:t>
      </w:r>
      <w:r w:rsidRPr="4718DF32" w:rsidR="6D58FA87">
        <w:rPr>
          <w:rFonts w:ascii="Arial" w:hAnsi="Arial" w:eastAsia="Arial" w:cs="Arial"/>
          <w:noProof w:val="0"/>
          <w:color w:val="auto"/>
          <w:sz w:val="24"/>
          <w:szCs w:val="24"/>
          <w:lang w:val="en-US"/>
        </w:rPr>
        <w:t>I</w:t>
      </w:r>
      <w:r w:rsidRPr="4718DF32" w:rsidR="69C726D3">
        <w:rPr>
          <w:rFonts w:ascii="Arial" w:hAnsi="Arial" w:eastAsia="Arial" w:cs="Arial"/>
          <w:noProof w:val="0"/>
          <w:color w:val="auto"/>
          <w:sz w:val="24"/>
          <w:szCs w:val="24"/>
          <w:lang w:val="en-US"/>
        </w:rPr>
        <w:t xml:space="preserve">n legal terms, battery is when a person intentionally and recklessly applies unlawful force towards </w:t>
      </w:r>
      <w:r w:rsidRPr="4718DF32" w:rsidR="7A00730B">
        <w:rPr>
          <w:rFonts w:ascii="Arial" w:hAnsi="Arial" w:eastAsia="Arial" w:cs="Arial"/>
          <w:noProof w:val="0"/>
          <w:color w:val="auto"/>
          <w:sz w:val="24"/>
          <w:szCs w:val="24"/>
          <w:lang w:val="en-US"/>
        </w:rPr>
        <w:t xml:space="preserve">another individual resulting </w:t>
      </w:r>
      <w:r w:rsidRPr="4718DF32" w:rsidR="490E00E0">
        <w:rPr>
          <w:rFonts w:ascii="Arial" w:hAnsi="Arial" w:eastAsia="Arial" w:cs="Arial"/>
          <w:noProof w:val="0"/>
          <w:color w:val="auto"/>
          <w:sz w:val="24"/>
          <w:szCs w:val="24"/>
          <w:lang w:val="en-US"/>
        </w:rPr>
        <w:t>in</w:t>
      </w:r>
      <w:r w:rsidRPr="4718DF32" w:rsidR="7A00730B">
        <w:rPr>
          <w:rFonts w:ascii="Arial" w:hAnsi="Arial" w:eastAsia="Arial" w:cs="Arial"/>
          <w:noProof w:val="0"/>
          <w:color w:val="auto"/>
          <w:sz w:val="24"/>
          <w:szCs w:val="24"/>
          <w:lang w:val="en-US"/>
        </w:rPr>
        <w:t xml:space="preserve"> a more serious outcome. </w:t>
      </w:r>
      <w:r w:rsidRPr="4718DF32" w:rsidR="3AEAD4CB">
        <w:rPr>
          <w:rFonts w:ascii="Arial" w:hAnsi="Arial" w:eastAsia="Arial" w:cs="Arial"/>
          <w:noProof w:val="0"/>
          <w:color w:val="auto"/>
          <w:sz w:val="24"/>
          <w:szCs w:val="24"/>
          <w:lang w:val="en-US"/>
        </w:rPr>
        <w:t xml:space="preserve">(Ison Harrison Solicitor, 2024) </w:t>
      </w:r>
      <w:r w:rsidRPr="4718DF32" w:rsidR="6772942E">
        <w:rPr>
          <w:rFonts w:ascii="Arial" w:hAnsi="Arial" w:eastAsia="Arial" w:cs="Arial"/>
          <w:noProof w:val="0"/>
          <w:color w:val="auto"/>
          <w:sz w:val="24"/>
          <w:szCs w:val="24"/>
          <w:lang w:val="en-US"/>
        </w:rPr>
        <w:t xml:space="preserve">Within the conclusion of this assignment the reader should have a fully understanding of how consent plays a significant rule </w:t>
      </w:r>
      <w:r w:rsidRPr="4718DF32" w:rsidR="76E08D1B">
        <w:rPr>
          <w:rFonts w:ascii="Arial" w:hAnsi="Arial" w:eastAsia="Arial" w:cs="Arial"/>
          <w:noProof w:val="0"/>
          <w:color w:val="auto"/>
          <w:sz w:val="24"/>
          <w:szCs w:val="24"/>
          <w:lang w:val="en-US"/>
        </w:rPr>
        <w:t>in battery cases in the United Kingdom.</w:t>
      </w:r>
      <w:r w:rsidRPr="4718DF32" w:rsidR="60ECE22B">
        <w:rPr>
          <w:rFonts w:ascii="Arial" w:hAnsi="Arial" w:eastAsia="Arial" w:cs="Arial"/>
          <w:noProof w:val="0"/>
          <w:color w:val="auto"/>
          <w:sz w:val="24"/>
          <w:szCs w:val="24"/>
          <w:lang w:val="en-US"/>
        </w:rPr>
        <w:t xml:space="preserve"> </w:t>
      </w:r>
      <w:r w:rsidRPr="4718DF32" w:rsidR="3FA9F760">
        <w:rPr>
          <w:rFonts w:ascii="Arial" w:hAnsi="Arial" w:eastAsia="Arial" w:cs="Arial"/>
          <w:noProof w:val="0"/>
          <w:color w:val="auto"/>
          <w:sz w:val="24"/>
          <w:szCs w:val="24"/>
          <w:lang w:val="en-US"/>
        </w:rPr>
        <w:t>Consent is especially important during sexual intercourse</w:t>
      </w:r>
      <w:r w:rsidRPr="4718DF32" w:rsidR="3C609C9A">
        <w:rPr>
          <w:rFonts w:ascii="Arial" w:hAnsi="Arial" w:eastAsia="Arial" w:cs="Arial"/>
          <w:noProof w:val="0"/>
          <w:color w:val="auto"/>
          <w:sz w:val="24"/>
          <w:szCs w:val="24"/>
          <w:lang w:val="en-US"/>
        </w:rPr>
        <w:t>. It</w:t>
      </w:r>
      <w:r w:rsidRPr="4718DF32" w:rsidR="3FA9F760">
        <w:rPr>
          <w:rFonts w:ascii="Arial" w:hAnsi="Arial" w:eastAsia="Arial" w:cs="Arial"/>
          <w:noProof w:val="0"/>
          <w:color w:val="auto"/>
          <w:sz w:val="24"/>
          <w:szCs w:val="24"/>
          <w:lang w:val="en-US"/>
        </w:rPr>
        <w:t xml:space="preserve"> can be given verbally</w:t>
      </w:r>
      <w:r w:rsidRPr="4718DF32" w:rsidR="3C609C9A">
        <w:rPr>
          <w:rFonts w:ascii="Arial" w:hAnsi="Arial" w:eastAsia="Arial" w:cs="Arial"/>
          <w:noProof w:val="0"/>
          <w:color w:val="auto"/>
          <w:sz w:val="24"/>
          <w:szCs w:val="24"/>
          <w:lang w:val="en-US"/>
        </w:rPr>
        <w:t>. It</w:t>
      </w:r>
      <w:r w:rsidRPr="4718DF32" w:rsidR="3FA9F760">
        <w:rPr>
          <w:rFonts w:ascii="Arial" w:hAnsi="Arial" w:eastAsia="Arial" w:cs="Arial"/>
          <w:noProof w:val="0"/>
          <w:color w:val="auto"/>
          <w:sz w:val="24"/>
          <w:szCs w:val="24"/>
          <w:lang w:val="en-US"/>
        </w:rPr>
        <w:t xml:space="preserve"> must </w:t>
      </w:r>
      <w:r w:rsidRPr="4718DF32" w:rsidR="0CAF09A0">
        <w:rPr>
          <w:rFonts w:ascii="Arial" w:hAnsi="Arial" w:eastAsia="Arial" w:cs="Arial"/>
          <w:noProof w:val="0"/>
          <w:color w:val="auto"/>
          <w:sz w:val="24"/>
          <w:szCs w:val="24"/>
          <w:lang w:val="en-US"/>
        </w:rPr>
        <w:t>be done</w:t>
      </w:r>
      <w:r w:rsidRPr="4718DF32" w:rsidR="3FA9F760">
        <w:rPr>
          <w:rFonts w:ascii="Arial" w:hAnsi="Arial" w:eastAsia="Arial" w:cs="Arial"/>
          <w:noProof w:val="0"/>
          <w:color w:val="auto"/>
          <w:sz w:val="24"/>
          <w:szCs w:val="24"/>
          <w:lang w:val="en-US"/>
        </w:rPr>
        <w:t xml:space="preserve"> voluntarily without any pressure </w:t>
      </w:r>
      <w:r w:rsidRPr="4718DF32" w:rsidR="5EB1E611">
        <w:rPr>
          <w:rFonts w:ascii="Arial" w:hAnsi="Arial" w:eastAsia="Arial" w:cs="Arial"/>
          <w:noProof w:val="0"/>
          <w:color w:val="auto"/>
          <w:sz w:val="24"/>
          <w:szCs w:val="24"/>
          <w:lang w:val="en-US"/>
        </w:rPr>
        <w:t>or manipulation; the</w:t>
      </w:r>
      <w:r w:rsidRPr="4718DF32" w:rsidR="110DD09D">
        <w:rPr>
          <w:rFonts w:ascii="Arial" w:hAnsi="Arial" w:eastAsia="Arial" w:cs="Arial"/>
          <w:noProof w:val="0"/>
          <w:color w:val="auto"/>
          <w:sz w:val="24"/>
          <w:szCs w:val="24"/>
          <w:lang w:val="en-US"/>
        </w:rPr>
        <w:t xml:space="preserve"> consent must be given by an individual </w:t>
      </w:r>
      <w:r w:rsidRPr="4718DF32" w:rsidR="5416F306">
        <w:rPr>
          <w:rFonts w:ascii="Arial" w:hAnsi="Arial" w:eastAsia="Arial" w:cs="Arial"/>
          <w:noProof w:val="0"/>
          <w:color w:val="auto"/>
          <w:sz w:val="24"/>
          <w:szCs w:val="24"/>
          <w:lang w:val="en-US"/>
        </w:rPr>
        <w:t>who</w:t>
      </w:r>
      <w:r w:rsidRPr="4718DF32" w:rsidR="110DD09D">
        <w:rPr>
          <w:rFonts w:ascii="Arial" w:hAnsi="Arial" w:eastAsia="Arial" w:cs="Arial"/>
          <w:noProof w:val="0"/>
          <w:color w:val="auto"/>
          <w:sz w:val="24"/>
          <w:szCs w:val="24"/>
          <w:lang w:val="en-US"/>
        </w:rPr>
        <w:t xml:space="preserve"> has the mental and physical </w:t>
      </w:r>
      <w:r w:rsidRPr="4718DF32" w:rsidR="110DD09D">
        <w:rPr>
          <w:rFonts w:ascii="Arial" w:hAnsi="Arial" w:eastAsia="Arial" w:cs="Arial"/>
          <w:noProof w:val="0"/>
          <w:color w:val="auto"/>
          <w:sz w:val="24"/>
          <w:szCs w:val="24"/>
          <w:lang w:val="en-US"/>
        </w:rPr>
        <w:t>capacity</w:t>
      </w:r>
      <w:r w:rsidRPr="4718DF32" w:rsidR="110DD09D">
        <w:rPr>
          <w:rFonts w:ascii="Arial" w:hAnsi="Arial" w:eastAsia="Arial" w:cs="Arial"/>
          <w:noProof w:val="0"/>
          <w:color w:val="auto"/>
          <w:sz w:val="24"/>
          <w:szCs w:val="24"/>
          <w:lang w:val="en-US"/>
        </w:rPr>
        <w:t xml:space="preserve"> to make informed decisions. </w:t>
      </w:r>
      <w:r w:rsidRPr="4718DF32" w:rsidR="4B2221C0">
        <w:rPr>
          <w:rFonts w:ascii="Arial" w:hAnsi="Arial" w:eastAsia="Arial" w:cs="Arial"/>
          <w:noProof w:val="0"/>
          <w:color w:val="auto"/>
          <w:sz w:val="24"/>
          <w:szCs w:val="24"/>
          <w:lang w:val="en-US"/>
        </w:rPr>
        <w:t>The Sexual Offence Act 2003</w:t>
      </w:r>
      <w:r w:rsidRPr="4718DF32" w:rsidR="27145CE7">
        <w:rPr>
          <w:rFonts w:ascii="Arial" w:hAnsi="Arial" w:eastAsia="Arial" w:cs="Arial"/>
          <w:noProof w:val="0"/>
          <w:color w:val="auto"/>
          <w:sz w:val="24"/>
          <w:szCs w:val="24"/>
          <w:lang w:val="en-US"/>
        </w:rPr>
        <w:t xml:space="preserve"> </w:t>
      </w:r>
      <w:r w:rsidRPr="4718DF32" w:rsidR="4B2221C0">
        <w:rPr>
          <w:rFonts w:ascii="Arial" w:hAnsi="Arial" w:eastAsia="Arial" w:cs="Arial"/>
          <w:noProof w:val="0"/>
          <w:color w:val="auto"/>
          <w:sz w:val="24"/>
          <w:szCs w:val="24"/>
          <w:lang w:val="en-US"/>
        </w:rPr>
        <w:t xml:space="preserve">was put in place to provide protection </w:t>
      </w:r>
      <w:r w:rsidRPr="4718DF32" w:rsidR="339E32FB">
        <w:rPr>
          <w:rFonts w:ascii="Arial" w:hAnsi="Arial" w:eastAsia="Arial" w:cs="Arial"/>
          <w:noProof w:val="0"/>
          <w:color w:val="auto"/>
          <w:sz w:val="24"/>
          <w:szCs w:val="24"/>
          <w:lang w:val="en-US"/>
        </w:rPr>
        <w:t>for</w:t>
      </w:r>
      <w:r w:rsidRPr="4718DF32" w:rsidR="4B2221C0">
        <w:rPr>
          <w:rFonts w:ascii="Arial" w:hAnsi="Arial" w:eastAsia="Arial" w:cs="Arial"/>
          <w:noProof w:val="0"/>
          <w:color w:val="auto"/>
          <w:sz w:val="24"/>
          <w:szCs w:val="24"/>
          <w:lang w:val="en-US"/>
        </w:rPr>
        <w:t xml:space="preserve"> individuals and vulnerable groups. In summary if cons</w:t>
      </w:r>
      <w:r w:rsidRPr="4718DF32" w:rsidR="10583A09">
        <w:rPr>
          <w:rFonts w:ascii="Arial" w:hAnsi="Arial" w:eastAsia="Arial" w:cs="Arial"/>
          <w:noProof w:val="0"/>
          <w:color w:val="auto"/>
          <w:sz w:val="24"/>
          <w:szCs w:val="24"/>
          <w:lang w:val="en-US"/>
        </w:rPr>
        <w:t xml:space="preserve">ent is not given during sexual </w:t>
      </w:r>
      <w:r w:rsidRPr="4718DF32" w:rsidR="456A5A31">
        <w:rPr>
          <w:rFonts w:ascii="Arial" w:hAnsi="Arial" w:eastAsia="Arial" w:cs="Arial"/>
          <w:noProof w:val="0"/>
          <w:color w:val="auto"/>
          <w:sz w:val="24"/>
          <w:szCs w:val="24"/>
          <w:lang w:val="en-US"/>
        </w:rPr>
        <w:t>intercourse,</w:t>
      </w:r>
      <w:r w:rsidRPr="4718DF32" w:rsidR="10583A09">
        <w:rPr>
          <w:rFonts w:ascii="Arial" w:hAnsi="Arial" w:eastAsia="Arial" w:cs="Arial"/>
          <w:noProof w:val="0"/>
          <w:color w:val="auto"/>
          <w:sz w:val="24"/>
          <w:szCs w:val="24"/>
          <w:lang w:val="en-US"/>
        </w:rPr>
        <w:t xml:space="preserve"> it is a serious criminal offence which can be classified as rape or </w:t>
      </w:r>
      <w:r w:rsidRPr="4718DF32" w:rsidR="33684DF4">
        <w:rPr>
          <w:rFonts w:ascii="Arial" w:hAnsi="Arial" w:eastAsia="Arial" w:cs="Arial"/>
          <w:noProof w:val="0"/>
          <w:color w:val="auto"/>
          <w:sz w:val="24"/>
          <w:szCs w:val="24"/>
          <w:lang w:val="en-US"/>
        </w:rPr>
        <w:t>sexual</w:t>
      </w:r>
      <w:r w:rsidRPr="4718DF32" w:rsidR="10583A09">
        <w:rPr>
          <w:rFonts w:ascii="Arial" w:hAnsi="Arial" w:eastAsia="Arial" w:cs="Arial"/>
          <w:noProof w:val="0"/>
          <w:color w:val="auto"/>
          <w:sz w:val="24"/>
          <w:szCs w:val="24"/>
          <w:lang w:val="en-US"/>
        </w:rPr>
        <w:t xml:space="preserve"> </w:t>
      </w:r>
      <w:r w:rsidRPr="4718DF32" w:rsidR="0C2F13E6">
        <w:rPr>
          <w:rFonts w:ascii="Arial" w:hAnsi="Arial" w:eastAsia="Arial" w:cs="Arial"/>
          <w:noProof w:val="0"/>
          <w:color w:val="auto"/>
          <w:sz w:val="24"/>
          <w:szCs w:val="24"/>
          <w:lang w:val="en-US"/>
        </w:rPr>
        <w:t>assault</w:t>
      </w:r>
      <w:r w:rsidRPr="4718DF32" w:rsidR="10583A09">
        <w:rPr>
          <w:rFonts w:ascii="Arial" w:hAnsi="Arial" w:eastAsia="Arial" w:cs="Arial"/>
          <w:noProof w:val="0"/>
          <w:color w:val="auto"/>
          <w:sz w:val="24"/>
          <w:szCs w:val="24"/>
          <w:lang w:val="en-US"/>
        </w:rPr>
        <w:t xml:space="preserve"> under the laws within the United Kingdom.</w:t>
      </w:r>
      <w:r w:rsidRPr="4718DF32" w:rsidR="7B8C7AC6">
        <w:rPr>
          <w:rFonts w:ascii="Arial" w:hAnsi="Arial" w:eastAsia="Arial" w:cs="Arial"/>
          <w:noProof w:val="0"/>
          <w:color w:val="auto"/>
          <w:sz w:val="24"/>
          <w:szCs w:val="24"/>
          <w:lang w:val="en-US"/>
        </w:rPr>
        <w:t xml:space="preserve"> </w:t>
      </w:r>
      <w:r w:rsidRPr="4718DF32" w:rsidR="1E238E34">
        <w:rPr>
          <w:rFonts w:ascii="Arial" w:hAnsi="Arial" w:eastAsia="Arial" w:cs="Arial"/>
          <w:noProof w:val="0"/>
          <w:color w:val="auto"/>
          <w:sz w:val="24"/>
          <w:szCs w:val="24"/>
          <w:lang w:val="en-US"/>
        </w:rPr>
        <w:t>It appears likely that this was what convinced the court of his culpability in violence, given that he was blatantly guilty of intentional and false misconduct. (law teacher, 2021</w:t>
      </w:r>
      <w:r w:rsidRPr="4718DF32" w:rsidR="5EFCCC32">
        <w:rPr>
          <w:rFonts w:ascii="Arial" w:hAnsi="Arial" w:eastAsia="Arial" w:cs="Arial"/>
          <w:noProof w:val="0"/>
          <w:color w:val="auto"/>
          <w:sz w:val="24"/>
          <w:szCs w:val="24"/>
          <w:lang w:val="en-US"/>
        </w:rPr>
        <w:t>) A</w:t>
      </w:r>
      <w:r w:rsidRPr="4718DF32" w:rsidR="7B3A9612">
        <w:rPr>
          <w:rFonts w:ascii="Arial" w:hAnsi="Arial" w:eastAsia="Arial" w:cs="Arial"/>
          <w:noProof w:val="0"/>
          <w:color w:val="auto"/>
          <w:sz w:val="24"/>
          <w:szCs w:val="24"/>
          <w:lang w:val="en-US"/>
        </w:rPr>
        <w:t xml:space="preserve"> case which drew attention concerning issues of consent and battery within the United Kingdom</w:t>
      </w:r>
      <w:r w:rsidRPr="4718DF32" w:rsidR="4E7BBEF3">
        <w:rPr>
          <w:rFonts w:ascii="Arial" w:hAnsi="Arial" w:eastAsia="Arial" w:cs="Arial"/>
          <w:noProof w:val="0"/>
          <w:color w:val="auto"/>
          <w:sz w:val="24"/>
          <w:szCs w:val="24"/>
          <w:lang w:val="en-US"/>
        </w:rPr>
        <w:t xml:space="preserve"> is the Appleton v. Garett (1997). This case involved medical </w:t>
      </w:r>
      <w:r w:rsidRPr="4718DF32" w:rsidR="4E7BBEF3">
        <w:rPr>
          <w:rFonts w:ascii="Arial" w:hAnsi="Arial" w:eastAsia="Arial" w:cs="Arial"/>
          <w:noProof w:val="0"/>
          <w:color w:val="auto"/>
          <w:sz w:val="24"/>
          <w:szCs w:val="24"/>
          <w:lang w:val="en-US"/>
        </w:rPr>
        <w:t>seek</w:t>
      </w:r>
      <w:r w:rsidRPr="4718DF32" w:rsidR="4E7BBEF3">
        <w:rPr>
          <w:rFonts w:ascii="Arial" w:hAnsi="Arial" w:eastAsia="Arial" w:cs="Arial"/>
          <w:noProof w:val="0"/>
          <w:color w:val="auto"/>
          <w:sz w:val="24"/>
          <w:szCs w:val="24"/>
          <w:lang w:val="en-US"/>
        </w:rPr>
        <w:t xml:space="preserve"> from a dentist who performed </w:t>
      </w:r>
      <w:r w:rsidRPr="4718DF32" w:rsidR="7B724700">
        <w:rPr>
          <w:rFonts w:ascii="Arial" w:hAnsi="Arial" w:eastAsia="Arial" w:cs="Arial"/>
          <w:noProof w:val="0"/>
          <w:color w:val="auto"/>
          <w:sz w:val="24"/>
          <w:szCs w:val="24"/>
          <w:lang w:val="en-US"/>
        </w:rPr>
        <w:t xml:space="preserve">unnecessary dental treatment on </w:t>
      </w:r>
      <w:r w:rsidRPr="4718DF32" w:rsidR="7B724700">
        <w:rPr>
          <w:rFonts w:ascii="Arial" w:hAnsi="Arial" w:eastAsia="Arial" w:cs="Arial"/>
          <w:noProof w:val="0"/>
          <w:color w:val="auto"/>
          <w:sz w:val="24"/>
          <w:szCs w:val="24"/>
          <w:lang w:val="en-US"/>
        </w:rPr>
        <w:t>numerous</w:t>
      </w:r>
      <w:r w:rsidRPr="4718DF32" w:rsidR="7B724700">
        <w:rPr>
          <w:rFonts w:ascii="Arial" w:hAnsi="Arial" w:eastAsia="Arial" w:cs="Arial"/>
          <w:noProof w:val="0"/>
          <w:color w:val="auto"/>
          <w:sz w:val="24"/>
          <w:szCs w:val="24"/>
          <w:lang w:val="en-US"/>
        </w:rPr>
        <w:t xml:space="preserve"> patients without their consent. </w:t>
      </w:r>
      <w:r w:rsidRPr="4718DF32" w:rsidR="5AD2F2B3">
        <w:rPr>
          <w:rFonts w:ascii="Arial" w:hAnsi="Arial" w:eastAsia="Arial" w:cs="Arial"/>
          <w:noProof w:val="0"/>
          <w:color w:val="auto"/>
          <w:sz w:val="24"/>
          <w:szCs w:val="24"/>
          <w:lang w:val="en-US"/>
        </w:rPr>
        <w:t xml:space="preserve">These actions were influenced by financial benefits without considering the patient's medical needs. The </w:t>
      </w:r>
      <w:r w:rsidRPr="4718DF32" w:rsidR="3F83976C">
        <w:rPr>
          <w:rFonts w:ascii="Arial" w:hAnsi="Arial" w:eastAsia="Arial" w:cs="Arial"/>
          <w:noProof w:val="0"/>
          <w:color w:val="auto"/>
          <w:sz w:val="24"/>
          <w:szCs w:val="24"/>
          <w:lang w:val="en-US"/>
        </w:rPr>
        <w:t>targeted</w:t>
      </w:r>
      <w:r w:rsidRPr="4718DF32" w:rsidR="5AD2F2B3">
        <w:rPr>
          <w:rFonts w:ascii="Arial" w:hAnsi="Arial" w:eastAsia="Arial" w:cs="Arial"/>
          <w:noProof w:val="0"/>
          <w:color w:val="auto"/>
          <w:sz w:val="24"/>
          <w:szCs w:val="24"/>
          <w:lang w:val="en-US"/>
        </w:rPr>
        <w:t xml:space="preserve"> patients sued Dr. Garrett for battery and </w:t>
      </w:r>
      <w:r w:rsidRPr="4718DF32" w:rsidR="3593247B">
        <w:rPr>
          <w:rFonts w:ascii="Arial" w:hAnsi="Arial" w:eastAsia="Arial" w:cs="Arial"/>
          <w:noProof w:val="0"/>
          <w:color w:val="auto"/>
          <w:sz w:val="24"/>
          <w:szCs w:val="24"/>
          <w:lang w:val="en-US"/>
        </w:rPr>
        <w:t>deceit,</w:t>
      </w:r>
      <w:r w:rsidRPr="4718DF32" w:rsidR="5AD2F2B3">
        <w:rPr>
          <w:rFonts w:ascii="Arial" w:hAnsi="Arial" w:eastAsia="Arial" w:cs="Arial"/>
          <w:noProof w:val="0"/>
          <w:color w:val="auto"/>
          <w:sz w:val="24"/>
          <w:szCs w:val="24"/>
          <w:lang w:val="en-US"/>
        </w:rPr>
        <w:t xml:space="preserve"> claiming the issue a</w:t>
      </w:r>
      <w:r w:rsidRPr="4718DF32" w:rsidR="39A1332A">
        <w:rPr>
          <w:rFonts w:ascii="Arial" w:hAnsi="Arial" w:eastAsia="Arial" w:cs="Arial"/>
          <w:noProof w:val="0"/>
          <w:color w:val="auto"/>
          <w:sz w:val="24"/>
          <w:szCs w:val="24"/>
          <w:lang w:val="en-US"/>
        </w:rPr>
        <w:t xml:space="preserve">s they were misled </w:t>
      </w:r>
      <w:r w:rsidRPr="4718DF32" w:rsidR="60E8A58F">
        <w:rPr>
          <w:rFonts w:ascii="Arial" w:hAnsi="Arial" w:eastAsia="Arial" w:cs="Arial"/>
          <w:noProof w:val="0"/>
          <w:color w:val="auto"/>
          <w:sz w:val="24"/>
          <w:szCs w:val="24"/>
          <w:lang w:val="en-US"/>
        </w:rPr>
        <w:t>by</w:t>
      </w:r>
      <w:r w:rsidRPr="4718DF32" w:rsidR="39A1332A">
        <w:rPr>
          <w:rFonts w:ascii="Arial" w:hAnsi="Arial" w:eastAsia="Arial" w:cs="Arial"/>
          <w:noProof w:val="0"/>
          <w:color w:val="auto"/>
          <w:sz w:val="24"/>
          <w:szCs w:val="24"/>
          <w:lang w:val="en-US"/>
        </w:rPr>
        <w:t xml:space="preserve"> the procedures performed. </w:t>
      </w:r>
      <w:r w:rsidRPr="4718DF32" w:rsidR="6C7A1F79">
        <w:rPr>
          <w:rFonts w:ascii="Arial" w:hAnsi="Arial" w:eastAsia="Arial" w:cs="Arial"/>
          <w:noProof w:val="0"/>
          <w:color w:val="auto"/>
          <w:sz w:val="24"/>
          <w:szCs w:val="24"/>
          <w:lang w:val="en-US"/>
        </w:rPr>
        <w:t xml:space="preserve">The conclusion of this case serves </w:t>
      </w:r>
      <w:r w:rsidRPr="4718DF32" w:rsidR="3E59EB0D">
        <w:rPr>
          <w:rFonts w:ascii="Arial" w:hAnsi="Arial" w:eastAsia="Arial" w:cs="Arial"/>
          <w:noProof w:val="0"/>
          <w:color w:val="auto"/>
          <w:sz w:val="24"/>
          <w:szCs w:val="24"/>
          <w:lang w:val="en-US"/>
        </w:rPr>
        <w:t xml:space="preserve">an essential reference for understanding how </w:t>
      </w:r>
      <w:r w:rsidRPr="4718DF32" w:rsidR="2D2FC00B">
        <w:rPr>
          <w:rFonts w:ascii="Arial" w:hAnsi="Arial" w:eastAsia="Arial" w:cs="Arial"/>
          <w:noProof w:val="0"/>
          <w:color w:val="auto"/>
          <w:sz w:val="24"/>
          <w:szCs w:val="24"/>
          <w:lang w:val="en-US"/>
        </w:rPr>
        <w:t>the act of intentionally misleading or deceiving another person,</w:t>
      </w:r>
      <w:r w:rsidRPr="4718DF32" w:rsidR="3E59EB0D">
        <w:rPr>
          <w:rFonts w:ascii="Arial" w:hAnsi="Arial" w:eastAsia="Arial" w:cs="Arial"/>
          <w:noProof w:val="0"/>
          <w:color w:val="auto"/>
          <w:sz w:val="24"/>
          <w:szCs w:val="24"/>
          <w:lang w:val="en-US"/>
        </w:rPr>
        <w:t xml:space="preserve"> can invalidate consent and lead to liability for battery within the United Kingdom</w:t>
      </w:r>
      <w:r w:rsidRPr="4718DF32" w:rsidR="7FB505DB">
        <w:rPr>
          <w:rFonts w:ascii="Arial" w:hAnsi="Arial" w:eastAsia="Arial" w:cs="Arial"/>
          <w:noProof w:val="0"/>
          <w:color w:val="auto"/>
          <w:sz w:val="24"/>
          <w:szCs w:val="24"/>
          <w:lang w:val="en-US"/>
        </w:rPr>
        <w:t>.</w:t>
      </w:r>
      <w:r w:rsidRPr="4718DF32" w:rsidR="54132AF5">
        <w:rPr>
          <w:rFonts w:ascii="Arial" w:hAnsi="Arial" w:eastAsia="Arial" w:cs="Arial"/>
          <w:noProof w:val="0"/>
          <w:color w:val="auto"/>
          <w:sz w:val="24"/>
          <w:szCs w:val="24"/>
          <w:lang w:val="en-US"/>
        </w:rPr>
        <w:t xml:space="preserve"> </w:t>
      </w:r>
      <w:r w:rsidRPr="4718DF32" w:rsidR="278BCBEA">
        <w:rPr>
          <w:rFonts w:ascii="Arial" w:hAnsi="Arial" w:eastAsia="Arial" w:cs="Arial"/>
          <w:noProof w:val="0"/>
          <w:color w:val="auto"/>
          <w:sz w:val="24"/>
          <w:szCs w:val="24"/>
          <w:lang w:val="en-US"/>
        </w:rPr>
        <w:t>This case has resulted in m</w:t>
      </w:r>
      <w:r w:rsidRPr="4718DF32" w:rsidR="278BCBEA">
        <w:rPr>
          <w:rFonts w:ascii="Arial" w:hAnsi="Arial" w:eastAsia="Arial" w:cs="Arial"/>
          <w:color w:val="auto"/>
          <w:sz w:val="24"/>
          <w:szCs w:val="24"/>
        </w:rPr>
        <w:t xml:space="preserve">edical procedures requiring informed consent of patients, so they will make them aware of the benefits, risk, and other </w:t>
      </w:r>
      <w:r w:rsidRPr="4718DF32" w:rsidR="278BCBEA">
        <w:rPr>
          <w:rFonts w:ascii="Arial" w:hAnsi="Arial" w:eastAsia="Arial" w:cs="Arial"/>
          <w:color w:val="auto"/>
          <w:sz w:val="24"/>
          <w:szCs w:val="24"/>
        </w:rPr>
        <w:t>viable</w:t>
      </w:r>
      <w:r w:rsidRPr="4718DF32" w:rsidR="278BCBEA">
        <w:rPr>
          <w:rFonts w:ascii="Arial" w:hAnsi="Arial" w:eastAsia="Arial" w:cs="Arial"/>
          <w:color w:val="auto"/>
          <w:sz w:val="24"/>
          <w:szCs w:val="24"/>
        </w:rPr>
        <w:t xml:space="preserve"> options available. Professionals such as doctors and nurses will need patients to give consent willingly without any demands</w:t>
      </w:r>
      <w:r w:rsidRPr="4718DF32" w:rsidR="278BCBEA">
        <w:rPr>
          <w:rFonts w:ascii="Arial" w:hAnsi="Arial" w:eastAsia="Arial" w:cs="Arial"/>
          <w:color w:val="auto"/>
          <w:sz w:val="24"/>
          <w:szCs w:val="24"/>
        </w:rPr>
        <w:t>.</w:t>
      </w:r>
      <w:r w:rsidRPr="4718DF32" w:rsidR="5C2F9749">
        <w:rPr>
          <w:rFonts w:ascii="Arial" w:hAnsi="Arial" w:eastAsia="Arial" w:cs="Arial"/>
          <w:color w:val="auto"/>
          <w:sz w:val="24"/>
          <w:szCs w:val="24"/>
        </w:rPr>
        <w:t xml:space="preserve"> </w:t>
      </w:r>
      <w:r w:rsidRPr="4718DF32" w:rsidR="278BCBEA">
        <w:rPr>
          <w:rFonts w:ascii="Arial" w:hAnsi="Arial" w:eastAsia="Arial" w:cs="Arial"/>
          <w:color w:val="auto"/>
          <w:sz w:val="24"/>
          <w:szCs w:val="24"/>
        </w:rPr>
        <w:t>Communication, trust, and honesty are secured when consent is a priority within any situation. However, if individuals are unable to give consent due to disability or age, family members will be able to give consent on their behalf providing proof of legal authority.</w:t>
      </w:r>
      <w:r w:rsidRPr="4718DF32" w:rsidR="5F573077">
        <w:rPr>
          <w:rFonts w:ascii="Arial" w:hAnsi="Arial" w:eastAsia="Arial" w:cs="Arial"/>
          <w:color w:val="auto"/>
          <w:sz w:val="24"/>
          <w:szCs w:val="24"/>
        </w:rPr>
        <w:t xml:space="preserve"> </w:t>
      </w:r>
      <w:r w:rsidRPr="4718DF32" w:rsidR="1F179206">
        <w:rPr>
          <w:rFonts w:ascii="Arial" w:hAnsi="Arial" w:eastAsia="Arial" w:cs="Arial"/>
          <w:color w:val="auto"/>
          <w:sz w:val="24"/>
          <w:szCs w:val="24"/>
        </w:rPr>
        <w:t xml:space="preserve">There are 6 most important legal elements of consent. The two main components of consent are voluntariness and informed. Voluntariness is consent following no pressure, intimidation, or blackmail. Informed consent means information should be clear and understanding before deciding. One legal justification for processing is consent, and the use of special category data may also be justified with express consent. When a person exercises their right to restriction, consent may also be relevant. In addition, explicit permission may </w:t>
      </w:r>
      <w:r w:rsidRPr="4718DF32" w:rsidR="1F179206">
        <w:rPr>
          <w:rFonts w:ascii="Arial" w:hAnsi="Arial" w:eastAsia="Arial" w:cs="Arial"/>
          <w:color w:val="auto"/>
          <w:sz w:val="24"/>
          <w:szCs w:val="24"/>
        </w:rPr>
        <w:t>permit</w:t>
      </w:r>
      <w:r w:rsidRPr="4718DF32" w:rsidR="1F179206">
        <w:rPr>
          <w:rFonts w:ascii="Arial" w:hAnsi="Arial" w:eastAsia="Arial" w:cs="Arial"/>
          <w:color w:val="auto"/>
          <w:sz w:val="24"/>
          <w:szCs w:val="24"/>
        </w:rPr>
        <w:t xml:space="preserve"> automated decision-making and data transfers to other countries. </w:t>
      </w:r>
      <w:r w:rsidRPr="4718DF32" w:rsidR="5D3D3705">
        <w:rPr>
          <w:rFonts w:ascii="Arial" w:hAnsi="Arial" w:eastAsia="Arial" w:cs="Arial"/>
          <w:noProof w:val="0"/>
          <w:sz w:val="24"/>
          <w:szCs w:val="24"/>
          <w:lang w:val="en-US"/>
        </w:rPr>
        <w:t>(Information Commissioner’s Office, 2024)</w:t>
      </w:r>
    </w:p>
    <w:p w:rsidR="2BCD9ABF" w:rsidP="4718DF32" w:rsidRDefault="2BCD9ABF" w14:paraId="735EB3C2" w14:textId="52F90FC7">
      <w:pPr>
        <w:rPr>
          <w:rFonts w:ascii="Arial" w:hAnsi="Arial" w:eastAsia="Arial" w:cs="Arial"/>
          <w:noProof w:val="0"/>
          <w:color w:val="000000" w:themeColor="text1" w:themeTint="FF" w:themeShade="FF"/>
          <w:sz w:val="24"/>
          <w:szCs w:val="24"/>
          <w:lang w:val="en-US"/>
        </w:rPr>
      </w:pPr>
      <w:r w:rsidRPr="4718DF32" w:rsidR="2BCD9ABF">
        <w:rPr>
          <w:rFonts w:ascii="Arial" w:hAnsi="Arial" w:eastAsia="Arial" w:cs="Arial"/>
          <w:noProof w:val="0"/>
          <w:color w:val="000000" w:themeColor="text1" w:themeTint="FF" w:themeShade="FF"/>
          <w:sz w:val="24"/>
          <w:szCs w:val="24"/>
          <w:lang w:val="en-US"/>
        </w:rPr>
        <w:t xml:space="preserve">Having broadly outlined some aspects of consent, it is necessary to consider its application in the context of the offence of battery. </w:t>
      </w:r>
      <w:r w:rsidRPr="4718DF32" w:rsidR="2895E4A5">
        <w:rPr>
          <w:rFonts w:ascii="Arial" w:hAnsi="Arial" w:eastAsia="Arial" w:cs="Arial"/>
          <w:color w:val="auto"/>
          <w:sz w:val="24"/>
          <w:szCs w:val="24"/>
        </w:rPr>
        <w:t xml:space="preserve">‘Battery is a general intent, rather than a specific intent.’ (Rafii, 2023) Battery in a legal context, is illegal bodily contact if you interact with another individual without verbal consent. The aim and intention of engaging physical interaction harmfully with another person ensuring it was not an accident. There are 3 different elements of legal battery which are contact, harm and damage. Contact is the action of committing a crime against another person physically. This could be in </w:t>
      </w:r>
      <w:r w:rsidRPr="4718DF32" w:rsidR="2895E4A5">
        <w:rPr>
          <w:rFonts w:ascii="Arial" w:hAnsi="Arial" w:eastAsia="Arial" w:cs="Arial"/>
          <w:color w:val="auto"/>
          <w:sz w:val="24"/>
          <w:szCs w:val="24"/>
        </w:rPr>
        <w:t>numerous</w:t>
      </w:r>
      <w:r w:rsidRPr="4718DF32" w:rsidR="2895E4A5">
        <w:rPr>
          <w:rFonts w:ascii="Arial" w:hAnsi="Arial" w:eastAsia="Arial" w:cs="Arial"/>
          <w:color w:val="auto"/>
          <w:sz w:val="24"/>
          <w:szCs w:val="24"/>
        </w:rPr>
        <w:t xml:space="preserve"> ways such as hitting or spitting. Harm can include domestic abuse, mental or emotional distress. Damage is the overall outcome of this crime which could cause damage or injuries to a person or property. Battery within the Uk is governed by common laws. Common assault which is a key principle refers to the act of causing harm to another citizen. Criminal offense helps offenders be charged with assault or battery depending about bodily harm. Intent and consent are key principles; it must be proven that the defendant intentionally and unlawfully applies force to another person without having consent. Penalties are used and can change depending on how serious the offense committed is.</w:t>
      </w:r>
      <w:r w:rsidRPr="4718DF32" w:rsidR="73ED2845">
        <w:rPr>
          <w:rFonts w:ascii="Arial" w:hAnsi="Arial" w:eastAsia="Arial" w:cs="Arial"/>
          <w:color w:val="auto"/>
          <w:sz w:val="24"/>
          <w:szCs w:val="24"/>
        </w:rPr>
        <w:t xml:space="preserve"> </w:t>
      </w:r>
      <w:r w:rsidRPr="4718DF32" w:rsidR="73ED2845">
        <w:rPr>
          <w:rFonts w:ascii="Arial" w:hAnsi="Arial" w:eastAsia="Arial" w:cs="Arial"/>
          <w:noProof w:val="0"/>
          <w:color w:val="000000" w:themeColor="text1" w:themeTint="FF" w:themeShade="FF"/>
          <w:sz w:val="24"/>
          <w:szCs w:val="24"/>
          <w:lang w:val="en-US"/>
        </w:rPr>
        <w:t xml:space="preserve">This is </w:t>
      </w:r>
      <w:r w:rsidRPr="4718DF32" w:rsidR="73ED2845">
        <w:rPr>
          <w:rFonts w:ascii="Arial" w:hAnsi="Arial" w:eastAsia="Arial" w:cs="Arial"/>
          <w:noProof w:val="0"/>
          <w:color w:val="000000" w:themeColor="text1" w:themeTint="FF" w:themeShade="FF"/>
          <w:sz w:val="24"/>
          <w:szCs w:val="24"/>
          <w:lang w:val="en-US"/>
        </w:rPr>
        <w:t>evident</w:t>
      </w:r>
      <w:r w:rsidRPr="4718DF32" w:rsidR="73ED2845">
        <w:rPr>
          <w:rFonts w:ascii="Arial" w:hAnsi="Arial" w:eastAsia="Arial" w:cs="Arial"/>
          <w:noProof w:val="0"/>
          <w:color w:val="000000" w:themeColor="text1" w:themeTint="FF" w:themeShade="FF"/>
          <w:sz w:val="24"/>
          <w:szCs w:val="24"/>
          <w:lang w:val="en-US"/>
        </w:rPr>
        <w:t xml:space="preserve"> in Collins v. Willock (1984), where the defendant was arrested by an off-duty police officer and convicted of assaulting an officer in the execution of their duty. On appeal, the defendant argued that since the officer was not on duty at the time of the assault, a battery occurred when the officer grabbed the defendant. Relevant laws to this case include the Offences Against the Person Act 1861 and Section 39 of the Criminal Justice Act 1988.</w:t>
      </w:r>
      <w:r w:rsidRPr="4718DF32" w:rsidR="298EEF3F">
        <w:rPr>
          <w:rFonts w:ascii="Arial" w:hAnsi="Arial" w:eastAsia="Arial" w:cs="Arial"/>
          <w:noProof w:val="0"/>
          <w:color w:val="000000" w:themeColor="text1" w:themeTint="FF" w:themeShade="FF"/>
          <w:sz w:val="24"/>
          <w:szCs w:val="24"/>
          <w:lang w:val="en-US"/>
        </w:rPr>
        <w:t xml:space="preserve"> </w:t>
      </w:r>
      <w:r w:rsidRPr="4718DF32" w:rsidR="559E6D16">
        <w:rPr>
          <w:rFonts w:ascii="Arial" w:hAnsi="Arial" w:eastAsia="Arial" w:cs="Arial"/>
          <w:color w:val="auto"/>
          <w:sz w:val="24"/>
          <w:szCs w:val="24"/>
        </w:rPr>
        <w:t xml:space="preserve">The role of consent in battery is vital as it has power to decide if the action of bodily harm was unlawful or accounted for. Free and informed consent is how it should be given. The difference between consent activities and battery is that if any type of consent fails to be given doctors will refuse to give any medical treatment to a patient. Involving voluntary or informed acceptance to </w:t>
      </w:r>
      <w:r w:rsidRPr="4718DF32" w:rsidR="559E6D16">
        <w:rPr>
          <w:rFonts w:ascii="Arial" w:hAnsi="Arial" w:eastAsia="Arial" w:cs="Arial"/>
          <w:color w:val="auto"/>
          <w:sz w:val="24"/>
          <w:szCs w:val="24"/>
        </w:rPr>
        <w:t>participates</w:t>
      </w:r>
      <w:r w:rsidRPr="4718DF32" w:rsidR="559E6D16">
        <w:rPr>
          <w:rFonts w:ascii="Arial" w:hAnsi="Arial" w:eastAsia="Arial" w:cs="Arial"/>
          <w:color w:val="auto"/>
          <w:sz w:val="24"/>
          <w:szCs w:val="24"/>
        </w:rPr>
        <w:t xml:space="preserve"> in any sort of activities, which requires any form of contact physically. Battery is non-consensual contact which can be a criminal offence or a civil wrong. Overall, battery is </w:t>
      </w:r>
      <w:r w:rsidRPr="4718DF32" w:rsidR="559E6D16">
        <w:rPr>
          <w:rFonts w:ascii="Arial" w:hAnsi="Arial" w:eastAsia="Arial" w:cs="Arial"/>
          <w:color w:val="auto"/>
          <w:sz w:val="24"/>
          <w:szCs w:val="24"/>
        </w:rPr>
        <w:t>required</w:t>
      </w:r>
      <w:r w:rsidRPr="4718DF32" w:rsidR="559E6D16">
        <w:rPr>
          <w:rFonts w:ascii="Arial" w:hAnsi="Arial" w:eastAsia="Arial" w:cs="Arial"/>
          <w:color w:val="auto"/>
          <w:sz w:val="24"/>
          <w:szCs w:val="24"/>
        </w:rPr>
        <w:t xml:space="preserve"> with the intention to cause bodily harm physically with irresponsible and careless intentions.</w:t>
      </w:r>
      <w:r w:rsidRPr="4718DF32" w:rsidR="5C225620">
        <w:rPr>
          <w:rFonts w:ascii="Arial" w:hAnsi="Arial" w:eastAsia="Arial" w:cs="Arial"/>
          <w:color w:val="auto"/>
          <w:sz w:val="24"/>
          <w:szCs w:val="24"/>
        </w:rPr>
        <w:t xml:space="preserve"> </w:t>
      </w:r>
      <w:r w:rsidRPr="4718DF32" w:rsidR="02E415D5">
        <w:rPr>
          <w:rFonts w:ascii="Arial" w:hAnsi="Arial" w:eastAsia="Arial" w:cs="Arial"/>
          <w:color w:val="auto"/>
          <w:sz w:val="24"/>
          <w:szCs w:val="24"/>
        </w:rPr>
        <w:t xml:space="preserve">Some examples of cases which doctors has been sued for battery is the Devi v West Midlands RHA (1980) which in this case a woman was experience a life-or-death situation of hysterectomy which she did not give consent. However, the surgeon was found liable for battery as he continued with the procedure with lack of consent. Chatterton v Gerson (1981) was another case study which happened. An individual suffered severe pain due to the last surgical scar. To get advice from a pain specialist to help advice and treat. He </w:t>
      </w:r>
      <w:r w:rsidRPr="4718DF32" w:rsidR="02E415D5">
        <w:rPr>
          <w:rFonts w:ascii="Arial" w:hAnsi="Arial" w:eastAsia="Arial" w:cs="Arial"/>
          <w:color w:val="auto"/>
          <w:sz w:val="24"/>
          <w:szCs w:val="24"/>
        </w:rPr>
        <w:t>advised</w:t>
      </w:r>
      <w:r w:rsidRPr="4718DF32" w:rsidR="02E415D5">
        <w:rPr>
          <w:rFonts w:ascii="Arial" w:hAnsi="Arial" w:eastAsia="Arial" w:cs="Arial"/>
          <w:color w:val="auto"/>
          <w:sz w:val="24"/>
          <w:szCs w:val="24"/>
        </w:rPr>
        <w:t xml:space="preserve"> her and informed her of the risks that may occur to which she agreed and gave full consent. The doctor forgot to mention the risk of a slight sensation of numbness or weakness. This gave the claimant the opportunity to try and sue the doctor for battery. </w:t>
      </w:r>
      <w:r w:rsidRPr="4718DF32" w:rsidR="24A62B4F">
        <w:rPr>
          <w:rFonts w:ascii="Arial" w:hAnsi="Arial" w:eastAsia="Arial" w:cs="Arial"/>
          <w:noProof w:val="0"/>
          <w:color w:val="000000" w:themeColor="text1" w:themeTint="FF" w:themeShade="FF"/>
          <w:sz w:val="24"/>
          <w:szCs w:val="24"/>
          <w:lang w:val="en-US"/>
        </w:rPr>
        <w:t>The court sided with the doctor, concluding that he fulfilled his duty of care and that the claimant had given consent. This decision was based on the understanding that consent was provided and the incident, while accidental, was neither life-threatening nor posed any danger to life.</w:t>
      </w:r>
      <w:r w:rsidRPr="4718DF32" w:rsidR="5D0D344F">
        <w:rPr>
          <w:rFonts w:ascii="Arial" w:hAnsi="Arial" w:eastAsia="Arial" w:cs="Arial"/>
          <w:noProof w:val="0"/>
          <w:color w:val="000000" w:themeColor="text1" w:themeTint="FF" w:themeShade="FF"/>
          <w:sz w:val="24"/>
          <w:szCs w:val="24"/>
          <w:lang w:val="en-US"/>
        </w:rPr>
        <w:t xml:space="preserve"> </w:t>
      </w:r>
      <w:r w:rsidRPr="4718DF32" w:rsidR="561F03AD">
        <w:rPr>
          <w:rFonts w:ascii="Arial" w:hAnsi="Arial" w:eastAsia="Arial" w:cs="Arial"/>
          <w:noProof w:val="0"/>
          <w:color w:val="000000" w:themeColor="text1" w:themeTint="FF" w:themeShade="FF"/>
          <w:sz w:val="24"/>
          <w:szCs w:val="24"/>
          <w:lang w:val="en-US"/>
        </w:rPr>
        <w:t xml:space="preserve">Consent requires clear and understandable communication, as confusion can lead to misunderstandings and </w:t>
      </w:r>
      <w:r w:rsidRPr="4718DF32" w:rsidR="561F03AD">
        <w:rPr>
          <w:rFonts w:ascii="Arial" w:hAnsi="Arial" w:eastAsia="Arial" w:cs="Arial"/>
          <w:noProof w:val="0"/>
          <w:color w:val="000000" w:themeColor="text1" w:themeTint="FF" w:themeShade="FF"/>
          <w:sz w:val="24"/>
          <w:szCs w:val="24"/>
          <w:lang w:val="en-US"/>
        </w:rPr>
        <w:t>serious consequences</w:t>
      </w:r>
      <w:r w:rsidRPr="4718DF32" w:rsidR="561F03AD">
        <w:rPr>
          <w:rFonts w:ascii="Arial" w:hAnsi="Arial" w:eastAsia="Arial" w:cs="Arial"/>
          <w:noProof w:val="0"/>
          <w:color w:val="000000" w:themeColor="text1" w:themeTint="FF" w:themeShade="FF"/>
          <w:sz w:val="24"/>
          <w:szCs w:val="24"/>
          <w:lang w:val="en-US"/>
        </w:rPr>
        <w:t xml:space="preserve">. Alcohol and drugs can impair consent by making individuals unaware of their surroundings or actions due to intoxication. While consent can sometimes be </w:t>
      </w:r>
      <w:r w:rsidRPr="4718DF32" w:rsidR="561F03AD">
        <w:rPr>
          <w:rFonts w:ascii="Arial" w:hAnsi="Arial" w:eastAsia="Arial" w:cs="Arial"/>
          <w:noProof w:val="0"/>
          <w:color w:val="000000" w:themeColor="text1" w:themeTint="FF" w:themeShade="FF"/>
          <w:sz w:val="24"/>
          <w:szCs w:val="24"/>
          <w:lang w:val="en-US"/>
        </w:rPr>
        <w:t>identified</w:t>
      </w:r>
      <w:r w:rsidRPr="4718DF32" w:rsidR="561F03AD">
        <w:rPr>
          <w:rFonts w:ascii="Arial" w:hAnsi="Arial" w:eastAsia="Arial" w:cs="Arial"/>
          <w:noProof w:val="0"/>
          <w:color w:val="000000" w:themeColor="text1" w:themeTint="FF" w:themeShade="FF"/>
          <w:sz w:val="24"/>
          <w:szCs w:val="24"/>
          <w:lang w:val="en-US"/>
        </w:rPr>
        <w:t xml:space="preserve"> without a verbal response, obtaining verbal confirmation is safer and more effective, as body language can be misinterpreted. Applying pressure or manipulation can alter someone's response to consent and lead to serious repercussions. Controversial cases and legal precedents involve decisions that spark debate and disagreement within society. These cases can </w:t>
      </w:r>
      <w:r w:rsidRPr="4718DF32" w:rsidR="561F03AD">
        <w:rPr>
          <w:rFonts w:ascii="Arial" w:hAnsi="Arial" w:eastAsia="Arial" w:cs="Arial"/>
          <w:noProof w:val="0"/>
          <w:color w:val="000000" w:themeColor="text1" w:themeTint="FF" w:themeShade="FF"/>
          <w:sz w:val="24"/>
          <w:szCs w:val="24"/>
          <w:lang w:val="en-US"/>
        </w:rPr>
        <w:t>impact</w:t>
      </w:r>
      <w:r w:rsidRPr="4718DF32" w:rsidR="561F03AD">
        <w:rPr>
          <w:rFonts w:ascii="Arial" w:hAnsi="Arial" w:eastAsia="Arial" w:cs="Arial"/>
          <w:noProof w:val="0"/>
          <w:color w:val="000000" w:themeColor="text1" w:themeTint="FF" w:themeShade="FF"/>
          <w:sz w:val="24"/>
          <w:szCs w:val="24"/>
          <w:lang w:val="en-US"/>
        </w:rPr>
        <w:t xml:space="preserve"> areas such as civil rights, criminal justice, or privacy. Precedents set examples for future legal decision-making.</w:t>
      </w:r>
      <w:r w:rsidRPr="4718DF32" w:rsidR="5EC1177D">
        <w:rPr>
          <w:rFonts w:ascii="Arial" w:hAnsi="Arial" w:eastAsia="Arial" w:cs="Arial"/>
          <w:noProof w:val="0"/>
          <w:color w:val="000000" w:themeColor="text1" w:themeTint="FF" w:themeShade="FF"/>
          <w:sz w:val="24"/>
          <w:szCs w:val="24"/>
          <w:lang w:val="en-US"/>
        </w:rPr>
        <w:t xml:space="preserve"> </w:t>
      </w:r>
      <w:r w:rsidRPr="4718DF32" w:rsidR="5EC1177D">
        <w:rPr>
          <w:rFonts w:ascii="Arial" w:hAnsi="Arial" w:eastAsia="Arial" w:cs="Arial"/>
          <w:noProof w:val="0"/>
          <w:color w:val="auto"/>
          <w:sz w:val="24"/>
          <w:szCs w:val="24"/>
          <w:lang w:val="en-US"/>
        </w:rPr>
        <w:t xml:space="preserve">A case involving drugs, alcohol, and issues of consent and battery is R v Bree (2007), significant in the legal context of consent and intoxication. Both parties had been drinking heavily, and the complainant claimed she was too intoxicated to consent to sexual intercourse. </w:t>
      </w:r>
      <w:r w:rsidRPr="4718DF32" w:rsidR="2C0062BB">
        <w:rPr>
          <w:rFonts w:ascii="Arial" w:hAnsi="Arial" w:eastAsia="Arial" w:cs="Arial"/>
          <w:noProof w:val="0"/>
          <w:color w:val="auto"/>
          <w:sz w:val="24"/>
          <w:szCs w:val="24"/>
          <w:lang w:val="en-US"/>
        </w:rPr>
        <w:t>A</w:t>
      </w:r>
      <w:r w:rsidRPr="4718DF32" w:rsidR="11AA1B67">
        <w:rPr>
          <w:rFonts w:ascii="Arial" w:hAnsi="Arial" w:eastAsia="Arial" w:cs="Arial"/>
          <w:noProof w:val="0"/>
          <w:color w:val="auto"/>
          <w:sz w:val="24"/>
          <w:szCs w:val="24"/>
          <w:lang w:val="en-US"/>
        </w:rPr>
        <w:t xml:space="preserve">fter evidence was presented at trial, </w:t>
      </w:r>
      <w:r w:rsidRPr="4718DF32" w:rsidR="46936434">
        <w:rPr>
          <w:rFonts w:ascii="Arial" w:hAnsi="Arial" w:eastAsia="Arial" w:cs="Arial"/>
          <w:noProof w:val="0"/>
          <w:color w:val="auto"/>
          <w:sz w:val="24"/>
          <w:szCs w:val="24"/>
          <w:lang w:val="en-US"/>
        </w:rPr>
        <w:t>regardless of other factors. This would be contrary to the law on consent in the Sexual Offences Act 2003.</w:t>
      </w:r>
      <w:r w:rsidRPr="4718DF32" w:rsidR="30ED71BE">
        <w:rPr>
          <w:rFonts w:ascii="Arial" w:hAnsi="Arial" w:eastAsia="Arial" w:cs="Arial"/>
          <w:noProof w:val="0"/>
          <w:color w:val="auto"/>
          <w:sz w:val="24"/>
          <w:szCs w:val="24"/>
          <w:lang w:val="en-US"/>
        </w:rPr>
        <w:t xml:space="preserve"> (Law Teacher, 2013)</w:t>
      </w:r>
      <w:r w:rsidRPr="4718DF32" w:rsidR="6AF55821">
        <w:rPr>
          <w:rFonts w:ascii="Arial" w:hAnsi="Arial" w:eastAsia="Arial" w:cs="Arial"/>
          <w:noProof w:val="0"/>
          <w:color w:val="auto"/>
          <w:sz w:val="24"/>
          <w:szCs w:val="24"/>
          <w:lang w:val="en-US"/>
        </w:rPr>
        <w:t xml:space="preserve"> </w:t>
      </w:r>
      <w:r w:rsidRPr="4718DF32" w:rsidR="4954702E">
        <w:rPr>
          <w:rFonts w:ascii="Arial" w:hAnsi="Arial" w:eastAsia="Arial" w:cs="Arial"/>
          <w:color w:val="auto"/>
          <w:sz w:val="24"/>
          <w:szCs w:val="24"/>
        </w:rPr>
        <w:t>Controversial cases and legal precedents can give rise to dilemmas socially as it challenges the benefits and advantages of the principles. One potential concern would be the interference of individual rights and societal interests. An example of this which could cause a debate would be privacy rights within the public could potentially involve observations. Balancing justice and fairness can cause conflict for instance settlements that affects minority of groups could be likely to raise concerns and questions of the fairness of equal protection within the law. The ethical dilemmas arising due to controversial cases and legal precedents have the challenging role to ensure that balancing values are implied to keep a smooth legal system.</w:t>
      </w:r>
      <w:r w:rsidRPr="4718DF32" w:rsidR="1A8C6EED">
        <w:rPr>
          <w:rFonts w:ascii="Arial" w:hAnsi="Arial" w:eastAsia="Arial" w:cs="Arial"/>
          <w:color w:val="auto"/>
          <w:sz w:val="24"/>
          <w:szCs w:val="24"/>
        </w:rPr>
        <w:t xml:space="preserve"> </w:t>
      </w:r>
      <w:r w:rsidRPr="4718DF32" w:rsidR="7609AA4B">
        <w:rPr>
          <w:rFonts w:ascii="Arial" w:hAnsi="Arial" w:eastAsia="Arial" w:cs="Arial"/>
          <w:color w:val="auto"/>
          <w:sz w:val="24"/>
          <w:szCs w:val="24"/>
        </w:rPr>
        <w:t xml:space="preserve">A case supporting this would be the R v Brown (1993) informed on the law teacher (2013) website. </w:t>
      </w:r>
      <w:r w:rsidRPr="4718DF32" w:rsidR="79217706">
        <w:rPr>
          <w:rFonts w:ascii="Arial" w:hAnsi="Arial" w:eastAsia="Arial" w:cs="Arial"/>
          <w:noProof w:val="0"/>
          <w:color w:val="000000" w:themeColor="text1" w:themeTint="FF" w:themeShade="FF"/>
          <w:sz w:val="24"/>
          <w:szCs w:val="24"/>
          <w:lang w:val="en-US"/>
        </w:rPr>
        <w:t xml:space="preserve">This case </w:t>
      </w:r>
      <w:r w:rsidRPr="4718DF32" w:rsidR="6DAED58C">
        <w:rPr>
          <w:rFonts w:ascii="Arial" w:hAnsi="Arial" w:eastAsia="Arial" w:cs="Arial"/>
          <w:noProof w:val="0"/>
          <w:color w:val="000000" w:themeColor="text1" w:themeTint="FF" w:themeShade="FF"/>
          <w:sz w:val="24"/>
          <w:szCs w:val="24"/>
          <w:lang w:val="en-US"/>
        </w:rPr>
        <w:t>illustrates</w:t>
      </w:r>
      <w:r w:rsidRPr="4718DF32" w:rsidR="79217706">
        <w:rPr>
          <w:rFonts w:ascii="Arial" w:hAnsi="Arial" w:eastAsia="Arial" w:cs="Arial"/>
          <w:noProof w:val="0"/>
          <w:color w:val="000000" w:themeColor="text1" w:themeTint="FF" w:themeShade="FF"/>
          <w:sz w:val="24"/>
          <w:szCs w:val="24"/>
          <w:lang w:val="en-US"/>
        </w:rPr>
        <w:t xml:space="preserve"> how legal decisions can challenge established principles, leading to significant social dilemmas and ongoing debates about the balance between competing rights and values in the </w:t>
      </w:r>
      <w:r w:rsidRPr="4718DF32" w:rsidR="70C8227B">
        <w:rPr>
          <w:rFonts w:ascii="Arial" w:hAnsi="Arial" w:eastAsia="Arial" w:cs="Arial"/>
          <w:noProof w:val="0"/>
          <w:color w:val="000000" w:themeColor="text1" w:themeTint="FF" w:themeShade="FF"/>
          <w:sz w:val="24"/>
          <w:szCs w:val="24"/>
          <w:lang w:val="en-US"/>
        </w:rPr>
        <w:t>UK. Consent</w:t>
      </w:r>
      <w:r w:rsidRPr="4718DF32" w:rsidR="3077311B">
        <w:rPr>
          <w:rFonts w:ascii="Arial" w:hAnsi="Arial" w:eastAsia="Arial" w:cs="Arial"/>
          <w:noProof w:val="0"/>
          <w:color w:val="000000" w:themeColor="text1" w:themeTint="FF" w:themeShade="FF"/>
          <w:sz w:val="24"/>
          <w:szCs w:val="24"/>
          <w:lang w:val="en-US"/>
        </w:rPr>
        <w:t xml:space="preserve"> significantly </w:t>
      </w:r>
      <w:r w:rsidRPr="4718DF32" w:rsidR="3077311B">
        <w:rPr>
          <w:rFonts w:ascii="Arial" w:hAnsi="Arial" w:eastAsia="Arial" w:cs="Arial"/>
          <w:noProof w:val="0"/>
          <w:color w:val="000000" w:themeColor="text1" w:themeTint="FF" w:themeShade="FF"/>
          <w:sz w:val="24"/>
          <w:szCs w:val="24"/>
          <w:lang w:val="en-US"/>
        </w:rPr>
        <w:t>impacts</w:t>
      </w:r>
      <w:r w:rsidRPr="4718DF32" w:rsidR="3077311B">
        <w:rPr>
          <w:rFonts w:ascii="Arial" w:hAnsi="Arial" w:eastAsia="Arial" w:cs="Arial"/>
          <w:noProof w:val="0"/>
          <w:color w:val="000000" w:themeColor="text1" w:themeTint="FF" w:themeShade="FF"/>
          <w:sz w:val="24"/>
          <w:szCs w:val="24"/>
          <w:lang w:val="en-US"/>
        </w:rPr>
        <w:t xml:space="preserve"> the outcomes of legal cases involving battery. Battery is the intentional use of harmful or offensive contact with another person without their consent. Courts often evaluate the intent and understanding of both parties when considering the effect of consent in battery cases. The penalties and consequences for committing such crimes vary depending on whether laws have been obeyed. For instance, if found guilty of an offense under the Sexual Offences Act, the penalties differ based on the type of offense. Sexual assault carries a </w:t>
      </w:r>
      <w:r w:rsidRPr="4718DF32" w:rsidR="3077311B">
        <w:rPr>
          <w:rFonts w:ascii="Arial" w:hAnsi="Arial" w:eastAsia="Arial" w:cs="Arial"/>
          <w:noProof w:val="0"/>
          <w:color w:val="000000" w:themeColor="text1" w:themeTint="FF" w:themeShade="FF"/>
          <w:sz w:val="24"/>
          <w:szCs w:val="24"/>
          <w:lang w:val="en-US"/>
        </w:rPr>
        <w:t>maximum</w:t>
      </w:r>
      <w:r w:rsidRPr="4718DF32" w:rsidR="3077311B">
        <w:rPr>
          <w:rFonts w:ascii="Arial" w:hAnsi="Arial" w:eastAsia="Arial" w:cs="Arial"/>
          <w:noProof w:val="0"/>
          <w:color w:val="000000" w:themeColor="text1" w:themeTint="FF" w:themeShade="FF"/>
          <w:sz w:val="24"/>
          <w:szCs w:val="24"/>
          <w:lang w:val="en-US"/>
        </w:rPr>
        <w:t xml:space="preserve"> sentence of 10 years, while rape can result in a life sentence.</w:t>
      </w:r>
      <w:r w:rsidRPr="4718DF32" w:rsidR="50F9AA7E">
        <w:rPr>
          <w:rFonts w:ascii="Arial" w:hAnsi="Arial" w:eastAsia="Arial" w:cs="Arial"/>
          <w:noProof w:val="0"/>
          <w:color w:val="000000" w:themeColor="text1" w:themeTint="FF" w:themeShade="FF"/>
          <w:sz w:val="24"/>
          <w:szCs w:val="24"/>
          <w:lang w:val="en-US"/>
        </w:rPr>
        <w:t xml:space="preserve"> </w:t>
      </w:r>
      <w:r w:rsidRPr="4718DF32" w:rsidR="3077311B">
        <w:rPr>
          <w:rFonts w:ascii="Arial" w:hAnsi="Arial" w:eastAsia="Arial" w:cs="Arial"/>
          <w:noProof w:val="0"/>
          <w:color w:val="000000" w:themeColor="text1" w:themeTint="FF" w:themeShade="FF"/>
          <w:sz w:val="24"/>
          <w:szCs w:val="24"/>
          <w:lang w:val="en-US"/>
        </w:rPr>
        <w:t xml:space="preserve">Research </w:t>
      </w:r>
      <w:r w:rsidRPr="4718DF32" w:rsidR="3077311B">
        <w:rPr>
          <w:rFonts w:ascii="Arial" w:hAnsi="Arial" w:eastAsia="Arial" w:cs="Arial"/>
          <w:noProof w:val="0"/>
          <w:color w:val="000000" w:themeColor="text1" w:themeTint="FF" w:themeShade="FF"/>
          <w:sz w:val="24"/>
          <w:szCs w:val="24"/>
          <w:lang w:val="en-US"/>
        </w:rPr>
        <w:t>indicates</w:t>
      </w:r>
      <w:r w:rsidRPr="4718DF32" w:rsidR="3077311B">
        <w:rPr>
          <w:rFonts w:ascii="Arial" w:hAnsi="Arial" w:eastAsia="Arial" w:cs="Arial"/>
          <w:noProof w:val="0"/>
          <w:color w:val="000000" w:themeColor="text1" w:themeTint="FF" w:themeShade="FF"/>
          <w:sz w:val="24"/>
          <w:szCs w:val="24"/>
          <w:lang w:val="en-US"/>
        </w:rPr>
        <w:t xml:space="preserve"> that much of the public debates whether these penalties are sufficient for such serious crimes (Criminal Injuries, 2023).</w:t>
      </w:r>
      <w:r w:rsidRPr="4718DF32" w:rsidR="058DC0C5">
        <w:rPr>
          <w:rFonts w:ascii="Arial" w:hAnsi="Arial" w:eastAsia="Arial" w:cs="Arial"/>
          <w:noProof w:val="0"/>
          <w:color w:val="000000" w:themeColor="text1" w:themeTint="FF" w:themeShade="FF"/>
          <w:sz w:val="24"/>
          <w:szCs w:val="24"/>
          <w:lang w:val="en-US"/>
        </w:rPr>
        <w:t xml:space="preserve"> </w:t>
      </w:r>
      <w:r w:rsidRPr="4718DF32" w:rsidR="3077311B">
        <w:rPr>
          <w:rFonts w:ascii="Arial" w:hAnsi="Arial" w:eastAsia="Arial" w:cs="Arial"/>
          <w:noProof w:val="0"/>
          <w:color w:val="000000" w:themeColor="text1" w:themeTint="FF" w:themeShade="FF"/>
          <w:sz w:val="24"/>
          <w:szCs w:val="24"/>
          <w:lang w:val="en-US"/>
        </w:rPr>
        <w:t>Overall, consent and battery laws in the United Kingdom aim to protect and ensure the safety of all citizens. The severity of punishments for these crimes continues to be a topic of debate, with some arguing for harsher penalties to ensure offenders are adequately deterred.</w:t>
      </w:r>
    </w:p>
    <w:p w:rsidR="4718DF32" w:rsidP="4718DF32" w:rsidRDefault="4718DF32" w14:paraId="788C10D0" w14:textId="3AE8249F">
      <w:pPr>
        <w:pStyle w:val="Normal"/>
        <w:rPr>
          <w:rFonts w:ascii="Arial" w:hAnsi="Arial" w:eastAsia="Arial" w:cs="Arial"/>
          <w:color w:val="auto"/>
          <w:sz w:val="24"/>
          <w:szCs w:val="24"/>
        </w:rPr>
      </w:pPr>
    </w:p>
    <w:p w:rsidR="30BE5507" w:rsidP="067127A0" w:rsidRDefault="30BE5507" w14:paraId="738080C9" w14:textId="0F164BA0">
      <w:pPr>
        <w:pStyle w:val="Normal"/>
        <w:rPr>
          <w:rFonts w:ascii="Arial" w:hAnsi="Arial" w:eastAsia="Arial" w:cs="Arial"/>
          <w:color w:val="auto"/>
          <w:sz w:val="24"/>
          <w:szCs w:val="24"/>
        </w:rPr>
      </w:pPr>
      <w:r w:rsidRPr="4718DF32" w:rsidR="30BE5507">
        <w:rPr>
          <w:rFonts w:ascii="Arial" w:hAnsi="Arial" w:eastAsia="Arial" w:cs="Arial"/>
          <w:color w:val="auto"/>
          <w:sz w:val="24"/>
          <w:szCs w:val="24"/>
        </w:rPr>
        <w:t>Case list-</w:t>
      </w:r>
    </w:p>
    <w:p w:rsidR="080FFCA3" w:rsidP="4718DF32" w:rsidRDefault="080FFCA3" w14:paraId="20B09732" w14:textId="76F4788E">
      <w:pPr>
        <w:pStyle w:val="Normal"/>
        <w:rPr>
          <w:rFonts w:ascii="Arial" w:hAnsi="Arial" w:eastAsia="Arial" w:cs="Arial"/>
          <w:noProof w:val="0"/>
          <w:sz w:val="24"/>
          <w:szCs w:val="24"/>
          <w:lang w:val="en-US"/>
        </w:rPr>
      </w:pPr>
      <w:r w:rsidRPr="4718DF32" w:rsidR="590CE618">
        <w:rPr>
          <w:rFonts w:ascii="Arial" w:hAnsi="Arial" w:eastAsia="Arial" w:cs="Arial"/>
          <w:noProof w:val="0"/>
          <w:sz w:val="24"/>
          <w:szCs w:val="24"/>
          <w:lang w:val="en-US"/>
        </w:rPr>
        <w:t>Appleton v. Garett (1997)</w:t>
      </w:r>
    </w:p>
    <w:p w:rsidR="0D63F9CB" w:rsidP="4718DF32" w:rsidRDefault="0D63F9CB" w14:paraId="09853D34" w14:textId="43FAC7B7">
      <w:pPr>
        <w:pStyle w:val="Normal"/>
        <w:rPr>
          <w:rFonts w:ascii="Arial" w:hAnsi="Arial" w:eastAsia="Arial" w:cs="Arial"/>
          <w:noProof w:val="0"/>
          <w:sz w:val="24"/>
          <w:szCs w:val="24"/>
          <w:lang w:val="en-US"/>
        </w:rPr>
      </w:pPr>
      <w:r w:rsidRPr="4718DF32" w:rsidR="0D63F9CB">
        <w:rPr>
          <w:rFonts w:ascii="Arial" w:hAnsi="Arial" w:eastAsia="Arial" w:cs="Arial"/>
          <w:noProof w:val="0"/>
          <w:sz w:val="24"/>
          <w:szCs w:val="24"/>
          <w:lang w:val="en-US"/>
        </w:rPr>
        <w:t>Collins v Willock (1984)</w:t>
      </w:r>
    </w:p>
    <w:p w:rsidR="3CD0F4A6" w:rsidP="4718DF32" w:rsidRDefault="3CD0F4A6" w14:paraId="042AADC6" w14:textId="693C3F06">
      <w:pPr>
        <w:pStyle w:val="Normal"/>
        <w:rPr>
          <w:rFonts w:ascii="Arial" w:hAnsi="Arial" w:eastAsia="Arial" w:cs="Arial"/>
          <w:noProof w:val="0"/>
          <w:sz w:val="24"/>
          <w:szCs w:val="24"/>
          <w:lang w:val="en-US"/>
        </w:rPr>
      </w:pPr>
      <w:r w:rsidRPr="4718DF32" w:rsidR="3CD0F4A6">
        <w:rPr>
          <w:rFonts w:ascii="Arial" w:hAnsi="Arial" w:eastAsia="Arial" w:cs="Arial"/>
          <w:noProof w:val="0"/>
          <w:sz w:val="24"/>
          <w:szCs w:val="24"/>
          <w:lang w:val="en-US"/>
        </w:rPr>
        <w:t>Devi v West Midlands RHA (1980)</w:t>
      </w:r>
    </w:p>
    <w:p w:rsidR="3CD0F4A6" w:rsidP="4718DF32" w:rsidRDefault="3CD0F4A6" w14:paraId="3620BD55" w14:textId="1A5A31E0">
      <w:pPr>
        <w:pStyle w:val="Normal"/>
        <w:rPr>
          <w:rFonts w:ascii="Arial" w:hAnsi="Arial" w:eastAsia="Arial" w:cs="Arial"/>
          <w:noProof w:val="0"/>
          <w:sz w:val="24"/>
          <w:szCs w:val="24"/>
          <w:lang w:val="en-US"/>
        </w:rPr>
      </w:pPr>
      <w:r w:rsidRPr="4718DF32" w:rsidR="3CD0F4A6">
        <w:rPr>
          <w:rFonts w:ascii="Arial" w:hAnsi="Arial" w:eastAsia="Arial" w:cs="Arial"/>
          <w:noProof w:val="0"/>
          <w:sz w:val="24"/>
          <w:szCs w:val="24"/>
          <w:lang w:val="en-US"/>
        </w:rPr>
        <w:t>Chatterton v Gerson (1981)</w:t>
      </w:r>
    </w:p>
    <w:p w:rsidR="4ECBC54D" w:rsidP="4718DF32" w:rsidRDefault="4ECBC54D" w14:paraId="38C20406" w14:textId="25B970E4">
      <w:pPr>
        <w:pStyle w:val="Normal"/>
        <w:rPr>
          <w:rFonts w:ascii="Arial" w:hAnsi="Arial" w:eastAsia="Arial" w:cs="Arial"/>
          <w:noProof w:val="0"/>
          <w:sz w:val="24"/>
          <w:szCs w:val="24"/>
          <w:lang w:val="en-US"/>
        </w:rPr>
      </w:pPr>
      <w:r w:rsidRPr="4718DF32" w:rsidR="4ECBC54D">
        <w:rPr>
          <w:rFonts w:ascii="Arial" w:hAnsi="Arial" w:eastAsia="Arial" w:cs="Arial"/>
          <w:noProof w:val="0"/>
          <w:sz w:val="24"/>
          <w:szCs w:val="24"/>
          <w:lang w:val="en-US"/>
        </w:rPr>
        <w:t>R v Bree (2007)</w:t>
      </w:r>
    </w:p>
    <w:p w:rsidR="045BA5C4" w:rsidP="4718DF32" w:rsidRDefault="045BA5C4" w14:paraId="57A6E05A" w14:textId="5FFBA42F">
      <w:pPr>
        <w:pStyle w:val="Normal"/>
        <w:rPr>
          <w:rFonts w:ascii="Arial" w:hAnsi="Arial" w:eastAsia="Arial" w:cs="Arial"/>
          <w:noProof w:val="0"/>
          <w:sz w:val="24"/>
          <w:szCs w:val="24"/>
          <w:lang w:val="en-US"/>
        </w:rPr>
      </w:pPr>
      <w:r w:rsidRPr="4718DF32" w:rsidR="045BA5C4">
        <w:rPr>
          <w:rFonts w:ascii="Arial" w:hAnsi="Arial" w:eastAsia="Arial" w:cs="Arial"/>
          <w:noProof w:val="0"/>
          <w:sz w:val="24"/>
          <w:szCs w:val="24"/>
          <w:lang w:val="en-US"/>
        </w:rPr>
        <w:t>R v Brown (1993)</w:t>
      </w:r>
    </w:p>
    <w:p w:rsidR="6193C19C" w:rsidP="6193C19C" w:rsidRDefault="6193C19C" w14:paraId="680B6CE1" w14:textId="3E95F148">
      <w:pPr>
        <w:pStyle w:val="Normal"/>
        <w:rPr>
          <w:rFonts w:ascii="Arial" w:hAnsi="Arial" w:eastAsia="Arial" w:cs="Arial"/>
          <w:noProof w:val="0"/>
          <w:sz w:val="24"/>
          <w:szCs w:val="24"/>
          <w:lang w:val="en-US"/>
        </w:rPr>
      </w:pPr>
    </w:p>
    <w:p w:rsidR="3B9D1169" w:rsidP="080FFCA3" w:rsidRDefault="3B9D1169" w14:paraId="04930B64" w14:textId="21823471">
      <w:pPr>
        <w:pStyle w:val="Normal"/>
        <w:rPr>
          <w:rFonts w:ascii="Arial" w:hAnsi="Arial" w:eastAsia="Arial" w:cs="Arial"/>
          <w:color w:val="auto"/>
          <w:sz w:val="24"/>
          <w:szCs w:val="24"/>
        </w:rPr>
      </w:pPr>
      <w:r w:rsidRPr="4718DF32" w:rsidR="3B9D1169">
        <w:rPr>
          <w:rFonts w:ascii="Arial" w:hAnsi="Arial" w:eastAsia="Arial" w:cs="Arial"/>
          <w:color w:val="auto"/>
          <w:sz w:val="24"/>
          <w:szCs w:val="24"/>
        </w:rPr>
        <w:t>Reference list-</w:t>
      </w:r>
    </w:p>
    <w:p w:rsidR="4ABDB04A" w:rsidP="4718DF32" w:rsidRDefault="4ABDB04A" w14:paraId="315C1977" w14:textId="2757D026">
      <w:pPr>
        <w:pStyle w:val="Heading1"/>
        <w:spacing w:before="257" w:beforeAutospacing="off" w:after="120" w:afterAutospacing="off"/>
        <w:rPr>
          <w:rFonts w:ascii="Arial" w:hAnsi="Arial" w:eastAsia="Arial" w:cs="Arial"/>
          <w:noProof w:val="0"/>
          <w:color w:val="auto"/>
          <w:sz w:val="24"/>
          <w:szCs w:val="24"/>
          <w:lang w:val="en-US"/>
        </w:rPr>
      </w:pPr>
      <w:r w:rsidRPr="4718DF32" w:rsidR="4ABDB04A">
        <w:rPr>
          <w:rFonts w:ascii="Arial" w:hAnsi="Arial" w:eastAsia="Arial" w:cs="Arial"/>
          <w:b w:val="0"/>
          <w:bCs w:val="0"/>
          <w:noProof w:val="0"/>
          <w:color w:val="212529"/>
          <w:sz w:val="24"/>
          <w:szCs w:val="24"/>
          <w:lang w:val="en-US"/>
        </w:rPr>
        <w:t xml:space="preserve">Analysis of Torts of Negligence and Battery. Law </w:t>
      </w:r>
      <w:r w:rsidRPr="4718DF32" w:rsidR="260A6799">
        <w:rPr>
          <w:rFonts w:ascii="Arial" w:hAnsi="Arial" w:eastAsia="Arial" w:cs="Arial"/>
          <w:b w:val="0"/>
          <w:bCs w:val="0"/>
          <w:noProof w:val="0"/>
          <w:color w:val="212529"/>
          <w:sz w:val="24"/>
          <w:szCs w:val="24"/>
          <w:lang w:val="en-US"/>
        </w:rPr>
        <w:t>Teacher (</w:t>
      </w:r>
      <w:r w:rsidRPr="4718DF32" w:rsidR="4ABDB04A">
        <w:rPr>
          <w:rFonts w:ascii="Arial" w:hAnsi="Arial" w:eastAsia="Arial" w:cs="Arial"/>
          <w:b w:val="0"/>
          <w:bCs w:val="0"/>
          <w:noProof w:val="0"/>
          <w:color w:val="212529"/>
          <w:sz w:val="24"/>
          <w:szCs w:val="24"/>
          <w:lang w:val="en-US"/>
        </w:rPr>
        <w:t>2021) available at:</w:t>
      </w:r>
      <w:r w:rsidRPr="4718DF32" w:rsidR="4ABDB04A">
        <w:rPr>
          <w:rStyle w:val="Hyperlink"/>
          <w:rFonts w:ascii="Arial" w:hAnsi="Arial" w:eastAsia="Arial" w:cs="Arial"/>
          <w:noProof w:val="0"/>
          <w:sz w:val="24"/>
          <w:szCs w:val="24"/>
          <w:lang w:val="en-US"/>
        </w:rPr>
        <w:t xml:space="preserve"> </w:t>
      </w:r>
      <w:hyperlink r:id="R35e2105e98c1484a">
        <w:r w:rsidRPr="4718DF32" w:rsidR="4ABDB04A">
          <w:rPr>
            <w:rStyle w:val="Hyperlink"/>
            <w:rFonts w:ascii="Arial" w:hAnsi="Arial" w:eastAsia="Arial" w:cs="Arial"/>
            <w:noProof w:val="0"/>
            <w:sz w:val="24"/>
            <w:szCs w:val="24"/>
            <w:lang w:val="en-US"/>
          </w:rPr>
          <w:t>https://www.lawteacher.net/example-essays/medical-law-negligence-and-battery-torts.php</w:t>
        </w:r>
      </w:hyperlink>
      <w:r w:rsidRPr="4718DF32" w:rsidR="4ABDB04A">
        <w:rPr>
          <w:rFonts w:ascii="Arial" w:hAnsi="Arial" w:eastAsia="Arial" w:cs="Arial"/>
          <w:noProof w:val="0"/>
          <w:sz w:val="24"/>
          <w:szCs w:val="24"/>
          <w:lang w:val="en-US"/>
        </w:rPr>
        <w:t xml:space="preserve">  </w:t>
      </w:r>
      <w:r w:rsidRPr="4718DF32" w:rsidR="4ABDB04A">
        <w:rPr>
          <w:rFonts w:ascii="Arial" w:hAnsi="Arial" w:eastAsia="Arial" w:cs="Arial"/>
          <w:noProof w:val="0"/>
          <w:color w:val="auto"/>
          <w:sz w:val="24"/>
          <w:szCs w:val="24"/>
          <w:lang w:val="en-US"/>
        </w:rPr>
        <w:t>accessed on: 19/04/2024</w:t>
      </w:r>
    </w:p>
    <w:p w:rsidR="6BE4E405" w:rsidP="4718DF32" w:rsidRDefault="6BE4E405" w14:paraId="71989AE4" w14:textId="381D45AF">
      <w:pPr>
        <w:pStyle w:val="Heading3"/>
        <w:rPr>
          <w:rFonts w:ascii="Arial" w:hAnsi="Arial" w:eastAsia="Arial" w:cs="Arial"/>
          <w:noProof w:val="0"/>
          <w:color w:val="auto"/>
          <w:sz w:val="24"/>
          <w:szCs w:val="24"/>
          <w:lang w:val="en-US"/>
        </w:rPr>
      </w:pPr>
      <w:r w:rsidRPr="4718DF32" w:rsidR="6BE4E405">
        <w:rPr>
          <w:rFonts w:ascii="Arial" w:hAnsi="Arial" w:eastAsia="Arial" w:cs="Arial"/>
          <w:noProof w:val="0"/>
          <w:color w:val="auto"/>
          <w:sz w:val="24"/>
          <w:szCs w:val="24"/>
          <w:lang w:val="en-US"/>
        </w:rPr>
        <w:t xml:space="preserve">Chatterton v Gerson available at: </w:t>
      </w:r>
      <w:r w:rsidRPr="4718DF32" w:rsidR="6BE4E405">
        <w:rPr>
          <w:rFonts w:ascii="Arial" w:hAnsi="Arial" w:eastAsia="Arial" w:cs="Arial"/>
          <w:noProof w:val="0"/>
          <w:sz w:val="24"/>
          <w:szCs w:val="24"/>
          <w:lang w:val="en-US"/>
        </w:rPr>
        <w:t xml:space="preserve">- </w:t>
      </w:r>
      <w:hyperlink r:id="R7bb4d847df9c4a64">
        <w:r w:rsidRPr="4718DF32" w:rsidR="6BE4E405">
          <w:rPr>
            <w:rStyle w:val="Hyperlink"/>
            <w:rFonts w:ascii="Arial" w:hAnsi="Arial" w:eastAsia="Arial" w:cs="Arial"/>
            <w:noProof w:val="0"/>
            <w:sz w:val="24"/>
            <w:szCs w:val="24"/>
            <w:lang w:val="en-US"/>
          </w:rPr>
          <w:t>https://ipsaloquitur.com/tort-law/cases/chatterton-v-gerson/</w:t>
        </w:r>
      </w:hyperlink>
      <w:r w:rsidRPr="4718DF32" w:rsidR="6BE4E405">
        <w:rPr>
          <w:rFonts w:ascii="Arial" w:hAnsi="Arial" w:eastAsia="Arial" w:cs="Arial"/>
          <w:noProof w:val="0"/>
          <w:sz w:val="24"/>
          <w:szCs w:val="24"/>
          <w:lang w:val="en-US"/>
        </w:rPr>
        <w:t xml:space="preserve"> </w:t>
      </w:r>
      <w:r w:rsidRPr="4718DF32" w:rsidR="6BE4E405">
        <w:rPr>
          <w:rFonts w:ascii="Arial" w:hAnsi="Arial" w:eastAsia="Arial" w:cs="Arial"/>
          <w:noProof w:val="0"/>
          <w:color w:val="auto"/>
          <w:sz w:val="24"/>
          <w:szCs w:val="24"/>
          <w:lang w:val="en-US"/>
        </w:rPr>
        <w:t>accessed on: 19/04/2024</w:t>
      </w:r>
    </w:p>
    <w:p w:rsidR="4718DF32" w:rsidP="4718DF32" w:rsidRDefault="4718DF32" w14:paraId="5948D769" w14:textId="516A8F48">
      <w:pPr>
        <w:pStyle w:val="Normal"/>
        <w:rPr>
          <w:rFonts w:ascii="Arial" w:hAnsi="Arial" w:eastAsia="Arial" w:cs="Arial"/>
          <w:noProof w:val="0"/>
          <w:sz w:val="24"/>
          <w:szCs w:val="24"/>
          <w:lang w:val="en-US"/>
        </w:rPr>
      </w:pPr>
    </w:p>
    <w:p w:rsidR="6BE4E405" w:rsidP="4718DF32" w:rsidRDefault="6BE4E405" w14:paraId="7937E116" w14:textId="7EDF0B97">
      <w:pPr>
        <w:pStyle w:val="Normal"/>
        <w:rPr>
          <w:rFonts w:ascii="Arial" w:hAnsi="Arial" w:eastAsia="Arial" w:cs="Arial"/>
          <w:noProof w:val="0"/>
          <w:color w:val="auto"/>
          <w:sz w:val="24"/>
          <w:szCs w:val="24"/>
          <w:lang w:val="en-US"/>
        </w:rPr>
      </w:pPr>
      <w:r w:rsidRPr="4718DF32" w:rsidR="6BE4E405">
        <w:rPr>
          <w:rFonts w:ascii="Arial" w:hAnsi="Arial" w:eastAsia="Arial" w:cs="Arial"/>
          <w:noProof w:val="0"/>
          <w:color w:val="auto"/>
          <w:sz w:val="24"/>
          <w:szCs w:val="24"/>
          <w:lang w:val="en-US"/>
        </w:rPr>
        <w:t>Criminal injuries helpline. sexual abuse punishment and sentencing. 09, January 2023</w:t>
      </w:r>
    </w:p>
    <w:p w:rsidR="6BE4E405" w:rsidP="4718DF32" w:rsidRDefault="6BE4E405" w14:paraId="6ABC42FA" w14:textId="12219622">
      <w:pPr>
        <w:pStyle w:val="Normal"/>
        <w:rPr>
          <w:rFonts w:ascii="Arial" w:hAnsi="Arial" w:eastAsia="Arial" w:cs="Arial"/>
          <w:noProof w:val="0"/>
          <w:sz w:val="24"/>
          <w:szCs w:val="24"/>
          <w:lang w:val="en-US"/>
        </w:rPr>
      </w:pPr>
      <w:r w:rsidRPr="4718DF32" w:rsidR="6BE4E405">
        <w:rPr>
          <w:rFonts w:ascii="Arial" w:hAnsi="Arial" w:eastAsia="Arial" w:cs="Arial"/>
          <w:noProof w:val="0"/>
          <w:sz w:val="24"/>
          <w:szCs w:val="24"/>
          <w:lang w:val="en-US"/>
        </w:rPr>
        <w:t xml:space="preserve">Consent (Information Commissioner’s Office, 2024) available at: </w:t>
      </w:r>
      <w:hyperlink w:anchor=":~:text=Consent%20is%20one%20lawful%20basis,and%20overseas%20transfers%20of%20data." r:id="R372eea5bf38f4412">
        <w:r w:rsidRPr="4718DF32" w:rsidR="6BE4E405">
          <w:rPr>
            <w:rStyle w:val="Hyperlink"/>
            <w:rFonts w:ascii="Arial" w:hAnsi="Arial" w:eastAsia="Arial" w:cs="Arial"/>
            <w:noProof w:val="0"/>
            <w:sz w:val="24"/>
            <w:szCs w:val="24"/>
            <w:lang w:val="en-US"/>
          </w:rPr>
          <w:t>https://ico.org.uk/for-organisations/uk-gdpr-guidance-and-resources/lawful-basis/a-guide-to-lawful-basis/lawful-basis-for-processing/consent/#:~:text=Consent%20is%20one%20lawful%20basis,and%20overseas%20transfers%20of%20data.</w:t>
        </w:r>
      </w:hyperlink>
      <w:r w:rsidRPr="4718DF32" w:rsidR="6BE4E405">
        <w:rPr>
          <w:rFonts w:ascii="Arial" w:hAnsi="Arial" w:eastAsia="Arial" w:cs="Arial"/>
          <w:noProof w:val="0"/>
          <w:sz w:val="24"/>
          <w:szCs w:val="24"/>
          <w:lang w:val="en-US"/>
        </w:rPr>
        <w:t xml:space="preserve"> Accessed on: 19/04/2024</w:t>
      </w:r>
    </w:p>
    <w:p w:rsidR="4718DF32" w:rsidP="4718DF32" w:rsidRDefault="4718DF32" w14:paraId="0A55053B" w14:textId="2BF27CBC">
      <w:pPr>
        <w:pStyle w:val="Normal"/>
        <w:rPr>
          <w:rFonts w:ascii="Arial" w:hAnsi="Arial" w:eastAsia="Arial" w:cs="Arial"/>
          <w:noProof w:val="0"/>
          <w:sz w:val="24"/>
          <w:szCs w:val="24"/>
          <w:lang w:val="en-US"/>
        </w:rPr>
      </w:pPr>
    </w:p>
    <w:p w:rsidR="0D80441B" w:rsidP="067127A0" w:rsidRDefault="0D80441B" w14:paraId="4D90E11F" w14:textId="2980DB2C">
      <w:pPr>
        <w:pStyle w:val="Normal"/>
        <w:rPr>
          <w:rFonts w:ascii="Arial" w:hAnsi="Arial" w:eastAsia="Arial" w:cs="Arial"/>
          <w:color w:val="auto"/>
          <w:sz w:val="24"/>
          <w:szCs w:val="24"/>
        </w:rPr>
      </w:pPr>
      <w:r w:rsidRPr="4718DF32" w:rsidR="0D80441B">
        <w:rPr>
          <w:rFonts w:ascii="Arial" w:hAnsi="Arial" w:eastAsia="Arial" w:cs="Arial"/>
          <w:color w:val="auto"/>
          <w:sz w:val="24"/>
          <w:szCs w:val="24"/>
        </w:rPr>
        <w:t xml:space="preserve">Ison Harrison </w:t>
      </w:r>
      <w:r w:rsidRPr="4718DF32" w:rsidR="19B3D549">
        <w:rPr>
          <w:rFonts w:ascii="Arial" w:hAnsi="Arial" w:eastAsia="Arial" w:cs="Arial"/>
          <w:color w:val="auto"/>
          <w:sz w:val="24"/>
          <w:szCs w:val="24"/>
        </w:rPr>
        <w:t>Solicitors</w:t>
      </w:r>
      <w:r w:rsidRPr="4718DF32" w:rsidR="0D80441B">
        <w:rPr>
          <w:rFonts w:ascii="Arial" w:hAnsi="Arial" w:eastAsia="Arial" w:cs="Arial"/>
          <w:color w:val="auto"/>
          <w:sz w:val="24"/>
          <w:szCs w:val="24"/>
        </w:rPr>
        <w:t xml:space="preserve"> (2024) </w:t>
      </w:r>
      <w:r w:rsidRPr="4718DF32" w:rsidR="62FC4CBD">
        <w:rPr>
          <w:rFonts w:ascii="Arial" w:hAnsi="Arial" w:eastAsia="Arial" w:cs="Arial"/>
          <w:color w:val="auto"/>
          <w:sz w:val="24"/>
          <w:szCs w:val="24"/>
        </w:rPr>
        <w:t>Assault</w:t>
      </w:r>
      <w:r w:rsidRPr="4718DF32" w:rsidR="0D80441B">
        <w:rPr>
          <w:rFonts w:ascii="Arial" w:hAnsi="Arial" w:eastAsia="Arial" w:cs="Arial"/>
          <w:color w:val="auto"/>
          <w:sz w:val="24"/>
          <w:szCs w:val="24"/>
        </w:rPr>
        <w:t xml:space="preserve"> and </w:t>
      </w:r>
      <w:r w:rsidRPr="4718DF32" w:rsidR="685A9E41">
        <w:rPr>
          <w:rFonts w:ascii="Arial" w:hAnsi="Arial" w:eastAsia="Arial" w:cs="Arial"/>
          <w:color w:val="auto"/>
          <w:sz w:val="24"/>
          <w:szCs w:val="24"/>
        </w:rPr>
        <w:t>B</w:t>
      </w:r>
      <w:r w:rsidRPr="4718DF32" w:rsidR="0D80441B">
        <w:rPr>
          <w:rFonts w:ascii="Arial" w:hAnsi="Arial" w:eastAsia="Arial" w:cs="Arial"/>
          <w:color w:val="auto"/>
          <w:sz w:val="24"/>
          <w:szCs w:val="24"/>
        </w:rPr>
        <w:t xml:space="preserve">attery </w:t>
      </w:r>
      <w:r w:rsidRPr="4718DF32" w:rsidR="4D023722">
        <w:rPr>
          <w:rFonts w:ascii="Arial" w:hAnsi="Arial" w:eastAsia="Arial" w:cs="Arial"/>
          <w:color w:val="auto"/>
          <w:sz w:val="24"/>
          <w:szCs w:val="24"/>
        </w:rPr>
        <w:t>Solicitors</w:t>
      </w:r>
      <w:r w:rsidRPr="4718DF32" w:rsidR="0D80441B">
        <w:rPr>
          <w:rFonts w:ascii="Arial" w:hAnsi="Arial" w:eastAsia="Arial" w:cs="Arial"/>
          <w:color w:val="auto"/>
          <w:sz w:val="24"/>
          <w:szCs w:val="24"/>
        </w:rPr>
        <w:t xml:space="preserve">. </w:t>
      </w:r>
      <w:r w:rsidRPr="4718DF32" w:rsidR="3A6162B0">
        <w:rPr>
          <w:rFonts w:ascii="Arial" w:hAnsi="Arial" w:eastAsia="Arial" w:cs="Arial"/>
          <w:color w:val="auto"/>
          <w:sz w:val="24"/>
          <w:szCs w:val="24"/>
        </w:rPr>
        <w:t>Available</w:t>
      </w:r>
      <w:r w:rsidRPr="4718DF32" w:rsidR="0D80441B">
        <w:rPr>
          <w:rFonts w:ascii="Arial" w:hAnsi="Arial" w:eastAsia="Arial" w:cs="Arial"/>
          <w:color w:val="auto"/>
          <w:sz w:val="24"/>
          <w:szCs w:val="24"/>
        </w:rPr>
        <w:t xml:space="preserve"> at:</w:t>
      </w:r>
      <w:r w:rsidRPr="4718DF32" w:rsidR="20796BC6">
        <w:rPr>
          <w:rFonts w:ascii="Arial" w:hAnsi="Arial" w:eastAsia="Arial" w:cs="Arial"/>
          <w:color w:val="auto"/>
          <w:sz w:val="24"/>
          <w:szCs w:val="24"/>
        </w:rPr>
        <w:t xml:space="preserve"> </w:t>
      </w:r>
      <w:hyperlink r:id="R8b6c4b179d2d47dd">
        <w:r w:rsidRPr="4718DF32" w:rsidR="0D80441B">
          <w:rPr>
            <w:rStyle w:val="Hyperlink"/>
            <w:rFonts w:ascii="Arial" w:hAnsi="Arial" w:eastAsia="Arial" w:cs="Arial"/>
            <w:noProof w:val="0"/>
            <w:sz w:val="24"/>
            <w:szCs w:val="24"/>
            <w:lang w:val="en-US"/>
          </w:rPr>
          <w:t>https://www.isonharrison.co.uk/our-services/criminal-law/police-station-assistance/assault-and-battery/</w:t>
        </w:r>
      </w:hyperlink>
      <w:r w:rsidRPr="4718DF32" w:rsidR="0C8CA428">
        <w:rPr>
          <w:rFonts w:ascii="Arial" w:hAnsi="Arial" w:eastAsia="Arial" w:cs="Arial"/>
          <w:noProof w:val="0"/>
          <w:sz w:val="24"/>
          <w:szCs w:val="24"/>
          <w:lang w:val="en-US"/>
        </w:rPr>
        <w:t xml:space="preserve"> Accessed on 04/06/2024</w:t>
      </w:r>
    </w:p>
    <w:p w:rsidR="7C6091C2" w:rsidP="4718DF32" w:rsidRDefault="7C6091C2" w14:paraId="37477F1C" w14:textId="22FF68C6">
      <w:pPr>
        <w:pStyle w:val="Normal"/>
        <w:rPr>
          <w:rFonts w:ascii="Arial" w:hAnsi="Arial" w:eastAsia="Arial" w:cs="Arial"/>
          <w:noProof w:val="0"/>
          <w:sz w:val="24"/>
          <w:szCs w:val="24"/>
          <w:lang w:val="en-US"/>
        </w:rPr>
      </w:pPr>
    </w:p>
    <w:p w:rsidR="7C6091C2" w:rsidP="4718DF32" w:rsidRDefault="7C6091C2" w14:paraId="75B8EAC6" w14:textId="0CB0793D">
      <w:pPr>
        <w:pStyle w:val="Normal"/>
        <w:rPr>
          <w:rFonts w:ascii="Arial" w:hAnsi="Arial" w:eastAsia="Arial" w:cs="Arial"/>
          <w:noProof w:val="0"/>
          <w:sz w:val="24"/>
          <w:szCs w:val="24"/>
          <w:lang w:val="en-US"/>
        </w:rPr>
      </w:pPr>
      <w:r w:rsidRPr="4718DF32" w:rsidR="7C6091C2">
        <w:rPr>
          <w:rFonts w:ascii="Arial" w:hAnsi="Arial" w:eastAsia="Arial" w:cs="Arial"/>
          <w:noProof w:val="0"/>
          <w:color w:val="auto"/>
          <w:sz w:val="24"/>
          <w:szCs w:val="24"/>
          <w:lang w:val="en-US"/>
        </w:rPr>
        <w:t xml:space="preserve">Killean, R., </w:t>
      </w:r>
      <w:r w:rsidRPr="4718DF32" w:rsidR="7C6091C2">
        <w:rPr>
          <w:rFonts w:ascii="Arial" w:hAnsi="Arial" w:eastAsia="Arial" w:cs="Arial"/>
          <w:noProof w:val="0"/>
          <w:color w:val="auto"/>
          <w:sz w:val="24"/>
          <w:szCs w:val="24"/>
          <w:lang w:val="en-US"/>
        </w:rPr>
        <w:t>McAlinden</w:t>
      </w:r>
      <w:r w:rsidRPr="4718DF32" w:rsidR="7C6091C2">
        <w:rPr>
          <w:rFonts w:ascii="Arial" w:hAnsi="Arial" w:eastAsia="Arial" w:cs="Arial"/>
          <w:noProof w:val="0"/>
          <w:color w:val="auto"/>
          <w:sz w:val="24"/>
          <w:szCs w:val="24"/>
          <w:lang w:val="en-US"/>
        </w:rPr>
        <w:t xml:space="preserve">, A.-M., &amp; Dowds, E. (2022). Sexual Violence in the Digital Age: Replicating and Augmenting Harm, Victimhood and Blame. </w:t>
      </w:r>
      <w:r w:rsidRPr="4718DF32" w:rsidR="7C6091C2">
        <w:rPr>
          <w:rFonts w:ascii="Arial" w:hAnsi="Arial" w:eastAsia="Arial" w:cs="Arial"/>
          <w:i w:val="1"/>
          <w:iCs w:val="1"/>
          <w:noProof w:val="0"/>
          <w:color w:val="auto"/>
          <w:sz w:val="24"/>
          <w:szCs w:val="24"/>
          <w:lang w:val="en-US"/>
        </w:rPr>
        <w:t>Social &amp; Legal Studies</w:t>
      </w:r>
      <w:r w:rsidRPr="4718DF32" w:rsidR="7C6091C2">
        <w:rPr>
          <w:rFonts w:ascii="Arial" w:hAnsi="Arial" w:eastAsia="Arial" w:cs="Arial"/>
          <w:noProof w:val="0"/>
          <w:color w:val="auto"/>
          <w:sz w:val="24"/>
          <w:szCs w:val="24"/>
          <w:lang w:val="en-US"/>
        </w:rPr>
        <w:t xml:space="preserve">, </w:t>
      </w:r>
      <w:r w:rsidRPr="4718DF32" w:rsidR="7C6091C2">
        <w:rPr>
          <w:rFonts w:ascii="Arial" w:hAnsi="Arial" w:eastAsia="Arial" w:cs="Arial"/>
          <w:i w:val="1"/>
          <w:iCs w:val="1"/>
          <w:noProof w:val="0"/>
          <w:color w:val="auto"/>
          <w:sz w:val="24"/>
          <w:szCs w:val="24"/>
          <w:lang w:val="en-US"/>
        </w:rPr>
        <w:t>31</w:t>
      </w:r>
      <w:r w:rsidRPr="4718DF32" w:rsidR="7C6091C2">
        <w:rPr>
          <w:rFonts w:ascii="Arial" w:hAnsi="Arial" w:eastAsia="Arial" w:cs="Arial"/>
          <w:noProof w:val="0"/>
          <w:color w:val="auto"/>
          <w:sz w:val="24"/>
          <w:szCs w:val="24"/>
          <w:lang w:val="en-US"/>
        </w:rPr>
        <w:t xml:space="preserve">(6), 871–892. </w:t>
      </w:r>
      <w:hyperlink r:id="R50ce6dddcd534c1d">
        <w:r w:rsidRPr="4718DF32" w:rsidR="7C6091C2">
          <w:rPr>
            <w:rStyle w:val="Hyperlink"/>
            <w:rFonts w:ascii="Arial" w:hAnsi="Arial" w:eastAsia="Arial" w:cs="Arial"/>
            <w:noProof w:val="0"/>
            <w:color w:val="auto"/>
            <w:sz w:val="24"/>
            <w:szCs w:val="24"/>
            <w:lang w:val="en-US"/>
          </w:rPr>
          <w:t>https://doi.org/10.1177/09646639221086592</w:t>
        </w:r>
      </w:hyperlink>
      <w:r w:rsidRPr="4718DF32" w:rsidR="605B8AAB">
        <w:rPr>
          <w:rFonts w:ascii="Arial" w:hAnsi="Arial" w:eastAsia="Arial" w:cs="Arial"/>
          <w:noProof w:val="0"/>
          <w:color w:val="auto"/>
          <w:sz w:val="24"/>
          <w:szCs w:val="24"/>
          <w:lang w:val="en-US"/>
        </w:rPr>
        <w:t xml:space="preserve"> </w:t>
      </w:r>
    </w:p>
    <w:p w:rsidR="00D48029" w:rsidP="00D48029" w:rsidRDefault="00D48029" w14:paraId="138D34CE" w14:textId="7707CAEC">
      <w:pPr>
        <w:pStyle w:val="Normal"/>
        <w:rPr>
          <w:rFonts w:ascii="Arial" w:hAnsi="Arial" w:eastAsia="Arial" w:cs="Arial"/>
          <w:noProof w:val="0"/>
          <w:color w:val="auto"/>
          <w:sz w:val="24"/>
          <w:szCs w:val="24"/>
          <w:lang w:val="en-US"/>
        </w:rPr>
      </w:pPr>
    </w:p>
    <w:p w:rsidR="6673404F" w:rsidP="080FFCA3" w:rsidRDefault="6673404F" w14:paraId="0BAB4612" w14:textId="356C8FFD">
      <w:pPr>
        <w:pStyle w:val="Heading3"/>
        <w:rPr>
          <w:rFonts w:ascii="Arial" w:hAnsi="Arial" w:eastAsia="Arial" w:cs="Arial"/>
          <w:b w:val="0"/>
          <w:bCs w:val="0"/>
          <w:strike w:val="0"/>
          <w:dstrike w:val="0"/>
          <w:noProof w:val="0"/>
          <w:color w:val="auto"/>
          <w:sz w:val="24"/>
          <w:szCs w:val="24"/>
          <w:u w:val="none"/>
          <w:lang w:val="en-US"/>
        </w:rPr>
      </w:pPr>
      <w:hyperlink w:anchor=":~:text=Consent%20provides%20lawful%20justification%20for,would%20amount%20to%20a%20battery." r:id="R3ea5b82677294e97">
        <w:r w:rsidRPr="4718DF32" w:rsidR="6673404F">
          <w:rPr>
            <w:rStyle w:val="Hyperlink"/>
            <w:rFonts w:ascii="Arial" w:hAnsi="Arial" w:eastAsia="Arial" w:cs="Arial"/>
            <w:b w:val="0"/>
            <w:bCs w:val="0"/>
            <w:strike w:val="0"/>
            <w:dstrike w:val="0"/>
            <w:noProof w:val="0"/>
            <w:color w:val="auto"/>
            <w:sz w:val="24"/>
            <w:szCs w:val="24"/>
            <w:u w:val="none"/>
            <w:lang w:val="en-US"/>
          </w:rPr>
          <w:t>Legal considerations - UKCEN: Ethical Issues - Consent</w:t>
        </w:r>
      </w:hyperlink>
      <w:r w:rsidRPr="4718DF32" w:rsidR="6673404F">
        <w:rPr>
          <w:rFonts w:ascii="Arial" w:hAnsi="Arial" w:eastAsia="Arial" w:cs="Arial"/>
          <w:b w:val="0"/>
          <w:bCs w:val="0"/>
          <w:strike w:val="0"/>
          <w:dstrike w:val="0"/>
          <w:noProof w:val="0"/>
          <w:color w:val="auto"/>
          <w:sz w:val="24"/>
          <w:szCs w:val="24"/>
          <w:u w:val="none"/>
          <w:lang w:val="en-US"/>
        </w:rPr>
        <w:t>- clinical ethics network</w:t>
      </w:r>
    </w:p>
    <w:p w:rsidR="431FD794" w:rsidP="4718DF32" w:rsidRDefault="431FD794" w14:paraId="46CB3B6D" w14:textId="15EC1164">
      <w:pPr>
        <w:pStyle w:val="Normal"/>
        <w:rPr>
          <w:rFonts w:ascii="Arial" w:hAnsi="Arial" w:eastAsia="Arial" w:cs="Arial"/>
          <w:noProof w:val="0"/>
          <w:sz w:val="24"/>
          <w:szCs w:val="24"/>
          <w:lang w:val="en-US"/>
        </w:rPr>
      </w:pPr>
    </w:p>
    <w:p w:rsidR="431FD794" w:rsidP="00D48029" w:rsidRDefault="431FD794" w14:paraId="6265E464" w14:textId="0A95D997">
      <w:pPr>
        <w:pStyle w:val="Normal"/>
        <w:rPr>
          <w:rFonts w:ascii="Arial" w:hAnsi="Arial" w:eastAsia="Arial" w:cs="Arial"/>
          <w:noProof w:val="0"/>
          <w:color w:val="auto"/>
          <w:sz w:val="24"/>
          <w:szCs w:val="24"/>
          <w:lang w:val="en-US"/>
        </w:rPr>
      </w:pPr>
      <w:r w:rsidRPr="4718DF32" w:rsidR="2B153D85">
        <w:rPr>
          <w:rFonts w:ascii="Arial" w:hAnsi="Arial" w:eastAsia="Arial" w:cs="Arial"/>
          <w:noProof w:val="0"/>
          <w:color w:val="auto"/>
          <w:sz w:val="24"/>
          <w:szCs w:val="24"/>
          <w:lang w:val="en-US"/>
        </w:rPr>
        <w:t>Law Teacher. November 2013. Appleton v Garrett - Case Summary. [online]. Available from: https://www.lawteacher.net/cases/appleton-v-garrett.php?vref=1 [Accessed 4 June 2024].</w:t>
      </w:r>
    </w:p>
    <w:p w:rsidR="6BEC6615" w:rsidP="4718DF32" w:rsidRDefault="6BEC6615" w14:paraId="393BB501" w14:textId="72F916F1">
      <w:pPr>
        <w:pStyle w:val="Normal"/>
        <w:rPr>
          <w:rFonts w:ascii="Arial" w:hAnsi="Arial" w:eastAsia="Arial" w:cs="Arial"/>
          <w:noProof w:val="0"/>
          <w:sz w:val="24"/>
          <w:szCs w:val="24"/>
          <w:lang w:val="en-US"/>
        </w:rPr>
      </w:pPr>
      <w:r w:rsidRPr="4718DF32" w:rsidR="47994B61">
        <w:rPr>
          <w:rFonts w:ascii="Arial" w:hAnsi="Arial" w:eastAsia="Arial" w:cs="Arial"/>
          <w:noProof w:val="0"/>
          <w:sz w:val="24"/>
          <w:szCs w:val="24"/>
          <w:lang w:val="en-US"/>
        </w:rPr>
        <w:t>Law Teacher</w:t>
      </w:r>
      <w:r w:rsidRPr="4718DF32" w:rsidR="4F470B26">
        <w:rPr>
          <w:rFonts w:ascii="Arial" w:hAnsi="Arial" w:eastAsia="Arial" w:cs="Arial"/>
          <w:noProof w:val="0"/>
          <w:sz w:val="24"/>
          <w:szCs w:val="24"/>
          <w:lang w:val="en-US"/>
        </w:rPr>
        <w:t>. November 2013. R v Bree 2007. [online]. Available from: https://www.lawteacher.net/cases/r-v-bree.php?vref=1 [Accessed 6 June 2024].</w:t>
      </w:r>
    </w:p>
    <w:p w:rsidR="067127A0" w:rsidP="067127A0" w:rsidRDefault="067127A0" w14:paraId="5873A2F0" w14:textId="040F5522">
      <w:pPr>
        <w:pStyle w:val="Normal"/>
        <w:rPr>
          <w:rFonts w:ascii="Arial" w:hAnsi="Arial" w:eastAsia="Arial" w:cs="Arial"/>
          <w:noProof w:val="0"/>
          <w:color w:val="auto"/>
          <w:sz w:val="24"/>
          <w:szCs w:val="24"/>
          <w:lang w:val="en-US"/>
        </w:rPr>
      </w:pPr>
    </w:p>
    <w:p w:rsidR="5E06AFA4" w:rsidP="4718DF32" w:rsidRDefault="5E06AFA4" w14:paraId="668F6E88" w14:textId="02BCA44C">
      <w:pPr>
        <w:pStyle w:val="Normal"/>
        <w:rPr>
          <w:rFonts w:ascii="Arial" w:hAnsi="Arial" w:eastAsia="Arial" w:cs="Arial"/>
          <w:color w:val="auto"/>
          <w:sz w:val="24"/>
          <w:szCs w:val="24"/>
        </w:rPr>
      </w:pPr>
      <w:r w:rsidRPr="4718DF32" w:rsidR="5E06AFA4">
        <w:rPr>
          <w:rFonts w:ascii="Arial" w:hAnsi="Arial" w:eastAsia="Arial" w:cs="Arial"/>
          <w:color w:val="auto"/>
          <w:sz w:val="24"/>
          <w:szCs w:val="24"/>
        </w:rPr>
        <w:t>Law Teacher</w:t>
      </w:r>
      <w:r w:rsidRPr="4718DF32" w:rsidR="036B556D">
        <w:rPr>
          <w:rFonts w:ascii="Arial" w:hAnsi="Arial" w:eastAsia="Arial" w:cs="Arial"/>
          <w:color w:val="auto"/>
          <w:sz w:val="24"/>
          <w:szCs w:val="24"/>
        </w:rPr>
        <w:t>. November 2013. Issue of Consent in R v Brown. [online]. Available from: https://www.lawteacher.net/free-law-essays/criminal-law/r-v-brown-discrimination-0956.php?vref=1 [Accessed 6 June 2024].</w:t>
      </w:r>
    </w:p>
    <w:p w:rsidR="7669F2C0" w:rsidP="4718DF32" w:rsidRDefault="7669F2C0" w14:paraId="39790A19" w14:textId="4D6B21CE">
      <w:pPr>
        <w:pStyle w:val="Normal"/>
        <w:rPr>
          <w:rFonts w:ascii="Arial" w:hAnsi="Arial" w:eastAsia="Arial" w:cs="Arial"/>
          <w:noProof w:val="0"/>
          <w:color w:val="auto"/>
          <w:sz w:val="24"/>
          <w:szCs w:val="24"/>
          <w:lang w:val="en-US"/>
        </w:rPr>
      </w:pPr>
      <w:hyperlink r:id="R58baa7d4e3fb41d1">
        <w:r w:rsidRPr="4718DF32" w:rsidR="7669F2C0">
          <w:rPr>
            <w:rStyle w:val="Hyperlink"/>
            <w:rFonts w:ascii="Arial" w:hAnsi="Arial" w:eastAsia="Arial" w:cs="Arial"/>
            <w:i w:val="1"/>
            <w:iCs w:val="1"/>
            <w:noProof w:val="0"/>
            <w:color w:val="auto"/>
            <w:sz w:val="24"/>
            <w:szCs w:val="24"/>
            <w:lang w:val="en-US"/>
          </w:rPr>
          <w:t>Robert Rafii, Esq.</w:t>
        </w:r>
      </w:hyperlink>
      <w:r w:rsidRPr="4718DF32" w:rsidR="7669F2C0">
        <w:rPr>
          <w:rFonts w:ascii="Arial" w:hAnsi="Arial" w:eastAsia="Arial" w:cs="Arial"/>
          <w:i w:val="1"/>
          <w:iCs w:val="1"/>
          <w:noProof w:val="0"/>
          <w:color w:val="auto"/>
          <w:sz w:val="24"/>
          <w:szCs w:val="24"/>
          <w:lang w:val="en-US"/>
        </w:rPr>
        <w:t xml:space="preserve"> | Legally reviewed by </w:t>
      </w:r>
      <w:hyperlink r:id="R4aead843d2d842b9">
        <w:r w:rsidRPr="4718DF32" w:rsidR="7669F2C0">
          <w:rPr>
            <w:rStyle w:val="Hyperlink"/>
            <w:rFonts w:ascii="Arial" w:hAnsi="Arial" w:eastAsia="Arial" w:cs="Arial"/>
            <w:i w:val="1"/>
            <w:iCs w:val="1"/>
            <w:noProof w:val="0"/>
            <w:color w:val="auto"/>
            <w:sz w:val="24"/>
            <w:szCs w:val="24"/>
            <w:lang w:val="en-US"/>
          </w:rPr>
          <w:t>FindLaw Staff</w:t>
        </w:r>
      </w:hyperlink>
      <w:r w:rsidRPr="4718DF32" w:rsidR="7669F2C0">
        <w:rPr>
          <w:rFonts w:ascii="Arial" w:hAnsi="Arial" w:eastAsia="Arial" w:cs="Arial"/>
          <w:i w:val="1"/>
          <w:iCs w:val="1"/>
          <w:noProof w:val="0"/>
          <w:color w:val="auto"/>
          <w:sz w:val="24"/>
          <w:szCs w:val="24"/>
          <w:lang w:val="en-US"/>
        </w:rPr>
        <w:t xml:space="preserve"> | Last reviewed June 30, 2023: elements of a battery</w:t>
      </w:r>
    </w:p>
    <w:p w:rsidR="4718DF32" w:rsidP="4718DF32" w:rsidRDefault="4718DF32" w14:paraId="6C6DBF63" w14:textId="5E0D65DD">
      <w:pPr>
        <w:pStyle w:val="Normal"/>
        <w:rPr>
          <w:rFonts w:ascii="Arial" w:hAnsi="Arial" w:eastAsia="Arial" w:cs="Arial"/>
          <w:color w:val="auto"/>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PTD5xMIxTCVQQg" int2:id="lxm0Uji3">
      <int2:state int2:type="AugLoop_Text_Critique" int2:value="Rejected"/>
    </int2:textHash>
    <int2:textHash int2:hashCode="WW3Ek5Uod7Mp7B" int2:id="YbJoHZi3">
      <int2:state int2:type="AugLoop_Text_Critique" int2:value="Rejected"/>
    </int2:textHash>
    <int2:bookmark int2:bookmarkName="_Int_Mf9r7C04" int2:invalidationBookmarkName="" int2:hashCode="ZD4DPyxyvbq3AT" int2:id="Fwpy6bw7">
      <int2:state int2:type="AugLoop_Text_Critique" int2:value="Rejected"/>
    </int2:bookmark>
    <int2:bookmark int2:bookmarkName="_Int_96nQnSOo" int2:invalidationBookmarkName="" int2:hashCode="ZD4DPyxyvbq3AT" int2:id="OnIZz36r">
      <int2:state int2:type="AugLoop_Text_Critique" int2:value="Rejected"/>
    </int2:bookmark>
    <int2:bookmark int2:bookmarkName="_Int_RvNJ6Cg0" int2:invalidationBookmarkName="" int2:hashCode="926hiZR151gI8U" int2:id="hRNRCqsb">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F37F5D"/>
    <w:rsid w:val="004AEEC0"/>
    <w:rsid w:val="00612CFF"/>
    <w:rsid w:val="007CFBB5"/>
    <w:rsid w:val="0091CA74"/>
    <w:rsid w:val="00C1B349"/>
    <w:rsid w:val="00C2E3FD"/>
    <w:rsid w:val="00D3F577"/>
    <w:rsid w:val="00D48029"/>
    <w:rsid w:val="00DBE2FD"/>
    <w:rsid w:val="00F50B3C"/>
    <w:rsid w:val="011B42A6"/>
    <w:rsid w:val="01231E0C"/>
    <w:rsid w:val="014AC1A7"/>
    <w:rsid w:val="016ADFF7"/>
    <w:rsid w:val="017853AC"/>
    <w:rsid w:val="020A7337"/>
    <w:rsid w:val="022313E3"/>
    <w:rsid w:val="0272F9EB"/>
    <w:rsid w:val="0277B35E"/>
    <w:rsid w:val="0285837A"/>
    <w:rsid w:val="02A51CC9"/>
    <w:rsid w:val="02E415D5"/>
    <w:rsid w:val="02E834E2"/>
    <w:rsid w:val="02EBA15F"/>
    <w:rsid w:val="036B556D"/>
    <w:rsid w:val="03C56317"/>
    <w:rsid w:val="03FCE080"/>
    <w:rsid w:val="0431CFA5"/>
    <w:rsid w:val="0450D91C"/>
    <w:rsid w:val="045BA5C4"/>
    <w:rsid w:val="045F7A87"/>
    <w:rsid w:val="0476B3BD"/>
    <w:rsid w:val="048771C0"/>
    <w:rsid w:val="04C277A8"/>
    <w:rsid w:val="04C6A84F"/>
    <w:rsid w:val="04CC0E28"/>
    <w:rsid w:val="053FF1B0"/>
    <w:rsid w:val="055B5266"/>
    <w:rsid w:val="058DC0C5"/>
    <w:rsid w:val="0607FCD0"/>
    <w:rsid w:val="0648ABD5"/>
    <w:rsid w:val="064C64EC"/>
    <w:rsid w:val="065604A2"/>
    <w:rsid w:val="067127A0"/>
    <w:rsid w:val="06C05B47"/>
    <w:rsid w:val="072C88E9"/>
    <w:rsid w:val="07971B49"/>
    <w:rsid w:val="07BF1282"/>
    <w:rsid w:val="07CEECFC"/>
    <w:rsid w:val="07F1D503"/>
    <w:rsid w:val="07F49089"/>
    <w:rsid w:val="080FFCA3"/>
    <w:rsid w:val="081C3322"/>
    <w:rsid w:val="0820FBBB"/>
    <w:rsid w:val="0878213F"/>
    <w:rsid w:val="0896206B"/>
    <w:rsid w:val="089D1DA7"/>
    <w:rsid w:val="08C2148E"/>
    <w:rsid w:val="08C31B1D"/>
    <w:rsid w:val="08EC19DE"/>
    <w:rsid w:val="090540C8"/>
    <w:rsid w:val="092CA5EC"/>
    <w:rsid w:val="09342B25"/>
    <w:rsid w:val="0951E0D2"/>
    <w:rsid w:val="096BA02F"/>
    <w:rsid w:val="09836591"/>
    <w:rsid w:val="098DA564"/>
    <w:rsid w:val="099060EA"/>
    <w:rsid w:val="09B80383"/>
    <w:rsid w:val="09D8D1FB"/>
    <w:rsid w:val="09EB3CC1"/>
    <w:rsid w:val="0A00D62C"/>
    <w:rsid w:val="0AA4E281"/>
    <w:rsid w:val="0AA787BB"/>
    <w:rsid w:val="0ADAE995"/>
    <w:rsid w:val="0AFD7048"/>
    <w:rsid w:val="0B1F35F2"/>
    <w:rsid w:val="0B272378"/>
    <w:rsid w:val="0B2ED97F"/>
    <w:rsid w:val="0B53D3E4"/>
    <w:rsid w:val="0B839FC0"/>
    <w:rsid w:val="0BB3B7AA"/>
    <w:rsid w:val="0BB48C2C"/>
    <w:rsid w:val="0BF5C67D"/>
    <w:rsid w:val="0C0AFCAF"/>
    <w:rsid w:val="0C2EC92E"/>
    <w:rsid w:val="0C2F13E6"/>
    <w:rsid w:val="0C3CE18A"/>
    <w:rsid w:val="0C841903"/>
    <w:rsid w:val="0C8CA428"/>
    <w:rsid w:val="0CAF09A0"/>
    <w:rsid w:val="0CC801AC"/>
    <w:rsid w:val="0D0361D9"/>
    <w:rsid w:val="0D63F9CB"/>
    <w:rsid w:val="0D80441B"/>
    <w:rsid w:val="0D85B2FF"/>
    <w:rsid w:val="0DD8B1EB"/>
    <w:rsid w:val="0E042038"/>
    <w:rsid w:val="0E071E45"/>
    <w:rsid w:val="0E33CE93"/>
    <w:rsid w:val="0E53D7C6"/>
    <w:rsid w:val="0E857A1E"/>
    <w:rsid w:val="0F03D1B8"/>
    <w:rsid w:val="0F5790E8"/>
    <w:rsid w:val="0FD28D09"/>
    <w:rsid w:val="0FDF29F5"/>
    <w:rsid w:val="10214A7F"/>
    <w:rsid w:val="10473AAC"/>
    <w:rsid w:val="10583A09"/>
    <w:rsid w:val="10A4799D"/>
    <w:rsid w:val="10DFF1CD"/>
    <w:rsid w:val="110DD09D"/>
    <w:rsid w:val="1117ECF6"/>
    <w:rsid w:val="1124FA12"/>
    <w:rsid w:val="1158781E"/>
    <w:rsid w:val="11948EEB"/>
    <w:rsid w:val="119664FC"/>
    <w:rsid w:val="11AA1B67"/>
    <w:rsid w:val="12299676"/>
    <w:rsid w:val="124049FE"/>
    <w:rsid w:val="126E1FDF"/>
    <w:rsid w:val="12A86F7D"/>
    <w:rsid w:val="12B3BD57"/>
    <w:rsid w:val="12D732A7"/>
    <w:rsid w:val="12F6D0E1"/>
    <w:rsid w:val="131E89BE"/>
    <w:rsid w:val="1372A35D"/>
    <w:rsid w:val="13BDE796"/>
    <w:rsid w:val="1451F14D"/>
    <w:rsid w:val="1452DE2F"/>
    <w:rsid w:val="14615EB5"/>
    <w:rsid w:val="1470F4B8"/>
    <w:rsid w:val="14BA6E2A"/>
    <w:rsid w:val="14C05050"/>
    <w:rsid w:val="15417193"/>
    <w:rsid w:val="1572F9C3"/>
    <w:rsid w:val="157BC8A3"/>
    <w:rsid w:val="158E1A2E"/>
    <w:rsid w:val="15947CEC"/>
    <w:rsid w:val="16005418"/>
    <w:rsid w:val="162D7AA5"/>
    <w:rsid w:val="163569DC"/>
    <w:rsid w:val="16424636"/>
    <w:rsid w:val="166A3234"/>
    <w:rsid w:val="1676789D"/>
    <w:rsid w:val="16E80017"/>
    <w:rsid w:val="16FA92C4"/>
    <w:rsid w:val="173FC1F6"/>
    <w:rsid w:val="174116B6"/>
    <w:rsid w:val="174E7C18"/>
    <w:rsid w:val="17864C7C"/>
    <w:rsid w:val="17872E7A"/>
    <w:rsid w:val="17B1AF0C"/>
    <w:rsid w:val="17DB690B"/>
    <w:rsid w:val="180FE9FF"/>
    <w:rsid w:val="18135C8B"/>
    <w:rsid w:val="1827D689"/>
    <w:rsid w:val="1839836C"/>
    <w:rsid w:val="187B4F08"/>
    <w:rsid w:val="1883D078"/>
    <w:rsid w:val="18DCE717"/>
    <w:rsid w:val="19116AFF"/>
    <w:rsid w:val="192201B3"/>
    <w:rsid w:val="1975E6C1"/>
    <w:rsid w:val="198047B4"/>
    <w:rsid w:val="19B3D549"/>
    <w:rsid w:val="19BE97FD"/>
    <w:rsid w:val="19C8B9D2"/>
    <w:rsid w:val="19FF9926"/>
    <w:rsid w:val="1A323386"/>
    <w:rsid w:val="1A78B778"/>
    <w:rsid w:val="1A8C6EED"/>
    <w:rsid w:val="1AC25168"/>
    <w:rsid w:val="1ADE2113"/>
    <w:rsid w:val="1AEDED35"/>
    <w:rsid w:val="1B3D4742"/>
    <w:rsid w:val="1B518A00"/>
    <w:rsid w:val="1B6E3CE5"/>
    <w:rsid w:val="1B83A4C5"/>
    <w:rsid w:val="1B91CF89"/>
    <w:rsid w:val="1BB58809"/>
    <w:rsid w:val="1BD08E17"/>
    <w:rsid w:val="1BF547B5"/>
    <w:rsid w:val="1C40C2CB"/>
    <w:rsid w:val="1C6202CA"/>
    <w:rsid w:val="1C63249B"/>
    <w:rsid w:val="1C89BD96"/>
    <w:rsid w:val="1CC9F1F3"/>
    <w:rsid w:val="1CED5A61"/>
    <w:rsid w:val="1D4DD5CA"/>
    <w:rsid w:val="1D715D36"/>
    <w:rsid w:val="1DEB51AD"/>
    <w:rsid w:val="1DF663D4"/>
    <w:rsid w:val="1E044BE5"/>
    <w:rsid w:val="1E238E34"/>
    <w:rsid w:val="1E258DF7"/>
    <w:rsid w:val="1E332EA8"/>
    <w:rsid w:val="1E53D33F"/>
    <w:rsid w:val="1E70188F"/>
    <w:rsid w:val="1E8E6CED"/>
    <w:rsid w:val="1E9B4F29"/>
    <w:rsid w:val="1E9D6C1D"/>
    <w:rsid w:val="1EA4D3DB"/>
    <w:rsid w:val="1EB7F877"/>
    <w:rsid w:val="1EC44CC2"/>
    <w:rsid w:val="1F0E5463"/>
    <w:rsid w:val="1F179206"/>
    <w:rsid w:val="1F3894F1"/>
    <w:rsid w:val="1FC15E58"/>
    <w:rsid w:val="1FE4856C"/>
    <w:rsid w:val="1FF7555E"/>
    <w:rsid w:val="2024FB23"/>
    <w:rsid w:val="202637BF"/>
    <w:rsid w:val="202792D3"/>
    <w:rsid w:val="20371F8A"/>
    <w:rsid w:val="2050DBAD"/>
    <w:rsid w:val="20796BC6"/>
    <w:rsid w:val="20AA24C4"/>
    <w:rsid w:val="20CD7BDF"/>
    <w:rsid w:val="20D50F56"/>
    <w:rsid w:val="2125C72B"/>
    <w:rsid w:val="214C56F7"/>
    <w:rsid w:val="21A9E471"/>
    <w:rsid w:val="21C0B559"/>
    <w:rsid w:val="224F1C33"/>
    <w:rsid w:val="2287235C"/>
    <w:rsid w:val="22912034"/>
    <w:rsid w:val="22B86A87"/>
    <w:rsid w:val="22C88610"/>
    <w:rsid w:val="22E82758"/>
    <w:rsid w:val="232F30CA"/>
    <w:rsid w:val="2388BC68"/>
    <w:rsid w:val="23BF4323"/>
    <w:rsid w:val="23E1C586"/>
    <w:rsid w:val="23EB5DC7"/>
    <w:rsid w:val="241B1F6D"/>
    <w:rsid w:val="241DC744"/>
    <w:rsid w:val="24696B89"/>
    <w:rsid w:val="24A62B4F"/>
    <w:rsid w:val="24D7C0FE"/>
    <w:rsid w:val="24E5A737"/>
    <w:rsid w:val="252C850E"/>
    <w:rsid w:val="2577E0F7"/>
    <w:rsid w:val="25872E28"/>
    <w:rsid w:val="25BEC41E"/>
    <w:rsid w:val="25F2D246"/>
    <w:rsid w:val="26081DE7"/>
    <w:rsid w:val="260A6799"/>
    <w:rsid w:val="261315C5"/>
    <w:rsid w:val="26173CB7"/>
    <w:rsid w:val="26244C31"/>
    <w:rsid w:val="263F3A9F"/>
    <w:rsid w:val="267D19A2"/>
    <w:rsid w:val="26817798"/>
    <w:rsid w:val="26933D23"/>
    <w:rsid w:val="26C01D31"/>
    <w:rsid w:val="27145CE7"/>
    <w:rsid w:val="27195893"/>
    <w:rsid w:val="275A947F"/>
    <w:rsid w:val="278BCBEA"/>
    <w:rsid w:val="27D07A6D"/>
    <w:rsid w:val="2895E4A5"/>
    <w:rsid w:val="28C47462"/>
    <w:rsid w:val="28D23603"/>
    <w:rsid w:val="2907AFA6"/>
    <w:rsid w:val="2927B1D4"/>
    <w:rsid w:val="2934C989"/>
    <w:rsid w:val="295FED1F"/>
    <w:rsid w:val="29648B14"/>
    <w:rsid w:val="298EEF3F"/>
    <w:rsid w:val="29CF8E30"/>
    <w:rsid w:val="2A0A06A1"/>
    <w:rsid w:val="2A20A577"/>
    <w:rsid w:val="2A601CC2"/>
    <w:rsid w:val="2A974314"/>
    <w:rsid w:val="2AB8EB25"/>
    <w:rsid w:val="2AD001ED"/>
    <w:rsid w:val="2AE1D3EA"/>
    <w:rsid w:val="2AF39E24"/>
    <w:rsid w:val="2B153D85"/>
    <w:rsid w:val="2B44DD22"/>
    <w:rsid w:val="2B56117D"/>
    <w:rsid w:val="2B63826A"/>
    <w:rsid w:val="2B9A2768"/>
    <w:rsid w:val="2BBA0040"/>
    <w:rsid w:val="2BCD9ABF"/>
    <w:rsid w:val="2BE9BE65"/>
    <w:rsid w:val="2C0062BB"/>
    <w:rsid w:val="2C4C7CB9"/>
    <w:rsid w:val="2CB88A16"/>
    <w:rsid w:val="2CC74A50"/>
    <w:rsid w:val="2D2D7FF6"/>
    <w:rsid w:val="2D2FC00B"/>
    <w:rsid w:val="2DB7F449"/>
    <w:rsid w:val="2DCEE3D6"/>
    <w:rsid w:val="2E66DF55"/>
    <w:rsid w:val="2E9F5D33"/>
    <w:rsid w:val="2EB1AD9F"/>
    <w:rsid w:val="2ED1C82A"/>
    <w:rsid w:val="2EDA2947"/>
    <w:rsid w:val="2EED476C"/>
    <w:rsid w:val="2EFEBD37"/>
    <w:rsid w:val="2F27A6A7"/>
    <w:rsid w:val="2F3D23B6"/>
    <w:rsid w:val="2F6EBFB3"/>
    <w:rsid w:val="2FA6AD58"/>
    <w:rsid w:val="2FBAB73E"/>
    <w:rsid w:val="2FF5AE6B"/>
    <w:rsid w:val="303DD2AB"/>
    <w:rsid w:val="305420FF"/>
    <w:rsid w:val="3077311B"/>
    <w:rsid w:val="30790A8C"/>
    <w:rsid w:val="30BB7641"/>
    <w:rsid w:val="30BE5507"/>
    <w:rsid w:val="30ED71BE"/>
    <w:rsid w:val="3182494A"/>
    <w:rsid w:val="3192336A"/>
    <w:rsid w:val="31C51A8E"/>
    <w:rsid w:val="31C745B0"/>
    <w:rsid w:val="3209828F"/>
    <w:rsid w:val="321B8841"/>
    <w:rsid w:val="32433C4F"/>
    <w:rsid w:val="32620E66"/>
    <w:rsid w:val="32A786F9"/>
    <w:rsid w:val="32D1E518"/>
    <w:rsid w:val="32D997C3"/>
    <w:rsid w:val="333965F2"/>
    <w:rsid w:val="335CD5D7"/>
    <w:rsid w:val="33684DF4"/>
    <w:rsid w:val="339E32FB"/>
    <w:rsid w:val="33D9FC35"/>
    <w:rsid w:val="34232DF1"/>
    <w:rsid w:val="3424FCFD"/>
    <w:rsid w:val="346DB579"/>
    <w:rsid w:val="346DD067"/>
    <w:rsid w:val="348305E9"/>
    <w:rsid w:val="3593247B"/>
    <w:rsid w:val="35D2C0D5"/>
    <w:rsid w:val="35D4E7E8"/>
    <w:rsid w:val="36183BD3"/>
    <w:rsid w:val="361F2E53"/>
    <w:rsid w:val="36627525"/>
    <w:rsid w:val="368D35FF"/>
    <w:rsid w:val="37063DA1"/>
    <w:rsid w:val="374EC5D8"/>
    <w:rsid w:val="3775B1AD"/>
    <w:rsid w:val="37A03283"/>
    <w:rsid w:val="381E312E"/>
    <w:rsid w:val="384B37A7"/>
    <w:rsid w:val="3869C9F6"/>
    <w:rsid w:val="387E4FF4"/>
    <w:rsid w:val="38A20E02"/>
    <w:rsid w:val="38A5E701"/>
    <w:rsid w:val="38E8B094"/>
    <w:rsid w:val="395918EC"/>
    <w:rsid w:val="39819E41"/>
    <w:rsid w:val="39A1332A"/>
    <w:rsid w:val="39C3AB91"/>
    <w:rsid w:val="39CF8F1A"/>
    <w:rsid w:val="39F6337D"/>
    <w:rsid w:val="3A059A57"/>
    <w:rsid w:val="3A15CF43"/>
    <w:rsid w:val="3A6162B0"/>
    <w:rsid w:val="3A61B480"/>
    <w:rsid w:val="3A6F185A"/>
    <w:rsid w:val="3AA435D9"/>
    <w:rsid w:val="3AEAD4CB"/>
    <w:rsid w:val="3B9D1169"/>
    <w:rsid w:val="3BD9AEC4"/>
    <w:rsid w:val="3C0AE8BB"/>
    <w:rsid w:val="3C609C9A"/>
    <w:rsid w:val="3C75A030"/>
    <w:rsid w:val="3C76465A"/>
    <w:rsid w:val="3CB9EDAF"/>
    <w:rsid w:val="3CD0F4A6"/>
    <w:rsid w:val="3CE39683"/>
    <w:rsid w:val="3CEF2E01"/>
    <w:rsid w:val="3D2C7CD6"/>
    <w:rsid w:val="3D3D3B19"/>
    <w:rsid w:val="3D5BCDE0"/>
    <w:rsid w:val="3D696F4D"/>
    <w:rsid w:val="3D757F25"/>
    <w:rsid w:val="3D9F6394"/>
    <w:rsid w:val="3E32564E"/>
    <w:rsid w:val="3E4AA9EF"/>
    <w:rsid w:val="3E59EB0D"/>
    <w:rsid w:val="3E6A8EC0"/>
    <w:rsid w:val="3EE47D08"/>
    <w:rsid w:val="3EECAEC9"/>
    <w:rsid w:val="3EF79E41"/>
    <w:rsid w:val="3F3A1F23"/>
    <w:rsid w:val="3F3B33F5"/>
    <w:rsid w:val="3F4B14B5"/>
    <w:rsid w:val="3F83976C"/>
    <w:rsid w:val="3FA9F760"/>
    <w:rsid w:val="3FC425B4"/>
    <w:rsid w:val="40147459"/>
    <w:rsid w:val="40315E23"/>
    <w:rsid w:val="406914E6"/>
    <w:rsid w:val="40936EA2"/>
    <w:rsid w:val="40D70456"/>
    <w:rsid w:val="41044099"/>
    <w:rsid w:val="41343E91"/>
    <w:rsid w:val="415A1709"/>
    <w:rsid w:val="41604F96"/>
    <w:rsid w:val="41A0E188"/>
    <w:rsid w:val="41B044BA"/>
    <w:rsid w:val="41BB77B5"/>
    <w:rsid w:val="41BC20FC"/>
    <w:rsid w:val="41F6C8AC"/>
    <w:rsid w:val="4204E547"/>
    <w:rsid w:val="42277A3C"/>
    <w:rsid w:val="422F3F03"/>
    <w:rsid w:val="4272D4B7"/>
    <w:rsid w:val="429FED9D"/>
    <w:rsid w:val="4302BFD4"/>
    <w:rsid w:val="431FD794"/>
    <w:rsid w:val="4347A388"/>
    <w:rsid w:val="434C151B"/>
    <w:rsid w:val="4392990D"/>
    <w:rsid w:val="43CB0F64"/>
    <w:rsid w:val="43D8B0D1"/>
    <w:rsid w:val="44155593"/>
    <w:rsid w:val="441D724C"/>
    <w:rsid w:val="442F2202"/>
    <w:rsid w:val="445CFAC6"/>
    <w:rsid w:val="446CD08A"/>
    <w:rsid w:val="44807BC2"/>
    <w:rsid w:val="4490790E"/>
    <w:rsid w:val="449796D7"/>
    <w:rsid w:val="44B0747C"/>
    <w:rsid w:val="44F4D946"/>
    <w:rsid w:val="44FC59B9"/>
    <w:rsid w:val="45207DE5"/>
    <w:rsid w:val="455F1AFE"/>
    <w:rsid w:val="4566DFC5"/>
    <w:rsid w:val="456A5A31"/>
    <w:rsid w:val="45BE0DF9"/>
    <w:rsid w:val="45D06CFD"/>
    <w:rsid w:val="46214813"/>
    <w:rsid w:val="46336738"/>
    <w:rsid w:val="4666650D"/>
    <w:rsid w:val="466F86D9"/>
    <w:rsid w:val="46936434"/>
    <w:rsid w:val="46C30BFA"/>
    <w:rsid w:val="46DDB3D4"/>
    <w:rsid w:val="46E41D5F"/>
    <w:rsid w:val="4718DF32"/>
    <w:rsid w:val="472E228E"/>
    <w:rsid w:val="4765EA8F"/>
    <w:rsid w:val="47994B61"/>
    <w:rsid w:val="47A30C57"/>
    <w:rsid w:val="4818B6B2"/>
    <w:rsid w:val="485A593F"/>
    <w:rsid w:val="48757FDF"/>
    <w:rsid w:val="487E07D4"/>
    <w:rsid w:val="487FEDC0"/>
    <w:rsid w:val="48C7FFF3"/>
    <w:rsid w:val="490E00E0"/>
    <w:rsid w:val="4954702E"/>
    <w:rsid w:val="4958D022"/>
    <w:rsid w:val="499A43F5"/>
    <w:rsid w:val="49D728F5"/>
    <w:rsid w:val="4A1A0352"/>
    <w:rsid w:val="4A1BBE21"/>
    <w:rsid w:val="4A65C350"/>
    <w:rsid w:val="4A6B4869"/>
    <w:rsid w:val="4AABEFED"/>
    <w:rsid w:val="4ABDB04A"/>
    <w:rsid w:val="4ACE3E62"/>
    <w:rsid w:val="4AD0B725"/>
    <w:rsid w:val="4B2221C0"/>
    <w:rsid w:val="4B2DE190"/>
    <w:rsid w:val="4B32741D"/>
    <w:rsid w:val="4B628927"/>
    <w:rsid w:val="4BA59CE6"/>
    <w:rsid w:val="4BA9D7B3"/>
    <w:rsid w:val="4BFE12EA"/>
    <w:rsid w:val="4C0193B1"/>
    <w:rsid w:val="4C1D39A1"/>
    <w:rsid w:val="4C206778"/>
    <w:rsid w:val="4C2B9868"/>
    <w:rsid w:val="4C4E2032"/>
    <w:rsid w:val="4C507992"/>
    <w:rsid w:val="4C767D7A"/>
    <w:rsid w:val="4C82C3EF"/>
    <w:rsid w:val="4C891355"/>
    <w:rsid w:val="4CBC7E34"/>
    <w:rsid w:val="4CC4AA25"/>
    <w:rsid w:val="4CE9FBD5"/>
    <w:rsid w:val="4D023722"/>
    <w:rsid w:val="4D0BEBE9"/>
    <w:rsid w:val="4D318D01"/>
    <w:rsid w:val="4D932401"/>
    <w:rsid w:val="4DE7B45D"/>
    <w:rsid w:val="4E2C4145"/>
    <w:rsid w:val="4E4B6C0A"/>
    <w:rsid w:val="4E7BBEF3"/>
    <w:rsid w:val="4EC2FBE5"/>
    <w:rsid w:val="4ECBC54D"/>
    <w:rsid w:val="4ED07EEE"/>
    <w:rsid w:val="4F470B26"/>
    <w:rsid w:val="4F5B60E7"/>
    <w:rsid w:val="4FAE1E3C"/>
    <w:rsid w:val="4FCBF86C"/>
    <w:rsid w:val="5000DA59"/>
    <w:rsid w:val="503347DD"/>
    <w:rsid w:val="5039741C"/>
    <w:rsid w:val="50672DF0"/>
    <w:rsid w:val="509406C5"/>
    <w:rsid w:val="50BB6B48"/>
    <w:rsid w:val="50CAC4C3"/>
    <w:rsid w:val="50D7EEF7"/>
    <w:rsid w:val="50DC7FA0"/>
    <w:rsid w:val="50F515A6"/>
    <w:rsid w:val="50F9AA7E"/>
    <w:rsid w:val="514B2B39"/>
    <w:rsid w:val="5152BFE3"/>
    <w:rsid w:val="51A51F3C"/>
    <w:rsid w:val="51C6ADE4"/>
    <w:rsid w:val="51ECEB50"/>
    <w:rsid w:val="52572F9A"/>
    <w:rsid w:val="52ABE569"/>
    <w:rsid w:val="52C3CFF4"/>
    <w:rsid w:val="52E53547"/>
    <w:rsid w:val="53228928"/>
    <w:rsid w:val="5352A229"/>
    <w:rsid w:val="5356F75A"/>
    <w:rsid w:val="53B05313"/>
    <w:rsid w:val="53CA8DED"/>
    <w:rsid w:val="54132AF5"/>
    <w:rsid w:val="5416F306"/>
    <w:rsid w:val="542B795D"/>
    <w:rsid w:val="544CE510"/>
    <w:rsid w:val="547F6AFB"/>
    <w:rsid w:val="54AB758D"/>
    <w:rsid w:val="54BD3E3C"/>
    <w:rsid w:val="54F4688B"/>
    <w:rsid w:val="5563F437"/>
    <w:rsid w:val="558F48FC"/>
    <w:rsid w:val="559D5E18"/>
    <w:rsid w:val="559E6D16"/>
    <w:rsid w:val="56187DE5"/>
    <w:rsid w:val="561B3B5C"/>
    <w:rsid w:val="561F03AD"/>
    <w:rsid w:val="5649404A"/>
    <w:rsid w:val="56583159"/>
    <w:rsid w:val="5679221A"/>
    <w:rsid w:val="56CDC454"/>
    <w:rsid w:val="57288B53"/>
    <w:rsid w:val="57518E55"/>
    <w:rsid w:val="576DFE41"/>
    <w:rsid w:val="577CB82E"/>
    <w:rsid w:val="5878A883"/>
    <w:rsid w:val="58A578DC"/>
    <w:rsid w:val="58A6ED79"/>
    <w:rsid w:val="58ED5EB6"/>
    <w:rsid w:val="590CE618"/>
    <w:rsid w:val="5922D41D"/>
    <w:rsid w:val="598510A6"/>
    <w:rsid w:val="59B6FA09"/>
    <w:rsid w:val="59C1AFA9"/>
    <w:rsid w:val="59DE4E4C"/>
    <w:rsid w:val="5A7D1C81"/>
    <w:rsid w:val="5A892F17"/>
    <w:rsid w:val="5AD2F2B3"/>
    <w:rsid w:val="5AE9433A"/>
    <w:rsid w:val="5B4598F1"/>
    <w:rsid w:val="5B766A12"/>
    <w:rsid w:val="5B92F9DE"/>
    <w:rsid w:val="5BE27847"/>
    <w:rsid w:val="5C225620"/>
    <w:rsid w:val="5C2F9749"/>
    <w:rsid w:val="5C90DE16"/>
    <w:rsid w:val="5CC28949"/>
    <w:rsid w:val="5CF059D6"/>
    <w:rsid w:val="5D0D344F"/>
    <w:rsid w:val="5D3D3705"/>
    <w:rsid w:val="5D9123EA"/>
    <w:rsid w:val="5DA9BFB7"/>
    <w:rsid w:val="5DB9A3CA"/>
    <w:rsid w:val="5DC0CFD9"/>
    <w:rsid w:val="5E06AFA4"/>
    <w:rsid w:val="5E4A6B48"/>
    <w:rsid w:val="5E5F1FBF"/>
    <w:rsid w:val="5E78D157"/>
    <w:rsid w:val="5EB1E611"/>
    <w:rsid w:val="5EB3C78D"/>
    <w:rsid w:val="5EC1177D"/>
    <w:rsid w:val="5EFCCC32"/>
    <w:rsid w:val="5F573077"/>
    <w:rsid w:val="5F57A760"/>
    <w:rsid w:val="5FB75E6D"/>
    <w:rsid w:val="5FD01FD0"/>
    <w:rsid w:val="5FE6F46A"/>
    <w:rsid w:val="5FE987BB"/>
    <w:rsid w:val="605B8AAB"/>
    <w:rsid w:val="60876D86"/>
    <w:rsid w:val="608B0A34"/>
    <w:rsid w:val="609D900F"/>
    <w:rsid w:val="60E8A58F"/>
    <w:rsid w:val="60ECE22B"/>
    <w:rsid w:val="610C315A"/>
    <w:rsid w:val="612ADE25"/>
    <w:rsid w:val="61532ECE"/>
    <w:rsid w:val="6192D3BD"/>
    <w:rsid w:val="6193C19C"/>
    <w:rsid w:val="61B8BECA"/>
    <w:rsid w:val="61E496FB"/>
    <w:rsid w:val="6280E1F9"/>
    <w:rsid w:val="62ADBA4C"/>
    <w:rsid w:val="62B2FC93"/>
    <w:rsid w:val="62C4FED7"/>
    <w:rsid w:val="62FC4CBD"/>
    <w:rsid w:val="632CDCD6"/>
    <w:rsid w:val="6373FA67"/>
    <w:rsid w:val="63F070C8"/>
    <w:rsid w:val="64084DEB"/>
    <w:rsid w:val="641E1F70"/>
    <w:rsid w:val="648E2BAF"/>
    <w:rsid w:val="64A0846F"/>
    <w:rsid w:val="64B699A9"/>
    <w:rsid w:val="64B99419"/>
    <w:rsid w:val="657206A4"/>
    <w:rsid w:val="65A48316"/>
    <w:rsid w:val="65C48657"/>
    <w:rsid w:val="65F4DFDA"/>
    <w:rsid w:val="65F646E6"/>
    <w:rsid w:val="662248B3"/>
    <w:rsid w:val="66394CAC"/>
    <w:rsid w:val="667255FC"/>
    <w:rsid w:val="6673404F"/>
    <w:rsid w:val="667EFB81"/>
    <w:rsid w:val="668FBAC9"/>
    <w:rsid w:val="66C9BAF2"/>
    <w:rsid w:val="66DE3EE2"/>
    <w:rsid w:val="66E0B305"/>
    <w:rsid w:val="672BF850"/>
    <w:rsid w:val="672E6C4D"/>
    <w:rsid w:val="674A01CE"/>
    <w:rsid w:val="6772942E"/>
    <w:rsid w:val="67B90690"/>
    <w:rsid w:val="67D51D0D"/>
    <w:rsid w:val="682B311B"/>
    <w:rsid w:val="6853D87F"/>
    <w:rsid w:val="6855158A"/>
    <w:rsid w:val="685A9E41"/>
    <w:rsid w:val="68869DBD"/>
    <w:rsid w:val="6895F6BC"/>
    <w:rsid w:val="689D55F7"/>
    <w:rsid w:val="692BDAC5"/>
    <w:rsid w:val="697FF08F"/>
    <w:rsid w:val="698EBD70"/>
    <w:rsid w:val="69C30D80"/>
    <w:rsid w:val="69C726D3"/>
    <w:rsid w:val="69EFA8E0"/>
    <w:rsid w:val="6A21444C"/>
    <w:rsid w:val="6A79D7AA"/>
    <w:rsid w:val="6A7A1BB9"/>
    <w:rsid w:val="6AD1AEF3"/>
    <w:rsid w:val="6AF4C213"/>
    <w:rsid w:val="6AF55821"/>
    <w:rsid w:val="6AF6E706"/>
    <w:rsid w:val="6B189AE9"/>
    <w:rsid w:val="6B1AE32A"/>
    <w:rsid w:val="6B46D931"/>
    <w:rsid w:val="6B6D1AB6"/>
    <w:rsid w:val="6BB42428"/>
    <w:rsid w:val="6BB7B487"/>
    <w:rsid w:val="6BE4E405"/>
    <w:rsid w:val="6BEC6615"/>
    <w:rsid w:val="6C7A1F79"/>
    <w:rsid w:val="6C8AD500"/>
    <w:rsid w:val="6CA88E30"/>
    <w:rsid w:val="6CFEA23E"/>
    <w:rsid w:val="6D4EF043"/>
    <w:rsid w:val="6D5692D0"/>
    <w:rsid w:val="6D58FA87"/>
    <w:rsid w:val="6DAED58C"/>
    <w:rsid w:val="6E13A4E4"/>
    <w:rsid w:val="6E5D7D20"/>
    <w:rsid w:val="6E5F9C6F"/>
    <w:rsid w:val="6E622E93"/>
    <w:rsid w:val="6E9297F3"/>
    <w:rsid w:val="6EE1AF42"/>
    <w:rsid w:val="6F08E8D0"/>
    <w:rsid w:val="6F319C8D"/>
    <w:rsid w:val="6FA91DEB"/>
    <w:rsid w:val="6FEEBD62"/>
    <w:rsid w:val="6FF37F5D"/>
    <w:rsid w:val="6FF58BBE"/>
    <w:rsid w:val="6FFE6069"/>
    <w:rsid w:val="702A8040"/>
    <w:rsid w:val="7045A857"/>
    <w:rsid w:val="70A4B931"/>
    <w:rsid w:val="70C8227B"/>
    <w:rsid w:val="70E9192E"/>
    <w:rsid w:val="70FCAAE2"/>
    <w:rsid w:val="71163BDE"/>
    <w:rsid w:val="711681EB"/>
    <w:rsid w:val="7123F4E8"/>
    <w:rsid w:val="713257D5"/>
    <w:rsid w:val="71393083"/>
    <w:rsid w:val="7199CF55"/>
    <w:rsid w:val="71E7D22A"/>
    <w:rsid w:val="71EF99BC"/>
    <w:rsid w:val="7287E1EC"/>
    <w:rsid w:val="72EFA30C"/>
    <w:rsid w:val="72F2F9C2"/>
    <w:rsid w:val="72FE0042"/>
    <w:rsid w:val="73544EF1"/>
    <w:rsid w:val="735DB896"/>
    <w:rsid w:val="736FDC00"/>
    <w:rsid w:val="7378585F"/>
    <w:rsid w:val="739AAAF4"/>
    <w:rsid w:val="739E78AC"/>
    <w:rsid w:val="73BD2934"/>
    <w:rsid w:val="73CD64A0"/>
    <w:rsid w:val="73ED2845"/>
    <w:rsid w:val="740CE0C2"/>
    <w:rsid w:val="740D3A5C"/>
    <w:rsid w:val="7414DB0C"/>
    <w:rsid w:val="74344BA4"/>
    <w:rsid w:val="744E22AD"/>
    <w:rsid w:val="747C5D18"/>
    <w:rsid w:val="74C51C1E"/>
    <w:rsid w:val="74D78C6E"/>
    <w:rsid w:val="74E47BEE"/>
    <w:rsid w:val="7518947C"/>
    <w:rsid w:val="751A4AA9"/>
    <w:rsid w:val="75291E7B"/>
    <w:rsid w:val="753A490D"/>
    <w:rsid w:val="756ACBA3"/>
    <w:rsid w:val="75AF8EB5"/>
    <w:rsid w:val="75E22468"/>
    <w:rsid w:val="7609AA4B"/>
    <w:rsid w:val="7621264C"/>
    <w:rsid w:val="763AAED7"/>
    <w:rsid w:val="7664F6CD"/>
    <w:rsid w:val="7669F2C0"/>
    <w:rsid w:val="7675550D"/>
    <w:rsid w:val="7675676C"/>
    <w:rsid w:val="7678B206"/>
    <w:rsid w:val="76B745A7"/>
    <w:rsid w:val="76E08D1B"/>
    <w:rsid w:val="770421A4"/>
    <w:rsid w:val="772DDBA3"/>
    <w:rsid w:val="77A33CFE"/>
    <w:rsid w:val="77B908B9"/>
    <w:rsid w:val="77BCF6AD"/>
    <w:rsid w:val="77F0B6BA"/>
    <w:rsid w:val="7815914E"/>
    <w:rsid w:val="784E688E"/>
    <w:rsid w:val="7871E9CF"/>
    <w:rsid w:val="78F9A242"/>
    <w:rsid w:val="7904FB21"/>
    <w:rsid w:val="79217706"/>
    <w:rsid w:val="79270AD2"/>
    <w:rsid w:val="7938FB02"/>
    <w:rsid w:val="79794BFC"/>
    <w:rsid w:val="799CCD22"/>
    <w:rsid w:val="79EFE913"/>
    <w:rsid w:val="7A00730B"/>
    <w:rsid w:val="7A650CCE"/>
    <w:rsid w:val="7A7DC39C"/>
    <w:rsid w:val="7A818E77"/>
    <w:rsid w:val="7ABB54F0"/>
    <w:rsid w:val="7AD1956A"/>
    <w:rsid w:val="7B049E2B"/>
    <w:rsid w:val="7B091227"/>
    <w:rsid w:val="7B2C8593"/>
    <w:rsid w:val="7B3A9612"/>
    <w:rsid w:val="7B684DCF"/>
    <w:rsid w:val="7B724700"/>
    <w:rsid w:val="7B846286"/>
    <w:rsid w:val="7B8C7AC6"/>
    <w:rsid w:val="7B9D18DA"/>
    <w:rsid w:val="7B9D9228"/>
    <w:rsid w:val="7BBA5442"/>
    <w:rsid w:val="7BBE5950"/>
    <w:rsid w:val="7BBEBDF7"/>
    <w:rsid w:val="7BCCC522"/>
    <w:rsid w:val="7C6091C2"/>
    <w:rsid w:val="7C61B954"/>
    <w:rsid w:val="7CB792AA"/>
    <w:rsid w:val="7CC7D8FC"/>
    <w:rsid w:val="7D32A15D"/>
    <w:rsid w:val="7D6A0361"/>
    <w:rsid w:val="7D85A140"/>
    <w:rsid w:val="7D9CAD90"/>
    <w:rsid w:val="7D9CDF66"/>
    <w:rsid w:val="7DEFBAAD"/>
    <w:rsid w:val="7E06F7EC"/>
    <w:rsid w:val="7E12F9DE"/>
    <w:rsid w:val="7E40B2E9"/>
    <w:rsid w:val="7E6E4CFB"/>
    <w:rsid w:val="7E7C27B2"/>
    <w:rsid w:val="7EAE2624"/>
    <w:rsid w:val="7EE0F730"/>
    <w:rsid w:val="7EF353F9"/>
    <w:rsid w:val="7F38AFC7"/>
    <w:rsid w:val="7F48C20C"/>
    <w:rsid w:val="7F6154F4"/>
    <w:rsid w:val="7F7A056B"/>
    <w:rsid w:val="7F96E629"/>
    <w:rsid w:val="7F973615"/>
    <w:rsid w:val="7FB50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0D216"/>
  <w15:chartTrackingRefBased/>
  <w15:docId w15:val="{53AAAF2F-7847-403C-9AA2-EA8785107E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5eed55ad4c84a5b" /><Relationship Type="http://schemas.openxmlformats.org/officeDocument/2006/relationships/hyperlink" Target="https://www.lawteacher.net/example-essays/medical-law-negligence-and-battery-torts.php" TargetMode="External" Id="R35e2105e98c1484a" /><Relationship Type="http://schemas.openxmlformats.org/officeDocument/2006/relationships/hyperlink" Target="https://ipsaloquitur.com/tort-law/cases/chatterton-v-gerson/" TargetMode="External" Id="R7bb4d847df9c4a64" /><Relationship Type="http://schemas.openxmlformats.org/officeDocument/2006/relationships/hyperlink" Target="https://ico.org.uk/for-organisations/uk-gdpr-guidance-and-resources/lawful-basis/a-guide-to-lawful-basis/lawful-basis-for-processing/consent/" TargetMode="External" Id="R372eea5bf38f4412" /><Relationship Type="http://schemas.openxmlformats.org/officeDocument/2006/relationships/hyperlink" Target="https://www.isonharrison.co.uk/our-services/criminal-law/police-station-assistance/assault-and-battery/" TargetMode="External" Id="R8b6c4b179d2d47dd" /><Relationship Type="http://schemas.openxmlformats.org/officeDocument/2006/relationships/hyperlink" Target="https://doi.org/10.1177/09646639221086592" TargetMode="External" Id="R50ce6dddcd534c1d" /><Relationship Type="http://schemas.openxmlformats.org/officeDocument/2006/relationships/hyperlink" Target="http://www.ukcen.net/ethical_issues/consent/legal_considerations1" TargetMode="External" Id="R3ea5b82677294e97" /><Relationship Type="http://schemas.openxmlformats.org/officeDocument/2006/relationships/hyperlink" Target="https://www.findlaw.com/company/our-team/robert-rafii-esq/" TargetMode="External" Id="R58baa7d4e3fb41d1" /><Relationship Type="http://schemas.openxmlformats.org/officeDocument/2006/relationships/hyperlink" Target="https://www.findlaw.com/company/our-team.html" TargetMode="External" Id="R4aead843d2d842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2023-10-16T18:06:56.5883707Z</dcterms:created>
  <dcterms:modified xsi:type="dcterms:W3CDTF">2024-06-06T16:06:19.1234381Z</dcterms:modified>
  <dc:creator>Tia Lewis (2306465)</dc:creator>
  <lastModifiedBy>Tia Lewis (2306465)</lastModifiedBy>
</coreProperties>
</file>