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5809A" w14:textId="2026006D" w:rsidR="005404D4" w:rsidRDefault="007C51A4">
      <w:r>
        <w:rPr>
          <w:noProof/>
          <w:sz w:val="52"/>
          <w:szCs w:val="52"/>
        </w:rPr>
        <w:drawing>
          <wp:anchor distT="0" distB="0" distL="114300" distR="114300" simplePos="0" relativeHeight="251659264" behindDoc="0" locked="0" layoutInCell="1" allowOverlap="1" wp14:anchorId="042B5DF0" wp14:editId="1CAF77CA">
            <wp:simplePos x="0" y="0"/>
            <wp:positionH relativeFrom="column">
              <wp:posOffset>421933</wp:posOffset>
            </wp:positionH>
            <wp:positionV relativeFrom="paragraph">
              <wp:posOffset>342</wp:posOffset>
            </wp:positionV>
            <wp:extent cx="2902589" cy="962662"/>
            <wp:effectExtent l="0" t="0" r="0" b="8890"/>
            <wp:wrapTopAndBottom/>
            <wp:docPr id="1557882927"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02589" cy="962662"/>
                    </a:xfrm>
                    <a:prstGeom prst="rect">
                      <a:avLst/>
                    </a:prstGeom>
                    <a:noFill/>
                    <a:ln>
                      <a:noFill/>
                      <a:prstDash/>
                    </a:ln>
                  </pic:spPr>
                </pic:pic>
              </a:graphicData>
            </a:graphic>
          </wp:anchor>
        </w:drawing>
      </w:r>
      <w:r>
        <w:rPr>
          <w:noProof/>
        </w:rPr>
        <mc:AlternateContent>
          <mc:Choice Requires="wpg">
            <w:drawing>
              <wp:anchor distT="0" distB="0" distL="114300" distR="114300" simplePos="0" relativeHeight="251661312" behindDoc="0" locked="0" layoutInCell="1" allowOverlap="1" wp14:anchorId="66D65DB6" wp14:editId="5F37AF8D">
                <wp:simplePos x="0" y="0"/>
                <wp:positionH relativeFrom="page">
                  <wp:posOffset>4132482</wp:posOffset>
                </wp:positionH>
                <wp:positionV relativeFrom="page">
                  <wp:posOffset>0</wp:posOffset>
                </wp:positionV>
                <wp:extent cx="3517412" cy="10058400"/>
                <wp:effectExtent l="0" t="0" r="6985" b="0"/>
                <wp:wrapNone/>
                <wp:docPr id="453" name="Group 252"/>
                <wp:cNvGraphicFramePr/>
                <a:graphic xmlns:a="http://schemas.openxmlformats.org/drawingml/2006/main">
                  <a:graphicData uri="http://schemas.microsoft.com/office/word/2010/wordprocessingGroup">
                    <wpg:wgp>
                      <wpg:cNvGrpSpPr/>
                      <wpg:grpSpPr>
                        <a:xfrm>
                          <a:off x="0" y="0"/>
                          <a:ext cx="3517412" cy="10058400"/>
                          <a:chOff x="-140677" y="0"/>
                          <a:chExt cx="3254347"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6-01-01T00:00:00Z">
                                  <w:dateFormat w:val="yyyy"/>
                                  <w:lid w:val="en-US"/>
                                  <w:storeMappedDataAs w:val="dateTime"/>
                                  <w:calendar w:val="gregorian"/>
                                </w:date>
                              </w:sdtPr>
                              <w:sdtContent>
                                <w:p w14:paraId="661DB97E" w14:textId="7AD24C10" w:rsidR="006E3915" w:rsidRDefault="007C51A4">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140677" y="3861583"/>
                            <a:ext cx="3089515" cy="424140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eastAsiaTheme="minorHAnsi" w:hAnsi="Arial" w:cs="Arial"/>
                                  <w:b/>
                                  <w:bCs/>
                                  <w:kern w:val="2"/>
                                  <w:sz w:val="28"/>
                                  <w:szCs w:val="28"/>
                                  <w:lang w:val="en-GB"/>
                                  <w14:ligatures w14:val="standardContextual"/>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582F8BA" w14:textId="2AF7B19B" w:rsidR="006E3915" w:rsidRPr="007C51A4" w:rsidRDefault="007C51A4" w:rsidP="007C51A4">
                                  <w:pPr>
                                    <w:pStyle w:val="NoSpacing"/>
                                    <w:spacing w:line="360" w:lineRule="auto"/>
                                    <w:rPr>
                                      <w:color w:val="FFFFFF" w:themeColor="background1"/>
                                      <w:sz w:val="28"/>
                                      <w:szCs w:val="28"/>
                                    </w:rPr>
                                  </w:pPr>
                                  <w:r w:rsidRPr="007C51A4">
                                    <w:rPr>
                                      <w:rFonts w:ascii="Arial" w:eastAsiaTheme="minorHAnsi" w:hAnsi="Arial" w:cs="Arial"/>
                                      <w:b/>
                                      <w:bCs/>
                                      <w:kern w:val="2"/>
                                      <w:sz w:val="28"/>
                                      <w:szCs w:val="28"/>
                                      <w:lang w:val="en-GB"/>
                                      <w14:ligatures w14:val="standardContextual"/>
                                    </w:rPr>
                                    <w:t xml:space="preserve">Individual Report: Stakeholder Engagement Strategy for the       Launch of ConnectPlus at Primark     </w:t>
                                  </w:r>
                                  <w:r>
                                    <w:rPr>
                                      <w:rFonts w:ascii="Arial" w:eastAsiaTheme="minorHAnsi" w:hAnsi="Arial" w:cs="Arial"/>
                                      <w:b/>
                                      <w:bCs/>
                                      <w:kern w:val="2"/>
                                      <w:sz w:val="28"/>
                                      <w:szCs w:val="28"/>
                                      <w:lang w:val="en-GB"/>
                                      <w14:ligatures w14:val="standardContextual"/>
                                    </w:rPr>
                                    <w:t xml:space="preserve">                            </w:t>
                                  </w:r>
                                  <w:r w:rsidRPr="007C51A4">
                                    <w:rPr>
                                      <w:rFonts w:ascii="Arial" w:eastAsiaTheme="minorHAnsi" w:hAnsi="Arial" w:cs="Arial"/>
                                      <w:b/>
                                      <w:bCs/>
                                      <w:kern w:val="2"/>
                                      <w:sz w:val="28"/>
                                      <w:szCs w:val="28"/>
                                      <w:lang w:val="en-GB"/>
                                      <w14:ligatures w14:val="standardContextual"/>
                                    </w:rPr>
                                    <w:t xml:space="preserve">Name: Diane Scolari             Student Number: 2412035 Company: Primark             Lecturer’s name: Lakshani </w:t>
                                  </w:r>
                                  <w:proofErr w:type="spellStart"/>
                                  <w:r w:rsidRPr="007C51A4">
                                    <w:rPr>
                                      <w:rFonts w:ascii="Arial" w:eastAsiaTheme="minorHAnsi" w:hAnsi="Arial" w:cs="Arial"/>
                                      <w:b/>
                                      <w:bCs/>
                                      <w:kern w:val="2"/>
                                      <w:sz w:val="28"/>
                                      <w:szCs w:val="28"/>
                                      <w:lang w:val="en-GB"/>
                                      <w14:ligatures w14:val="standardContextual"/>
                                    </w:rPr>
                                    <w:t>Nissanga</w:t>
                                  </w:r>
                                  <w:proofErr w:type="spellEnd"/>
                                  <w:r w:rsidRPr="007C51A4">
                                    <w:rPr>
                                      <w:rFonts w:ascii="Arial" w:eastAsiaTheme="minorHAnsi" w:hAnsi="Arial" w:cs="Arial"/>
                                      <w:b/>
                                      <w:bCs/>
                                      <w:kern w:val="2"/>
                                      <w:sz w:val="28"/>
                                      <w:szCs w:val="28"/>
                                      <w:lang w:val="en-GB"/>
                                      <w14:ligatures w14:val="standardContextual"/>
                                    </w:rPr>
                                    <w:t xml:space="preserve"> Mendis                   Module name: Understanding and Engaging Stakeholders          Module code: LCLM5001</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1C8CD695" w14:textId="1D878AB0" w:rsidR="006E3915" w:rsidRDefault="007C51A4">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fullDate="2026-01-01T00:00:00Z">
                                  <w:dateFormat w:val="M/d/yyyy"/>
                                  <w:lid w:val="en-US"/>
                                  <w:storeMappedDataAs w:val="dateTime"/>
                                  <w:calendar w:val="gregorian"/>
                                </w:date>
                              </w:sdtPr>
                              <w:sdtContent>
                                <w:p w14:paraId="6210D1E4" w14:textId="728E7CF4" w:rsidR="006E3915" w:rsidRDefault="007C51A4">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D65DB6" id="Group 252" o:spid="_x0000_s1026" style="position:absolute;margin-left:325.4pt;margin-top:0;width:276.95pt;height:11in;z-index:251661312;mso-position-horizontal-relative:page;mso-position-vertical-relative:page" coordorigin="-1406" coordsize="32543,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6-01-01T00:00:00Z">
                            <w:dateFormat w:val="yyyy"/>
                            <w:lid w:val="en-US"/>
                            <w:storeMappedDataAs w:val="dateTime"/>
                            <w:calendar w:val="gregorian"/>
                          </w:date>
                        </w:sdtPr>
                        <w:sdtContent>
                          <w:p w14:paraId="661DB97E" w14:textId="7AD24C10" w:rsidR="006E3915" w:rsidRDefault="007C51A4">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1406;top:38615;width:30894;height:424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eastAsiaTheme="minorHAnsi" w:hAnsi="Arial" w:cs="Arial"/>
                            <w:b/>
                            <w:bCs/>
                            <w:kern w:val="2"/>
                            <w:sz w:val="28"/>
                            <w:szCs w:val="28"/>
                            <w:lang w:val="en-GB"/>
                            <w14:ligatures w14:val="standardContextual"/>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582F8BA" w14:textId="2AF7B19B" w:rsidR="006E3915" w:rsidRPr="007C51A4" w:rsidRDefault="007C51A4" w:rsidP="007C51A4">
                            <w:pPr>
                              <w:pStyle w:val="NoSpacing"/>
                              <w:spacing w:line="360" w:lineRule="auto"/>
                              <w:rPr>
                                <w:color w:val="FFFFFF" w:themeColor="background1"/>
                                <w:sz w:val="28"/>
                                <w:szCs w:val="28"/>
                              </w:rPr>
                            </w:pPr>
                            <w:r w:rsidRPr="007C51A4">
                              <w:rPr>
                                <w:rFonts w:ascii="Arial" w:eastAsiaTheme="minorHAnsi" w:hAnsi="Arial" w:cs="Arial"/>
                                <w:b/>
                                <w:bCs/>
                                <w:kern w:val="2"/>
                                <w:sz w:val="28"/>
                                <w:szCs w:val="28"/>
                                <w:lang w:val="en-GB"/>
                                <w14:ligatures w14:val="standardContextual"/>
                              </w:rPr>
                              <w:t xml:space="preserve">Individual Report: Stakeholder Engagement Strategy for the       Launch of ConnectPlus at Primark     </w:t>
                            </w:r>
                            <w:r>
                              <w:rPr>
                                <w:rFonts w:ascii="Arial" w:eastAsiaTheme="minorHAnsi" w:hAnsi="Arial" w:cs="Arial"/>
                                <w:b/>
                                <w:bCs/>
                                <w:kern w:val="2"/>
                                <w:sz w:val="28"/>
                                <w:szCs w:val="28"/>
                                <w:lang w:val="en-GB"/>
                                <w14:ligatures w14:val="standardContextual"/>
                              </w:rPr>
                              <w:t xml:space="preserve">                            </w:t>
                            </w:r>
                            <w:r w:rsidRPr="007C51A4">
                              <w:rPr>
                                <w:rFonts w:ascii="Arial" w:eastAsiaTheme="minorHAnsi" w:hAnsi="Arial" w:cs="Arial"/>
                                <w:b/>
                                <w:bCs/>
                                <w:kern w:val="2"/>
                                <w:sz w:val="28"/>
                                <w:szCs w:val="28"/>
                                <w:lang w:val="en-GB"/>
                                <w14:ligatures w14:val="standardContextual"/>
                              </w:rPr>
                              <w:t xml:space="preserve">Name: Diane Scolari             Student Number: 2412035 Company: Primark             Lecturer’s name: Lakshani </w:t>
                            </w:r>
                            <w:proofErr w:type="spellStart"/>
                            <w:r w:rsidRPr="007C51A4">
                              <w:rPr>
                                <w:rFonts w:ascii="Arial" w:eastAsiaTheme="minorHAnsi" w:hAnsi="Arial" w:cs="Arial"/>
                                <w:b/>
                                <w:bCs/>
                                <w:kern w:val="2"/>
                                <w:sz w:val="28"/>
                                <w:szCs w:val="28"/>
                                <w:lang w:val="en-GB"/>
                                <w14:ligatures w14:val="standardContextual"/>
                              </w:rPr>
                              <w:t>Nissanga</w:t>
                            </w:r>
                            <w:proofErr w:type="spellEnd"/>
                            <w:r w:rsidRPr="007C51A4">
                              <w:rPr>
                                <w:rFonts w:ascii="Arial" w:eastAsiaTheme="minorHAnsi" w:hAnsi="Arial" w:cs="Arial"/>
                                <w:b/>
                                <w:bCs/>
                                <w:kern w:val="2"/>
                                <w:sz w:val="28"/>
                                <w:szCs w:val="28"/>
                                <w:lang w:val="en-GB"/>
                                <w14:ligatures w14:val="standardContextual"/>
                              </w:rPr>
                              <w:t xml:space="preserve"> Mendis                   Module name: Understanding and Engaging Stakeholders          Module code: LCLM5001</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1C8CD695" w14:textId="1D878AB0" w:rsidR="006E3915" w:rsidRDefault="007C51A4">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fullDate="2026-01-01T00:00:00Z">
                            <w:dateFormat w:val="M/d/yyyy"/>
                            <w:lid w:val="en-US"/>
                            <w:storeMappedDataAs w:val="dateTime"/>
                            <w:calendar w:val="gregorian"/>
                          </w:date>
                        </w:sdtPr>
                        <w:sdtContent>
                          <w:p w14:paraId="6210D1E4" w14:textId="728E7CF4" w:rsidR="006E3915" w:rsidRDefault="007C51A4">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sdt>
      <w:sdtPr>
        <w:id w:val="-1476903542"/>
        <w:docPartObj>
          <w:docPartGallery w:val="Cover Pages"/>
          <w:docPartUnique/>
        </w:docPartObj>
      </w:sdtPr>
      <w:sdtContent>
        <w:p w14:paraId="3770F7C2" w14:textId="77503780" w:rsidR="006E3915" w:rsidRDefault="006E3915">
          <w:r>
            <w:rPr>
              <w:noProof/>
            </w:rPr>
            <mc:AlternateContent>
              <mc:Choice Requires="wps">
                <w:drawing>
                  <wp:anchor distT="0" distB="0" distL="114300" distR="114300" simplePos="0" relativeHeight="251663360" behindDoc="0" locked="0" layoutInCell="0" allowOverlap="1" wp14:anchorId="54B809BF" wp14:editId="335AD75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A3F8A4" w14:textId="7FFC8E41" w:rsidR="006E3915" w:rsidRDefault="006E3915">
                                    <w:pPr>
                                      <w:pStyle w:val="NoSpacing"/>
                                      <w:jc w:val="right"/>
                                      <w:rPr>
                                        <w:color w:val="FFFFFF" w:themeColor="background1"/>
                                        <w:sz w:val="72"/>
                                        <w:szCs w:val="72"/>
                                      </w:rPr>
                                    </w:pPr>
                                    <w:r>
                                      <w:rPr>
                                        <w:color w:val="FFFFFF" w:themeColor="background1"/>
                                        <w:sz w:val="72"/>
                                        <w:szCs w:val="72"/>
                                      </w:rPr>
                                      <w:t>Individual Report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4B809BF" id="Rectangle 16" o:spid="_x0000_s1031" style="position:absolute;margin-left:0;margin-top:0;width:548.85pt;height:50.4pt;z-index:251663360;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A3F8A4" w14:textId="7FFC8E41" w:rsidR="006E3915" w:rsidRDefault="006E3915">
                              <w:pPr>
                                <w:pStyle w:val="NoSpacing"/>
                                <w:jc w:val="right"/>
                                <w:rPr>
                                  <w:color w:val="FFFFFF" w:themeColor="background1"/>
                                  <w:sz w:val="72"/>
                                  <w:szCs w:val="72"/>
                                </w:rPr>
                              </w:pPr>
                              <w:r>
                                <w:rPr>
                                  <w:color w:val="FFFFFF" w:themeColor="background1"/>
                                  <w:sz w:val="72"/>
                                  <w:szCs w:val="72"/>
                                </w:rPr>
                                <w:t>Individual Report</w:t>
                              </w:r>
                            </w:p>
                          </w:sdtContent>
                        </w:sdt>
                      </w:txbxContent>
                    </v:textbox>
                    <w10:wrap anchorx="page" anchory="page"/>
                  </v:rect>
                </w:pict>
              </mc:Fallback>
            </mc:AlternateContent>
          </w:r>
        </w:p>
        <w:p w14:paraId="43BFB0CD" w14:textId="3CB5A920" w:rsidR="006E3915" w:rsidRDefault="005404D4">
          <w:r>
            <w:rPr>
              <w:noProof/>
            </w:rPr>
            <w:drawing>
              <wp:anchor distT="0" distB="0" distL="114300" distR="114300" simplePos="0" relativeHeight="251664384" behindDoc="0" locked="0" layoutInCell="1" allowOverlap="1" wp14:anchorId="11652A2C" wp14:editId="36450B7E">
                <wp:simplePos x="0" y="0"/>
                <wp:positionH relativeFrom="column">
                  <wp:posOffset>-651706</wp:posOffset>
                </wp:positionH>
                <wp:positionV relativeFrom="paragraph">
                  <wp:posOffset>2651271</wp:posOffset>
                </wp:positionV>
                <wp:extent cx="3872230" cy="2581275"/>
                <wp:effectExtent l="0" t="0" r="0" b="9525"/>
                <wp:wrapSquare wrapText="bothSides"/>
                <wp:docPr id="18191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7056" name="Picture 181917056"/>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72230" cy="2581275"/>
                        </a:xfrm>
                        <a:prstGeom prst="rect">
                          <a:avLst/>
                        </a:prstGeom>
                      </pic:spPr>
                    </pic:pic>
                  </a:graphicData>
                </a:graphic>
                <wp14:sizeRelH relativeFrom="margin">
                  <wp14:pctWidth>0</wp14:pctWidth>
                </wp14:sizeRelH>
                <wp14:sizeRelV relativeFrom="margin">
                  <wp14:pctHeight>0</wp14:pctHeight>
                </wp14:sizeRelV>
              </wp:anchor>
            </w:drawing>
          </w:r>
          <w:r w:rsidR="006E3915">
            <w:br w:type="page"/>
          </w:r>
        </w:p>
      </w:sdtContent>
    </w:sdt>
    <w:p w14:paraId="68B0A8CF" w14:textId="6CEB1A3B" w:rsidR="0097286A" w:rsidRPr="002B7EEB" w:rsidRDefault="0097286A" w:rsidP="0068653A">
      <w:pPr>
        <w:tabs>
          <w:tab w:val="left" w:pos="6646"/>
        </w:tabs>
        <w:ind w:left="-567"/>
        <w:rPr>
          <w:b/>
          <w:bCs/>
        </w:rPr>
      </w:pPr>
      <w:r w:rsidRPr="002B7EEB">
        <w:rPr>
          <w:b/>
          <w:bCs/>
        </w:rPr>
        <w:lastRenderedPageBreak/>
        <w:tab/>
      </w:r>
    </w:p>
    <w:p w14:paraId="18B5B085" w14:textId="04727307" w:rsidR="00B72C07" w:rsidRPr="002B7EEB" w:rsidRDefault="00B72C07" w:rsidP="00A809B1">
      <w:pPr>
        <w:tabs>
          <w:tab w:val="left" w:pos="6646"/>
        </w:tabs>
        <w:ind w:left="-426" w:right="-472"/>
        <w:rPr>
          <w:rFonts w:ascii="Arial" w:hAnsi="Arial" w:cs="Arial"/>
          <w:b/>
          <w:bCs/>
          <w:sz w:val="36"/>
          <w:szCs w:val="36"/>
        </w:rPr>
      </w:pPr>
      <w:r w:rsidRPr="002B7EEB">
        <w:rPr>
          <w:rFonts w:ascii="Arial" w:hAnsi="Arial" w:cs="Arial"/>
          <w:b/>
          <w:bCs/>
          <w:sz w:val="36"/>
          <w:szCs w:val="36"/>
        </w:rPr>
        <w:t xml:space="preserve">Table of </w:t>
      </w:r>
      <w:r w:rsidR="007C51A4" w:rsidRPr="002B7EEB">
        <w:rPr>
          <w:rFonts w:ascii="Arial" w:hAnsi="Arial" w:cs="Arial"/>
          <w:b/>
          <w:bCs/>
          <w:sz w:val="36"/>
          <w:szCs w:val="36"/>
        </w:rPr>
        <w:t>Contents</w:t>
      </w:r>
    </w:p>
    <w:p w14:paraId="5FCE9B4C" w14:textId="73982C7D" w:rsidR="00247E2F" w:rsidRPr="00DD38F5" w:rsidRDefault="000A209F" w:rsidP="00A809B1">
      <w:pPr>
        <w:tabs>
          <w:tab w:val="left" w:pos="6646"/>
        </w:tabs>
        <w:ind w:left="-426" w:right="-472"/>
        <w:rPr>
          <w:rFonts w:ascii="Arial" w:hAnsi="Arial" w:cs="Arial"/>
          <w:b/>
          <w:bCs/>
          <w:sz w:val="22"/>
          <w:szCs w:val="22"/>
        </w:rPr>
      </w:pPr>
      <w:r w:rsidRPr="00DD38F5">
        <w:rPr>
          <w:rFonts w:ascii="Arial" w:hAnsi="Arial" w:cs="Arial"/>
          <w:b/>
          <w:bCs/>
          <w:sz w:val="22"/>
          <w:szCs w:val="22"/>
        </w:rPr>
        <w:t xml:space="preserve"> </w:t>
      </w:r>
      <w:r w:rsidR="00247E2F" w:rsidRPr="00DD38F5">
        <w:rPr>
          <w:rFonts w:ascii="Arial" w:hAnsi="Arial" w:cs="Arial"/>
          <w:b/>
          <w:bCs/>
          <w:sz w:val="22"/>
          <w:szCs w:val="22"/>
        </w:rPr>
        <w:t>1. Introduction</w:t>
      </w:r>
      <w:r w:rsidR="0009436B" w:rsidRPr="00DD38F5">
        <w:rPr>
          <w:rFonts w:ascii="Arial" w:hAnsi="Arial" w:cs="Arial"/>
          <w:b/>
          <w:bCs/>
          <w:sz w:val="22"/>
          <w:szCs w:val="22"/>
        </w:rPr>
        <w:t xml:space="preserve">                                                                                                                 </w:t>
      </w:r>
      <w:r w:rsidR="0048132B">
        <w:rPr>
          <w:rFonts w:ascii="Arial" w:hAnsi="Arial" w:cs="Arial"/>
          <w:b/>
          <w:bCs/>
          <w:sz w:val="22"/>
          <w:szCs w:val="22"/>
        </w:rPr>
        <w:t xml:space="preserve">           </w:t>
      </w:r>
      <w:r w:rsidR="0009436B" w:rsidRPr="00DD38F5">
        <w:rPr>
          <w:rFonts w:ascii="Arial" w:hAnsi="Arial" w:cs="Arial"/>
          <w:b/>
          <w:bCs/>
          <w:sz w:val="22"/>
          <w:szCs w:val="22"/>
        </w:rPr>
        <w:t>2</w:t>
      </w:r>
    </w:p>
    <w:p w14:paraId="1428A4BB" w14:textId="13638636"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1.1 Company Background</w:t>
      </w:r>
      <w:r w:rsidR="006E3C54" w:rsidRPr="00DD38F5">
        <w:rPr>
          <w:rFonts w:ascii="Arial" w:hAnsi="Arial" w:cs="Arial"/>
          <w:b/>
          <w:bCs/>
          <w:sz w:val="22"/>
          <w:szCs w:val="22"/>
        </w:rPr>
        <w:t xml:space="preserve">                                                                                                  </w:t>
      </w:r>
      <w:r w:rsidR="0048132B">
        <w:rPr>
          <w:rFonts w:ascii="Arial" w:hAnsi="Arial" w:cs="Arial"/>
          <w:b/>
          <w:bCs/>
          <w:sz w:val="22"/>
          <w:szCs w:val="22"/>
        </w:rPr>
        <w:t xml:space="preserve">        </w:t>
      </w:r>
      <w:r w:rsidR="0009436B" w:rsidRPr="00DD38F5">
        <w:rPr>
          <w:rFonts w:ascii="Arial" w:hAnsi="Arial" w:cs="Arial"/>
          <w:b/>
          <w:bCs/>
          <w:sz w:val="22"/>
          <w:szCs w:val="22"/>
        </w:rPr>
        <w:t>2</w:t>
      </w:r>
    </w:p>
    <w:p w14:paraId="7644568C" w14:textId="3B8EA51B"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1.2 The ConnectPlus Project</w:t>
      </w:r>
      <w:r w:rsidR="006E3C54" w:rsidRPr="00DD38F5">
        <w:rPr>
          <w:rFonts w:ascii="Arial" w:hAnsi="Arial" w:cs="Arial"/>
          <w:b/>
          <w:bCs/>
          <w:sz w:val="22"/>
          <w:szCs w:val="22"/>
        </w:rPr>
        <w:t xml:space="preserve">                                                                                              </w:t>
      </w:r>
      <w:r w:rsidR="00143AF7">
        <w:rPr>
          <w:rFonts w:ascii="Arial" w:hAnsi="Arial" w:cs="Arial"/>
          <w:b/>
          <w:bCs/>
          <w:sz w:val="22"/>
          <w:szCs w:val="22"/>
        </w:rPr>
        <w:t xml:space="preserve">        </w:t>
      </w:r>
      <w:r w:rsidR="00061EF0" w:rsidRPr="00DD38F5">
        <w:rPr>
          <w:rFonts w:ascii="Arial" w:hAnsi="Arial" w:cs="Arial"/>
          <w:b/>
          <w:bCs/>
          <w:sz w:val="22"/>
          <w:szCs w:val="22"/>
        </w:rPr>
        <w:t>2</w:t>
      </w:r>
    </w:p>
    <w:p w14:paraId="36B9370A" w14:textId="5845D394"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2. SMART Objectives</w:t>
      </w:r>
      <w:r w:rsidR="00385DDD" w:rsidRPr="00DD38F5">
        <w:rPr>
          <w:rFonts w:ascii="Arial" w:hAnsi="Arial" w:cs="Arial"/>
          <w:b/>
          <w:bCs/>
          <w:sz w:val="22"/>
          <w:szCs w:val="22"/>
        </w:rPr>
        <w:t xml:space="preserve">                                                  </w:t>
      </w:r>
      <w:r w:rsidR="006E3C54" w:rsidRPr="00DD38F5">
        <w:rPr>
          <w:rFonts w:ascii="Arial" w:hAnsi="Arial" w:cs="Arial"/>
          <w:b/>
          <w:bCs/>
          <w:sz w:val="22"/>
          <w:szCs w:val="22"/>
        </w:rPr>
        <w:t xml:space="preserve">    </w:t>
      </w:r>
      <w:r w:rsidR="00385DDD" w:rsidRPr="00DD38F5">
        <w:rPr>
          <w:rFonts w:ascii="Arial" w:hAnsi="Arial" w:cs="Arial"/>
          <w:b/>
          <w:bCs/>
          <w:sz w:val="22"/>
          <w:szCs w:val="22"/>
        </w:rPr>
        <w:t xml:space="preserve">                                                  </w:t>
      </w:r>
      <w:r w:rsidR="00143AF7">
        <w:rPr>
          <w:rFonts w:ascii="Arial" w:hAnsi="Arial" w:cs="Arial"/>
          <w:b/>
          <w:bCs/>
          <w:sz w:val="22"/>
          <w:szCs w:val="22"/>
        </w:rPr>
        <w:t xml:space="preserve">           </w:t>
      </w:r>
      <w:r w:rsidR="00385DDD" w:rsidRPr="00DD38F5">
        <w:rPr>
          <w:rFonts w:ascii="Arial" w:hAnsi="Arial" w:cs="Arial"/>
          <w:b/>
          <w:bCs/>
          <w:sz w:val="22"/>
          <w:szCs w:val="22"/>
        </w:rPr>
        <w:t>3</w:t>
      </w:r>
    </w:p>
    <w:p w14:paraId="7A814FF9" w14:textId="20FA2648"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3. Identification and Categorisation of Stakeholders</w:t>
      </w:r>
      <w:r w:rsidR="004A6C00" w:rsidRPr="00DD38F5">
        <w:rPr>
          <w:rFonts w:ascii="Arial" w:hAnsi="Arial" w:cs="Arial"/>
          <w:b/>
          <w:bCs/>
          <w:sz w:val="22"/>
          <w:szCs w:val="22"/>
        </w:rPr>
        <w:t xml:space="preserve">                                                    </w:t>
      </w:r>
      <w:r w:rsidR="00143AF7">
        <w:rPr>
          <w:rFonts w:ascii="Arial" w:hAnsi="Arial" w:cs="Arial"/>
          <w:b/>
          <w:bCs/>
          <w:sz w:val="22"/>
          <w:szCs w:val="22"/>
        </w:rPr>
        <w:t xml:space="preserve">           </w:t>
      </w:r>
      <w:r w:rsidR="00FC01F6" w:rsidRPr="00DD38F5">
        <w:rPr>
          <w:rFonts w:ascii="Arial" w:hAnsi="Arial" w:cs="Arial"/>
          <w:b/>
          <w:bCs/>
          <w:sz w:val="22"/>
          <w:szCs w:val="22"/>
        </w:rPr>
        <w:t>3</w:t>
      </w:r>
    </w:p>
    <w:p w14:paraId="4DE5FF63" w14:textId="3CDADEB3"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3.1 Internal Stakeholders</w:t>
      </w:r>
      <w:r w:rsidR="00E83478" w:rsidRPr="00DD38F5">
        <w:rPr>
          <w:rFonts w:ascii="Arial" w:hAnsi="Arial" w:cs="Arial"/>
          <w:b/>
          <w:bCs/>
          <w:sz w:val="22"/>
          <w:szCs w:val="22"/>
        </w:rPr>
        <w:t xml:space="preserve">                                                                                                </w:t>
      </w:r>
      <w:r w:rsidR="004A3983" w:rsidRPr="00DD38F5">
        <w:rPr>
          <w:rFonts w:ascii="Arial" w:hAnsi="Arial" w:cs="Arial"/>
          <w:b/>
          <w:bCs/>
          <w:sz w:val="22"/>
          <w:szCs w:val="22"/>
        </w:rPr>
        <w:t xml:space="preserve">    </w:t>
      </w:r>
      <w:r w:rsidR="00143AF7">
        <w:rPr>
          <w:rFonts w:ascii="Arial" w:hAnsi="Arial" w:cs="Arial"/>
          <w:b/>
          <w:bCs/>
          <w:sz w:val="22"/>
          <w:szCs w:val="22"/>
        </w:rPr>
        <w:t xml:space="preserve">        </w:t>
      </w:r>
      <w:r w:rsidR="005D46B4" w:rsidRPr="00DD38F5">
        <w:rPr>
          <w:rFonts w:ascii="Arial" w:hAnsi="Arial" w:cs="Arial"/>
          <w:b/>
          <w:bCs/>
          <w:sz w:val="22"/>
          <w:szCs w:val="22"/>
        </w:rPr>
        <w:t>4</w:t>
      </w:r>
    </w:p>
    <w:p w14:paraId="1FB9C70E" w14:textId="7AA6836E" w:rsidR="00410345" w:rsidRPr="000856F6" w:rsidRDefault="001C528B" w:rsidP="000856F6">
      <w:pPr>
        <w:pStyle w:val="ListParagraph"/>
        <w:numPr>
          <w:ilvl w:val="0"/>
          <w:numId w:val="6"/>
        </w:numPr>
        <w:tabs>
          <w:tab w:val="left" w:pos="6646"/>
        </w:tabs>
        <w:ind w:right="-472"/>
        <w:rPr>
          <w:rFonts w:ascii="Arial" w:hAnsi="Arial" w:cs="Arial"/>
          <w:b/>
          <w:bCs/>
          <w:sz w:val="22"/>
          <w:szCs w:val="22"/>
        </w:rPr>
      </w:pPr>
      <w:r w:rsidRPr="000856F6">
        <w:rPr>
          <w:rFonts w:ascii="Arial" w:hAnsi="Arial" w:cs="Arial"/>
          <w:b/>
          <w:bCs/>
          <w:sz w:val="22"/>
          <w:szCs w:val="22"/>
        </w:rPr>
        <w:t>Internal Stakeholders SWOT</w:t>
      </w:r>
      <w:r w:rsidR="00836270" w:rsidRPr="000856F6">
        <w:rPr>
          <w:rFonts w:ascii="Arial" w:hAnsi="Arial" w:cs="Arial"/>
          <w:b/>
          <w:bCs/>
          <w:sz w:val="22"/>
          <w:szCs w:val="22"/>
        </w:rPr>
        <w:t xml:space="preserve">                                                                                         </w:t>
      </w:r>
      <w:r w:rsidR="004C3634" w:rsidRPr="000856F6">
        <w:rPr>
          <w:rFonts w:ascii="Arial" w:hAnsi="Arial" w:cs="Arial"/>
          <w:b/>
          <w:bCs/>
          <w:sz w:val="22"/>
          <w:szCs w:val="22"/>
        </w:rPr>
        <w:t xml:space="preserve">  </w:t>
      </w:r>
      <w:r w:rsidR="000A43C1" w:rsidRPr="000856F6">
        <w:rPr>
          <w:rFonts w:ascii="Arial" w:hAnsi="Arial" w:cs="Arial"/>
          <w:b/>
          <w:bCs/>
          <w:sz w:val="22"/>
          <w:szCs w:val="22"/>
        </w:rPr>
        <w:t>5</w:t>
      </w:r>
    </w:p>
    <w:p w14:paraId="0B836397" w14:textId="519656B5"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3.2 External Stakeholders</w:t>
      </w:r>
      <w:r w:rsidR="00E94A80" w:rsidRPr="00DD38F5">
        <w:rPr>
          <w:rFonts w:ascii="Arial" w:hAnsi="Arial" w:cs="Arial"/>
          <w:b/>
          <w:bCs/>
          <w:sz w:val="22"/>
          <w:szCs w:val="22"/>
        </w:rPr>
        <w:t xml:space="preserve">                                                                                                </w:t>
      </w:r>
      <w:r w:rsidR="00E83478" w:rsidRPr="00DD38F5">
        <w:rPr>
          <w:rFonts w:ascii="Arial" w:hAnsi="Arial" w:cs="Arial"/>
          <w:b/>
          <w:bCs/>
          <w:sz w:val="22"/>
          <w:szCs w:val="22"/>
        </w:rPr>
        <w:t xml:space="preserve"> </w:t>
      </w:r>
      <w:r w:rsidR="00B64EA1" w:rsidRPr="00DD38F5">
        <w:rPr>
          <w:rFonts w:ascii="Arial" w:hAnsi="Arial" w:cs="Arial"/>
          <w:b/>
          <w:bCs/>
          <w:sz w:val="22"/>
          <w:szCs w:val="22"/>
        </w:rPr>
        <w:t xml:space="preserve"> </w:t>
      </w:r>
      <w:r w:rsidR="00293A7B" w:rsidRPr="00DD38F5">
        <w:rPr>
          <w:rFonts w:ascii="Arial" w:hAnsi="Arial" w:cs="Arial"/>
          <w:b/>
          <w:bCs/>
          <w:sz w:val="22"/>
          <w:szCs w:val="22"/>
        </w:rPr>
        <w:t xml:space="preserve">  </w:t>
      </w:r>
      <w:r w:rsidR="004C3634">
        <w:rPr>
          <w:rFonts w:ascii="Arial" w:hAnsi="Arial" w:cs="Arial"/>
          <w:b/>
          <w:bCs/>
          <w:sz w:val="22"/>
          <w:szCs w:val="22"/>
        </w:rPr>
        <w:t xml:space="preserve">       </w:t>
      </w:r>
      <w:r w:rsidR="0069267E" w:rsidRPr="00DD38F5">
        <w:rPr>
          <w:rFonts w:ascii="Arial" w:hAnsi="Arial" w:cs="Arial"/>
          <w:b/>
          <w:bCs/>
          <w:sz w:val="22"/>
          <w:szCs w:val="22"/>
        </w:rPr>
        <w:t>6</w:t>
      </w:r>
    </w:p>
    <w:p w14:paraId="27E4E5EA" w14:textId="716E6F53" w:rsidR="0091638E" w:rsidRPr="00364006" w:rsidRDefault="00FF41E9" w:rsidP="00364006">
      <w:pPr>
        <w:pStyle w:val="ListParagraph"/>
        <w:numPr>
          <w:ilvl w:val="0"/>
          <w:numId w:val="6"/>
        </w:numPr>
        <w:tabs>
          <w:tab w:val="left" w:pos="6646"/>
        </w:tabs>
        <w:ind w:right="-472"/>
        <w:rPr>
          <w:rFonts w:ascii="Arial" w:hAnsi="Arial" w:cs="Arial"/>
          <w:b/>
          <w:bCs/>
          <w:sz w:val="22"/>
          <w:szCs w:val="22"/>
        </w:rPr>
      </w:pPr>
      <w:r w:rsidRPr="00364006">
        <w:rPr>
          <w:rFonts w:ascii="Arial" w:hAnsi="Arial" w:cs="Arial"/>
          <w:b/>
          <w:bCs/>
          <w:sz w:val="22"/>
          <w:szCs w:val="22"/>
        </w:rPr>
        <w:t>External Stakeholders SWOT</w:t>
      </w:r>
      <w:r w:rsidR="00DF3EEC" w:rsidRPr="00364006">
        <w:rPr>
          <w:rFonts w:ascii="Arial" w:hAnsi="Arial" w:cs="Arial"/>
          <w:b/>
          <w:bCs/>
          <w:sz w:val="22"/>
          <w:szCs w:val="22"/>
        </w:rPr>
        <w:t xml:space="preserve">                                                                                        </w:t>
      </w:r>
      <w:r w:rsidR="004C3634" w:rsidRPr="00364006">
        <w:rPr>
          <w:rFonts w:ascii="Arial" w:hAnsi="Arial" w:cs="Arial"/>
          <w:b/>
          <w:bCs/>
          <w:sz w:val="22"/>
          <w:szCs w:val="22"/>
        </w:rPr>
        <w:t xml:space="preserve"> </w:t>
      </w:r>
      <w:r w:rsidR="00DF3EEC" w:rsidRPr="00364006">
        <w:rPr>
          <w:rFonts w:ascii="Arial" w:hAnsi="Arial" w:cs="Arial"/>
          <w:b/>
          <w:bCs/>
          <w:sz w:val="22"/>
          <w:szCs w:val="22"/>
        </w:rPr>
        <w:t>7</w:t>
      </w:r>
    </w:p>
    <w:p w14:paraId="0F14792E" w14:textId="3A93C680" w:rsidR="0037265C" w:rsidRPr="00DD38F5" w:rsidRDefault="00247E2F" w:rsidP="00A809B1">
      <w:pPr>
        <w:tabs>
          <w:tab w:val="left" w:pos="6646"/>
        </w:tabs>
        <w:spacing w:line="360" w:lineRule="auto"/>
        <w:ind w:left="-426" w:right="-472"/>
        <w:rPr>
          <w:rFonts w:ascii="Arial" w:hAnsi="Arial" w:cs="Arial"/>
          <w:b/>
          <w:bCs/>
          <w:sz w:val="22"/>
          <w:szCs w:val="22"/>
        </w:rPr>
      </w:pPr>
      <w:r w:rsidRPr="00DD38F5">
        <w:rPr>
          <w:rFonts w:ascii="Arial" w:hAnsi="Arial" w:cs="Arial"/>
          <w:b/>
          <w:bCs/>
          <w:sz w:val="22"/>
          <w:szCs w:val="22"/>
        </w:rPr>
        <w:t xml:space="preserve">3.3 </w:t>
      </w:r>
      <w:r w:rsidR="0037265C" w:rsidRPr="00DD38F5">
        <w:rPr>
          <w:rFonts w:ascii="Arial" w:hAnsi="Arial" w:cs="Arial"/>
          <w:b/>
          <w:bCs/>
          <w:sz w:val="22"/>
          <w:szCs w:val="22"/>
        </w:rPr>
        <w:t>SWOT Analysis – ConnectPlus Stakeholder Environment</w:t>
      </w:r>
      <w:r w:rsidR="00F90D86" w:rsidRPr="00DD38F5">
        <w:rPr>
          <w:rFonts w:ascii="Arial" w:hAnsi="Arial" w:cs="Arial"/>
          <w:b/>
          <w:bCs/>
          <w:sz w:val="22"/>
          <w:szCs w:val="22"/>
        </w:rPr>
        <w:t xml:space="preserve"> </w:t>
      </w:r>
      <w:r w:rsidR="0037265C" w:rsidRPr="00DD38F5">
        <w:rPr>
          <w:rFonts w:ascii="Arial" w:hAnsi="Arial" w:cs="Arial"/>
          <w:b/>
          <w:bCs/>
          <w:sz w:val="22"/>
          <w:szCs w:val="22"/>
        </w:rPr>
        <w:t>Primark</w:t>
      </w:r>
      <w:r w:rsidR="00D1761D">
        <w:rPr>
          <w:rFonts w:ascii="Arial" w:hAnsi="Arial" w:cs="Arial"/>
          <w:b/>
          <w:bCs/>
          <w:sz w:val="22"/>
          <w:szCs w:val="22"/>
        </w:rPr>
        <w:t xml:space="preserve"> </w:t>
      </w:r>
      <w:r w:rsidR="001A7FA4">
        <w:rPr>
          <w:rFonts w:ascii="Arial" w:hAnsi="Arial" w:cs="Arial"/>
          <w:b/>
          <w:bCs/>
          <w:sz w:val="22"/>
          <w:szCs w:val="22"/>
        </w:rPr>
        <w:t xml:space="preserve">                   </w:t>
      </w:r>
      <w:r w:rsidR="004C0A25" w:rsidRPr="00DD38F5">
        <w:rPr>
          <w:rFonts w:ascii="Arial" w:hAnsi="Arial" w:cs="Arial"/>
          <w:b/>
          <w:bCs/>
          <w:sz w:val="22"/>
          <w:szCs w:val="22"/>
        </w:rPr>
        <w:t xml:space="preserve">    </w:t>
      </w:r>
      <w:r w:rsidR="004C3634">
        <w:rPr>
          <w:rFonts w:ascii="Arial" w:hAnsi="Arial" w:cs="Arial"/>
          <w:b/>
          <w:bCs/>
          <w:sz w:val="22"/>
          <w:szCs w:val="22"/>
        </w:rPr>
        <w:t xml:space="preserve">         </w:t>
      </w:r>
      <w:r w:rsidR="004C0A25" w:rsidRPr="00DD38F5">
        <w:rPr>
          <w:rFonts w:ascii="Arial" w:hAnsi="Arial" w:cs="Arial"/>
          <w:b/>
          <w:bCs/>
          <w:sz w:val="22"/>
          <w:szCs w:val="22"/>
        </w:rPr>
        <w:t>8</w:t>
      </w:r>
    </w:p>
    <w:p w14:paraId="436CF0A0" w14:textId="3072CCE3" w:rsidR="00036733" w:rsidRPr="00937668" w:rsidRDefault="00247E2F" w:rsidP="00937668">
      <w:pPr>
        <w:pStyle w:val="ListParagraph"/>
        <w:numPr>
          <w:ilvl w:val="0"/>
          <w:numId w:val="6"/>
        </w:numPr>
        <w:tabs>
          <w:tab w:val="left" w:pos="6646"/>
        </w:tabs>
        <w:ind w:right="-472"/>
        <w:rPr>
          <w:rFonts w:ascii="Arial" w:hAnsi="Arial" w:cs="Arial"/>
          <w:b/>
          <w:bCs/>
          <w:sz w:val="22"/>
          <w:szCs w:val="22"/>
        </w:rPr>
      </w:pPr>
      <w:r w:rsidRPr="00937668">
        <w:rPr>
          <w:rFonts w:ascii="Arial" w:hAnsi="Arial" w:cs="Arial"/>
          <w:b/>
          <w:bCs/>
          <w:sz w:val="22"/>
          <w:szCs w:val="22"/>
        </w:rPr>
        <w:t>Summary</w:t>
      </w:r>
      <w:r w:rsidR="005439C3">
        <w:rPr>
          <w:rFonts w:ascii="Arial" w:hAnsi="Arial" w:cs="Arial"/>
          <w:b/>
          <w:bCs/>
          <w:sz w:val="22"/>
          <w:szCs w:val="22"/>
        </w:rPr>
        <w:t xml:space="preserve">                                                                                                                          8</w:t>
      </w:r>
    </w:p>
    <w:p w14:paraId="3C467088" w14:textId="712B36A9" w:rsidR="00210D13" w:rsidRPr="00DD38F5" w:rsidRDefault="00D27B71" w:rsidP="00937668">
      <w:pPr>
        <w:pStyle w:val="ListParagraph"/>
        <w:numPr>
          <w:ilvl w:val="0"/>
          <w:numId w:val="6"/>
        </w:numPr>
        <w:tabs>
          <w:tab w:val="left" w:pos="6646"/>
        </w:tabs>
        <w:spacing w:line="360" w:lineRule="auto"/>
        <w:ind w:right="-472"/>
        <w:jc w:val="both"/>
        <w:rPr>
          <w:rFonts w:ascii="Arial" w:hAnsi="Arial" w:cs="Arial"/>
          <w:b/>
          <w:bCs/>
          <w:sz w:val="22"/>
          <w:szCs w:val="22"/>
        </w:rPr>
      </w:pPr>
      <w:r w:rsidRPr="00DD38F5">
        <w:rPr>
          <w:rFonts w:ascii="Arial" w:hAnsi="Arial" w:cs="Arial"/>
          <w:b/>
          <w:bCs/>
          <w:sz w:val="22"/>
          <w:szCs w:val="22"/>
        </w:rPr>
        <w:t>Critical analysis</w:t>
      </w:r>
      <w:r w:rsidR="00B04708">
        <w:rPr>
          <w:rFonts w:ascii="Arial" w:hAnsi="Arial" w:cs="Arial"/>
          <w:b/>
          <w:bCs/>
          <w:sz w:val="22"/>
          <w:szCs w:val="22"/>
        </w:rPr>
        <w:t xml:space="preserve">                                                                                                               8</w:t>
      </w:r>
    </w:p>
    <w:p w14:paraId="3A583D89" w14:textId="3056F7A4"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4. Roles, Responsibilities, Benefits and Challenges of Key Stakeholders</w:t>
      </w:r>
      <w:r w:rsidR="00534A26" w:rsidRPr="00DD38F5">
        <w:rPr>
          <w:rFonts w:ascii="Arial" w:hAnsi="Arial" w:cs="Arial"/>
          <w:b/>
          <w:bCs/>
          <w:sz w:val="22"/>
          <w:szCs w:val="22"/>
        </w:rPr>
        <w:t xml:space="preserve">                  </w:t>
      </w:r>
      <w:r w:rsidR="00E351BA" w:rsidRPr="00DD38F5">
        <w:rPr>
          <w:rFonts w:ascii="Arial" w:hAnsi="Arial" w:cs="Arial"/>
          <w:b/>
          <w:bCs/>
          <w:sz w:val="22"/>
          <w:szCs w:val="22"/>
        </w:rPr>
        <w:t xml:space="preserve">  </w:t>
      </w:r>
      <w:r w:rsidR="004C3634">
        <w:rPr>
          <w:rFonts w:ascii="Arial" w:hAnsi="Arial" w:cs="Arial"/>
          <w:b/>
          <w:bCs/>
          <w:sz w:val="22"/>
          <w:szCs w:val="22"/>
        </w:rPr>
        <w:t xml:space="preserve">        </w:t>
      </w:r>
      <w:r w:rsidR="00E351BA" w:rsidRPr="00DD38F5">
        <w:rPr>
          <w:rFonts w:ascii="Arial" w:hAnsi="Arial" w:cs="Arial"/>
          <w:b/>
          <w:bCs/>
          <w:sz w:val="22"/>
          <w:szCs w:val="22"/>
        </w:rPr>
        <w:t>9</w:t>
      </w:r>
    </w:p>
    <w:p w14:paraId="5E1E80D5" w14:textId="64935E3E"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5. Stakeholder Engagement Strategy</w:t>
      </w:r>
      <w:r w:rsidR="00D97003" w:rsidRPr="00DD38F5">
        <w:rPr>
          <w:rFonts w:ascii="Arial" w:hAnsi="Arial" w:cs="Arial"/>
          <w:b/>
          <w:bCs/>
          <w:sz w:val="22"/>
          <w:szCs w:val="22"/>
        </w:rPr>
        <w:t xml:space="preserve"> </w:t>
      </w:r>
      <w:r w:rsidR="00753A79" w:rsidRPr="00DD38F5">
        <w:rPr>
          <w:rFonts w:ascii="Arial" w:hAnsi="Arial" w:cs="Arial"/>
          <w:b/>
          <w:bCs/>
          <w:sz w:val="22"/>
          <w:szCs w:val="22"/>
        </w:rPr>
        <w:t xml:space="preserve">                                                                              </w:t>
      </w:r>
      <w:r w:rsidR="00B93393">
        <w:rPr>
          <w:rFonts w:ascii="Arial" w:hAnsi="Arial" w:cs="Arial"/>
          <w:b/>
          <w:bCs/>
          <w:sz w:val="22"/>
          <w:szCs w:val="22"/>
        </w:rPr>
        <w:t xml:space="preserve">        </w:t>
      </w:r>
      <w:r w:rsidR="00E351BA" w:rsidRPr="00DD38F5">
        <w:rPr>
          <w:rFonts w:ascii="Arial" w:hAnsi="Arial" w:cs="Arial"/>
          <w:b/>
          <w:bCs/>
          <w:sz w:val="22"/>
          <w:szCs w:val="22"/>
        </w:rPr>
        <w:t>10</w:t>
      </w:r>
      <w:r w:rsidR="00D97003" w:rsidRPr="00DD38F5">
        <w:rPr>
          <w:rFonts w:ascii="Arial" w:hAnsi="Arial" w:cs="Arial"/>
          <w:b/>
          <w:bCs/>
          <w:sz w:val="22"/>
          <w:szCs w:val="22"/>
        </w:rPr>
        <w:t xml:space="preserve">                                   </w:t>
      </w:r>
    </w:p>
    <w:p w14:paraId="34B5D520" w14:textId="0EB057A5" w:rsidR="00247E2F" w:rsidRPr="00DD38F5" w:rsidRDefault="00247E2F" w:rsidP="005C67E9">
      <w:pPr>
        <w:tabs>
          <w:tab w:val="left" w:pos="6646"/>
        </w:tabs>
        <w:ind w:left="-426" w:right="-472"/>
        <w:rPr>
          <w:rFonts w:ascii="Arial" w:hAnsi="Arial" w:cs="Arial"/>
          <w:b/>
          <w:bCs/>
          <w:sz w:val="22"/>
          <w:szCs w:val="22"/>
        </w:rPr>
      </w:pPr>
      <w:r w:rsidRPr="00DD38F5">
        <w:rPr>
          <w:rFonts w:ascii="Arial" w:hAnsi="Arial" w:cs="Arial"/>
          <w:b/>
          <w:bCs/>
          <w:sz w:val="22"/>
          <w:szCs w:val="22"/>
        </w:rPr>
        <w:t>5.</w:t>
      </w:r>
      <w:r w:rsidR="00B05BB9" w:rsidRPr="00DD38F5">
        <w:rPr>
          <w:rFonts w:ascii="Arial" w:hAnsi="Arial" w:cs="Arial"/>
          <w:b/>
          <w:bCs/>
          <w:sz w:val="22"/>
          <w:szCs w:val="22"/>
        </w:rPr>
        <w:t xml:space="preserve">1 </w:t>
      </w:r>
      <w:r w:rsidRPr="00DD38F5">
        <w:rPr>
          <w:rFonts w:ascii="Arial" w:hAnsi="Arial" w:cs="Arial"/>
          <w:b/>
          <w:bCs/>
          <w:sz w:val="22"/>
          <w:szCs w:val="22"/>
        </w:rPr>
        <w:t>Power–Interest Matrix Analysis</w:t>
      </w:r>
      <w:r w:rsidR="00307248" w:rsidRPr="00DD38F5">
        <w:rPr>
          <w:rFonts w:ascii="Arial" w:hAnsi="Arial" w:cs="Arial"/>
          <w:b/>
          <w:bCs/>
          <w:sz w:val="22"/>
          <w:szCs w:val="22"/>
        </w:rPr>
        <w:t xml:space="preserve">                                                                                    </w:t>
      </w:r>
      <w:r w:rsidR="00B93393">
        <w:rPr>
          <w:rFonts w:ascii="Arial" w:hAnsi="Arial" w:cs="Arial"/>
          <w:b/>
          <w:bCs/>
          <w:sz w:val="22"/>
          <w:szCs w:val="22"/>
        </w:rPr>
        <w:t xml:space="preserve">  </w:t>
      </w:r>
      <w:r w:rsidR="00695863">
        <w:rPr>
          <w:rFonts w:ascii="Arial" w:hAnsi="Arial" w:cs="Arial"/>
          <w:b/>
          <w:bCs/>
          <w:sz w:val="22"/>
          <w:szCs w:val="22"/>
        </w:rPr>
        <w:t>10,</w:t>
      </w:r>
      <w:r w:rsidR="00D97003" w:rsidRPr="00DD38F5">
        <w:rPr>
          <w:rFonts w:ascii="Arial" w:hAnsi="Arial" w:cs="Arial"/>
          <w:b/>
          <w:bCs/>
          <w:sz w:val="22"/>
          <w:szCs w:val="22"/>
        </w:rPr>
        <w:t>11</w:t>
      </w:r>
      <w:r w:rsidR="00307248" w:rsidRPr="00DD38F5">
        <w:rPr>
          <w:rFonts w:ascii="Arial" w:hAnsi="Arial" w:cs="Arial"/>
          <w:b/>
          <w:bCs/>
          <w:sz w:val="22"/>
          <w:szCs w:val="22"/>
        </w:rPr>
        <w:t xml:space="preserve"> </w:t>
      </w:r>
    </w:p>
    <w:p w14:paraId="0EEFC0CC" w14:textId="31F7A378" w:rsidR="00BF7647" w:rsidRDefault="00247E2F" w:rsidP="00A809B1">
      <w:pPr>
        <w:tabs>
          <w:tab w:val="left" w:pos="8252"/>
        </w:tabs>
        <w:ind w:left="-426" w:right="-472"/>
        <w:rPr>
          <w:rFonts w:ascii="Arial" w:hAnsi="Arial" w:cs="Arial"/>
          <w:b/>
          <w:bCs/>
          <w:sz w:val="22"/>
          <w:szCs w:val="22"/>
        </w:rPr>
      </w:pPr>
      <w:r w:rsidRPr="00DD38F5">
        <w:rPr>
          <w:rFonts w:ascii="Arial" w:hAnsi="Arial" w:cs="Arial"/>
          <w:b/>
          <w:bCs/>
          <w:sz w:val="22"/>
          <w:szCs w:val="22"/>
        </w:rPr>
        <w:t>5.</w:t>
      </w:r>
      <w:r w:rsidR="00B05BB9" w:rsidRPr="00DD38F5">
        <w:rPr>
          <w:rFonts w:ascii="Arial" w:hAnsi="Arial" w:cs="Arial"/>
          <w:b/>
          <w:bCs/>
          <w:sz w:val="22"/>
          <w:szCs w:val="22"/>
        </w:rPr>
        <w:t xml:space="preserve">3 </w:t>
      </w:r>
      <w:r w:rsidRPr="00DD38F5">
        <w:rPr>
          <w:rFonts w:ascii="Arial" w:hAnsi="Arial" w:cs="Arial"/>
          <w:b/>
          <w:bCs/>
          <w:sz w:val="22"/>
          <w:szCs w:val="22"/>
        </w:rPr>
        <w:t>Communication Plan</w:t>
      </w:r>
      <w:r w:rsidR="006950CA" w:rsidRPr="00DD38F5">
        <w:rPr>
          <w:rFonts w:ascii="Arial" w:hAnsi="Arial" w:cs="Arial"/>
          <w:b/>
          <w:bCs/>
          <w:sz w:val="22"/>
          <w:szCs w:val="22"/>
        </w:rPr>
        <w:t xml:space="preserve">                                                                                                </w:t>
      </w:r>
      <w:r w:rsidR="00B93393">
        <w:rPr>
          <w:rFonts w:ascii="Arial" w:hAnsi="Arial" w:cs="Arial"/>
          <w:b/>
          <w:bCs/>
          <w:sz w:val="22"/>
          <w:szCs w:val="22"/>
        </w:rPr>
        <w:t xml:space="preserve">       </w:t>
      </w:r>
      <w:r w:rsidR="00345518">
        <w:rPr>
          <w:rFonts w:ascii="Arial" w:hAnsi="Arial" w:cs="Arial"/>
          <w:b/>
          <w:bCs/>
          <w:sz w:val="22"/>
          <w:szCs w:val="22"/>
        </w:rPr>
        <w:t xml:space="preserve">     </w:t>
      </w:r>
      <w:r w:rsidR="003978FE">
        <w:rPr>
          <w:rFonts w:ascii="Arial" w:hAnsi="Arial" w:cs="Arial"/>
          <w:b/>
          <w:bCs/>
          <w:sz w:val="22"/>
          <w:szCs w:val="22"/>
        </w:rPr>
        <w:t>11</w:t>
      </w:r>
      <w:r w:rsidR="00B00D6C" w:rsidRPr="00DD38F5">
        <w:rPr>
          <w:rFonts w:ascii="Arial" w:hAnsi="Arial" w:cs="Arial"/>
          <w:b/>
          <w:bCs/>
          <w:sz w:val="22"/>
          <w:szCs w:val="22"/>
        </w:rPr>
        <w:t xml:space="preserve">   </w:t>
      </w:r>
      <w:r w:rsidR="00C80456" w:rsidRPr="00DD38F5">
        <w:rPr>
          <w:rFonts w:ascii="Arial" w:hAnsi="Arial" w:cs="Arial"/>
          <w:b/>
          <w:bCs/>
          <w:sz w:val="22"/>
          <w:szCs w:val="22"/>
        </w:rPr>
        <w:t xml:space="preserve">  </w:t>
      </w:r>
      <w:r w:rsidR="0089106E" w:rsidRPr="00DD38F5">
        <w:rPr>
          <w:rFonts w:ascii="Arial" w:hAnsi="Arial" w:cs="Arial"/>
          <w:b/>
          <w:bCs/>
          <w:sz w:val="22"/>
          <w:szCs w:val="22"/>
        </w:rPr>
        <w:t xml:space="preserve">                                                                                             </w:t>
      </w:r>
      <w:r w:rsidR="00C80456" w:rsidRPr="00DD38F5">
        <w:rPr>
          <w:rFonts w:ascii="Arial" w:hAnsi="Arial" w:cs="Arial"/>
          <w:b/>
          <w:bCs/>
          <w:sz w:val="22"/>
          <w:szCs w:val="22"/>
        </w:rPr>
        <w:t xml:space="preserve">                                                                                      </w:t>
      </w:r>
      <w:r w:rsidR="00B00D6C" w:rsidRPr="00DD38F5">
        <w:rPr>
          <w:rFonts w:ascii="Arial" w:hAnsi="Arial" w:cs="Arial"/>
          <w:b/>
          <w:bCs/>
          <w:sz w:val="22"/>
          <w:szCs w:val="22"/>
        </w:rPr>
        <w:t xml:space="preserve">                                              </w:t>
      </w:r>
    </w:p>
    <w:p w14:paraId="27B252A8" w14:textId="32686253" w:rsidR="00247E2F" w:rsidRPr="00DD38F5" w:rsidRDefault="004105F3" w:rsidP="00A809B1">
      <w:pPr>
        <w:tabs>
          <w:tab w:val="left" w:pos="8252"/>
        </w:tabs>
        <w:ind w:left="-426" w:right="-472"/>
        <w:rPr>
          <w:rFonts w:ascii="Arial" w:hAnsi="Arial" w:cs="Arial"/>
          <w:b/>
          <w:bCs/>
          <w:sz w:val="22"/>
          <w:szCs w:val="22"/>
        </w:rPr>
      </w:pPr>
      <w:r>
        <w:rPr>
          <w:rFonts w:ascii="Arial" w:hAnsi="Arial" w:cs="Arial"/>
          <w:b/>
          <w:bCs/>
          <w:sz w:val="22"/>
          <w:szCs w:val="22"/>
        </w:rPr>
        <w:t>5</w:t>
      </w:r>
      <w:r w:rsidR="00BF7647">
        <w:rPr>
          <w:rFonts w:ascii="Arial" w:hAnsi="Arial" w:cs="Arial"/>
          <w:b/>
          <w:bCs/>
          <w:sz w:val="22"/>
          <w:szCs w:val="22"/>
        </w:rPr>
        <w:t>.</w:t>
      </w:r>
      <w:r w:rsidR="00B65649">
        <w:rPr>
          <w:rFonts w:ascii="Arial" w:hAnsi="Arial" w:cs="Arial"/>
          <w:b/>
          <w:bCs/>
          <w:sz w:val="22"/>
          <w:szCs w:val="22"/>
        </w:rPr>
        <w:t>4</w:t>
      </w:r>
      <w:r w:rsidR="00BF7647">
        <w:rPr>
          <w:rFonts w:ascii="Arial" w:hAnsi="Arial" w:cs="Arial"/>
          <w:b/>
          <w:bCs/>
          <w:sz w:val="22"/>
          <w:szCs w:val="22"/>
        </w:rPr>
        <w:t xml:space="preserve"> </w:t>
      </w:r>
      <w:r w:rsidR="00247E2F" w:rsidRPr="00DD38F5">
        <w:rPr>
          <w:rFonts w:ascii="Arial" w:hAnsi="Arial" w:cs="Arial"/>
          <w:b/>
          <w:bCs/>
          <w:sz w:val="22"/>
          <w:szCs w:val="22"/>
        </w:rPr>
        <w:t xml:space="preserve">The 4C's Model (Communication, Consultation, Collaboration and </w:t>
      </w:r>
      <w:r w:rsidR="00742A75" w:rsidRPr="00DD38F5">
        <w:rPr>
          <w:rFonts w:ascii="Arial" w:hAnsi="Arial" w:cs="Arial"/>
          <w:b/>
          <w:bCs/>
          <w:sz w:val="22"/>
          <w:szCs w:val="22"/>
        </w:rPr>
        <w:t>Commitmen</w:t>
      </w:r>
      <w:r w:rsidR="00742A75">
        <w:rPr>
          <w:rFonts w:ascii="Arial" w:hAnsi="Arial" w:cs="Arial"/>
          <w:b/>
          <w:bCs/>
          <w:sz w:val="22"/>
          <w:szCs w:val="22"/>
        </w:rPr>
        <w:t>t)</w:t>
      </w:r>
      <w:r w:rsidR="006411EA" w:rsidRPr="00DD38F5">
        <w:rPr>
          <w:rFonts w:ascii="Arial" w:hAnsi="Arial" w:cs="Arial"/>
          <w:b/>
          <w:bCs/>
          <w:sz w:val="22"/>
          <w:szCs w:val="22"/>
        </w:rPr>
        <w:t xml:space="preserve"> </w:t>
      </w:r>
      <w:r w:rsidR="00101BCA">
        <w:rPr>
          <w:rFonts w:ascii="Arial" w:hAnsi="Arial" w:cs="Arial"/>
          <w:b/>
          <w:bCs/>
          <w:sz w:val="22"/>
          <w:szCs w:val="22"/>
        </w:rPr>
        <w:t xml:space="preserve"> </w:t>
      </w:r>
      <w:r w:rsidR="003B00DB">
        <w:rPr>
          <w:rFonts w:ascii="Arial" w:hAnsi="Arial" w:cs="Arial"/>
          <w:b/>
          <w:bCs/>
          <w:sz w:val="22"/>
          <w:szCs w:val="22"/>
        </w:rPr>
        <w:t xml:space="preserve"> </w:t>
      </w:r>
      <w:r w:rsidR="000C60BD" w:rsidRPr="00DD38F5">
        <w:rPr>
          <w:rFonts w:ascii="Arial" w:hAnsi="Arial" w:cs="Arial"/>
          <w:b/>
          <w:bCs/>
          <w:sz w:val="22"/>
          <w:szCs w:val="22"/>
        </w:rPr>
        <w:t>1</w:t>
      </w:r>
      <w:r w:rsidR="00512C34">
        <w:rPr>
          <w:rFonts w:ascii="Arial" w:hAnsi="Arial" w:cs="Arial"/>
          <w:b/>
          <w:bCs/>
          <w:sz w:val="22"/>
          <w:szCs w:val="22"/>
        </w:rPr>
        <w:t>1</w:t>
      </w:r>
      <w:r w:rsidR="00760216" w:rsidRPr="00DD38F5">
        <w:rPr>
          <w:rFonts w:ascii="Arial" w:hAnsi="Arial" w:cs="Arial"/>
          <w:b/>
          <w:bCs/>
          <w:sz w:val="22"/>
          <w:szCs w:val="22"/>
        </w:rPr>
        <w:t>,1</w:t>
      </w:r>
      <w:r w:rsidR="00512C34">
        <w:rPr>
          <w:rFonts w:ascii="Arial" w:hAnsi="Arial" w:cs="Arial"/>
          <w:b/>
          <w:bCs/>
          <w:sz w:val="22"/>
          <w:szCs w:val="22"/>
        </w:rPr>
        <w:t>2</w:t>
      </w:r>
    </w:p>
    <w:p w14:paraId="5A139EDB" w14:textId="31B52F3F"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6. Sustainable Stakeholder Engagement and Business Performance</w:t>
      </w:r>
      <w:r w:rsidR="00D73A8E" w:rsidRPr="00DD38F5">
        <w:rPr>
          <w:rFonts w:ascii="Arial" w:hAnsi="Arial" w:cs="Arial"/>
          <w:b/>
          <w:bCs/>
          <w:sz w:val="22"/>
          <w:szCs w:val="22"/>
        </w:rPr>
        <w:t xml:space="preserve">                      </w:t>
      </w:r>
      <w:r w:rsidR="00C03547">
        <w:rPr>
          <w:rFonts w:ascii="Arial" w:hAnsi="Arial" w:cs="Arial"/>
          <w:b/>
          <w:bCs/>
          <w:sz w:val="22"/>
          <w:szCs w:val="22"/>
        </w:rPr>
        <w:t xml:space="preserve">       </w:t>
      </w:r>
      <w:r w:rsidR="00EE77C9">
        <w:rPr>
          <w:rFonts w:ascii="Arial" w:hAnsi="Arial" w:cs="Arial"/>
          <w:b/>
          <w:bCs/>
          <w:sz w:val="22"/>
          <w:szCs w:val="22"/>
        </w:rPr>
        <w:t>12,</w:t>
      </w:r>
      <w:r w:rsidR="00D73A8E" w:rsidRPr="00DD38F5">
        <w:rPr>
          <w:rFonts w:ascii="Arial" w:hAnsi="Arial" w:cs="Arial"/>
          <w:b/>
          <w:bCs/>
          <w:sz w:val="22"/>
          <w:szCs w:val="22"/>
        </w:rPr>
        <w:t>13</w:t>
      </w:r>
    </w:p>
    <w:p w14:paraId="418013A1" w14:textId="1252E29B" w:rsidR="005D2D75" w:rsidRPr="00DD38F5" w:rsidRDefault="005D2D75" w:rsidP="00A809B1">
      <w:pPr>
        <w:tabs>
          <w:tab w:val="left" w:pos="6646"/>
        </w:tabs>
        <w:ind w:left="-426" w:right="-472"/>
        <w:rPr>
          <w:rFonts w:ascii="Arial" w:hAnsi="Arial" w:cs="Arial"/>
          <w:b/>
          <w:bCs/>
          <w:sz w:val="22"/>
          <w:szCs w:val="22"/>
        </w:rPr>
      </w:pPr>
      <w:r w:rsidRPr="00DD38F5">
        <w:rPr>
          <w:rFonts w:ascii="Arial" w:hAnsi="Arial" w:cs="Arial"/>
          <w:b/>
          <w:bCs/>
          <w:sz w:val="22"/>
          <w:szCs w:val="22"/>
        </w:rPr>
        <w:t>6.1</w:t>
      </w:r>
      <w:r w:rsidR="008C0032" w:rsidRPr="00DD38F5">
        <w:rPr>
          <w:rFonts w:ascii="Arial" w:hAnsi="Arial" w:cs="Arial"/>
          <w:b/>
          <w:bCs/>
          <w:sz w:val="22"/>
          <w:szCs w:val="22"/>
        </w:rPr>
        <w:t xml:space="preserve"> Stakeholder Power, Interest and Engagement </w:t>
      </w:r>
      <w:r w:rsidR="005E64C6" w:rsidRPr="00DD38F5">
        <w:rPr>
          <w:rFonts w:ascii="Arial" w:hAnsi="Arial" w:cs="Arial"/>
          <w:b/>
          <w:bCs/>
          <w:sz w:val="22"/>
          <w:szCs w:val="22"/>
        </w:rPr>
        <w:t xml:space="preserve">Strategy Frameworks    </w:t>
      </w:r>
      <w:r w:rsidR="004F6739" w:rsidRPr="00DD38F5">
        <w:rPr>
          <w:rFonts w:ascii="Arial" w:hAnsi="Arial" w:cs="Arial"/>
          <w:b/>
          <w:bCs/>
          <w:sz w:val="22"/>
          <w:szCs w:val="22"/>
        </w:rPr>
        <w:t xml:space="preserve">                  </w:t>
      </w:r>
      <w:r w:rsidR="00C03547">
        <w:rPr>
          <w:rFonts w:ascii="Arial" w:hAnsi="Arial" w:cs="Arial"/>
          <w:b/>
          <w:bCs/>
          <w:sz w:val="22"/>
          <w:szCs w:val="22"/>
        </w:rPr>
        <w:t xml:space="preserve">       </w:t>
      </w:r>
      <w:r w:rsidR="004F6739" w:rsidRPr="00DD38F5">
        <w:rPr>
          <w:rFonts w:ascii="Arial" w:hAnsi="Arial" w:cs="Arial"/>
          <w:b/>
          <w:bCs/>
          <w:sz w:val="22"/>
          <w:szCs w:val="22"/>
        </w:rPr>
        <w:t>14</w:t>
      </w:r>
      <w:r w:rsidR="005E64C6" w:rsidRPr="00DD38F5">
        <w:rPr>
          <w:rFonts w:ascii="Arial" w:hAnsi="Arial" w:cs="Arial"/>
          <w:b/>
          <w:bCs/>
          <w:sz w:val="22"/>
          <w:szCs w:val="22"/>
        </w:rPr>
        <w:t xml:space="preserve">                                                              </w:t>
      </w:r>
      <w:r w:rsidR="000B1353" w:rsidRPr="00DD38F5">
        <w:rPr>
          <w:rFonts w:ascii="Arial" w:hAnsi="Arial" w:cs="Arial"/>
          <w:b/>
          <w:bCs/>
          <w:sz w:val="22"/>
          <w:szCs w:val="22"/>
        </w:rPr>
        <w:t xml:space="preserve">  </w:t>
      </w:r>
    </w:p>
    <w:p w14:paraId="3DC22A80" w14:textId="62293269"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7. Recommendations</w:t>
      </w:r>
      <w:r w:rsidR="00716DB0" w:rsidRPr="00DD38F5">
        <w:rPr>
          <w:rFonts w:ascii="Arial" w:hAnsi="Arial" w:cs="Arial"/>
          <w:b/>
          <w:bCs/>
          <w:sz w:val="22"/>
          <w:szCs w:val="22"/>
        </w:rPr>
        <w:t xml:space="preserve">                                                                                                           </w:t>
      </w:r>
      <w:r w:rsidR="00C03547">
        <w:rPr>
          <w:rFonts w:ascii="Arial" w:hAnsi="Arial" w:cs="Arial"/>
          <w:b/>
          <w:bCs/>
          <w:sz w:val="22"/>
          <w:szCs w:val="22"/>
        </w:rPr>
        <w:t xml:space="preserve">       </w:t>
      </w:r>
      <w:r w:rsidR="00716DB0" w:rsidRPr="00DD38F5">
        <w:rPr>
          <w:rFonts w:ascii="Arial" w:hAnsi="Arial" w:cs="Arial"/>
          <w:b/>
          <w:bCs/>
          <w:sz w:val="22"/>
          <w:szCs w:val="22"/>
        </w:rPr>
        <w:t>15</w:t>
      </w:r>
    </w:p>
    <w:p w14:paraId="5CE53C67" w14:textId="704FC20E" w:rsidR="00247E2F" w:rsidRPr="00DD38F5" w:rsidRDefault="00247E2F" w:rsidP="00A809B1">
      <w:pPr>
        <w:tabs>
          <w:tab w:val="left" w:pos="6646"/>
        </w:tabs>
        <w:ind w:left="-426" w:right="-472"/>
        <w:rPr>
          <w:rFonts w:ascii="Arial" w:hAnsi="Arial" w:cs="Arial"/>
          <w:b/>
          <w:bCs/>
          <w:sz w:val="22"/>
          <w:szCs w:val="22"/>
        </w:rPr>
      </w:pPr>
      <w:r w:rsidRPr="00DD38F5">
        <w:rPr>
          <w:rFonts w:ascii="Arial" w:hAnsi="Arial" w:cs="Arial"/>
          <w:b/>
          <w:bCs/>
          <w:sz w:val="22"/>
          <w:szCs w:val="22"/>
        </w:rPr>
        <w:t>8. Conclusion</w:t>
      </w:r>
      <w:r w:rsidR="00673EE0" w:rsidRPr="00DD38F5">
        <w:rPr>
          <w:rFonts w:ascii="Arial" w:hAnsi="Arial" w:cs="Arial"/>
          <w:b/>
          <w:bCs/>
          <w:sz w:val="22"/>
          <w:szCs w:val="22"/>
        </w:rPr>
        <w:t xml:space="preserve">                                                                                                                       </w:t>
      </w:r>
      <w:r w:rsidR="00716DB0" w:rsidRPr="00DD38F5">
        <w:rPr>
          <w:rFonts w:ascii="Arial" w:hAnsi="Arial" w:cs="Arial"/>
          <w:b/>
          <w:bCs/>
          <w:sz w:val="22"/>
          <w:szCs w:val="22"/>
        </w:rPr>
        <w:t xml:space="preserve"> </w:t>
      </w:r>
      <w:r w:rsidR="001E48C4">
        <w:rPr>
          <w:rFonts w:ascii="Arial" w:hAnsi="Arial" w:cs="Arial"/>
          <w:b/>
          <w:bCs/>
          <w:sz w:val="22"/>
          <w:szCs w:val="22"/>
        </w:rPr>
        <w:t xml:space="preserve">       </w:t>
      </w:r>
      <w:r w:rsidR="00673EE0" w:rsidRPr="00DD38F5">
        <w:rPr>
          <w:rFonts w:ascii="Arial" w:hAnsi="Arial" w:cs="Arial"/>
          <w:b/>
          <w:bCs/>
          <w:sz w:val="22"/>
          <w:szCs w:val="22"/>
        </w:rPr>
        <w:t>15</w:t>
      </w:r>
    </w:p>
    <w:p w14:paraId="614B1555" w14:textId="0CF04914" w:rsidR="00247E2F" w:rsidRPr="00DD38F5" w:rsidRDefault="00811358" w:rsidP="00A809B1">
      <w:pPr>
        <w:tabs>
          <w:tab w:val="left" w:pos="6646"/>
        </w:tabs>
        <w:ind w:left="-426" w:right="-472"/>
        <w:rPr>
          <w:rFonts w:ascii="Arial" w:hAnsi="Arial" w:cs="Arial"/>
          <w:b/>
          <w:bCs/>
          <w:sz w:val="22"/>
          <w:szCs w:val="22"/>
        </w:rPr>
      </w:pPr>
      <w:r w:rsidRPr="00DD38F5">
        <w:rPr>
          <w:rFonts w:ascii="Arial" w:hAnsi="Arial" w:cs="Arial"/>
          <w:b/>
          <w:bCs/>
          <w:sz w:val="22"/>
          <w:szCs w:val="22"/>
        </w:rPr>
        <w:t xml:space="preserve">9. </w:t>
      </w:r>
      <w:r w:rsidR="00247E2F" w:rsidRPr="00DD38F5">
        <w:rPr>
          <w:rFonts w:ascii="Arial" w:hAnsi="Arial" w:cs="Arial"/>
          <w:b/>
          <w:bCs/>
          <w:sz w:val="22"/>
          <w:szCs w:val="22"/>
        </w:rPr>
        <w:t>References</w:t>
      </w:r>
      <w:r w:rsidR="0039709A" w:rsidRPr="00DD38F5">
        <w:rPr>
          <w:rFonts w:ascii="Arial" w:hAnsi="Arial" w:cs="Arial"/>
          <w:b/>
          <w:bCs/>
          <w:sz w:val="22"/>
          <w:szCs w:val="22"/>
        </w:rPr>
        <w:t xml:space="preserve">                                                                                                                        </w:t>
      </w:r>
      <w:r w:rsidR="001E48C4">
        <w:rPr>
          <w:rFonts w:ascii="Arial" w:hAnsi="Arial" w:cs="Arial"/>
          <w:b/>
          <w:bCs/>
          <w:sz w:val="22"/>
          <w:szCs w:val="22"/>
        </w:rPr>
        <w:t xml:space="preserve">       </w:t>
      </w:r>
      <w:r w:rsidR="00673EE0" w:rsidRPr="00DD38F5">
        <w:rPr>
          <w:rFonts w:ascii="Arial" w:hAnsi="Arial" w:cs="Arial"/>
          <w:b/>
          <w:bCs/>
          <w:sz w:val="22"/>
          <w:szCs w:val="22"/>
        </w:rPr>
        <w:t>16</w:t>
      </w:r>
    </w:p>
    <w:p w14:paraId="54878149" w14:textId="187E3686" w:rsidR="00B72C07" w:rsidRPr="00DD38F5" w:rsidRDefault="00B72C07" w:rsidP="00247E2F">
      <w:pPr>
        <w:tabs>
          <w:tab w:val="left" w:pos="6646"/>
        </w:tabs>
        <w:rPr>
          <w:rFonts w:ascii="Arial" w:hAnsi="Arial" w:cs="Arial"/>
          <w:b/>
          <w:bCs/>
          <w:sz w:val="22"/>
          <w:szCs w:val="22"/>
        </w:rPr>
      </w:pPr>
    </w:p>
    <w:p w14:paraId="7B5EBC46" w14:textId="77777777" w:rsidR="009E14A4" w:rsidRDefault="009E14A4" w:rsidP="0097286A">
      <w:pPr>
        <w:tabs>
          <w:tab w:val="left" w:pos="6646"/>
        </w:tabs>
        <w:rPr>
          <w:rFonts w:ascii="Arial" w:hAnsi="Arial" w:cs="Arial"/>
          <w:b/>
          <w:bCs/>
          <w:sz w:val="36"/>
          <w:szCs w:val="36"/>
        </w:rPr>
      </w:pPr>
    </w:p>
    <w:p w14:paraId="322260E7" w14:textId="77777777" w:rsidR="00811358" w:rsidRDefault="00811358" w:rsidP="0097286A">
      <w:pPr>
        <w:tabs>
          <w:tab w:val="left" w:pos="6646"/>
        </w:tabs>
        <w:rPr>
          <w:rFonts w:ascii="Arial" w:hAnsi="Arial" w:cs="Arial"/>
          <w:b/>
          <w:bCs/>
          <w:sz w:val="36"/>
          <w:szCs w:val="36"/>
        </w:rPr>
      </w:pPr>
    </w:p>
    <w:p w14:paraId="12B9D646" w14:textId="77777777" w:rsidR="00AB7FC4" w:rsidRDefault="00AB7FC4" w:rsidP="0097286A">
      <w:pPr>
        <w:tabs>
          <w:tab w:val="left" w:pos="6646"/>
        </w:tabs>
        <w:rPr>
          <w:rFonts w:ascii="Arial" w:hAnsi="Arial" w:cs="Arial"/>
          <w:b/>
          <w:bCs/>
          <w:sz w:val="36"/>
          <w:szCs w:val="36"/>
        </w:rPr>
      </w:pPr>
    </w:p>
    <w:p w14:paraId="77001383" w14:textId="77777777" w:rsidR="00742A75" w:rsidRDefault="00742A75" w:rsidP="0097286A">
      <w:pPr>
        <w:tabs>
          <w:tab w:val="left" w:pos="6646"/>
        </w:tabs>
        <w:rPr>
          <w:rFonts w:ascii="Arial" w:hAnsi="Arial" w:cs="Arial"/>
          <w:b/>
          <w:bCs/>
          <w:sz w:val="22"/>
          <w:szCs w:val="22"/>
        </w:rPr>
      </w:pPr>
    </w:p>
    <w:p w14:paraId="79F670E7" w14:textId="6990E723" w:rsidR="00B72C07" w:rsidRPr="00AA41F1" w:rsidRDefault="00BC1E99" w:rsidP="0097286A">
      <w:pPr>
        <w:tabs>
          <w:tab w:val="left" w:pos="6646"/>
        </w:tabs>
        <w:rPr>
          <w:rFonts w:ascii="Arial" w:hAnsi="Arial" w:cs="Arial"/>
          <w:b/>
          <w:bCs/>
          <w:sz w:val="22"/>
          <w:szCs w:val="22"/>
        </w:rPr>
      </w:pPr>
      <w:r w:rsidRPr="00AA41F1">
        <w:rPr>
          <w:rFonts w:ascii="Arial" w:hAnsi="Arial" w:cs="Arial"/>
          <w:b/>
          <w:bCs/>
          <w:sz w:val="22"/>
          <w:szCs w:val="22"/>
        </w:rPr>
        <w:lastRenderedPageBreak/>
        <w:t>Executive Summary</w:t>
      </w:r>
    </w:p>
    <w:p w14:paraId="570810F1" w14:textId="28ABB810" w:rsidR="00BC1E99" w:rsidRDefault="006E3915" w:rsidP="00531BE4">
      <w:pPr>
        <w:tabs>
          <w:tab w:val="left" w:pos="6646"/>
        </w:tabs>
        <w:spacing w:line="360" w:lineRule="auto"/>
        <w:jc w:val="both"/>
        <w:rPr>
          <w:rFonts w:ascii="Arial" w:hAnsi="Arial" w:cs="Arial"/>
          <w:sz w:val="22"/>
          <w:szCs w:val="22"/>
        </w:rPr>
      </w:pPr>
      <w:r>
        <w:rPr>
          <w:rFonts w:ascii="Arial" w:hAnsi="Arial" w:cs="Arial"/>
          <w:sz w:val="22"/>
          <w:szCs w:val="22"/>
        </w:rPr>
        <w:t xml:space="preserve">This report </w:t>
      </w:r>
      <w:r w:rsidR="001D27D4">
        <w:rPr>
          <w:rFonts w:ascii="Arial" w:hAnsi="Arial" w:cs="Arial"/>
          <w:sz w:val="22"/>
          <w:szCs w:val="22"/>
        </w:rPr>
        <w:t xml:space="preserve">aims to analyse stakeholder engagement strategies </w:t>
      </w:r>
      <w:r w:rsidR="00AA41F1">
        <w:rPr>
          <w:rFonts w:ascii="Arial" w:hAnsi="Arial" w:cs="Arial"/>
          <w:sz w:val="22"/>
          <w:szCs w:val="22"/>
        </w:rPr>
        <w:t>vital to</w:t>
      </w:r>
      <w:r w:rsidR="001846BC">
        <w:rPr>
          <w:rFonts w:ascii="Arial" w:hAnsi="Arial" w:cs="Arial"/>
          <w:sz w:val="22"/>
          <w:szCs w:val="22"/>
        </w:rPr>
        <w:t xml:space="preserve"> the successful launch of ConnectPlus, an AI-powered customer loyalty platform at Primark,</w:t>
      </w:r>
      <w:r w:rsidR="001D27D4">
        <w:rPr>
          <w:rFonts w:ascii="Arial" w:hAnsi="Arial" w:cs="Arial"/>
          <w:sz w:val="22"/>
          <w:szCs w:val="22"/>
        </w:rPr>
        <w:t xml:space="preserve"> to support project success and </w:t>
      </w:r>
      <w:r w:rsidR="00EB34B8">
        <w:rPr>
          <w:rFonts w:ascii="Arial" w:hAnsi="Arial" w:cs="Arial"/>
          <w:sz w:val="22"/>
          <w:szCs w:val="22"/>
        </w:rPr>
        <w:t>organisational</w:t>
      </w:r>
      <w:r w:rsidR="001D27D4">
        <w:rPr>
          <w:rFonts w:ascii="Arial" w:hAnsi="Arial" w:cs="Arial"/>
          <w:sz w:val="22"/>
          <w:szCs w:val="22"/>
        </w:rPr>
        <w:t xml:space="preserve"> growth</w:t>
      </w:r>
      <w:r>
        <w:rPr>
          <w:rFonts w:ascii="Arial" w:hAnsi="Arial" w:cs="Arial"/>
          <w:sz w:val="22"/>
          <w:szCs w:val="22"/>
        </w:rPr>
        <w:t>.</w:t>
      </w:r>
    </w:p>
    <w:p w14:paraId="70F6E2EC" w14:textId="6B892E2A" w:rsidR="00FC1344" w:rsidRPr="00AA41F1" w:rsidRDefault="007021CC" w:rsidP="0043145A">
      <w:pPr>
        <w:pStyle w:val="ListParagraph"/>
        <w:numPr>
          <w:ilvl w:val="0"/>
          <w:numId w:val="3"/>
        </w:numPr>
        <w:tabs>
          <w:tab w:val="left" w:pos="6646"/>
        </w:tabs>
        <w:rPr>
          <w:rFonts w:ascii="Arial" w:hAnsi="Arial" w:cs="Arial"/>
          <w:b/>
          <w:bCs/>
          <w:sz w:val="22"/>
          <w:szCs w:val="22"/>
        </w:rPr>
      </w:pPr>
      <w:r w:rsidRPr="00AA41F1">
        <w:rPr>
          <w:rFonts w:ascii="Arial" w:hAnsi="Arial" w:cs="Arial"/>
          <w:b/>
          <w:bCs/>
          <w:sz w:val="22"/>
          <w:szCs w:val="22"/>
        </w:rPr>
        <w:t xml:space="preserve">Introduction </w:t>
      </w:r>
    </w:p>
    <w:p w14:paraId="3A4936CD" w14:textId="324336AB" w:rsidR="00484D47" w:rsidRPr="00D6522B" w:rsidRDefault="00484D47" w:rsidP="004E2B7D">
      <w:pPr>
        <w:pStyle w:val="pdq2pgselectionanchorcontainer"/>
        <w:spacing w:line="360" w:lineRule="auto"/>
        <w:jc w:val="both"/>
        <w:rPr>
          <w:rFonts w:ascii="Arial" w:hAnsi="Arial" w:cs="Arial"/>
          <w:sz w:val="22"/>
          <w:szCs w:val="22"/>
        </w:rPr>
      </w:pPr>
      <w:r w:rsidRPr="00D6522B">
        <w:rPr>
          <w:rFonts w:ascii="Arial" w:hAnsi="Arial" w:cs="Arial"/>
          <w:sz w:val="22"/>
          <w:szCs w:val="22"/>
        </w:rPr>
        <w:t>In today's competitive retail environment, organisations increasingly use digital technologies to enhance customer experience and strengthen their market position. This report focuses on Primark's ConnectPlus platform, which integrates AI-driven recommendations, mobile rewards, and data analytics to improve customer loyalty and support data-driven decision-making.</w:t>
      </w:r>
      <w:r w:rsidR="005676FE">
        <w:rPr>
          <w:rFonts w:ascii="Arial" w:hAnsi="Arial" w:cs="Arial"/>
          <w:sz w:val="22"/>
          <w:szCs w:val="22"/>
        </w:rPr>
        <w:t xml:space="preserve"> </w:t>
      </w:r>
      <w:r w:rsidRPr="00D6522B">
        <w:rPr>
          <w:rFonts w:ascii="Arial" w:hAnsi="Arial" w:cs="Arial"/>
          <w:sz w:val="22"/>
          <w:szCs w:val="22"/>
        </w:rPr>
        <w:t>The successful implementation of ConnectPlus requires effective stakeholder management across different organisational and international contexts. As stakeholders significantly influence project outcomes (Freeman, 1984), identifying, analysing, and engaging them is essential for project success.</w:t>
      </w:r>
      <w:r w:rsidR="005676FE">
        <w:rPr>
          <w:rFonts w:ascii="Arial" w:hAnsi="Arial" w:cs="Arial"/>
          <w:sz w:val="22"/>
          <w:szCs w:val="22"/>
        </w:rPr>
        <w:t xml:space="preserve"> </w:t>
      </w:r>
      <w:r w:rsidRPr="00D6522B">
        <w:rPr>
          <w:rFonts w:ascii="Arial" w:hAnsi="Arial" w:cs="Arial"/>
          <w:sz w:val="22"/>
          <w:szCs w:val="22"/>
        </w:rPr>
        <w:t>This report critically examines how stakeholder management can support the successful delivery of ConnectPlus. It identifies and categorises key stakeholders using recognised frameworks, evaluates their roles and challenges, and analyses stakeholder engagement strategies and their impact on organisational performance and long-term business success.</w:t>
      </w:r>
    </w:p>
    <w:p w14:paraId="72861908" w14:textId="0314BBD9" w:rsidR="00681441" w:rsidRPr="00AA41F1" w:rsidRDefault="007021CC" w:rsidP="006E3915">
      <w:pPr>
        <w:tabs>
          <w:tab w:val="left" w:pos="6646"/>
        </w:tabs>
        <w:spacing w:line="360" w:lineRule="auto"/>
        <w:rPr>
          <w:rFonts w:ascii="Arial" w:hAnsi="Arial" w:cs="Arial"/>
          <w:b/>
          <w:bCs/>
          <w:sz w:val="22"/>
          <w:szCs w:val="22"/>
        </w:rPr>
      </w:pPr>
      <w:r w:rsidRPr="00AA41F1">
        <w:rPr>
          <w:rFonts w:ascii="Arial" w:hAnsi="Arial" w:cs="Arial"/>
          <w:b/>
          <w:bCs/>
          <w:sz w:val="22"/>
          <w:szCs w:val="22"/>
        </w:rPr>
        <w:t>1.1 Company Background</w:t>
      </w:r>
    </w:p>
    <w:p w14:paraId="38F5D958" w14:textId="3841CB85" w:rsidR="006E3915" w:rsidRPr="006E3915" w:rsidRDefault="006E3915" w:rsidP="00AF004D">
      <w:pPr>
        <w:tabs>
          <w:tab w:val="left" w:pos="6646"/>
        </w:tabs>
        <w:spacing w:line="360" w:lineRule="auto"/>
        <w:jc w:val="both"/>
        <w:rPr>
          <w:rFonts w:ascii="Arial" w:hAnsi="Arial" w:cs="Arial"/>
          <w:sz w:val="22"/>
          <w:szCs w:val="22"/>
        </w:rPr>
      </w:pPr>
      <w:r w:rsidRPr="006E3915">
        <w:rPr>
          <w:rFonts w:ascii="Arial" w:hAnsi="Arial" w:cs="Arial"/>
          <w:sz w:val="22"/>
          <w:szCs w:val="22"/>
        </w:rPr>
        <w:t xml:space="preserve">Primark is a large international fashion retailer offering affordable clothing, footwear, accessories, and homeware. Founded in Ireland in 1969 (as </w:t>
      </w:r>
      <w:proofErr w:type="spellStart"/>
      <w:r w:rsidRPr="006E3915">
        <w:rPr>
          <w:rFonts w:ascii="Arial" w:hAnsi="Arial" w:cs="Arial"/>
          <w:sz w:val="22"/>
          <w:szCs w:val="22"/>
        </w:rPr>
        <w:t>Penneys</w:t>
      </w:r>
      <w:proofErr w:type="spellEnd"/>
      <w:r w:rsidRPr="006E3915">
        <w:rPr>
          <w:rFonts w:ascii="Arial" w:hAnsi="Arial" w:cs="Arial"/>
          <w:sz w:val="22"/>
          <w:szCs w:val="22"/>
        </w:rPr>
        <w:t>), it is now one of Europe’s top value retailers. Its headquarters are in Dublin.</w:t>
      </w:r>
      <w:r w:rsidR="00AF004D">
        <w:rPr>
          <w:rFonts w:ascii="Arial" w:hAnsi="Arial" w:cs="Arial"/>
          <w:sz w:val="22"/>
          <w:szCs w:val="22"/>
        </w:rPr>
        <w:t xml:space="preserve"> </w:t>
      </w:r>
      <w:r w:rsidRPr="006E3915">
        <w:rPr>
          <w:rFonts w:ascii="Arial" w:hAnsi="Arial" w:cs="Arial"/>
          <w:sz w:val="22"/>
          <w:szCs w:val="22"/>
        </w:rPr>
        <w:t>Primark now has over 450 stores in Europe and the US. The company’s success comes from low prices, trendy products, and a strong in-store experience. It has focused more on physical stores than online sales.</w:t>
      </w:r>
      <w:r>
        <w:rPr>
          <w:rFonts w:ascii="Arial" w:hAnsi="Arial" w:cs="Arial"/>
          <w:sz w:val="22"/>
          <w:szCs w:val="22"/>
        </w:rPr>
        <w:t xml:space="preserve"> </w:t>
      </w:r>
      <w:r w:rsidR="008E723F" w:rsidRPr="008E723F">
        <w:rPr>
          <w:rFonts w:ascii="Arial" w:hAnsi="Arial" w:cs="Arial"/>
          <w:sz w:val="22"/>
          <w:szCs w:val="22"/>
        </w:rPr>
        <w:t>Primar</w:t>
      </w:r>
      <w:r w:rsidR="00AF58A4">
        <w:rPr>
          <w:rFonts w:ascii="Arial" w:hAnsi="Arial" w:cs="Arial"/>
          <w:sz w:val="22"/>
          <w:szCs w:val="22"/>
        </w:rPr>
        <w:t>k</w:t>
      </w:r>
      <w:r w:rsidR="008E723F" w:rsidRPr="008E723F">
        <w:rPr>
          <w:rFonts w:ascii="Arial" w:hAnsi="Arial" w:cs="Arial"/>
          <w:sz w:val="22"/>
          <w:szCs w:val="22"/>
        </w:rPr>
        <w:t xml:space="preserve"> has increasingly invested in digital capabilities, including Click &amp; Collect, as part of its strategy to complement its store-based retail model (Associated British Foods, 2025).</w:t>
      </w:r>
    </w:p>
    <w:p w14:paraId="59165337" w14:textId="6D3DF7B5" w:rsidR="00F85BE3" w:rsidRPr="00AA41F1" w:rsidRDefault="00F85BE3" w:rsidP="006E3915">
      <w:pPr>
        <w:tabs>
          <w:tab w:val="left" w:pos="6646"/>
        </w:tabs>
        <w:spacing w:line="360" w:lineRule="auto"/>
        <w:rPr>
          <w:rFonts w:ascii="Arial" w:hAnsi="Arial" w:cs="Arial"/>
          <w:b/>
          <w:bCs/>
          <w:sz w:val="22"/>
          <w:szCs w:val="22"/>
        </w:rPr>
      </w:pPr>
      <w:r w:rsidRPr="00AA41F1">
        <w:rPr>
          <w:rFonts w:ascii="Arial" w:hAnsi="Arial" w:cs="Arial"/>
          <w:b/>
          <w:bCs/>
          <w:sz w:val="22"/>
          <w:szCs w:val="22"/>
        </w:rPr>
        <w:t>1.2 The ConnectPlus Project</w:t>
      </w:r>
    </w:p>
    <w:p w14:paraId="4FA82D18" w14:textId="385308BE" w:rsidR="006E3915" w:rsidRPr="006E3915" w:rsidRDefault="006E3915" w:rsidP="0095550D">
      <w:pPr>
        <w:tabs>
          <w:tab w:val="left" w:pos="6646"/>
        </w:tabs>
        <w:spacing w:line="360" w:lineRule="auto"/>
        <w:jc w:val="both"/>
        <w:rPr>
          <w:rFonts w:ascii="Arial" w:hAnsi="Arial" w:cs="Arial"/>
          <w:sz w:val="22"/>
          <w:szCs w:val="22"/>
        </w:rPr>
      </w:pPr>
      <w:r w:rsidRPr="006E3915">
        <w:rPr>
          <w:rFonts w:ascii="Arial" w:hAnsi="Arial" w:cs="Arial"/>
          <w:sz w:val="22"/>
          <w:szCs w:val="22"/>
        </w:rPr>
        <w:t xml:space="preserve">Primark’s digital strategy includes </w:t>
      </w:r>
      <w:r w:rsidR="00153862">
        <w:rPr>
          <w:rFonts w:ascii="Arial" w:hAnsi="Arial" w:cs="Arial"/>
          <w:sz w:val="22"/>
          <w:szCs w:val="22"/>
        </w:rPr>
        <w:t>the launch of</w:t>
      </w:r>
      <w:r w:rsidRPr="006E3915">
        <w:rPr>
          <w:rFonts w:ascii="Arial" w:hAnsi="Arial" w:cs="Arial"/>
          <w:sz w:val="22"/>
          <w:szCs w:val="22"/>
        </w:rPr>
        <w:t xml:space="preserve"> </w:t>
      </w:r>
      <w:r w:rsidRPr="003E7659">
        <w:rPr>
          <w:rFonts w:ascii="Arial" w:hAnsi="Arial" w:cs="Arial"/>
          <w:sz w:val="22"/>
          <w:szCs w:val="22"/>
        </w:rPr>
        <w:t>ConnectPlus,</w:t>
      </w:r>
      <w:r w:rsidRPr="006E3915">
        <w:rPr>
          <w:rFonts w:ascii="Arial" w:hAnsi="Arial" w:cs="Arial"/>
          <w:sz w:val="22"/>
          <w:szCs w:val="22"/>
        </w:rPr>
        <w:t xml:space="preserve"> an AI-based loyalty and engagement platform. </w:t>
      </w:r>
      <w:r w:rsidRPr="003E7659">
        <w:rPr>
          <w:rFonts w:ascii="Arial" w:hAnsi="Arial" w:cs="Arial"/>
          <w:sz w:val="22"/>
          <w:szCs w:val="22"/>
        </w:rPr>
        <w:t>ConnectPlus</w:t>
      </w:r>
      <w:r w:rsidRPr="006E3915">
        <w:rPr>
          <w:rFonts w:ascii="Arial" w:hAnsi="Arial" w:cs="Arial"/>
          <w:sz w:val="22"/>
          <w:szCs w:val="22"/>
        </w:rPr>
        <w:t xml:space="preserve"> will offer </w:t>
      </w:r>
      <w:r>
        <w:rPr>
          <w:rFonts w:ascii="Arial" w:hAnsi="Arial" w:cs="Arial"/>
          <w:sz w:val="22"/>
          <w:szCs w:val="22"/>
        </w:rPr>
        <w:t>personalised</w:t>
      </w:r>
      <w:r w:rsidRPr="006E3915">
        <w:rPr>
          <w:rFonts w:ascii="Arial" w:hAnsi="Arial" w:cs="Arial"/>
          <w:sz w:val="22"/>
          <w:szCs w:val="22"/>
        </w:rPr>
        <w:t xml:space="preserve"> recommendations, mobile rewards, and customer insights to boost satisfaction and loyalty. The project’s success relies on strong teamwork among all stakeholders, which this report will discuss.</w:t>
      </w:r>
      <w:r w:rsidR="000B5A98">
        <w:rPr>
          <w:rFonts w:ascii="Arial" w:hAnsi="Arial" w:cs="Arial"/>
          <w:sz w:val="22"/>
          <w:szCs w:val="22"/>
        </w:rPr>
        <w:t xml:space="preserve"> </w:t>
      </w:r>
      <w:r w:rsidRPr="006E3915">
        <w:rPr>
          <w:rFonts w:ascii="Arial" w:hAnsi="Arial" w:cs="Arial"/>
          <w:sz w:val="22"/>
          <w:szCs w:val="22"/>
        </w:rPr>
        <w:t xml:space="preserve">The implementation of </w:t>
      </w:r>
      <w:r w:rsidRPr="003E7659">
        <w:rPr>
          <w:rFonts w:ascii="Arial" w:hAnsi="Arial" w:cs="Arial"/>
          <w:sz w:val="22"/>
          <w:szCs w:val="22"/>
        </w:rPr>
        <w:t>ConnectPlus</w:t>
      </w:r>
      <w:r w:rsidRPr="006E3915">
        <w:rPr>
          <w:rFonts w:ascii="Arial" w:hAnsi="Arial" w:cs="Arial"/>
          <w:sz w:val="22"/>
          <w:szCs w:val="22"/>
        </w:rPr>
        <w:t xml:space="preserve"> is scheduled </w:t>
      </w:r>
      <w:r w:rsidR="001D27D4">
        <w:rPr>
          <w:rFonts w:ascii="Arial" w:hAnsi="Arial" w:cs="Arial"/>
          <w:sz w:val="22"/>
          <w:szCs w:val="22"/>
        </w:rPr>
        <w:t xml:space="preserve">over </w:t>
      </w:r>
      <w:r w:rsidR="00153862">
        <w:rPr>
          <w:rFonts w:ascii="Arial" w:hAnsi="Arial" w:cs="Arial"/>
          <w:sz w:val="22"/>
          <w:szCs w:val="22"/>
        </w:rPr>
        <w:t>a six-month period</w:t>
      </w:r>
      <w:r w:rsidR="001D27D4">
        <w:rPr>
          <w:rFonts w:ascii="Arial" w:hAnsi="Arial" w:cs="Arial"/>
          <w:sz w:val="22"/>
          <w:szCs w:val="22"/>
        </w:rPr>
        <w:t xml:space="preserve"> across domestic and international markets. Effective stakeholder management, including collaboration among departments and external </w:t>
      </w:r>
      <w:r w:rsidR="001D27D4">
        <w:rPr>
          <w:rFonts w:ascii="Arial" w:hAnsi="Arial" w:cs="Arial"/>
          <w:sz w:val="22"/>
          <w:szCs w:val="22"/>
        </w:rPr>
        <w:lastRenderedPageBreak/>
        <w:t>partners, is critical to ensuring a smooth launch and supporting Primark’s long-term</w:t>
      </w:r>
      <w:r w:rsidRPr="006E3915">
        <w:rPr>
          <w:rFonts w:ascii="Arial" w:hAnsi="Arial" w:cs="Arial"/>
          <w:sz w:val="22"/>
          <w:szCs w:val="22"/>
        </w:rPr>
        <w:t xml:space="preserve"> growth and competitive advantage.</w:t>
      </w:r>
    </w:p>
    <w:p w14:paraId="263BE012" w14:textId="77777777" w:rsidR="00F85BE3" w:rsidRPr="002A5AF7" w:rsidRDefault="00F85BE3" w:rsidP="00F85BE3">
      <w:pPr>
        <w:tabs>
          <w:tab w:val="left" w:pos="6646"/>
        </w:tabs>
        <w:rPr>
          <w:rFonts w:ascii="Arial" w:hAnsi="Arial" w:cs="Arial"/>
          <w:vanish/>
          <w:sz w:val="22"/>
          <w:szCs w:val="22"/>
        </w:rPr>
      </w:pPr>
      <w:r w:rsidRPr="002A5AF7">
        <w:rPr>
          <w:rFonts w:ascii="Arial" w:hAnsi="Arial" w:cs="Arial"/>
          <w:vanish/>
          <w:sz w:val="22"/>
          <w:szCs w:val="22"/>
        </w:rPr>
        <w:t>Bottom of Form</w:t>
      </w:r>
    </w:p>
    <w:p w14:paraId="5C179A52" w14:textId="3268215B" w:rsidR="00681441" w:rsidRPr="002A5AF7" w:rsidRDefault="001753F5" w:rsidP="0097286A">
      <w:pPr>
        <w:tabs>
          <w:tab w:val="left" w:pos="6646"/>
        </w:tabs>
        <w:rPr>
          <w:rFonts w:ascii="Arial" w:hAnsi="Arial" w:cs="Arial"/>
          <w:b/>
          <w:bCs/>
          <w:sz w:val="22"/>
          <w:szCs w:val="22"/>
        </w:rPr>
      </w:pPr>
      <w:r w:rsidRPr="002A5AF7">
        <w:rPr>
          <w:rFonts w:ascii="Arial" w:hAnsi="Arial" w:cs="Arial"/>
          <w:b/>
          <w:bCs/>
          <w:sz w:val="22"/>
          <w:szCs w:val="22"/>
        </w:rPr>
        <w:t>2. SMART Objectives</w:t>
      </w:r>
    </w:p>
    <w:p w14:paraId="21DE1173" w14:textId="05D64421" w:rsidR="00AA37EB" w:rsidRPr="001753F5" w:rsidRDefault="001753F5" w:rsidP="000B5A98">
      <w:pPr>
        <w:tabs>
          <w:tab w:val="left" w:pos="6646"/>
        </w:tabs>
        <w:spacing w:line="360" w:lineRule="auto"/>
        <w:jc w:val="both"/>
        <w:rPr>
          <w:rFonts w:ascii="Arial" w:hAnsi="Arial" w:cs="Arial"/>
          <w:sz w:val="22"/>
          <w:szCs w:val="22"/>
        </w:rPr>
      </w:pPr>
      <w:r w:rsidRPr="00536A7F">
        <w:rPr>
          <w:rFonts w:ascii="Arial" w:hAnsi="Arial" w:cs="Arial"/>
          <w:sz w:val="22"/>
          <w:szCs w:val="22"/>
        </w:rPr>
        <w:t>SMART goals help teams set clear, practical, and realistic aims.</w:t>
      </w:r>
      <w:r w:rsidR="00876C20">
        <w:rPr>
          <w:rFonts w:ascii="Arial" w:hAnsi="Arial" w:cs="Arial"/>
          <w:sz w:val="22"/>
          <w:szCs w:val="22"/>
        </w:rPr>
        <w:t xml:space="preserve"> </w:t>
      </w:r>
      <w:r w:rsidR="008A0FED" w:rsidRPr="008A0FED">
        <w:rPr>
          <w:rFonts w:ascii="Arial" w:hAnsi="Arial" w:cs="Arial"/>
          <w:i/>
          <w:iCs/>
          <w:sz w:val="22"/>
          <w:szCs w:val="22"/>
        </w:rPr>
        <w:t>SMART objectives provide measurable criteria that can support project planning, monitoring and performance evaluation (Project Management Institute, 2021)</w:t>
      </w:r>
      <w:r w:rsidR="00665734">
        <w:rPr>
          <w:rFonts w:ascii="Arial" w:hAnsi="Arial" w:cs="Arial"/>
          <w:i/>
          <w:iCs/>
          <w:sz w:val="22"/>
          <w:szCs w:val="22"/>
        </w:rPr>
        <w:t>.</w:t>
      </w:r>
      <w:r w:rsidRPr="00536A7F">
        <w:rPr>
          <w:rFonts w:ascii="Arial" w:hAnsi="Arial" w:cs="Arial"/>
          <w:sz w:val="22"/>
          <w:szCs w:val="22"/>
        </w:rPr>
        <w:t xml:space="preserve"> They define what’s needed, how to track progress, and the deadline for each task.</w:t>
      </w:r>
      <w:r w:rsidR="0095550D">
        <w:rPr>
          <w:rFonts w:ascii="Arial" w:hAnsi="Arial" w:cs="Arial"/>
          <w:sz w:val="22"/>
          <w:szCs w:val="22"/>
        </w:rPr>
        <w:t xml:space="preserve"> </w:t>
      </w:r>
      <w:r w:rsidR="00536A7F" w:rsidRPr="001753F5">
        <w:rPr>
          <w:rFonts w:ascii="Arial" w:hAnsi="Arial" w:cs="Arial"/>
          <w:sz w:val="22"/>
          <w:szCs w:val="22"/>
        </w:rPr>
        <w:t xml:space="preserve">In projects, they </w:t>
      </w:r>
      <w:r w:rsidR="008372F7">
        <w:rPr>
          <w:rFonts w:ascii="Arial" w:hAnsi="Arial" w:cs="Arial"/>
          <w:sz w:val="22"/>
          <w:szCs w:val="22"/>
        </w:rPr>
        <w:t xml:space="preserve">provide direction, help with planning, guide decision-making, and enable managers to </w:t>
      </w:r>
      <w:r w:rsidR="00536A7F" w:rsidRPr="001753F5">
        <w:rPr>
          <w:rFonts w:ascii="Arial" w:hAnsi="Arial" w:cs="Arial"/>
          <w:sz w:val="22"/>
          <w:szCs w:val="22"/>
        </w:rPr>
        <w:t>monitor progress. SMART goals also make sure everyone understands what’s expected and works together effectively.</w:t>
      </w:r>
      <w:r w:rsidR="00156D80">
        <w:rPr>
          <w:rFonts w:ascii="Arial" w:hAnsi="Arial" w:cs="Arial"/>
          <w:sz w:val="22"/>
          <w:szCs w:val="22"/>
        </w:rPr>
        <w:t xml:space="preserve"> </w:t>
      </w:r>
      <w:r w:rsidR="00536A7F" w:rsidRPr="001753F5">
        <w:rPr>
          <w:rFonts w:ascii="Arial" w:hAnsi="Arial" w:cs="Arial"/>
          <w:sz w:val="22"/>
          <w:szCs w:val="22"/>
        </w:rPr>
        <w:t xml:space="preserve">For Primark’s </w:t>
      </w:r>
      <w:r w:rsidR="00536A7F" w:rsidRPr="003E7659">
        <w:rPr>
          <w:rFonts w:ascii="Arial" w:hAnsi="Arial" w:cs="Arial"/>
          <w:sz w:val="22"/>
          <w:szCs w:val="22"/>
        </w:rPr>
        <w:t>ConnectPlus</w:t>
      </w:r>
      <w:r w:rsidR="00536A7F" w:rsidRPr="001753F5">
        <w:rPr>
          <w:rFonts w:ascii="Arial" w:hAnsi="Arial" w:cs="Arial"/>
          <w:sz w:val="22"/>
          <w:szCs w:val="22"/>
        </w:rPr>
        <w:t xml:space="preserve">, SMART goals keep the team </w:t>
      </w:r>
      <w:r w:rsidR="00536A7F">
        <w:rPr>
          <w:rFonts w:ascii="Arial" w:hAnsi="Arial" w:cs="Arial"/>
          <w:sz w:val="22"/>
          <w:szCs w:val="22"/>
        </w:rPr>
        <w:t>organised</w:t>
      </w:r>
      <w:r w:rsidR="00536A7F" w:rsidRPr="001753F5">
        <w:rPr>
          <w:rFonts w:ascii="Arial" w:hAnsi="Arial" w:cs="Arial"/>
          <w:sz w:val="22"/>
          <w:szCs w:val="22"/>
        </w:rPr>
        <w:t>, ensure a timely launch, and boost customer engagement as part of its digital shift.</w:t>
      </w:r>
    </w:p>
    <w:tbl>
      <w:tblPr>
        <w:tblStyle w:val="TableGrid"/>
        <w:tblpPr w:leftFromText="180" w:rightFromText="180" w:vertAnchor="page" w:horzAnchor="margin" w:tblpXSpec="center" w:tblpY="6273"/>
        <w:tblW w:w="10490" w:type="dxa"/>
        <w:tblLook w:val="04A0" w:firstRow="1" w:lastRow="0" w:firstColumn="1" w:lastColumn="0" w:noHBand="0" w:noVBand="1"/>
      </w:tblPr>
      <w:tblGrid>
        <w:gridCol w:w="1838"/>
        <w:gridCol w:w="8652"/>
      </w:tblGrid>
      <w:tr w:rsidR="00AB7FC4" w14:paraId="1E34A0F3" w14:textId="77777777" w:rsidTr="00AB7FC4">
        <w:tc>
          <w:tcPr>
            <w:tcW w:w="1838" w:type="dxa"/>
          </w:tcPr>
          <w:p w14:paraId="10758EE5" w14:textId="77777777" w:rsidR="00AB7FC4" w:rsidRPr="00773E74" w:rsidRDefault="00AB7FC4" w:rsidP="00AB7FC4">
            <w:pPr>
              <w:tabs>
                <w:tab w:val="left" w:pos="6646"/>
              </w:tabs>
              <w:rPr>
                <w:rFonts w:ascii="Arial" w:hAnsi="Arial" w:cs="Arial"/>
                <w:b/>
                <w:bCs/>
                <w:sz w:val="22"/>
                <w:szCs w:val="22"/>
              </w:rPr>
            </w:pPr>
            <w:r w:rsidRPr="00773E74">
              <w:rPr>
                <w:rFonts w:ascii="Arial" w:hAnsi="Arial" w:cs="Arial"/>
                <w:b/>
                <w:bCs/>
                <w:sz w:val="22"/>
                <w:szCs w:val="22"/>
              </w:rPr>
              <w:t>SMART Criteria</w:t>
            </w:r>
          </w:p>
        </w:tc>
        <w:tc>
          <w:tcPr>
            <w:tcW w:w="8652" w:type="dxa"/>
          </w:tcPr>
          <w:p w14:paraId="08F79C52" w14:textId="77777777" w:rsidR="00AB7FC4" w:rsidRPr="00773E74" w:rsidRDefault="00AB7FC4" w:rsidP="00AB7FC4">
            <w:pPr>
              <w:tabs>
                <w:tab w:val="left" w:pos="6646"/>
              </w:tabs>
              <w:rPr>
                <w:rFonts w:ascii="Arial" w:hAnsi="Arial" w:cs="Arial"/>
                <w:b/>
                <w:bCs/>
                <w:sz w:val="22"/>
                <w:szCs w:val="22"/>
              </w:rPr>
            </w:pPr>
            <w:r w:rsidRPr="00773E74">
              <w:rPr>
                <w:rFonts w:ascii="Arial" w:hAnsi="Arial" w:cs="Arial"/>
                <w:b/>
                <w:bCs/>
                <w:sz w:val="22"/>
                <w:szCs w:val="22"/>
              </w:rPr>
              <w:t>Objective for the ConnectPlus Project</w:t>
            </w:r>
          </w:p>
        </w:tc>
      </w:tr>
      <w:tr w:rsidR="00AB7FC4" w14:paraId="5666E36C" w14:textId="77777777" w:rsidTr="00AB7FC4">
        <w:tc>
          <w:tcPr>
            <w:tcW w:w="1838" w:type="dxa"/>
          </w:tcPr>
          <w:p w14:paraId="640F55BA" w14:textId="77777777" w:rsidR="00AB7FC4" w:rsidRPr="00773E74" w:rsidRDefault="00AB7FC4" w:rsidP="00AB7FC4">
            <w:pPr>
              <w:tabs>
                <w:tab w:val="left" w:pos="6646"/>
              </w:tabs>
              <w:rPr>
                <w:rFonts w:ascii="Arial" w:hAnsi="Arial" w:cs="Arial"/>
                <w:b/>
                <w:bCs/>
                <w:sz w:val="22"/>
                <w:szCs w:val="22"/>
              </w:rPr>
            </w:pPr>
            <w:r w:rsidRPr="00773E74">
              <w:rPr>
                <w:rFonts w:ascii="Arial" w:hAnsi="Arial" w:cs="Arial"/>
                <w:b/>
                <w:bCs/>
                <w:sz w:val="22"/>
                <w:szCs w:val="22"/>
              </w:rPr>
              <w:t>Specific</w:t>
            </w:r>
          </w:p>
        </w:tc>
        <w:tc>
          <w:tcPr>
            <w:tcW w:w="8652" w:type="dxa"/>
          </w:tcPr>
          <w:p w14:paraId="3B58BD67" w14:textId="77777777" w:rsidR="00AB7FC4" w:rsidRDefault="00AB7FC4" w:rsidP="00AB7FC4">
            <w:pPr>
              <w:tabs>
                <w:tab w:val="left" w:pos="6646"/>
              </w:tabs>
              <w:spacing w:line="360" w:lineRule="auto"/>
              <w:rPr>
                <w:rFonts w:ascii="Arial" w:hAnsi="Arial" w:cs="Arial"/>
                <w:sz w:val="22"/>
                <w:szCs w:val="22"/>
              </w:rPr>
            </w:pPr>
            <w:r w:rsidRPr="00966210">
              <w:rPr>
                <w:rFonts w:ascii="Arial" w:hAnsi="Arial" w:cs="Arial"/>
                <w:sz w:val="22"/>
                <w:szCs w:val="22"/>
              </w:rPr>
              <w:t>Implement the ConnectPlus digital loyalty and customer engagement platform across all selected Primark stores in the UK and international markets.</w:t>
            </w:r>
          </w:p>
        </w:tc>
      </w:tr>
      <w:tr w:rsidR="00AB7FC4" w14:paraId="2AD37EBE" w14:textId="77777777" w:rsidTr="00AB7FC4">
        <w:tc>
          <w:tcPr>
            <w:tcW w:w="1838" w:type="dxa"/>
          </w:tcPr>
          <w:p w14:paraId="442F7941" w14:textId="77777777" w:rsidR="00AB7FC4" w:rsidRPr="00773E74" w:rsidRDefault="00AB7FC4" w:rsidP="00AB7FC4">
            <w:pPr>
              <w:tabs>
                <w:tab w:val="left" w:pos="6646"/>
              </w:tabs>
              <w:rPr>
                <w:rFonts w:ascii="Arial" w:hAnsi="Arial" w:cs="Arial"/>
                <w:b/>
                <w:bCs/>
                <w:sz w:val="22"/>
                <w:szCs w:val="22"/>
              </w:rPr>
            </w:pPr>
            <w:r w:rsidRPr="00773E74">
              <w:rPr>
                <w:rFonts w:ascii="Arial" w:hAnsi="Arial" w:cs="Arial"/>
                <w:b/>
                <w:bCs/>
                <w:sz w:val="22"/>
                <w:szCs w:val="22"/>
              </w:rPr>
              <w:t>Measurable</w:t>
            </w:r>
          </w:p>
        </w:tc>
        <w:tc>
          <w:tcPr>
            <w:tcW w:w="8652" w:type="dxa"/>
          </w:tcPr>
          <w:p w14:paraId="6C4B9657" w14:textId="77777777" w:rsidR="00AB7FC4" w:rsidRDefault="00AB7FC4" w:rsidP="00AB7FC4">
            <w:pPr>
              <w:tabs>
                <w:tab w:val="left" w:pos="6646"/>
              </w:tabs>
              <w:spacing w:line="360" w:lineRule="auto"/>
              <w:rPr>
                <w:rFonts w:ascii="Arial" w:hAnsi="Arial" w:cs="Arial"/>
                <w:sz w:val="22"/>
                <w:szCs w:val="22"/>
              </w:rPr>
            </w:pPr>
            <w:r w:rsidRPr="008F41C8">
              <w:rPr>
                <w:rFonts w:ascii="Arial" w:hAnsi="Arial" w:cs="Arial"/>
                <w:sz w:val="22"/>
                <w:szCs w:val="22"/>
              </w:rPr>
              <w:t xml:space="preserve">Increase customer retention by </w:t>
            </w:r>
            <w:r>
              <w:rPr>
                <w:rFonts w:ascii="Arial" w:hAnsi="Arial" w:cs="Arial"/>
                <w:sz w:val="22"/>
                <w:szCs w:val="22"/>
              </w:rPr>
              <w:t>20</w:t>
            </w:r>
            <w:r w:rsidRPr="008F41C8">
              <w:rPr>
                <w:rFonts w:ascii="Arial" w:hAnsi="Arial" w:cs="Arial"/>
                <w:b/>
                <w:bCs/>
                <w:sz w:val="22"/>
                <w:szCs w:val="22"/>
              </w:rPr>
              <w:t>%</w:t>
            </w:r>
            <w:r w:rsidRPr="008F41C8">
              <w:rPr>
                <w:rFonts w:ascii="Arial" w:hAnsi="Arial" w:cs="Arial"/>
                <w:sz w:val="22"/>
                <w:szCs w:val="22"/>
              </w:rPr>
              <w:t>, improve customer engagement, and achieve higher participation in the loyalty programme within the first year of launch.</w:t>
            </w:r>
          </w:p>
        </w:tc>
      </w:tr>
      <w:tr w:rsidR="00AB7FC4" w14:paraId="5F8085E3" w14:textId="77777777" w:rsidTr="00AB7FC4">
        <w:tc>
          <w:tcPr>
            <w:tcW w:w="1838" w:type="dxa"/>
          </w:tcPr>
          <w:p w14:paraId="0EB211AC" w14:textId="77777777" w:rsidR="00AB7FC4" w:rsidRPr="00773E74" w:rsidRDefault="00AB7FC4" w:rsidP="00AB7FC4">
            <w:pPr>
              <w:tabs>
                <w:tab w:val="left" w:pos="6646"/>
              </w:tabs>
              <w:rPr>
                <w:rFonts w:ascii="Arial" w:hAnsi="Arial" w:cs="Arial"/>
                <w:b/>
                <w:bCs/>
                <w:sz w:val="22"/>
                <w:szCs w:val="22"/>
              </w:rPr>
            </w:pPr>
            <w:r w:rsidRPr="00773E74">
              <w:rPr>
                <w:rFonts w:ascii="Arial" w:hAnsi="Arial" w:cs="Arial"/>
                <w:b/>
                <w:bCs/>
                <w:sz w:val="22"/>
                <w:szCs w:val="22"/>
              </w:rPr>
              <w:t>Achievable</w:t>
            </w:r>
          </w:p>
        </w:tc>
        <w:tc>
          <w:tcPr>
            <w:tcW w:w="8652" w:type="dxa"/>
          </w:tcPr>
          <w:p w14:paraId="605CB45F" w14:textId="77777777" w:rsidR="00AB7FC4" w:rsidRDefault="00AB7FC4" w:rsidP="00AB7FC4">
            <w:pPr>
              <w:tabs>
                <w:tab w:val="left" w:pos="6646"/>
              </w:tabs>
              <w:spacing w:line="360" w:lineRule="auto"/>
              <w:rPr>
                <w:rFonts w:ascii="Arial" w:hAnsi="Arial" w:cs="Arial"/>
                <w:sz w:val="22"/>
                <w:szCs w:val="22"/>
              </w:rPr>
            </w:pPr>
            <w:r w:rsidRPr="008F41C8">
              <w:rPr>
                <w:rFonts w:ascii="Arial" w:hAnsi="Arial" w:cs="Arial"/>
                <w:sz w:val="22"/>
                <w:szCs w:val="22"/>
              </w:rPr>
              <w:t>Deliver employee training, integrate ConnectPlus with existing digital systems, and ensure all departments are prepared before the platform goes live.</w:t>
            </w:r>
          </w:p>
        </w:tc>
      </w:tr>
      <w:tr w:rsidR="00AB7FC4" w14:paraId="1F5C2E96" w14:textId="77777777" w:rsidTr="00AB7FC4">
        <w:tc>
          <w:tcPr>
            <w:tcW w:w="1838" w:type="dxa"/>
          </w:tcPr>
          <w:p w14:paraId="609D4C73" w14:textId="77777777" w:rsidR="00AB7FC4" w:rsidRPr="00773E74" w:rsidRDefault="00AB7FC4" w:rsidP="00AB7FC4">
            <w:pPr>
              <w:tabs>
                <w:tab w:val="left" w:pos="6646"/>
              </w:tabs>
              <w:rPr>
                <w:rFonts w:ascii="Arial" w:hAnsi="Arial" w:cs="Arial"/>
                <w:b/>
                <w:bCs/>
                <w:sz w:val="22"/>
                <w:szCs w:val="22"/>
              </w:rPr>
            </w:pPr>
            <w:r w:rsidRPr="00773E74">
              <w:rPr>
                <w:rFonts w:ascii="Arial" w:hAnsi="Arial" w:cs="Arial"/>
                <w:b/>
                <w:bCs/>
                <w:sz w:val="22"/>
                <w:szCs w:val="22"/>
              </w:rPr>
              <w:t>Relevant</w:t>
            </w:r>
          </w:p>
        </w:tc>
        <w:tc>
          <w:tcPr>
            <w:tcW w:w="8652" w:type="dxa"/>
          </w:tcPr>
          <w:p w14:paraId="0D8AC2B4" w14:textId="77777777" w:rsidR="00AB7FC4" w:rsidRDefault="00AB7FC4" w:rsidP="00AB7FC4">
            <w:pPr>
              <w:tabs>
                <w:tab w:val="left" w:pos="6646"/>
              </w:tabs>
              <w:spacing w:line="360" w:lineRule="auto"/>
              <w:rPr>
                <w:rFonts w:ascii="Arial" w:hAnsi="Arial" w:cs="Arial"/>
                <w:sz w:val="22"/>
                <w:szCs w:val="22"/>
              </w:rPr>
            </w:pPr>
            <w:r w:rsidRPr="008F41C8">
              <w:rPr>
                <w:rFonts w:ascii="Arial" w:hAnsi="Arial" w:cs="Arial"/>
                <w:sz w:val="22"/>
                <w:szCs w:val="22"/>
              </w:rPr>
              <w:t>Support Primark's digital transformation strategy by enhancing customer experience, strengthening customer loyalty, and improving data-driven decision-making.</w:t>
            </w:r>
          </w:p>
        </w:tc>
      </w:tr>
      <w:tr w:rsidR="00AB7FC4" w14:paraId="3605B2D2" w14:textId="77777777" w:rsidTr="00AB7FC4">
        <w:trPr>
          <w:trHeight w:val="708"/>
        </w:trPr>
        <w:tc>
          <w:tcPr>
            <w:tcW w:w="1838" w:type="dxa"/>
          </w:tcPr>
          <w:p w14:paraId="2E73F700" w14:textId="77777777" w:rsidR="00AB7FC4" w:rsidRPr="00773E74" w:rsidRDefault="00AB7FC4" w:rsidP="00AB7FC4">
            <w:pPr>
              <w:tabs>
                <w:tab w:val="left" w:pos="6646"/>
              </w:tabs>
              <w:rPr>
                <w:rFonts w:ascii="Arial" w:hAnsi="Arial" w:cs="Arial"/>
                <w:b/>
                <w:bCs/>
                <w:sz w:val="22"/>
                <w:szCs w:val="22"/>
              </w:rPr>
            </w:pPr>
            <w:r w:rsidRPr="00773E74">
              <w:rPr>
                <w:rFonts w:ascii="Arial" w:hAnsi="Arial" w:cs="Arial"/>
                <w:b/>
                <w:bCs/>
                <w:sz w:val="22"/>
                <w:szCs w:val="22"/>
              </w:rPr>
              <w:t>Time-bound</w:t>
            </w:r>
          </w:p>
        </w:tc>
        <w:tc>
          <w:tcPr>
            <w:tcW w:w="8652" w:type="dxa"/>
          </w:tcPr>
          <w:p w14:paraId="31D791EB" w14:textId="77777777" w:rsidR="00AB7FC4" w:rsidRPr="00A63ECB" w:rsidRDefault="00AB7FC4" w:rsidP="00AB7FC4">
            <w:pPr>
              <w:spacing w:line="360" w:lineRule="auto"/>
            </w:pPr>
            <w:r>
              <w:t xml:space="preserve">Successfully launch and implement ConnectPlus across selected markets within </w:t>
            </w:r>
            <w:r w:rsidRPr="00841AA1">
              <w:rPr>
                <w:rStyle w:val="Strong"/>
                <w:b w:val="0"/>
                <w:bCs w:val="0"/>
              </w:rPr>
              <w:t>six months</w:t>
            </w:r>
            <w:r w:rsidRPr="00841AA1">
              <w:rPr>
                <w:b/>
                <w:bCs/>
              </w:rPr>
              <w:t>.</w:t>
            </w:r>
          </w:p>
        </w:tc>
      </w:tr>
    </w:tbl>
    <w:p w14:paraId="12F979EF" w14:textId="77777777" w:rsidR="003E7659" w:rsidRPr="002A5AF7" w:rsidRDefault="003E7659" w:rsidP="005E5FCF">
      <w:pPr>
        <w:tabs>
          <w:tab w:val="left" w:pos="6646"/>
        </w:tabs>
        <w:rPr>
          <w:rFonts w:ascii="Arial" w:hAnsi="Arial" w:cs="Arial"/>
          <w:b/>
          <w:bCs/>
          <w:sz w:val="22"/>
          <w:szCs w:val="22"/>
        </w:rPr>
      </w:pPr>
    </w:p>
    <w:p w14:paraId="080F5C6B" w14:textId="77777777" w:rsidR="00D2594D" w:rsidRPr="002A5AF7" w:rsidRDefault="00D2594D" w:rsidP="00A064B4">
      <w:pPr>
        <w:tabs>
          <w:tab w:val="left" w:pos="6646"/>
        </w:tabs>
        <w:jc w:val="both"/>
        <w:rPr>
          <w:rFonts w:ascii="Arial" w:hAnsi="Arial" w:cs="Arial"/>
          <w:b/>
          <w:bCs/>
          <w:sz w:val="22"/>
          <w:szCs w:val="22"/>
        </w:rPr>
      </w:pPr>
      <w:r w:rsidRPr="002A5AF7">
        <w:rPr>
          <w:rFonts w:ascii="Arial" w:hAnsi="Arial" w:cs="Arial"/>
          <w:b/>
          <w:bCs/>
          <w:sz w:val="22"/>
          <w:szCs w:val="22"/>
        </w:rPr>
        <w:t xml:space="preserve">3. Identification and Categorisation of Stakeholders </w:t>
      </w:r>
    </w:p>
    <w:p w14:paraId="6886F158" w14:textId="015F60F9" w:rsidR="005E5FCF" w:rsidRPr="005E5FCF" w:rsidRDefault="005E5FCF" w:rsidP="00A064B4">
      <w:pPr>
        <w:tabs>
          <w:tab w:val="left" w:pos="6646"/>
        </w:tabs>
        <w:spacing w:line="360" w:lineRule="auto"/>
        <w:jc w:val="both"/>
        <w:rPr>
          <w:rFonts w:ascii="Arial" w:hAnsi="Arial" w:cs="Arial"/>
          <w:sz w:val="22"/>
          <w:szCs w:val="22"/>
        </w:rPr>
      </w:pPr>
      <w:r w:rsidRPr="005E5FCF">
        <w:rPr>
          <w:rFonts w:ascii="Arial" w:hAnsi="Arial" w:cs="Arial"/>
          <w:sz w:val="22"/>
          <w:szCs w:val="22"/>
        </w:rPr>
        <w:t>Stakeholders are individuals, groups, or organisations that can influence or are affected by a project</w:t>
      </w:r>
      <w:r w:rsidRPr="002C70E3">
        <w:rPr>
          <w:rFonts w:ascii="Arial" w:hAnsi="Arial" w:cs="Arial"/>
          <w:i/>
          <w:iCs/>
          <w:sz w:val="22"/>
          <w:szCs w:val="22"/>
        </w:rPr>
        <w:t>. According to Freeman (1984), effective stakeholder management is essential because different stakeholders have different levels of interest, influence, and expectations.</w:t>
      </w:r>
      <w:r w:rsidRPr="005E5FCF">
        <w:rPr>
          <w:rFonts w:ascii="Arial" w:hAnsi="Arial" w:cs="Arial"/>
          <w:sz w:val="22"/>
          <w:szCs w:val="22"/>
        </w:rPr>
        <w:t xml:space="preserve"> </w:t>
      </w:r>
      <w:r w:rsidR="00612599" w:rsidRPr="00077864">
        <w:rPr>
          <w:rFonts w:ascii="Arial" w:hAnsi="Arial" w:cs="Arial"/>
          <w:i/>
          <w:iCs/>
          <w:sz w:val="22"/>
          <w:szCs w:val="22"/>
        </w:rPr>
        <w:t>Effective stakeholder identification should consider differences in stakeholder influence, interests and information needs throughout the project lifecycle (Alnhari and Qureshi, 2024).</w:t>
      </w:r>
      <w:r w:rsidR="00025600">
        <w:rPr>
          <w:rFonts w:ascii="Arial" w:hAnsi="Arial" w:cs="Arial"/>
          <w:i/>
          <w:iCs/>
          <w:sz w:val="22"/>
          <w:szCs w:val="22"/>
        </w:rPr>
        <w:t xml:space="preserve"> </w:t>
      </w:r>
      <w:r w:rsidRPr="005E5FCF">
        <w:rPr>
          <w:rFonts w:ascii="Arial" w:hAnsi="Arial" w:cs="Arial"/>
          <w:sz w:val="22"/>
          <w:szCs w:val="22"/>
        </w:rPr>
        <w:t>Fo</w:t>
      </w:r>
      <w:r w:rsidR="00025600">
        <w:rPr>
          <w:rFonts w:ascii="Arial" w:hAnsi="Arial" w:cs="Arial"/>
          <w:sz w:val="22"/>
          <w:szCs w:val="22"/>
        </w:rPr>
        <w:t xml:space="preserve">r </w:t>
      </w:r>
      <w:r w:rsidRPr="005E5FCF">
        <w:rPr>
          <w:rFonts w:ascii="Arial" w:hAnsi="Arial" w:cs="Arial"/>
          <w:sz w:val="22"/>
          <w:szCs w:val="22"/>
        </w:rPr>
        <w:t xml:space="preserve">the successful implementation of the </w:t>
      </w:r>
      <w:r w:rsidRPr="00C876FD">
        <w:rPr>
          <w:rFonts w:ascii="Arial" w:hAnsi="Arial" w:cs="Arial"/>
          <w:sz w:val="22"/>
          <w:szCs w:val="22"/>
        </w:rPr>
        <w:t>ConnectPlus</w:t>
      </w:r>
      <w:r w:rsidRPr="005E5FCF">
        <w:rPr>
          <w:rFonts w:ascii="Arial" w:hAnsi="Arial" w:cs="Arial"/>
          <w:sz w:val="22"/>
          <w:szCs w:val="22"/>
        </w:rPr>
        <w:t xml:space="preserve"> platform at Primark, it is important to identify both internal and external stakeholders, understand their roles, and ensure they are engaged throughout the project lifecycle.</w:t>
      </w:r>
      <w:r w:rsidR="001D27D4">
        <w:rPr>
          <w:rFonts w:ascii="Arial" w:hAnsi="Arial" w:cs="Arial"/>
          <w:sz w:val="22"/>
          <w:szCs w:val="22"/>
        </w:rPr>
        <w:t xml:space="preserve"> Recognising their influence helps foster trust and confidence in their contributions, which is crucial for project success.</w:t>
      </w:r>
    </w:p>
    <w:p w14:paraId="52E40BE7" w14:textId="77777777" w:rsidR="008D2228" w:rsidRDefault="008D2228" w:rsidP="005E5FCF">
      <w:pPr>
        <w:tabs>
          <w:tab w:val="left" w:pos="6646"/>
        </w:tabs>
        <w:spacing w:line="360" w:lineRule="auto"/>
        <w:rPr>
          <w:rFonts w:ascii="Arial" w:hAnsi="Arial" w:cs="Arial"/>
          <w:b/>
          <w:bCs/>
          <w:sz w:val="22"/>
          <w:szCs w:val="22"/>
        </w:rPr>
      </w:pPr>
    </w:p>
    <w:p w14:paraId="2D660057" w14:textId="77777777" w:rsidR="008D2228" w:rsidRDefault="008D2228" w:rsidP="005E5FCF">
      <w:pPr>
        <w:tabs>
          <w:tab w:val="left" w:pos="6646"/>
        </w:tabs>
        <w:spacing w:line="360" w:lineRule="auto"/>
        <w:rPr>
          <w:rFonts w:ascii="Arial" w:hAnsi="Arial" w:cs="Arial"/>
          <w:b/>
          <w:bCs/>
          <w:sz w:val="22"/>
          <w:szCs w:val="22"/>
        </w:rPr>
      </w:pPr>
    </w:p>
    <w:p w14:paraId="5D174744" w14:textId="11A977CF" w:rsidR="00F42308" w:rsidRPr="008D2228" w:rsidRDefault="005E5FCF" w:rsidP="005E5FCF">
      <w:pPr>
        <w:tabs>
          <w:tab w:val="left" w:pos="6646"/>
        </w:tabs>
        <w:spacing w:line="360" w:lineRule="auto"/>
        <w:rPr>
          <w:rFonts w:ascii="Arial" w:hAnsi="Arial" w:cs="Arial"/>
          <w:b/>
          <w:bCs/>
          <w:sz w:val="22"/>
          <w:szCs w:val="22"/>
        </w:rPr>
      </w:pPr>
      <w:r w:rsidRPr="008D2228">
        <w:rPr>
          <w:rFonts w:ascii="Arial" w:hAnsi="Arial" w:cs="Arial"/>
          <w:b/>
          <w:bCs/>
          <w:sz w:val="22"/>
          <w:szCs w:val="22"/>
        </w:rPr>
        <w:lastRenderedPageBreak/>
        <w:t>3.1 Internal Stakeholders</w:t>
      </w:r>
    </w:p>
    <w:p w14:paraId="530460C3" w14:textId="245B4949" w:rsidR="00777A36" w:rsidRPr="008D2228" w:rsidRDefault="005F196C" w:rsidP="005E5FCF">
      <w:pPr>
        <w:tabs>
          <w:tab w:val="left" w:pos="6646"/>
        </w:tabs>
        <w:spacing w:line="360" w:lineRule="auto"/>
        <w:rPr>
          <w:rFonts w:ascii="Arial" w:hAnsi="Arial" w:cs="Arial"/>
          <w:b/>
          <w:bCs/>
          <w:sz w:val="22"/>
          <w:szCs w:val="22"/>
        </w:rPr>
      </w:pPr>
      <w:r w:rsidRPr="008D2228">
        <w:rPr>
          <w:rFonts w:ascii="Arial" w:hAnsi="Arial" w:cs="Arial"/>
          <w:b/>
          <w:bCs/>
          <w:sz w:val="22"/>
          <w:szCs w:val="22"/>
        </w:rPr>
        <w:t>Swots analyse</w:t>
      </w:r>
    </w:p>
    <w:p w14:paraId="3BDDCBF4" w14:textId="07BCCFDD" w:rsidR="00666DF3" w:rsidRDefault="00BA5A8B" w:rsidP="00666DF3">
      <w:pPr>
        <w:tabs>
          <w:tab w:val="left" w:pos="6646"/>
        </w:tabs>
        <w:spacing w:line="360" w:lineRule="auto"/>
        <w:jc w:val="both"/>
        <w:rPr>
          <w:rFonts w:ascii="Arial" w:hAnsi="Arial" w:cs="Arial"/>
          <w:sz w:val="22"/>
          <w:szCs w:val="22"/>
        </w:rPr>
      </w:pPr>
      <w:r w:rsidRPr="00DF4DED">
        <w:rPr>
          <w:rFonts w:ascii="Arial" w:hAnsi="Arial" w:cs="Arial"/>
          <w:sz w:val="22"/>
          <w:szCs w:val="22"/>
        </w:rPr>
        <w:t xml:space="preserve">The SWOT analysis demonstrates that Primark possesses several internal strengths that support the successful implementation of the ConnectPlus platform, particularly its strong leadership, cross-functional collaboration, and advanced technological capabilities. These strengths provide a solid foundation for managing digital transformation and achieving strategic objectives. However, their effectiveness depends on how well the organisation addresses inherent internal weaknesses. Employee resistance to organisational change, the </w:t>
      </w:r>
      <w:r w:rsidR="008F0AD9">
        <w:rPr>
          <w:rFonts w:ascii="Arial" w:hAnsi="Arial" w:cs="Arial"/>
          <w:sz w:val="22"/>
          <w:szCs w:val="22"/>
        </w:rPr>
        <w:t>c</w:t>
      </w:r>
      <w:r w:rsidRPr="00DF4DED">
        <w:rPr>
          <w:rFonts w:ascii="Arial" w:hAnsi="Arial" w:cs="Arial"/>
          <w:sz w:val="22"/>
          <w:szCs w:val="22"/>
        </w:rPr>
        <w:t>omplexity of integrating ConnectPlus with existing systems, and the significant investment required for staff training could undermine project performance if not managed proactively. These challenges highlight that technological capability alone is insufficient without effective change management and stakeholder engagement.</w:t>
      </w:r>
      <w:r w:rsidR="00FA09C3">
        <w:rPr>
          <w:rFonts w:ascii="Arial" w:hAnsi="Arial" w:cs="Arial"/>
          <w:sz w:val="22"/>
          <w:szCs w:val="22"/>
        </w:rPr>
        <w:t xml:space="preserve"> </w:t>
      </w:r>
      <w:r w:rsidR="00FA09C3" w:rsidRPr="0028701A">
        <w:rPr>
          <w:rFonts w:ascii="Arial" w:hAnsi="Arial" w:cs="Arial"/>
          <w:i/>
          <w:iCs/>
          <w:sz w:val="22"/>
          <w:szCs w:val="22"/>
        </w:rPr>
        <w:t>Digital transformation is not solely a technological process, as successful implementation also depends on organisational capabilities, employee participation and effective management of change (CIPD, 2023).</w:t>
      </w:r>
      <w:r w:rsidR="00C34D19">
        <w:rPr>
          <w:rFonts w:ascii="Arial" w:hAnsi="Arial" w:cs="Arial"/>
          <w:sz w:val="22"/>
          <w:szCs w:val="22"/>
        </w:rPr>
        <w:t xml:space="preserve"> </w:t>
      </w:r>
      <w:r w:rsidRPr="00DF4DED">
        <w:rPr>
          <w:rFonts w:ascii="Arial" w:hAnsi="Arial" w:cs="Arial"/>
          <w:sz w:val="22"/>
          <w:szCs w:val="22"/>
        </w:rPr>
        <w:t xml:space="preserve">From an external perspective, the increasing demand for personalised digital experiences presents a significant opportunity for Primark to strengthen customer loyalty, enhance data-driven decision-making, and reinforce its competitive position within the retail sector. Nevertheless, these opportunities are accompanied by substantial risks. </w:t>
      </w:r>
      <w:r w:rsidRPr="003F2DCD">
        <w:rPr>
          <w:rFonts w:ascii="Arial" w:hAnsi="Arial" w:cs="Arial"/>
          <w:i/>
          <w:iCs/>
          <w:sz w:val="22"/>
          <w:szCs w:val="22"/>
        </w:rPr>
        <w:t xml:space="preserve">Compliance with GDPR and other international data protection regulations imposes strict legal and ethical responsibilities regarding the collection and use of customer </w:t>
      </w:r>
      <w:r w:rsidR="003F2DCD" w:rsidRPr="003F2DCD">
        <w:rPr>
          <w:rFonts w:ascii="Arial" w:hAnsi="Arial" w:cs="Arial"/>
          <w:i/>
          <w:iCs/>
          <w:sz w:val="22"/>
          <w:szCs w:val="22"/>
        </w:rPr>
        <w:t>data (</w:t>
      </w:r>
      <w:r w:rsidR="003C2879" w:rsidRPr="003F2DCD">
        <w:rPr>
          <w:rFonts w:ascii="Arial" w:hAnsi="Arial" w:cs="Arial"/>
          <w:i/>
          <w:iCs/>
          <w:sz w:val="22"/>
          <w:szCs w:val="22"/>
        </w:rPr>
        <w:t>Information Commissioner's Office, 2024)</w:t>
      </w:r>
      <w:r w:rsidRPr="003F2DCD">
        <w:rPr>
          <w:rFonts w:ascii="Arial" w:hAnsi="Arial" w:cs="Arial"/>
          <w:i/>
          <w:iCs/>
          <w:sz w:val="22"/>
          <w:szCs w:val="22"/>
        </w:rPr>
        <w:t>.</w:t>
      </w:r>
      <w:r w:rsidRPr="00DF4DED">
        <w:rPr>
          <w:rFonts w:ascii="Arial" w:hAnsi="Arial" w:cs="Arial"/>
          <w:sz w:val="22"/>
          <w:szCs w:val="22"/>
        </w:rPr>
        <w:t xml:space="preserve"> In addition, cybersecurity threats, evolving customer expectations, and intense competition from retailers with more established digital ecosystems may reduce the project's strategic impact. Consequently, the SWOT analysis suggests that </w:t>
      </w:r>
      <w:r w:rsidR="008F0AD9">
        <w:rPr>
          <w:rFonts w:ascii="Arial" w:hAnsi="Arial" w:cs="Arial"/>
          <w:sz w:val="22"/>
          <w:szCs w:val="22"/>
        </w:rPr>
        <w:t xml:space="preserve">ConnectPlus long-term success </w:t>
      </w:r>
      <w:r w:rsidRPr="00DF4DED">
        <w:rPr>
          <w:rFonts w:ascii="Arial" w:hAnsi="Arial" w:cs="Arial"/>
          <w:sz w:val="22"/>
          <w:szCs w:val="22"/>
        </w:rPr>
        <w:t>will depend not only on leveraging organisational strengths and market opportunities but also on</w:t>
      </w:r>
      <w:r w:rsidR="00B27BF4">
        <w:rPr>
          <w:rFonts w:ascii="Arial" w:hAnsi="Arial" w:cs="Arial"/>
          <w:sz w:val="22"/>
          <w:szCs w:val="22"/>
        </w:rPr>
        <w:t xml:space="preserve"> </w:t>
      </w:r>
      <w:r w:rsidRPr="00DF4DED">
        <w:rPr>
          <w:rFonts w:ascii="Arial" w:hAnsi="Arial" w:cs="Arial"/>
          <w:sz w:val="22"/>
          <w:szCs w:val="22"/>
        </w:rPr>
        <w:t xml:space="preserve">the organisation's ability to engage stakeholders effectively, mitigate operational and </w:t>
      </w:r>
      <w:r w:rsidR="00666DF3" w:rsidRPr="00DF4DED">
        <w:rPr>
          <w:rFonts w:ascii="Arial" w:hAnsi="Arial" w:cs="Arial"/>
          <w:sz w:val="22"/>
          <w:szCs w:val="22"/>
        </w:rPr>
        <w:t>regulatory risks, and adapt continuously to a rapidly changing digital environment.</w:t>
      </w:r>
    </w:p>
    <w:tbl>
      <w:tblPr>
        <w:tblStyle w:val="TableGrid"/>
        <w:tblpPr w:leftFromText="180" w:rightFromText="180" w:vertAnchor="page" w:horzAnchor="margin" w:tblpXSpec="center" w:tblpY="1704"/>
        <w:tblW w:w="10632" w:type="dxa"/>
        <w:tblLook w:val="04A0" w:firstRow="1" w:lastRow="0" w:firstColumn="1" w:lastColumn="0" w:noHBand="0" w:noVBand="1"/>
      </w:tblPr>
      <w:tblGrid>
        <w:gridCol w:w="5222"/>
        <w:gridCol w:w="5410"/>
      </w:tblGrid>
      <w:tr w:rsidR="00D0681A" w14:paraId="0367F452" w14:textId="77777777" w:rsidTr="00B203DB">
        <w:tc>
          <w:tcPr>
            <w:tcW w:w="5222" w:type="dxa"/>
          </w:tcPr>
          <w:p w14:paraId="52F3BF30" w14:textId="77777777" w:rsidR="00D0681A" w:rsidRPr="008310F5" w:rsidRDefault="00D0681A" w:rsidP="00B203DB">
            <w:pPr>
              <w:tabs>
                <w:tab w:val="left" w:pos="6646"/>
              </w:tabs>
              <w:spacing w:line="360" w:lineRule="auto"/>
              <w:rPr>
                <w:rFonts w:ascii="Arial" w:hAnsi="Arial" w:cs="Arial"/>
                <w:b/>
                <w:bCs/>
                <w:sz w:val="22"/>
                <w:szCs w:val="22"/>
              </w:rPr>
            </w:pPr>
            <w:r w:rsidRPr="008310F5">
              <w:rPr>
                <w:rFonts w:ascii="Arial" w:hAnsi="Arial" w:cs="Arial"/>
                <w:b/>
                <w:bCs/>
                <w:sz w:val="22"/>
                <w:szCs w:val="22"/>
              </w:rPr>
              <w:lastRenderedPageBreak/>
              <w:t>Strengths (Internal Positive Factors)</w:t>
            </w:r>
          </w:p>
        </w:tc>
        <w:tc>
          <w:tcPr>
            <w:tcW w:w="5410" w:type="dxa"/>
          </w:tcPr>
          <w:p w14:paraId="6BFA7BB0" w14:textId="77777777" w:rsidR="00D0681A" w:rsidRPr="008310F5" w:rsidRDefault="00D0681A" w:rsidP="00B203DB">
            <w:pPr>
              <w:tabs>
                <w:tab w:val="left" w:pos="6646"/>
              </w:tabs>
              <w:spacing w:line="360" w:lineRule="auto"/>
              <w:rPr>
                <w:rFonts w:ascii="Arial" w:hAnsi="Arial" w:cs="Arial"/>
                <w:b/>
                <w:bCs/>
                <w:sz w:val="22"/>
                <w:szCs w:val="22"/>
              </w:rPr>
            </w:pPr>
            <w:r w:rsidRPr="008310F5">
              <w:rPr>
                <w:rFonts w:ascii="Arial" w:hAnsi="Arial" w:cs="Arial"/>
                <w:b/>
                <w:bCs/>
                <w:sz w:val="22"/>
                <w:szCs w:val="22"/>
              </w:rPr>
              <w:t>Weaknesses (Internal Negative Factors)</w:t>
            </w:r>
          </w:p>
        </w:tc>
      </w:tr>
      <w:tr w:rsidR="00D0681A" w14:paraId="2F43E89B" w14:textId="77777777" w:rsidTr="00B203DB">
        <w:tc>
          <w:tcPr>
            <w:tcW w:w="5222" w:type="dxa"/>
          </w:tcPr>
          <w:p w14:paraId="46149820" w14:textId="77777777" w:rsidR="00D0681A" w:rsidRDefault="00D0681A" w:rsidP="00B203DB">
            <w:pPr>
              <w:tabs>
                <w:tab w:val="left" w:pos="6646"/>
              </w:tabs>
              <w:spacing w:line="360" w:lineRule="auto"/>
              <w:rPr>
                <w:rFonts w:ascii="Arial" w:hAnsi="Arial" w:cs="Arial"/>
                <w:sz w:val="22"/>
                <w:szCs w:val="22"/>
              </w:rPr>
            </w:pPr>
            <w:r w:rsidRPr="00DD67EC">
              <w:rPr>
                <w:rFonts w:ascii="Arial" w:hAnsi="Arial" w:cs="Arial"/>
                <w:sz w:val="22"/>
                <w:szCs w:val="22"/>
              </w:rPr>
              <w:t>Strong leadership and strategic direction from the Board of Directors and CEO.</w:t>
            </w:r>
          </w:p>
        </w:tc>
        <w:tc>
          <w:tcPr>
            <w:tcW w:w="5410" w:type="dxa"/>
          </w:tcPr>
          <w:p w14:paraId="1F1CCF28" w14:textId="77777777" w:rsidR="00D0681A" w:rsidRDefault="00D0681A" w:rsidP="00B203DB">
            <w:pPr>
              <w:tabs>
                <w:tab w:val="left" w:pos="6646"/>
              </w:tabs>
              <w:spacing w:line="360" w:lineRule="auto"/>
              <w:rPr>
                <w:rFonts w:ascii="Arial" w:hAnsi="Arial" w:cs="Arial"/>
                <w:sz w:val="22"/>
                <w:szCs w:val="22"/>
              </w:rPr>
            </w:pPr>
            <w:r w:rsidRPr="00175145">
              <w:rPr>
                <w:rFonts w:ascii="Arial" w:hAnsi="Arial" w:cs="Arial"/>
                <w:sz w:val="22"/>
                <w:szCs w:val="22"/>
              </w:rPr>
              <w:t>High dependence on coordination between multiple departments.</w:t>
            </w:r>
          </w:p>
        </w:tc>
      </w:tr>
      <w:tr w:rsidR="00D0681A" w14:paraId="445F4E5F" w14:textId="77777777" w:rsidTr="00B203DB">
        <w:tc>
          <w:tcPr>
            <w:tcW w:w="5222" w:type="dxa"/>
          </w:tcPr>
          <w:p w14:paraId="5B3F4930" w14:textId="77777777" w:rsidR="00D0681A" w:rsidRDefault="00D0681A" w:rsidP="00B203DB">
            <w:pPr>
              <w:tabs>
                <w:tab w:val="left" w:pos="6646"/>
              </w:tabs>
              <w:spacing w:line="360" w:lineRule="auto"/>
              <w:rPr>
                <w:rFonts w:ascii="Arial" w:hAnsi="Arial" w:cs="Arial"/>
                <w:sz w:val="22"/>
                <w:szCs w:val="22"/>
              </w:rPr>
            </w:pPr>
            <w:r w:rsidRPr="008554AF">
              <w:rPr>
                <w:rFonts w:ascii="Arial" w:hAnsi="Arial" w:cs="Arial"/>
                <w:sz w:val="22"/>
                <w:szCs w:val="22"/>
              </w:rPr>
              <w:t>Experienced Project Manager overseeing planning, risks, communication, and stakeholder engagement.</w:t>
            </w:r>
          </w:p>
        </w:tc>
        <w:tc>
          <w:tcPr>
            <w:tcW w:w="5410" w:type="dxa"/>
          </w:tcPr>
          <w:p w14:paraId="25E7B033" w14:textId="77777777" w:rsidR="00D0681A" w:rsidRDefault="00D0681A" w:rsidP="00B203DB">
            <w:pPr>
              <w:tabs>
                <w:tab w:val="left" w:pos="6646"/>
              </w:tabs>
              <w:spacing w:line="360" w:lineRule="auto"/>
              <w:rPr>
                <w:rFonts w:ascii="Arial" w:hAnsi="Arial" w:cs="Arial"/>
                <w:sz w:val="22"/>
                <w:szCs w:val="22"/>
              </w:rPr>
            </w:pPr>
            <w:r w:rsidRPr="00CF31D3">
              <w:rPr>
                <w:rFonts w:ascii="Arial" w:hAnsi="Arial" w:cs="Arial"/>
                <w:sz w:val="22"/>
                <w:szCs w:val="22"/>
              </w:rPr>
              <w:t>Employees may initially resist adopting new digital technologies and processes</w:t>
            </w:r>
          </w:p>
        </w:tc>
      </w:tr>
      <w:tr w:rsidR="00D0681A" w14:paraId="19740CDC" w14:textId="77777777" w:rsidTr="00B203DB">
        <w:tc>
          <w:tcPr>
            <w:tcW w:w="5222" w:type="dxa"/>
          </w:tcPr>
          <w:p w14:paraId="174E750C" w14:textId="77777777" w:rsidR="00D0681A" w:rsidRDefault="00D0681A" w:rsidP="00B203DB">
            <w:pPr>
              <w:tabs>
                <w:tab w:val="left" w:pos="6646"/>
              </w:tabs>
              <w:spacing w:line="360" w:lineRule="auto"/>
              <w:rPr>
                <w:rFonts w:ascii="Arial" w:hAnsi="Arial" w:cs="Arial"/>
                <w:sz w:val="22"/>
                <w:szCs w:val="22"/>
              </w:rPr>
            </w:pPr>
            <w:r w:rsidRPr="0064326A">
              <w:rPr>
                <w:rFonts w:ascii="Arial" w:hAnsi="Arial" w:cs="Arial"/>
                <w:sz w:val="22"/>
                <w:szCs w:val="22"/>
              </w:rPr>
              <w:t>Skilled IT and Product Development teams capable of developing and maintaining the AI-driven platform.</w:t>
            </w:r>
          </w:p>
        </w:tc>
        <w:tc>
          <w:tcPr>
            <w:tcW w:w="5410" w:type="dxa"/>
          </w:tcPr>
          <w:p w14:paraId="37ECFB5E" w14:textId="77777777" w:rsidR="00D0681A" w:rsidRDefault="00D0681A" w:rsidP="00B203DB">
            <w:pPr>
              <w:tabs>
                <w:tab w:val="left" w:pos="6646"/>
              </w:tabs>
              <w:spacing w:line="360" w:lineRule="auto"/>
              <w:rPr>
                <w:rFonts w:ascii="Arial" w:hAnsi="Arial" w:cs="Arial"/>
                <w:sz w:val="22"/>
                <w:szCs w:val="22"/>
              </w:rPr>
            </w:pPr>
            <w:r w:rsidRPr="00B62AD8">
              <w:rPr>
                <w:rFonts w:ascii="Arial" w:hAnsi="Arial" w:cs="Arial"/>
                <w:sz w:val="22"/>
                <w:szCs w:val="22"/>
              </w:rPr>
              <w:t>Significant training is required for store managers and employees before implementation.</w:t>
            </w:r>
          </w:p>
        </w:tc>
      </w:tr>
      <w:tr w:rsidR="00D0681A" w14:paraId="560AAD79" w14:textId="77777777" w:rsidTr="00B203DB">
        <w:tc>
          <w:tcPr>
            <w:tcW w:w="5222" w:type="dxa"/>
          </w:tcPr>
          <w:p w14:paraId="141E00E2" w14:textId="77777777" w:rsidR="00D0681A" w:rsidRDefault="00D0681A" w:rsidP="00B203DB">
            <w:pPr>
              <w:tabs>
                <w:tab w:val="left" w:pos="6646"/>
              </w:tabs>
              <w:spacing w:line="360" w:lineRule="auto"/>
              <w:rPr>
                <w:rFonts w:ascii="Arial" w:hAnsi="Arial" w:cs="Arial"/>
                <w:sz w:val="22"/>
                <w:szCs w:val="22"/>
              </w:rPr>
            </w:pPr>
            <w:r w:rsidRPr="0039732E">
              <w:rPr>
                <w:rFonts w:ascii="Arial" w:hAnsi="Arial" w:cs="Arial"/>
                <w:sz w:val="22"/>
                <w:szCs w:val="22"/>
              </w:rPr>
              <w:t>Marketing and Sales teams can effectively promote ConnectPlus and encourage customer adoption.</w:t>
            </w:r>
          </w:p>
        </w:tc>
        <w:tc>
          <w:tcPr>
            <w:tcW w:w="5410" w:type="dxa"/>
          </w:tcPr>
          <w:p w14:paraId="5E1490FA" w14:textId="77777777" w:rsidR="00D0681A" w:rsidRDefault="00D0681A" w:rsidP="00B203DB">
            <w:pPr>
              <w:tabs>
                <w:tab w:val="left" w:pos="6646"/>
              </w:tabs>
              <w:spacing w:line="360" w:lineRule="auto"/>
              <w:rPr>
                <w:rFonts w:ascii="Arial" w:hAnsi="Arial" w:cs="Arial"/>
                <w:sz w:val="22"/>
                <w:szCs w:val="22"/>
              </w:rPr>
            </w:pPr>
            <w:r w:rsidRPr="0039732E">
              <w:rPr>
                <w:rFonts w:ascii="Arial" w:hAnsi="Arial" w:cs="Arial"/>
                <w:sz w:val="22"/>
                <w:szCs w:val="22"/>
              </w:rPr>
              <w:t>Budget constraints and implementation costs may affect project execution.</w:t>
            </w:r>
          </w:p>
        </w:tc>
      </w:tr>
      <w:tr w:rsidR="00D0681A" w14:paraId="5D2AF993" w14:textId="77777777" w:rsidTr="00B203DB">
        <w:tc>
          <w:tcPr>
            <w:tcW w:w="5222" w:type="dxa"/>
          </w:tcPr>
          <w:p w14:paraId="72ADCEF3" w14:textId="77777777" w:rsidR="00D0681A" w:rsidRDefault="00D0681A" w:rsidP="00B203DB">
            <w:pPr>
              <w:tabs>
                <w:tab w:val="left" w:pos="6646"/>
              </w:tabs>
              <w:spacing w:line="360" w:lineRule="auto"/>
              <w:rPr>
                <w:rFonts w:ascii="Arial" w:hAnsi="Arial" w:cs="Arial"/>
                <w:sz w:val="22"/>
                <w:szCs w:val="22"/>
              </w:rPr>
            </w:pPr>
            <w:r w:rsidRPr="00E5310B">
              <w:rPr>
                <w:rFonts w:ascii="Arial" w:hAnsi="Arial" w:cs="Arial"/>
                <w:sz w:val="22"/>
                <w:szCs w:val="22"/>
              </w:rPr>
              <w:t>HR supports change management and employee training.</w:t>
            </w:r>
          </w:p>
        </w:tc>
        <w:tc>
          <w:tcPr>
            <w:tcW w:w="5410" w:type="dxa"/>
          </w:tcPr>
          <w:p w14:paraId="10E931DF" w14:textId="77777777" w:rsidR="00D0681A" w:rsidRDefault="00D0681A" w:rsidP="00B203DB">
            <w:pPr>
              <w:tabs>
                <w:tab w:val="left" w:pos="6646"/>
              </w:tabs>
              <w:spacing w:line="360" w:lineRule="auto"/>
              <w:rPr>
                <w:rFonts w:ascii="Arial" w:hAnsi="Arial" w:cs="Arial"/>
                <w:sz w:val="22"/>
                <w:szCs w:val="22"/>
              </w:rPr>
            </w:pPr>
            <w:r w:rsidRPr="00DD14E6">
              <w:rPr>
                <w:rFonts w:ascii="Arial" w:hAnsi="Arial" w:cs="Arial"/>
                <w:sz w:val="22"/>
                <w:szCs w:val="22"/>
              </w:rPr>
              <w:t>Complex integration with existing digital systems may cause delays.</w:t>
            </w:r>
          </w:p>
        </w:tc>
      </w:tr>
      <w:tr w:rsidR="00D0681A" w14:paraId="100F632A" w14:textId="77777777" w:rsidTr="00B203DB">
        <w:tc>
          <w:tcPr>
            <w:tcW w:w="5222" w:type="dxa"/>
          </w:tcPr>
          <w:p w14:paraId="54B553C5" w14:textId="77777777" w:rsidR="00D0681A" w:rsidRPr="00E5310B" w:rsidRDefault="00D0681A" w:rsidP="00B203DB">
            <w:pPr>
              <w:tabs>
                <w:tab w:val="left" w:pos="6646"/>
              </w:tabs>
              <w:spacing w:line="360" w:lineRule="auto"/>
              <w:rPr>
                <w:rFonts w:ascii="Arial" w:hAnsi="Arial" w:cs="Arial"/>
                <w:sz w:val="22"/>
                <w:szCs w:val="22"/>
              </w:rPr>
            </w:pPr>
            <w:r w:rsidRPr="00D849F1">
              <w:rPr>
                <w:rFonts w:ascii="Arial" w:hAnsi="Arial" w:cs="Arial"/>
                <w:sz w:val="22"/>
                <w:szCs w:val="22"/>
              </w:rPr>
              <w:t>Finance Department ensures effective budget control and resource allocation.</w:t>
            </w:r>
          </w:p>
        </w:tc>
        <w:tc>
          <w:tcPr>
            <w:tcW w:w="5410" w:type="dxa"/>
          </w:tcPr>
          <w:p w14:paraId="4B5B7E76" w14:textId="77777777" w:rsidR="00D0681A" w:rsidRPr="00DD14E6" w:rsidRDefault="00D0681A" w:rsidP="00B203DB">
            <w:pPr>
              <w:tabs>
                <w:tab w:val="left" w:pos="6646"/>
              </w:tabs>
              <w:spacing w:line="360" w:lineRule="auto"/>
              <w:rPr>
                <w:rFonts w:ascii="Arial" w:hAnsi="Arial" w:cs="Arial"/>
                <w:sz w:val="22"/>
                <w:szCs w:val="22"/>
              </w:rPr>
            </w:pPr>
            <w:r w:rsidRPr="00D92ADC">
              <w:rPr>
                <w:rFonts w:ascii="Arial" w:hAnsi="Arial" w:cs="Arial"/>
                <w:sz w:val="22"/>
                <w:szCs w:val="22"/>
              </w:rPr>
              <w:t>Reliance on internal communication across different departments may create misunderstandings.</w:t>
            </w:r>
          </w:p>
        </w:tc>
      </w:tr>
      <w:tr w:rsidR="00D0681A" w14:paraId="7B87B47D" w14:textId="77777777" w:rsidTr="00B203DB">
        <w:tc>
          <w:tcPr>
            <w:tcW w:w="5222" w:type="dxa"/>
          </w:tcPr>
          <w:p w14:paraId="395C041F" w14:textId="77777777" w:rsidR="00D0681A" w:rsidRPr="00E5310B" w:rsidRDefault="00D0681A" w:rsidP="00B203DB">
            <w:pPr>
              <w:tabs>
                <w:tab w:val="left" w:pos="6646"/>
              </w:tabs>
              <w:spacing w:line="360" w:lineRule="auto"/>
              <w:rPr>
                <w:rFonts w:ascii="Arial" w:hAnsi="Arial" w:cs="Arial"/>
                <w:sz w:val="22"/>
                <w:szCs w:val="22"/>
              </w:rPr>
            </w:pPr>
            <w:r w:rsidRPr="00F83735">
              <w:rPr>
                <w:rFonts w:ascii="Arial" w:hAnsi="Arial" w:cs="Arial"/>
                <w:sz w:val="22"/>
                <w:szCs w:val="22"/>
              </w:rPr>
              <w:t>Data Analytics Team provides valuable customer insights for continuous improvement.</w:t>
            </w:r>
          </w:p>
        </w:tc>
        <w:tc>
          <w:tcPr>
            <w:tcW w:w="5410" w:type="dxa"/>
          </w:tcPr>
          <w:p w14:paraId="1A16E624" w14:textId="77777777" w:rsidR="00D0681A" w:rsidRPr="00DD14E6" w:rsidRDefault="00D0681A" w:rsidP="00B203DB">
            <w:pPr>
              <w:tabs>
                <w:tab w:val="left" w:pos="6646"/>
              </w:tabs>
              <w:spacing w:line="360" w:lineRule="auto"/>
              <w:rPr>
                <w:rFonts w:ascii="Arial" w:hAnsi="Arial" w:cs="Arial"/>
                <w:sz w:val="22"/>
                <w:szCs w:val="22"/>
              </w:rPr>
            </w:pPr>
          </w:p>
        </w:tc>
      </w:tr>
      <w:tr w:rsidR="00D0681A" w14:paraId="35120B11" w14:textId="77777777" w:rsidTr="00B203DB">
        <w:trPr>
          <w:trHeight w:val="857"/>
        </w:trPr>
        <w:tc>
          <w:tcPr>
            <w:tcW w:w="5222" w:type="dxa"/>
          </w:tcPr>
          <w:p w14:paraId="20240F35" w14:textId="77777777" w:rsidR="00D0681A" w:rsidRDefault="00D0681A" w:rsidP="00B203DB">
            <w:pPr>
              <w:tabs>
                <w:tab w:val="left" w:pos="6646"/>
              </w:tabs>
              <w:spacing w:line="360" w:lineRule="auto"/>
              <w:rPr>
                <w:rFonts w:ascii="Arial" w:hAnsi="Arial" w:cs="Arial"/>
                <w:b/>
                <w:bCs/>
                <w:sz w:val="22"/>
                <w:szCs w:val="22"/>
              </w:rPr>
            </w:pPr>
          </w:p>
          <w:p w14:paraId="22681808" w14:textId="77777777" w:rsidR="00D0681A" w:rsidRPr="001C750F" w:rsidRDefault="00D0681A" w:rsidP="00B203DB">
            <w:pPr>
              <w:tabs>
                <w:tab w:val="left" w:pos="6646"/>
              </w:tabs>
              <w:spacing w:line="360" w:lineRule="auto"/>
              <w:rPr>
                <w:rFonts w:ascii="Arial" w:hAnsi="Arial" w:cs="Arial"/>
                <w:b/>
                <w:bCs/>
                <w:sz w:val="22"/>
                <w:szCs w:val="22"/>
              </w:rPr>
            </w:pPr>
            <w:r w:rsidRPr="001C750F">
              <w:rPr>
                <w:rFonts w:ascii="Arial" w:hAnsi="Arial" w:cs="Arial"/>
                <w:b/>
                <w:bCs/>
                <w:sz w:val="22"/>
                <w:szCs w:val="22"/>
              </w:rPr>
              <w:t>Opportunities (External Positive Factors)</w:t>
            </w:r>
          </w:p>
        </w:tc>
        <w:tc>
          <w:tcPr>
            <w:tcW w:w="5410" w:type="dxa"/>
          </w:tcPr>
          <w:p w14:paraId="0E6EB217" w14:textId="77777777" w:rsidR="00D0681A" w:rsidRDefault="00D0681A" w:rsidP="00B203DB">
            <w:pPr>
              <w:tabs>
                <w:tab w:val="left" w:pos="6646"/>
              </w:tabs>
              <w:spacing w:line="360" w:lineRule="auto"/>
              <w:rPr>
                <w:rFonts w:ascii="Arial" w:hAnsi="Arial" w:cs="Arial"/>
                <w:b/>
                <w:bCs/>
                <w:sz w:val="22"/>
                <w:szCs w:val="22"/>
              </w:rPr>
            </w:pPr>
          </w:p>
          <w:p w14:paraId="47B2E543" w14:textId="77777777" w:rsidR="00D0681A" w:rsidRPr="00A5525A" w:rsidRDefault="00D0681A" w:rsidP="00B203DB">
            <w:pPr>
              <w:tabs>
                <w:tab w:val="left" w:pos="6646"/>
              </w:tabs>
              <w:spacing w:line="360" w:lineRule="auto"/>
              <w:rPr>
                <w:rFonts w:ascii="Arial" w:hAnsi="Arial" w:cs="Arial"/>
                <w:b/>
                <w:bCs/>
                <w:sz w:val="22"/>
                <w:szCs w:val="22"/>
              </w:rPr>
            </w:pPr>
            <w:r w:rsidRPr="00A5525A">
              <w:rPr>
                <w:rFonts w:ascii="Arial" w:hAnsi="Arial" w:cs="Arial"/>
                <w:b/>
                <w:bCs/>
                <w:sz w:val="22"/>
                <w:szCs w:val="22"/>
              </w:rPr>
              <w:t>Threats (External Negative Factors)</w:t>
            </w:r>
          </w:p>
        </w:tc>
      </w:tr>
      <w:tr w:rsidR="00D0681A" w14:paraId="5FBF4A20" w14:textId="77777777" w:rsidTr="00B203DB">
        <w:tc>
          <w:tcPr>
            <w:tcW w:w="5222" w:type="dxa"/>
          </w:tcPr>
          <w:p w14:paraId="103F48D8" w14:textId="77777777" w:rsidR="00D0681A" w:rsidRPr="00E5310B" w:rsidRDefault="00D0681A" w:rsidP="00B203DB">
            <w:pPr>
              <w:tabs>
                <w:tab w:val="left" w:pos="6646"/>
              </w:tabs>
              <w:spacing w:line="360" w:lineRule="auto"/>
              <w:rPr>
                <w:rFonts w:ascii="Arial" w:hAnsi="Arial" w:cs="Arial"/>
                <w:sz w:val="22"/>
                <w:szCs w:val="22"/>
              </w:rPr>
            </w:pPr>
            <w:r w:rsidRPr="00680EA3">
              <w:rPr>
                <w:rFonts w:ascii="Arial" w:hAnsi="Arial" w:cs="Arial"/>
                <w:sz w:val="22"/>
                <w:szCs w:val="22"/>
              </w:rPr>
              <w:t>Growing customer demand for personalised digital shopping experiences.</w:t>
            </w:r>
          </w:p>
        </w:tc>
        <w:tc>
          <w:tcPr>
            <w:tcW w:w="5410" w:type="dxa"/>
          </w:tcPr>
          <w:p w14:paraId="66DA4CC0" w14:textId="77777777" w:rsidR="00D0681A" w:rsidRPr="00DD14E6" w:rsidRDefault="00D0681A" w:rsidP="00B203DB">
            <w:pPr>
              <w:tabs>
                <w:tab w:val="left" w:pos="6646"/>
              </w:tabs>
              <w:spacing w:line="360" w:lineRule="auto"/>
              <w:rPr>
                <w:rFonts w:ascii="Arial" w:hAnsi="Arial" w:cs="Arial"/>
                <w:sz w:val="22"/>
                <w:szCs w:val="22"/>
              </w:rPr>
            </w:pPr>
            <w:r w:rsidRPr="00903D31">
              <w:rPr>
                <w:rFonts w:ascii="Arial" w:hAnsi="Arial" w:cs="Arial"/>
                <w:sz w:val="22"/>
                <w:szCs w:val="22"/>
              </w:rPr>
              <w:t>Strict GDPR and data protection regulations may limit data collection and use.</w:t>
            </w:r>
          </w:p>
        </w:tc>
      </w:tr>
      <w:tr w:rsidR="00D0681A" w14:paraId="4CC124E3" w14:textId="77777777" w:rsidTr="00B203DB">
        <w:tc>
          <w:tcPr>
            <w:tcW w:w="5222" w:type="dxa"/>
          </w:tcPr>
          <w:p w14:paraId="488B8870" w14:textId="77777777" w:rsidR="00D0681A" w:rsidRPr="00E5310B" w:rsidRDefault="00D0681A" w:rsidP="00B203DB">
            <w:pPr>
              <w:tabs>
                <w:tab w:val="left" w:pos="6646"/>
              </w:tabs>
              <w:spacing w:line="360" w:lineRule="auto"/>
              <w:rPr>
                <w:rFonts w:ascii="Arial" w:hAnsi="Arial" w:cs="Arial"/>
                <w:sz w:val="22"/>
                <w:szCs w:val="22"/>
              </w:rPr>
            </w:pPr>
            <w:r w:rsidRPr="001D07F7">
              <w:rPr>
                <w:rFonts w:ascii="Arial" w:hAnsi="Arial" w:cs="Arial"/>
                <w:sz w:val="22"/>
                <w:szCs w:val="22"/>
              </w:rPr>
              <w:t>Technology providers and AI vendors can improve innovation and platform functionality.</w:t>
            </w:r>
          </w:p>
        </w:tc>
        <w:tc>
          <w:tcPr>
            <w:tcW w:w="5410" w:type="dxa"/>
          </w:tcPr>
          <w:p w14:paraId="2BFE1039" w14:textId="77777777" w:rsidR="00D0681A" w:rsidRPr="00DD14E6" w:rsidRDefault="00D0681A" w:rsidP="00B203DB">
            <w:pPr>
              <w:tabs>
                <w:tab w:val="left" w:pos="6646"/>
              </w:tabs>
              <w:spacing w:line="360" w:lineRule="auto"/>
              <w:rPr>
                <w:rFonts w:ascii="Arial" w:hAnsi="Arial" w:cs="Arial"/>
                <w:sz w:val="22"/>
                <w:szCs w:val="22"/>
              </w:rPr>
            </w:pPr>
            <w:r w:rsidRPr="005B04A9">
              <w:rPr>
                <w:rFonts w:ascii="Arial" w:hAnsi="Arial" w:cs="Arial"/>
                <w:sz w:val="22"/>
                <w:szCs w:val="22"/>
              </w:rPr>
              <w:t>Cybersecurity threats and potential data breaches could damage customer trust.</w:t>
            </w:r>
          </w:p>
        </w:tc>
      </w:tr>
      <w:tr w:rsidR="00D0681A" w14:paraId="751727F4" w14:textId="77777777" w:rsidTr="00B203DB">
        <w:tc>
          <w:tcPr>
            <w:tcW w:w="5222" w:type="dxa"/>
          </w:tcPr>
          <w:p w14:paraId="28B0EB90" w14:textId="77777777" w:rsidR="00D0681A" w:rsidRPr="00E5310B" w:rsidRDefault="00D0681A" w:rsidP="00B203DB">
            <w:pPr>
              <w:tabs>
                <w:tab w:val="left" w:pos="6646"/>
              </w:tabs>
              <w:spacing w:line="360" w:lineRule="auto"/>
              <w:rPr>
                <w:rFonts w:ascii="Arial" w:hAnsi="Arial" w:cs="Arial"/>
                <w:sz w:val="22"/>
                <w:szCs w:val="22"/>
              </w:rPr>
            </w:pPr>
            <w:r w:rsidRPr="005B04A9">
              <w:rPr>
                <w:rFonts w:ascii="Arial" w:hAnsi="Arial" w:cs="Arial"/>
                <w:sz w:val="22"/>
                <w:szCs w:val="22"/>
              </w:rPr>
              <w:t>Positive customer feedback can improve loyalty and strengthen Primark's competitive position.</w:t>
            </w:r>
          </w:p>
        </w:tc>
        <w:tc>
          <w:tcPr>
            <w:tcW w:w="5410" w:type="dxa"/>
          </w:tcPr>
          <w:p w14:paraId="2649B7A6" w14:textId="77777777" w:rsidR="00D0681A" w:rsidRPr="00DD14E6" w:rsidRDefault="00D0681A" w:rsidP="00B203DB">
            <w:pPr>
              <w:tabs>
                <w:tab w:val="left" w:pos="6646"/>
              </w:tabs>
              <w:spacing w:line="360" w:lineRule="auto"/>
              <w:rPr>
                <w:rFonts w:ascii="Arial" w:hAnsi="Arial" w:cs="Arial"/>
                <w:sz w:val="22"/>
                <w:szCs w:val="22"/>
              </w:rPr>
            </w:pPr>
            <w:r w:rsidRPr="004207A9">
              <w:rPr>
                <w:rFonts w:ascii="Arial" w:hAnsi="Arial" w:cs="Arial"/>
                <w:sz w:val="22"/>
                <w:szCs w:val="22"/>
              </w:rPr>
              <w:t>Competitors may launch more advanced loyalty platforms or digital services.</w:t>
            </w:r>
          </w:p>
        </w:tc>
      </w:tr>
      <w:tr w:rsidR="00D0681A" w14:paraId="0633C962" w14:textId="77777777" w:rsidTr="00B203DB">
        <w:tc>
          <w:tcPr>
            <w:tcW w:w="5222" w:type="dxa"/>
          </w:tcPr>
          <w:p w14:paraId="1464B4E1" w14:textId="77777777" w:rsidR="00D0681A" w:rsidRPr="00E5310B" w:rsidRDefault="00D0681A" w:rsidP="00B203DB">
            <w:pPr>
              <w:tabs>
                <w:tab w:val="left" w:pos="6646"/>
              </w:tabs>
              <w:spacing w:line="360" w:lineRule="auto"/>
              <w:rPr>
                <w:rFonts w:ascii="Arial" w:hAnsi="Arial" w:cs="Arial"/>
                <w:sz w:val="22"/>
                <w:szCs w:val="22"/>
              </w:rPr>
            </w:pPr>
            <w:r w:rsidRPr="004207A9">
              <w:rPr>
                <w:rFonts w:ascii="Arial" w:hAnsi="Arial" w:cs="Arial"/>
                <w:sz w:val="22"/>
                <w:szCs w:val="22"/>
              </w:rPr>
              <w:t>Business partners can expand rewards and customer engagement opportunities.</w:t>
            </w:r>
          </w:p>
        </w:tc>
        <w:tc>
          <w:tcPr>
            <w:tcW w:w="5410" w:type="dxa"/>
          </w:tcPr>
          <w:p w14:paraId="767BCB51" w14:textId="77777777" w:rsidR="00D0681A" w:rsidRPr="00DD14E6" w:rsidRDefault="00D0681A" w:rsidP="00B203DB">
            <w:pPr>
              <w:tabs>
                <w:tab w:val="left" w:pos="6646"/>
              </w:tabs>
              <w:spacing w:line="360" w:lineRule="auto"/>
              <w:rPr>
                <w:rFonts w:ascii="Arial" w:hAnsi="Arial" w:cs="Arial"/>
                <w:sz w:val="22"/>
                <w:szCs w:val="22"/>
              </w:rPr>
            </w:pPr>
            <w:r w:rsidRPr="00AA4A68">
              <w:rPr>
                <w:rFonts w:ascii="Arial" w:hAnsi="Arial" w:cs="Arial"/>
                <w:sz w:val="22"/>
                <w:szCs w:val="22"/>
              </w:rPr>
              <w:t>Negative media coverage could affect Primark's reputation and customer confidence.</w:t>
            </w:r>
          </w:p>
        </w:tc>
      </w:tr>
      <w:tr w:rsidR="00D0681A" w14:paraId="5A08B031" w14:textId="77777777" w:rsidTr="00B203DB">
        <w:tc>
          <w:tcPr>
            <w:tcW w:w="5222" w:type="dxa"/>
          </w:tcPr>
          <w:p w14:paraId="0BC157E5" w14:textId="77777777" w:rsidR="00D0681A" w:rsidRPr="00E5310B" w:rsidRDefault="00D0681A" w:rsidP="00B203DB">
            <w:pPr>
              <w:tabs>
                <w:tab w:val="left" w:pos="6646"/>
              </w:tabs>
              <w:spacing w:line="360" w:lineRule="auto"/>
              <w:rPr>
                <w:rFonts w:ascii="Arial" w:hAnsi="Arial" w:cs="Arial"/>
                <w:sz w:val="22"/>
                <w:szCs w:val="22"/>
              </w:rPr>
            </w:pPr>
            <w:r w:rsidRPr="00AA4A68">
              <w:rPr>
                <w:rFonts w:ascii="Arial" w:hAnsi="Arial" w:cs="Arial"/>
                <w:sz w:val="22"/>
                <w:szCs w:val="22"/>
              </w:rPr>
              <w:t>Logistics partners support Click &amp; Collect and improve customer experience.</w:t>
            </w:r>
          </w:p>
        </w:tc>
        <w:tc>
          <w:tcPr>
            <w:tcW w:w="5410" w:type="dxa"/>
          </w:tcPr>
          <w:p w14:paraId="1355B4E0" w14:textId="77777777" w:rsidR="00D0681A" w:rsidRPr="00DD14E6" w:rsidRDefault="00D0681A" w:rsidP="00B203DB">
            <w:pPr>
              <w:tabs>
                <w:tab w:val="left" w:pos="6646"/>
              </w:tabs>
              <w:spacing w:line="360" w:lineRule="auto"/>
              <w:rPr>
                <w:rFonts w:ascii="Arial" w:hAnsi="Arial" w:cs="Arial"/>
                <w:sz w:val="22"/>
                <w:szCs w:val="22"/>
              </w:rPr>
            </w:pPr>
            <w:r w:rsidRPr="00887D67">
              <w:rPr>
                <w:rFonts w:ascii="Arial" w:hAnsi="Arial" w:cs="Arial"/>
                <w:sz w:val="22"/>
                <w:szCs w:val="22"/>
              </w:rPr>
              <w:t>Dependence on external technology providers may create operational risks.</w:t>
            </w:r>
          </w:p>
        </w:tc>
      </w:tr>
      <w:tr w:rsidR="00D0681A" w14:paraId="03278BBC" w14:textId="77777777" w:rsidTr="00B203DB">
        <w:tc>
          <w:tcPr>
            <w:tcW w:w="5222" w:type="dxa"/>
          </w:tcPr>
          <w:p w14:paraId="1A5C3832" w14:textId="77777777" w:rsidR="00D0681A" w:rsidRPr="00C91C51" w:rsidRDefault="00D0681A" w:rsidP="00B203DB">
            <w:pPr>
              <w:tabs>
                <w:tab w:val="left" w:pos="6646"/>
              </w:tabs>
              <w:spacing w:line="360" w:lineRule="auto"/>
              <w:rPr>
                <w:rFonts w:ascii="Arial" w:hAnsi="Arial" w:cs="Arial"/>
                <w:sz w:val="22"/>
                <w:szCs w:val="22"/>
              </w:rPr>
            </w:pPr>
            <w:r w:rsidRPr="00C91C51">
              <w:rPr>
                <w:rFonts w:ascii="Arial" w:hAnsi="Arial" w:cs="Arial"/>
                <w:sz w:val="22"/>
                <w:szCs w:val="22"/>
              </w:rPr>
              <w:t>Sustainable business practices can improve relationships with local communities and investors.</w:t>
            </w:r>
          </w:p>
        </w:tc>
        <w:tc>
          <w:tcPr>
            <w:tcW w:w="5410" w:type="dxa"/>
          </w:tcPr>
          <w:p w14:paraId="5EE49B52" w14:textId="77777777" w:rsidR="00D0681A" w:rsidRPr="00DD14E6" w:rsidRDefault="00D0681A" w:rsidP="00B203DB">
            <w:pPr>
              <w:tabs>
                <w:tab w:val="left" w:pos="6646"/>
              </w:tabs>
              <w:spacing w:line="360" w:lineRule="auto"/>
              <w:rPr>
                <w:rFonts w:ascii="Arial" w:hAnsi="Arial" w:cs="Arial"/>
                <w:sz w:val="22"/>
                <w:szCs w:val="22"/>
              </w:rPr>
            </w:pPr>
            <w:r w:rsidRPr="00C91C51">
              <w:rPr>
                <w:rFonts w:ascii="Arial" w:hAnsi="Arial" w:cs="Arial"/>
                <w:sz w:val="22"/>
                <w:szCs w:val="22"/>
              </w:rPr>
              <w:t>Changes in government regulations across international markets may increase compliance costs.</w:t>
            </w:r>
          </w:p>
        </w:tc>
      </w:tr>
      <w:tr w:rsidR="00D0681A" w14:paraId="0F104BAD" w14:textId="77777777" w:rsidTr="00B203DB">
        <w:tc>
          <w:tcPr>
            <w:tcW w:w="5222" w:type="dxa"/>
          </w:tcPr>
          <w:p w14:paraId="1F2850D7" w14:textId="77777777" w:rsidR="00D0681A" w:rsidRPr="00C91C51" w:rsidRDefault="00D0681A" w:rsidP="00B203DB">
            <w:pPr>
              <w:tabs>
                <w:tab w:val="left" w:pos="6646"/>
              </w:tabs>
              <w:spacing w:line="360" w:lineRule="auto"/>
              <w:rPr>
                <w:rFonts w:ascii="Arial" w:hAnsi="Arial" w:cs="Arial"/>
                <w:sz w:val="22"/>
                <w:szCs w:val="22"/>
              </w:rPr>
            </w:pPr>
            <w:r w:rsidRPr="004063F2">
              <w:rPr>
                <w:rFonts w:ascii="Arial" w:hAnsi="Arial" w:cs="Arial"/>
                <w:sz w:val="22"/>
                <w:szCs w:val="22"/>
              </w:rPr>
              <w:t>Increased investor confidence through successful digital transformation.</w:t>
            </w:r>
          </w:p>
        </w:tc>
        <w:tc>
          <w:tcPr>
            <w:tcW w:w="5410" w:type="dxa"/>
          </w:tcPr>
          <w:p w14:paraId="68B1FBA8" w14:textId="77777777" w:rsidR="00D0681A" w:rsidRPr="00C91C51" w:rsidRDefault="00D0681A" w:rsidP="00B203DB">
            <w:pPr>
              <w:tabs>
                <w:tab w:val="left" w:pos="6646"/>
              </w:tabs>
              <w:spacing w:line="360" w:lineRule="auto"/>
              <w:rPr>
                <w:rFonts w:ascii="Arial" w:hAnsi="Arial" w:cs="Arial"/>
                <w:sz w:val="22"/>
                <w:szCs w:val="22"/>
              </w:rPr>
            </w:pPr>
            <w:r w:rsidRPr="004063F2">
              <w:rPr>
                <w:rFonts w:ascii="Arial" w:hAnsi="Arial" w:cs="Arial"/>
                <w:sz w:val="22"/>
                <w:szCs w:val="22"/>
              </w:rPr>
              <w:t>Customers may be reluctant to share personal data or adopt the new platform.</w:t>
            </w:r>
          </w:p>
        </w:tc>
      </w:tr>
    </w:tbl>
    <w:p w14:paraId="110E7FA6" w14:textId="46E6164C" w:rsidR="00B54508" w:rsidRPr="00DF4DED" w:rsidRDefault="00B54508" w:rsidP="00B54508">
      <w:pPr>
        <w:tabs>
          <w:tab w:val="left" w:pos="6646"/>
        </w:tabs>
        <w:spacing w:line="360" w:lineRule="auto"/>
        <w:jc w:val="both"/>
        <w:rPr>
          <w:rFonts w:ascii="Arial" w:hAnsi="Arial" w:cs="Arial"/>
          <w:sz w:val="22"/>
          <w:szCs w:val="22"/>
        </w:rPr>
      </w:pPr>
    </w:p>
    <w:p w14:paraId="2D621B51" w14:textId="77777777" w:rsidR="006705A4" w:rsidRDefault="006705A4" w:rsidP="00BA5A8B">
      <w:pPr>
        <w:tabs>
          <w:tab w:val="left" w:pos="6646"/>
        </w:tabs>
        <w:spacing w:line="360" w:lineRule="auto"/>
        <w:rPr>
          <w:rFonts w:ascii="Arial" w:hAnsi="Arial" w:cs="Arial"/>
          <w:sz w:val="22"/>
          <w:szCs w:val="22"/>
        </w:rPr>
      </w:pPr>
    </w:p>
    <w:p w14:paraId="39E4516C" w14:textId="77777777" w:rsidR="004D4506" w:rsidRDefault="004D4506" w:rsidP="00BA5A8B">
      <w:pPr>
        <w:tabs>
          <w:tab w:val="left" w:pos="6646"/>
        </w:tabs>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7C52AF" w14:paraId="1072E5C0" w14:textId="77777777" w:rsidTr="007C52AF">
        <w:trPr>
          <w:hidden/>
        </w:trPr>
        <w:tc>
          <w:tcPr>
            <w:tcW w:w="4508" w:type="dxa"/>
          </w:tcPr>
          <w:tbl>
            <w:tblPr>
              <w:tblStyle w:val="TableGrid"/>
              <w:tblW w:w="0" w:type="auto"/>
              <w:tblLook w:val="04A0" w:firstRow="1" w:lastRow="0" w:firstColumn="1" w:lastColumn="0" w:noHBand="0" w:noVBand="1"/>
            </w:tblPr>
            <w:tblGrid>
              <w:gridCol w:w="2141"/>
              <w:gridCol w:w="2141"/>
            </w:tblGrid>
            <w:tr w:rsidR="003D72FD" w14:paraId="4F1D15E2" w14:textId="77777777" w:rsidTr="003D72FD">
              <w:trPr>
                <w:hidden/>
              </w:trPr>
              <w:tc>
                <w:tcPr>
                  <w:tcW w:w="2141" w:type="dxa"/>
                </w:tcPr>
                <w:p w14:paraId="7D59B5D4" w14:textId="77777777" w:rsidR="003D72FD" w:rsidRDefault="003D72FD" w:rsidP="004D4506">
                  <w:pPr>
                    <w:tabs>
                      <w:tab w:val="left" w:pos="6646"/>
                    </w:tabs>
                    <w:spacing w:line="360" w:lineRule="auto"/>
                    <w:rPr>
                      <w:rFonts w:ascii="Arial" w:hAnsi="Arial" w:cs="Arial"/>
                      <w:vanish/>
                      <w:sz w:val="22"/>
                      <w:szCs w:val="22"/>
                    </w:rPr>
                  </w:pPr>
                </w:p>
              </w:tc>
              <w:tc>
                <w:tcPr>
                  <w:tcW w:w="2141" w:type="dxa"/>
                </w:tcPr>
                <w:p w14:paraId="75A17BF3" w14:textId="77777777" w:rsidR="003D72FD" w:rsidRDefault="003D72FD" w:rsidP="004D4506">
                  <w:pPr>
                    <w:tabs>
                      <w:tab w:val="left" w:pos="6646"/>
                    </w:tabs>
                    <w:spacing w:line="360" w:lineRule="auto"/>
                    <w:rPr>
                      <w:rFonts w:ascii="Arial" w:hAnsi="Arial" w:cs="Arial"/>
                      <w:vanish/>
                      <w:sz w:val="22"/>
                      <w:szCs w:val="22"/>
                    </w:rPr>
                  </w:pPr>
                </w:p>
              </w:tc>
            </w:tr>
            <w:tr w:rsidR="003D72FD" w14:paraId="31FF3329" w14:textId="77777777" w:rsidTr="003D72FD">
              <w:trPr>
                <w:hidden/>
              </w:trPr>
              <w:tc>
                <w:tcPr>
                  <w:tcW w:w="2141" w:type="dxa"/>
                </w:tcPr>
                <w:p w14:paraId="29DD5BA4" w14:textId="77777777" w:rsidR="003D72FD" w:rsidRDefault="003D72FD" w:rsidP="004D4506">
                  <w:pPr>
                    <w:tabs>
                      <w:tab w:val="left" w:pos="6646"/>
                    </w:tabs>
                    <w:spacing w:line="360" w:lineRule="auto"/>
                    <w:rPr>
                      <w:rFonts w:ascii="Arial" w:hAnsi="Arial" w:cs="Arial"/>
                      <w:vanish/>
                      <w:sz w:val="22"/>
                      <w:szCs w:val="22"/>
                    </w:rPr>
                  </w:pPr>
                </w:p>
              </w:tc>
              <w:tc>
                <w:tcPr>
                  <w:tcW w:w="2141" w:type="dxa"/>
                </w:tcPr>
                <w:p w14:paraId="2C116292" w14:textId="77777777" w:rsidR="003D72FD" w:rsidRDefault="003D72FD" w:rsidP="004D4506">
                  <w:pPr>
                    <w:tabs>
                      <w:tab w:val="left" w:pos="6646"/>
                    </w:tabs>
                    <w:spacing w:line="360" w:lineRule="auto"/>
                    <w:rPr>
                      <w:rFonts w:ascii="Arial" w:hAnsi="Arial" w:cs="Arial"/>
                      <w:vanish/>
                      <w:sz w:val="22"/>
                      <w:szCs w:val="22"/>
                    </w:rPr>
                  </w:pPr>
                </w:p>
              </w:tc>
            </w:tr>
            <w:tr w:rsidR="003D72FD" w14:paraId="7FC7B0BF" w14:textId="77777777" w:rsidTr="003D72FD">
              <w:trPr>
                <w:hidden/>
              </w:trPr>
              <w:tc>
                <w:tcPr>
                  <w:tcW w:w="2141" w:type="dxa"/>
                </w:tcPr>
                <w:p w14:paraId="265A879C" w14:textId="77777777" w:rsidR="003D72FD" w:rsidRDefault="003D72FD" w:rsidP="004D4506">
                  <w:pPr>
                    <w:tabs>
                      <w:tab w:val="left" w:pos="6646"/>
                    </w:tabs>
                    <w:spacing w:line="360" w:lineRule="auto"/>
                    <w:rPr>
                      <w:rFonts w:ascii="Arial" w:hAnsi="Arial" w:cs="Arial"/>
                      <w:vanish/>
                      <w:sz w:val="22"/>
                      <w:szCs w:val="22"/>
                    </w:rPr>
                  </w:pPr>
                </w:p>
              </w:tc>
              <w:tc>
                <w:tcPr>
                  <w:tcW w:w="2141" w:type="dxa"/>
                </w:tcPr>
                <w:p w14:paraId="7A112BBB" w14:textId="77777777" w:rsidR="003D72FD" w:rsidRDefault="003D72FD" w:rsidP="004D4506">
                  <w:pPr>
                    <w:tabs>
                      <w:tab w:val="left" w:pos="6646"/>
                    </w:tabs>
                    <w:spacing w:line="360" w:lineRule="auto"/>
                    <w:rPr>
                      <w:rFonts w:ascii="Arial" w:hAnsi="Arial" w:cs="Arial"/>
                      <w:vanish/>
                      <w:sz w:val="22"/>
                      <w:szCs w:val="22"/>
                    </w:rPr>
                  </w:pPr>
                </w:p>
              </w:tc>
            </w:tr>
            <w:tr w:rsidR="003D72FD" w14:paraId="69B4105D" w14:textId="77777777" w:rsidTr="003D72FD">
              <w:trPr>
                <w:hidden/>
              </w:trPr>
              <w:tc>
                <w:tcPr>
                  <w:tcW w:w="2141" w:type="dxa"/>
                </w:tcPr>
                <w:p w14:paraId="2AD48D7E" w14:textId="77777777" w:rsidR="003D72FD" w:rsidRDefault="003D72FD" w:rsidP="004D4506">
                  <w:pPr>
                    <w:tabs>
                      <w:tab w:val="left" w:pos="6646"/>
                    </w:tabs>
                    <w:spacing w:line="360" w:lineRule="auto"/>
                    <w:rPr>
                      <w:rFonts w:ascii="Arial" w:hAnsi="Arial" w:cs="Arial"/>
                      <w:vanish/>
                      <w:sz w:val="22"/>
                      <w:szCs w:val="22"/>
                    </w:rPr>
                  </w:pPr>
                </w:p>
              </w:tc>
              <w:tc>
                <w:tcPr>
                  <w:tcW w:w="2141" w:type="dxa"/>
                </w:tcPr>
                <w:p w14:paraId="3744E939" w14:textId="77777777" w:rsidR="003D72FD" w:rsidRDefault="003D72FD" w:rsidP="004D4506">
                  <w:pPr>
                    <w:tabs>
                      <w:tab w:val="left" w:pos="6646"/>
                    </w:tabs>
                    <w:spacing w:line="360" w:lineRule="auto"/>
                    <w:rPr>
                      <w:rFonts w:ascii="Arial" w:hAnsi="Arial" w:cs="Arial"/>
                      <w:vanish/>
                      <w:sz w:val="22"/>
                      <w:szCs w:val="22"/>
                    </w:rPr>
                  </w:pPr>
                </w:p>
              </w:tc>
            </w:tr>
            <w:tr w:rsidR="003D72FD" w14:paraId="28AB4DCA" w14:textId="77777777" w:rsidTr="003D72FD">
              <w:trPr>
                <w:hidden/>
              </w:trPr>
              <w:tc>
                <w:tcPr>
                  <w:tcW w:w="2141" w:type="dxa"/>
                </w:tcPr>
                <w:p w14:paraId="3BE4A5C3" w14:textId="77777777" w:rsidR="003D72FD" w:rsidRDefault="003D72FD" w:rsidP="004D4506">
                  <w:pPr>
                    <w:tabs>
                      <w:tab w:val="left" w:pos="6646"/>
                    </w:tabs>
                    <w:spacing w:line="360" w:lineRule="auto"/>
                    <w:rPr>
                      <w:rFonts w:ascii="Arial" w:hAnsi="Arial" w:cs="Arial"/>
                      <w:vanish/>
                      <w:sz w:val="22"/>
                      <w:szCs w:val="22"/>
                    </w:rPr>
                  </w:pPr>
                </w:p>
              </w:tc>
              <w:tc>
                <w:tcPr>
                  <w:tcW w:w="2141" w:type="dxa"/>
                </w:tcPr>
                <w:p w14:paraId="4DB80BD8" w14:textId="77777777" w:rsidR="003D72FD" w:rsidRDefault="003D72FD" w:rsidP="004D4506">
                  <w:pPr>
                    <w:tabs>
                      <w:tab w:val="left" w:pos="6646"/>
                    </w:tabs>
                    <w:spacing w:line="360" w:lineRule="auto"/>
                    <w:rPr>
                      <w:rFonts w:ascii="Arial" w:hAnsi="Arial" w:cs="Arial"/>
                      <w:vanish/>
                      <w:sz w:val="22"/>
                      <w:szCs w:val="22"/>
                    </w:rPr>
                  </w:pPr>
                </w:p>
              </w:tc>
            </w:tr>
            <w:tr w:rsidR="003D72FD" w14:paraId="0C4604FA" w14:textId="77777777" w:rsidTr="003D72FD">
              <w:trPr>
                <w:hidden/>
              </w:trPr>
              <w:tc>
                <w:tcPr>
                  <w:tcW w:w="2141" w:type="dxa"/>
                </w:tcPr>
                <w:p w14:paraId="4ED3FC93" w14:textId="77777777" w:rsidR="003D72FD" w:rsidRDefault="003D72FD" w:rsidP="004D4506">
                  <w:pPr>
                    <w:tabs>
                      <w:tab w:val="left" w:pos="6646"/>
                    </w:tabs>
                    <w:spacing w:line="360" w:lineRule="auto"/>
                    <w:rPr>
                      <w:rFonts w:ascii="Arial" w:hAnsi="Arial" w:cs="Arial"/>
                      <w:vanish/>
                      <w:sz w:val="22"/>
                      <w:szCs w:val="22"/>
                    </w:rPr>
                  </w:pPr>
                </w:p>
              </w:tc>
              <w:tc>
                <w:tcPr>
                  <w:tcW w:w="2141" w:type="dxa"/>
                </w:tcPr>
                <w:p w14:paraId="358D641A" w14:textId="77777777" w:rsidR="003D72FD" w:rsidRDefault="003D72FD" w:rsidP="004D4506">
                  <w:pPr>
                    <w:tabs>
                      <w:tab w:val="left" w:pos="6646"/>
                    </w:tabs>
                    <w:spacing w:line="360" w:lineRule="auto"/>
                    <w:rPr>
                      <w:rFonts w:ascii="Arial" w:hAnsi="Arial" w:cs="Arial"/>
                      <w:vanish/>
                      <w:sz w:val="22"/>
                      <w:szCs w:val="22"/>
                    </w:rPr>
                  </w:pPr>
                </w:p>
              </w:tc>
            </w:tr>
          </w:tbl>
          <w:p w14:paraId="6B6AFED9" w14:textId="77777777" w:rsidR="007C52AF" w:rsidRDefault="007C52AF" w:rsidP="004D4506">
            <w:pPr>
              <w:tabs>
                <w:tab w:val="left" w:pos="6646"/>
              </w:tabs>
              <w:spacing w:line="360" w:lineRule="auto"/>
              <w:rPr>
                <w:rFonts w:ascii="Arial" w:hAnsi="Arial" w:cs="Arial"/>
                <w:vanish/>
                <w:sz w:val="22"/>
                <w:szCs w:val="22"/>
              </w:rPr>
            </w:pPr>
          </w:p>
        </w:tc>
        <w:tc>
          <w:tcPr>
            <w:tcW w:w="4508" w:type="dxa"/>
          </w:tcPr>
          <w:p w14:paraId="02BFBAEE" w14:textId="77777777" w:rsidR="007C52AF" w:rsidRDefault="007C52AF" w:rsidP="004D4506">
            <w:pPr>
              <w:tabs>
                <w:tab w:val="left" w:pos="6646"/>
              </w:tabs>
              <w:spacing w:line="360" w:lineRule="auto"/>
              <w:rPr>
                <w:rFonts w:ascii="Arial" w:hAnsi="Arial" w:cs="Arial"/>
                <w:vanish/>
                <w:sz w:val="22"/>
                <w:szCs w:val="22"/>
              </w:rPr>
            </w:pPr>
          </w:p>
        </w:tc>
      </w:tr>
      <w:tr w:rsidR="007C52AF" w14:paraId="39974802" w14:textId="77777777" w:rsidTr="007C52AF">
        <w:trPr>
          <w:hidden/>
        </w:trPr>
        <w:tc>
          <w:tcPr>
            <w:tcW w:w="4508" w:type="dxa"/>
          </w:tcPr>
          <w:p w14:paraId="22E4AD74" w14:textId="77777777" w:rsidR="007C52AF" w:rsidRDefault="007C52AF" w:rsidP="004D4506">
            <w:pPr>
              <w:tabs>
                <w:tab w:val="left" w:pos="6646"/>
              </w:tabs>
              <w:spacing w:line="360" w:lineRule="auto"/>
              <w:rPr>
                <w:rFonts w:ascii="Arial" w:hAnsi="Arial" w:cs="Arial"/>
                <w:vanish/>
                <w:sz w:val="22"/>
                <w:szCs w:val="22"/>
              </w:rPr>
            </w:pPr>
          </w:p>
        </w:tc>
        <w:tc>
          <w:tcPr>
            <w:tcW w:w="4508" w:type="dxa"/>
          </w:tcPr>
          <w:p w14:paraId="39DEF62F" w14:textId="77777777" w:rsidR="007C52AF" w:rsidRDefault="007C52AF" w:rsidP="004D4506">
            <w:pPr>
              <w:tabs>
                <w:tab w:val="left" w:pos="6646"/>
              </w:tabs>
              <w:spacing w:line="360" w:lineRule="auto"/>
              <w:rPr>
                <w:rFonts w:ascii="Arial" w:hAnsi="Arial" w:cs="Arial"/>
                <w:vanish/>
                <w:sz w:val="22"/>
                <w:szCs w:val="22"/>
              </w:rPr>
            </w:pPr>
          </w:p>
        </w:tc>
      </w:tr>
      <w:tr w:rsidR="007C52AF" w14:paraId="218BA809" w14:textId="77777777" w:rsidTr="007C52AF">
        <w:trPr>
          <w:hidden/>
        </w:trPr>
        <w:tc>
          <w:tcPr>
            <w:tcW w:w="4508" w:type="dxa"/>
          </w:tcPr>
          <w:p w14:paraId="7BB253E2" w14:textId="77777777" w:rsidR="007C52AF" w:rsidRDefault="007C52AF" w:rsidP="004D4506">
            <w:pPr>
              <w:tabs>
                <w:tab w:val="left" w:pos="6646"/>
              </w:tabs>
              <w:spacing w:line="360" w:lineRule="auto"/>
              <w:rPr>
                <w:rFonts w:ascii="Arial" w:hAnsi="Arial" w:cs="Arial"/>
                <w:vanish/>
                <w:sz w:val="22"/>
                <w:szCs w:val="22"/>
              </w:rPr>
            </w:pPr>
          </w:p>
        </w:tc>
        <w:tc>
          <w:tcPr>
            <w:tcW w:w="4508" w:type="dxa"/>
          </w:tcPr>
          <w:p w14:paraId="0348F92B" w14:textId="77777777" w:rsidR="007C52AF" w:rsidRDefault="007C52AF" w:rsidP="004D4506">
            <w:pPr>
              <w:tabs>
                <w:tab w:val="left" w:pos="6646"/>
              </w:tabs>
              <w:spacing w:line="360" w:lineRule="auto"/>
              <w:rPr>
                <w:rFonts w:ascii="Arial" w:hAnsi="Arial" w:cs="Arial"/>
                <w:vanish/>
                <w:sz w:val="22"/>
                <w:szCs w:val="22"/>
              </w:rPr>
            </w:pPr>
          </w:p>
        </w:tc>
      </w:tr>
      <w:tr w:rsidR="007C52AF" w14:paraId="25CA841A" w14:textId="77777777" w:rsidTr="007C52AF">
        <w:trPr>
          <w:hidden/>
        </w:trPr>
        <w:tc>
          <w:tcPr>
            <w:tcW w:w="4508" w:type="dxa"/>
          </w:tcPr>
          <w:p w14:paraId="05BA2AB5" w14:textId="77777777" w:rsidR="007C52AF" w:rsidRDefault="007C52AF" w:rsidP="004D4506">
            <w:pPr>
              <w:tabs>
                <w:tab w:val="left" w:pos="6646"/>
              </w:tabs>
              <w:spacing w:line="360" w:lineRule="auto"/>
              <w:rPr>
                <w:rFonts w:ascii="Arial" w:hAnsi="Arial" w:cs="Arial"/>
                <w:vanish/>
                <w:sz w:val="22"/>
                <w:szCs w:val="22"/>
              </w:rPr>
            </w:pPr>
          </w:p>
        </w:tc>
        <w:tc>
          <w:tcPr>
            <w:tcW w:w="4508" w:type="dxa"/>
          </w:tcPr>
          <w:p w14:paraId="5205062B" w14:textId="77777777" w:rsidR="007C52AF" w:rsidRDefault="007C52AF" w:rsidP="004D4506">
            <w:pPr>
              <w:tabs>
                <w:tab w:val="left" w:pos="6646"/>
              </w:tabs>
              <w:spacing w:line="360" w:lineRule="auto"/>
              <w:rPr>
                <w:rFonts w:ascii="Arial" w:hAnsi="Arial" w:cs="Arial"/>
                <w:vanish/>
                <w:sz w:val="22"/>
                <w:szCs w:val="22"/>
              </w:rPr>
            </w:pPr>
          </w:p>
        </w:tc>
      </w:tr>
      <w:tr w:rsidR="007C52AF" w14:paraId="3A9C47B3" w14:textId="77777777" w:rsidTr="007C52AF">
        <w:trPr>
          <w:hidden/>
        </w:trPr>
        <w:tc>
          <w:tcPr>
            <w:tcW w:w="4508" w:type="dxa"/>
          </w:tcPr>
          <w:p w14:paraId="653AA32C" w14:textId="77777777" w:rsidR="007C52AF" w:rsidRDefault="007C52AF" w:rsidP="004D4506">
            <w:pPr>
              <w:tabs>
                <w:tab w:val="left" w:pos="6646"/>
              </w:tabs>
              <w:spacing w:line="360" w:lineRule="auto"/>
              <w:rPr>
                <w:rFonts w:ascii="Arial" w:hAnsi="Arial" w:cs="Arial"/>
                <w:vanish/>
                <w:sz w:val="22"/>
                <w:szCs w:val="22"/>
              </w:rPr>
            </w:pPr>
          </w:p>
        </w:tc>
        <w:tc>
          <w:tcPr>
            <w:tcW w:w="4508" w:type="dxa"/>
          </w:tcPr>
          <w:p w14:paraId="1592C500" w14:textId="77777777" w:rsidR="007C52AF" w:rsidRDefault="007C52AF" w:rsidP="004D4506">
            <w:pPr>
              <w:tabs>
                <w:tab w:val="left" w:pos="6646"/>
              </w:tabs>
              <w:spacing w:line="360" w:lineRule="auto"/>
              <w:rPr>
                <w:rFonts w:ascii="Arial" w:hAnsi="Arial" w:cs="Arial"/>
                <w:vanish/>
                <w:sz w:val="22"/>
                <w:szCs w:val="22"/>
              </w:rPr>
            </w:pPr>
          </w:p>
        </w:tc>
      </w:tr>
      <w:tr w:rsidR="007C52AF" w14:paraId="47195AB4" w14:textId="77777777" w:rsidTr="007C52AF">
        <w:trPr>
          <w:hidden/>
        </w:trPr>
        <w:tc>
          <w:tcPr>
            <w:tcW w:w="4508" w:type="dxa"/>
          </w:tcPr>
          <w:p w14:paraId="1877686F" w14:textId="77777777" w:rsidR="007C52AF" w:rsidRDefault="007C52AF" w:rsidP="004D4506">
            <w:pPr>
              <w:tabs>
                <w:tab w:val="left" w:pos="6646"/>
              </w:tabs>
              <w:spacing w:line="360" w:lineRule="auto"/>
              <w:rPr>
                <w:rFonts w:ascii="Arial" w:hAnsi="Arial" w:cs="Arial"/>
                <w:vanish/>
                <w:sz w:val="22"/>
                <w:szCs w:val="22"/>
              </w:rPr>
            </w:pPr>
          </w:p>
        </w:tc>
        <w:tc>
          <w:tcPr>
            <w:tcW w:w="4508" w:type="dxa"/>
          </w:tcPr>
          <w:p w14:paraId="37EE2BF6" w14:textId="77777777" w:rsidR="007C52AF" w:rsidRDefault="007C52AF" w:rsidP="004D4506">
            <w:pPr>
              <w:tabs>
                <w:tab w:val="left" w:pos="6646"/>
              </w:tabs>
              <w:spacing w:line="360" w:lineRule="auto"/>
              <w:rPr>
                <w:rFonts w:ascii="Arial" w:hAnsi="Arial" w:cs="Arial"/>
                <w:vanish/>
                <w:sz w:val="22"/>
                <w:szCs w:val="22"/>
              </w:rPr>
            </w:pPr>
          </w:p>
        </w:tc>
      </w:tr>
    </w:tbl>
    <w:p w14:paraId="054298BD" w14:textId="77777777" w:rsidR="00C21625" w:rsidRPr="004D4506" w:rsidRDefault="00C21625" w:rsidP="004D4506">
      <w:pPr>
        <w:tabs>
          <w:tab w:val="left" w:pos="6646"/>
        </w:tabs>
        <w:spacing w:line="360" w:lineRule="auto"/>
        <w:rPr>
          <w:rFonts w:ascii="Arial" w:hAnsi="Arial" w:cs="Arial"/>
          <w:vanish/>
          <w:sz w:val="22"/>
          <w:szCs w:val="22"/>
        </w:rPr>
      </w:pPr>
    </w:p>
    <w:p w14:paraId="54DF71F4" w14:textId="3B0E5995" w:rsidR="005E5FCF" w:rsidRPr="005E5FCF" w:rsidRDefault="00A21970" w:rsidP="005E5FCF">
      <w:pPr>
        <w:tabs>
          <w:tab w:val="left" w:pos="6646"/>
        </w:tabs>
        <w:spacing w:line="360" w:lineRule="auto"/>
        <w:rPr>
          <w:rFonts w:ascii="Arial" w:hAnsi="Arial" w:cs="Arial"/>
          <w:sz w:val="22"/>
          <w:szCs w:val="22"/>
        </w:rPr>
      </w:pPr>
      <w:r>
        <w:rPr>
          <w:rFonts w:ascii="Arial" w:hAnsi="Arial" w:cs="Arial"/>
          <w:sz w:val="22"/>
          <w:szCs w:val="22"/>
        </w:rPr>
        <w:t>Internal</w:t>
      </w:r>
      <w:r w:rsidR="005E5FCF" w:rsidRPr="005E5FCF">
        <w:rPr>
          <w:rFonts w:ascii="Arial" w:hAnsi="Arial" w:cs="Arial"/>
          <w:sz w:val="22"/>
          <w:szCs w:val="22"/>
        </w:rPr>
        <w:t xml:space="preserve"> stakeholders are individuals and departments within Primark that directly contribute to the planning, development, implementation, and success of the ConnectPlus project.</w:t>
      </w:r>
    </w:p>
    <w:p w14:paraId="6E47F7B0" w14:textId="100FCA2B" w:rsidR="005E5FCF" w:rsidRPr="008D2228" w:rsidRDefault="005E5FCF" w:rsidP="005E5FCF">
      <w:pPr>
        <w:tabs>
          <w:tab w:val="left" w:pos="6646"/>
        </w:tabs>
        <w:spacing w:line="360" w:lineRule="auto"/>
        <w:rPr>
          <w:rFonts w:ascii="Arial" w:hAnsi="Arial" w:cs="Arial"/>
          <w:b/>
          <w:bCs/>
          <w:sz w:val="22"/>
          <w:szCs w:val="22"/>
        </w:rPr>
      </w:pPr>
      <w:r w:rsidRPr="008D2228">
        <w:rPr>
          <w:rFonts w:ascii="Arial" w:hAnsi="Arial" w:cs="Arial"/>
          <w:b/>
          <w:bCs/>
          <w:sz w:val="22"/>
          <w:szCs w:val="22"/>
        </w:rPr>
        <w:t>3.2 External Stakeholders</w:t>
      </w:r>
    </w:p>
    <w:p w14:paraId="06551C44" w14:textId="0FDBD43F" w:rsidR="00BE402B" w:rsidRDefault="00BE402B" w:rsidP="002C27B6">
      <w:pPr>
        <w:tabs>
          <w:tab w:val="left" w:pos="6646"/>
        </w:tabs>
        <w:spacing w:line="360" w:lineRule="auto"/>
        <w:jc w:val="both"/>
        <w:rPr>
          <w:rFonts w:ascii="Arial" w:hAnsi="Arial" w:cs="Arial"/>
          <w:sz w:val="22"/>
          <w:szCs w:val="22"/>
        </w:rPr>
      </w:pPr>
      <w:r w:rsidRPr="008904A4">
        <w:rPr>
          <w:rFonts w:ascii="Arial" w:hAnsi="Arial" w:cs="Arial"/>
          <w:sz w:val="22"/>
          <w:szCs w:val="22"/>
        </w:rPr>
        <w:t>The SWOT analysis shows that Primark benefits from a strong network of external stakeholders who supply valuable expertise, financial support, and technical skills to the ConnectPlus project. Customers, technology providers, AI vendors, investors, and business partners all play a major role in driving innovation, improving customer engagement, and fortifying the company's competitive position. These relationships create opportunities to increase customer loyalty and support Primark's long-term digital transformation strategy.</w:t>
      </w:r>
      <w:r w:rsidR="00A31722">
        <w:rPr>
          <w:rFonts w:ascii="Arial" w:hAnsi="Arial" w:cs="Arial"/>
          <w:sz w:val="22"/>
          <w:szCs w:val="22"/>
        </w:rPr>
        <w:t xml:space="preserve"> </w:t>
      </w:r>
      <w:r w:rsidRPr="008904A4">
        <w:rPr>
          <w:rFonts w:ascii="Arial" w:hAnsi="Arial" w:cs="Arial"/>
          <w:sz w:val="22"/>
          <w:szCs w:val="22"/>
        </w:rPr>
        <w:t xml:space="preserve">However, the analysis also demonstrates that the organisation's reliance upon external stakeholders introduces considerable risks. </w:t>
      </w:r>
      <w:r w:rsidRPr="002E3B21">
        <w:rPr>
          <w:rFonts w:ascii="Arial" w:hAnsi="Arial" w:cs="Arial"/>
          <w:i/>
          <w:iCs/>
          <w:sz w:val="22"/>
          <w:szCs w:val="22"/>
        </w:rPr>
        <w:t>Dependence on third-party technology providers, payment systems, and logistics partners may diminish operational control and heighten vulnerability to service disruptio</w:t>
      </w:r>
      <w:r w:rsidR="00413F1A">
        <w:rPr>
          <w:rFonts w:ascii="Arial" w:hAnsi="Arial" w:cs="Arial"/>
          <w:i/>
          <w:iCs/>
          <w:sz w:val="22"/>
          <w:szCs w:val="22"/>
        </w:rPr>
        <w:t xml:space="preserve">n </w:t>
      </w:r>
      <w:r w:rsidR="002E3B21" w:rsidRPr="002E3B21">
        <w:rPr>
          <w:rFonts w:ascii="Arial" w:hAnsi="Arial" w:cs="Arial"/>
          <w:i/>
          <w:iCs/>
          <w:sz w:val="22"/>
          <w:szCs w:val="22"/>
        </w:rPr>
        <w:t>(Project Management Institute, 2021)</w:t>
      </w:r>
      <w:r w:rsidRPr="008904A4">
        <w:rPr>
          <w:rFonts w:ascii="Arial" w:hAnsi="Arial" w:cs="Arial"/>
          <w:sz w:val="22"/>
          <w:szCs w:val="22"/>
        </w:rPr>
        <w:t xml:space="preserve">. </w:t>
      </w:r>
      <w:r w:rsidRPr="004F373A">
        <w:rPr>
          <w:rFonts w:ascii="Arial" w:hAnsi="Arial" w:cs="Arial"/>
          <w:i/>
          <w:iCs/>
          <w:sz w:val="22"/>
          <w:szCs w:val="22"/>
        </w:rPr>
        <w:t xml:space="preserve">Furthermore, strict GDPR requirements, cybersecurity threats, and growing competition from digitally advanced retailers constitute major strategic </w:t>
      </w:r>
      <w:r w:rsidR="004F373A" w:rsidRPr="004F373A">
        <w:rPr>
          <w:rFonts w:ascii="Arial" w:hAnsi="Arial" w:cs="Arial"/>
          <w:i/>
          <w:iCs/>
          <w:sz w:val="22"/>
          <w:szCs w:val="22"/>
        </w:rPr>
        <w:t>challenges (</w:t>
      </w:r>
      <w:r w:rsidR="00676BE8" w:rsidRPr="004F373A">
        <w:rPr>
          <w:rFonts w:ascii="Arial" w:hAnsi="Arial" w:cs="Arial"/>
          <w:i/>
          <w:iCs/>
          <w:sz w:val="22"/>
          <w:szCs w:val="22"/>
        </w:rPr>
        <w:t>Information Commissioner's Office, 2024)</w:t>
      </w:r>
      <w:r w:rsidRPr="004F373A">
        <w:rPr>
          <w:rFonts w:ascii="Arial" w:hAnsi="Arial" w:cs="Arial"/>
          <w:i/>
          <w:iCs/>
          <w:sz w:val="22"/>
          <w:szCs w:val="22"/>
        </w:rPr>
        <w:t>.</w:t>
      </w:r>
      <w:r w:rsidRPr="008904A4">
        <w:rPr>
          <w:rFonts w:ascii="Arial" w:hAnsi="Arial" w:cs="Arial"/>
          <w:sz w:val="22"/>
          <w:szCs w:val="22"/>
        </w:rPr>
        <w:t xml:space="preserve"> Consequently, the successful implementation of ConnectPlus depends not only on drawing on external expertise but also on building effective stakeholder engagement plans, upholding strong governance, and proactively managing regulatory, technological, and reputational risks during the project lifecycle.</w:t>
      </w:r>
    </w:p>
    <w:p w14:paraId="35F55CCE" w14:textId="77777777" w:rsidR="00461E8C" w:rsidRDefault="00461E8C" w:rsidP="00BE402B">
      <w:pPr>
        <w:tabs>
          <w:tab w:val="left" w:pos="6646"/>
        </w:tabs>
        <w:spacing w:line="360" w:lineRule="auto"/>
        <w:rPr>
          <w:rFonts w:ascii="Arial" w:hAnsi="Arial" w:cs="Arial"/>
          <w:sz w:val="22"/>
          <w:szCs w:val="22"/>
        </w:rPr>
      </w:pPr>
    </w:p>
    <w:p w14:paraId="1B4EF087" w14:textId="77777777" w:rsidR="00461E8C" w:rsidRDefault="00461E8C" w:rsidP="00BE402B">
      <w:pPr>
        <w:tabs>
          <w:tab w:val="left" w:pos="6646"/>
        </w:tabs>
        <w:spacing w:line="360" w:lineRule="auto"/>
        <w:rPr>
          <w:rFonts w:ascii="Arial" w:hAnsi="Arial" w:cs="Arial"/>
          <w:sz w:val="22"/>
          <w:szCs w:val="22"/>
        </w:rPr>
      </w:pPr>
    </w:p>
    <w:p w14:paraId="21116BF0" w14:textId="77777777" w:rsidR="00461E8C" w:rsidRDefault="00461E8C" w:rsidP="00BE402B">
      <w:pPr>
        <w:tabs>
          <w:tab w:val="left" w:pos="6646"/>
        </w:tabs>
        <w:spacing w:line="360" w:lineRule="auto"/>
        <w:rPr>
          <w:rFonts w:ascii="Arial" w:hAnsi="Arial" w:cs="Arial"/>
          <w:sz w:val="22"/>
          <w:szCs w:val="22"/>
        </w:rPr>
      </w:pPr>
    </w:p>
    <w:p w14:paraId="621452DE" w14:textId="77777777" w:rsidR="00461E8C" w:rsidRDefault="00461E8C" w:rsidP="00BE402B">
      <w:pPr>
        <w:tabs>
          <w:tab w:val="left" w:pos="6646"/>
        </w:tabs>
        <w:spacing w:line="360" w:lineRule="auto"/>
        <w:rPr>
          <w:rFonts w:ascii="Arial" w:hAnsi="Arial" w:cs="Arial"/>
          <w:sz w:val="22"/>
          <w:szCs w:val="22"/>
        </w:rPr>
      </w:pPr>
    </w:p>
    <w:p w14:paraId="08BDDC71" w14:textId="77777777" w:rsidR="00461E8C" w:rsidRDefault="00461E8C" w:rsidP="00BE402B">
      <w:pPr>
        <w:tabs>
          <w:tab w:val="left" w:pos="6646"/>
        </w:tabs>
        <w:spacing w:line="360" w:lineRule="auto"/>
        <w:rPr>
          <w:rFonts w:ascii="Arial" w:hAnsi="Arial" w:cs="Arial"/>
          <w:sz w:val="22"/>
          <w:szCs w:val="22"/>
        </w:rPr>
      </w:pPr>
    </w:p>
    <w:p w14:paraId="5D090F33" w14:textId="77777777" w:rsidR="00461E8C" w:rsidRDefault="00461E8C" w:rsidP="00BE402B">
      <w:pPr>
        <w:tabs>
          <w:tab w:val="left" w:pos="6646"/>
        </w:tabs>
        <w:spacing w:line="360" w:lineRule="auto"/>
        <w:rPr>
          <w:rFonts w:ascii="Arial" w:hAnsi="Arial" w:cs="Arial"/>
          <w:sz w:val="22"/>
          <w:szCs w:val="22"/>
        </w:rPr>
      </w:pPr>
    </w:p>
    <w:p w14:paraId="2197B1AD" w14:textId="77777777" w:rsidR="0040121B" w:rsidRDefault="0040121B" w:rsidP="00BE402B">
      <w:pPr>
        <w:tabs>
          <w:tab w:val="left" w:pos="6646"/>
        </w:tabs>
        <w:spacing w:line="360" w:lineRule="auto"/>
        <w:rPr>
          <w:rFonts w:ascii="Arial" w:hAnsi="Arial" w:cs="Arial"/>
          <w:sz w:val="22"/>
          <w:szCs w:val="22"/>
        </w:rPr>
      </w:pPr>
    </w:p>
    <w:p w14:paraId="2E33030B" w14:textId="77777777" w:rsidR="00A31722" w:rsidRDefault="00A31722" w:rsidP="00BE402B">
      <w:pPr>
        <w:tabs>
          <w:tab w:val="left" w:pos="6646"/>
        </w:tabs>
        <w:spacing w:line="360" w:lineRule="auto"/>
        <w:rPr>
          <w:rFonts w:ascii="Arial" w:hAnsi="Arial" w:cs="Arial"/>
          <w:sz w:val="22"/>
          <w:szCs w:val="22"/>
        </w:rPr>
      </w:pPr>
    </w:p>
    <w:p w14:paraId="327FAEFA" w14:textId="77777777" w:rsidR="00034F94" w:rsidRDefault="00034F94" w:rsidP="00BE402B">
      <w:pPr>
        <w:tabs>
          <w:tab w:val="left" w:pos="6646"/>
        </w:tabs>
        <w:spacing w:line="360" w:lineRule="auto"/>
        <w:rPr>
          <w:rFonts w:ascii="Arial" w:hAnsi="Arial" w:cs="Arial"/>
          <w:sz w:val="22"/>
          <w:szCs w:val="22"/>
        </w:rPr>
      </w:pPr>
    </w:p>
    <w:p w14:paraId="2F64BA2E" w14:textId="77777777" w:rsidR="00034F94" w:rsidRDefault="00034F94" w:rsidP="00BE402B">
      <w:pPr>
        <w:tabs>
          <w:tab w:val="left" w:pos="6646"/>
        </w:tabs>
        <w:spacing w:line="360" w:lineRule="auto"/>
        <w:rPr>
          <w:rFonts w:ascii="Arial" w:hAnsi="Arial" w:cs="Arial"/>
          <w:sz w:val="22"/>
          <w:szCs w:val="22"/>
        </w:rPr>
      </w:pPr>
    </w:p>
    <w:p w14:paraId="3851A9C0" w14:textId="77777777" w:rsidR="00034F94" w:rsidRPr="008904A4" w:rsidRDefault="00034F94" w:rsidP="00BE402B">
      <w:pPr>
        <w:tabs>
          <w:tab w:val="left" w:pos="6646"/>
        </w:tabs>
        <w:spacing w:line="360" w:lineRule="auto"/>
        <w:rPr>
          <w:rFonts w:ascii="Arial" w:hAnsi="Arial" w:cs="Arial"/>
          <w:sz w:val="22"/>
          <w:szCs w:val="22"/>
        </w:rPr>
      </w:pPr>
    </w:p>
    <w:tbl>
      <w:tblPr>
        <w:tblStyle w:val="TableGrid"/>
        <w:tblW w:w="10348" w:type="dxa"/>
        <w:tblInd w:w="-714" w:type="dxa"/>
        <w:tblLook w:val="04A0" w:firstRow="1" w:lastRow="0" w:firstColumn="1" w:lastColumn="0" w:noHBand="0" w:noVBand="1"/>
      </w:tblPr>
      <w:tblGrid>
        <w:gridCol w:w="5222"/>
        <w:gridCol w:w="5126"/>
      </w:tblGrid>
      <w:tr w:rsidR="000312A0" w14:paraId="398CA2FD" w14:textId="77777777" w:rsidTr="00563C87">
        <w:tc>
          <w:tcPr>
            <w:tcW w:w="5222" w:type="dxa"/>
          </w:tcPr>
          <w:p w14:paraId="5F3A0466" w14:textId="0921690C" w:rsidR="000312A0" w:rsidRPr="00440BBF" w:rsidRDefault="00FD474E" w:rsidP="005E5FCF">
            <w:pPr>
              <w:tabs>
                <w:tab w:val="left" w:pos="6646"/>
              </w:tabs>
              <w:spacing w:line="360" w:lineRule="auto"/>
              <w:rPr>
                <w:rFonts w:ascii="Arial" w:hAnsi="Arial" w:cs="Arial"/>
                <w:b/>
                <w:bCs/>
                <w:sz w:val="22"/>
                <w:szCs w:val="22"/>
              </w:rPr>
            </w:pPr>
            <w:r w:rsidRPr="00440BBF">
              <w:rPr>
                <w:rFonts w:ascii="Arial" w:hAnsi="Arial" w:cs="Arial"/>
                <w:b/>
                <w:bCs/>
                <w:sz w:val="22"/>
                <w:szCs w:val="22"/>
              </w:rPr>
              <w:lastRenderedPageBreak/>
              <w:t>Strengths</w:t>
            </w:r>
          </w:p>
        </w:tc>
        <w:tc>
          <w:tcPr>
            <w:tcW w:w="5126" w:type="dxa"/>
          </w:tcPr>
          <w:p w14:paraId="4FC7A834" w14:textId="6201B388" w:rsidR="000312A0" w:rsidRPr="00440BBF" w:rsidRDefault="00406D0E" w:rsidP="005E5FCF">
            <w:pPr>
              <w:tabs>
                <w:tab w:val="left" w:pos="6646"/>
              </w:tabs>
              <w:spacing w:line="360" w:lineRule="auto"/>
              <w:rPr>
                <w:rFonts w:ascii="Arial" w:hAnsi="Arial" w:cs="Arial"/>
                <w:b/>
                <w:bCs/>
                <w:sz w:val="22"/>
                <w:szCs w:val="22"/>
              </w:rPr>
            </w:pPr>
            <w:r w:rsidRPr="00440BBF">
              <w:rPr>
                <w:rFonts w:ascii="Arial" w:hAnsi="Arial" w:cs="Arial"/>
                <w:b/>
                <w:bCs/>
                <w:sz w:val="22"/>
                <w:szCs w:val="22"/>
              </w:rPr>
              <w:t>Weaknesses</w:t>
            </w:r>
          </w:p>
        </w:tc>
      </w:tr>
      <w:tr w:rsidR="000312A0" w14:paraId="523EF8E4" w14:textId="77777777" w:rsidTr="00563C87">
        <w:tc>
          <w:tcPr>
            <w:tcW w:w="5222" w:type="dxa"/>
          </w:tcPr>
          <w:p w14:paraId="6355A46A" w14:textId="670991BE" w:rsidR="000312A0" w:rsidRPr="00B57DA7" w:rsidRDefault="00FA4320" w:rsidP="005E5FCF">
            <w:pPr>
              <w:tabs>
                <w:tab w:val="left" w:pos="6646"/>
              </w:tabs>
              <w:spacing w:line="360" w:lineRule="auto"/>
              <w:rPr>
                <w:rFonts w:ascii="Arial" w:hAnsi="Arial" w:cs="Arial"/>
                <w:sz w:val="22"/>
                <w:szCs w:val="22"/>
              </w:rPr>
            </w:pPr>
            <w:r w:rsidRPr="00B57DA7">
              <w:rPr>
                <w:rFonts w:ascii="Arial" w:hAnsi="Arial" w:cs="Arial"/>
                <w:sz w:val="22"/>
                <w:szCs w:val="22"/>
              </w:rPr>
              <w:t>Strong customer interest in personalised digital shopping experiences encourages adoption of ConnectPlus.</w:t>
            </w:r>
          </w:p>
        </w:tc>
        <w:tc>
          <w:tcPr>
            <w:tcW w:w="5126" w:type="dxa"/>
          </w:tcPr>
          <w:p w14:paraId="679174E9" w14:textId="249CCAC3" w:rsidR="000312A0" w:rsidRPr="00B57DA7" w:rsidRDefault="00E602B2" w:rsidP="005E5FCF">
            <w:pPr>
              <w:tabs>
                <w:tab w:val="left" w:pos="6646"/>
              </w:tabs>
              <w:spacing w:line="360" w:lineRule="auto"/>
              <w:rPr>
                <w:rFonts w:ascii="Arial" w:hAnsi="Arial" w:cs="Arial"/>
                <w:sz w:val="22"/>
                <w:szCs w:val="22"/>
              </w:rPr>
            </w:pPr>
            <w:r w:rsidRPr="00B57DA7">
              <w:rPr>
                <w:rFonts w:ascii="Arial" w:hAnsi="Arial" w:cs="Arial"/>
                <w:sz w:val="22"/>
                <w:szCs w:val="22"/>
              </w:rPr>
              <w:t>High dependence on external technology providers and AI vendors for platform performance and maintenance.</w:t>
            </w:r>
          </w:p>
        </w:tc>
      </w:tr>
      <w:tr w:rsidR="000312A0" w14:paraId="5785426D" w14:textId="77777777" w:rsidTr="00563C87">
        <w:tc>
          <w:tcPr>
            <w:tcW w:w="5222" w:type="dxa"/>
          </w:tcPr>
          <w:p w14:paraId="54DF3265" w14:textId="729355ED" w:rsidR="000312A0" w:rsidRPr="00B57DA7" w:rsidRDefault="00E602B2" w:rsidP="005E5FCF">
            <w:pPr>
              <w:tabs>
                <w:tab w:val="left" w:pos="6646"/>
              </w:tabs>
              <w:spacing w:line="360" w:lineRule="auto"/>
              <w:rPr>
                <w:rFonts w:ascii="Arial" w:hAnsi="Arial" w:cs="Arial"/>
                <w:sz w:val="22"/>
                <w:szCs w:val="22"/>
              </w:rPr>
            </w:pPr>
            <w:r w:rsidRPr="00B57DA7">
              <w:rPr>
                <w:rFonts w:ascii="Arial" w:hAnsi="Arial" w:cs="Arial"/>
                <w:sz w:val="22"/>
                <w:szCs w:val="22"/>
              </w:rPr>
              <w:t>Experienced technology providers and AI software vendors provide advanced digital infrastructure, cybersecurity, and AI capabilities.</w:t>
            </w:r>
          </w:p>
        </w:tc>
        <w:tc>
          <w:tcPr>
            <w:tcW w:w="5126" w:type="dxa"/>
          </w:tcPr>
          <w:p w14:paraId="119D384B" w14:textId="6CBE2596" w:rsidR="000312A0" w:rsidRPr="00B57DA7" w:rsidRDefault="00887AA0" w:rsidP="005E5FCF">
            <w:pPr>
              <w:tabs>
                <w:tab w:val="left" w:pos="6646"/>
              </w:tabs>
              <w:spacing w:line="360" w:lineRule="auto"/>
              <w:rPr>
                <w:rFonts w:ascii="Arial" w:hAnsi="Arial" w:cs="Arial"/>
                <w:sz w:val="22"/>
                <w:szCs w:val="22"/>
              </w:rPr>
            </w:pPr>
            <w:r w:rsidRPr="00B57DA7">
              <w:rPr>
                <w:rFonts w:ascii="Arial" w:hAnsi="Arial" w:cs="Arial"/>
                <w:sz w:val="22"/>
                <w:szCs w:val="22"/>
              </w:rPr>
              <w:t>Reliance on third-party payment providers and logistics partners may reduce operational control.</w:t>
            </w:r>
          </w:p>
        </w:tc>
      </w:tr>
      <w:tr w:rsidR="000312A0" w14:paraId="3408DE2F" w14:textId="77777777" w:rsidTr="00563C87">
        <w:tc>
          <w:tcPr>
            <w:tcW w:w="5222" w:type="dxa"/>
          </w:tcPr>
          <w:p w14:paraId="2E523DBE" w14:textId="2B1E02D2" w:rsidR="000312A0" w:rsidRPr="00B57DA7" w:rsidRDefault="000949FD" w:rsidP="005E5FCF">
            <w:pPr>
              <w:tabs>
                <w:tab w:val="left" w:pos="6646"/>
              </w:tabs>
              <w:spacing w:line="360" w:lineRule="auto"/>
              <w:rPr>
                <w:rFonts w:ascii="Arial" w:hAnsi="Arial" w:cs="Arial"/>
                <w:sz w:val="22"/>
                <w:szCs w:val="22"/>
              </w:rPr>
            </w:pPr>
            <w:r w:rsidRPr="00B57DA7">
              <w:rPr>
                <w:rFonts w:ascii="Arial" w:hAnsi="Arial" w:cs="Arial"/>
                <w:sz w:val="22"/>
                <w:szCs w:val="22"/>
              </w:rPr>
              <w:t>Investors provide financial support and encourage long-term digital innovation.</w:t>
            </w:r>
          </w:p>
        </w:tc>
        <w:tc>
          <w:tcPr>
            <w:tcW w:w="5126" w:type="dxa"/>
          </w:tcPr>
          <w:p w14:paraId="24177C50" w14:textId="6CAB92F7" w:rsidR="000312A0" w:rsidRPr="00B57DA7" w:rsidRDefault="000949FD" w:rsidP="005E5FCF">
            <w:pPr>
              <w:tabs>
                <w:tab w:val="left" w:pos="6646"/>
              </w:tabs>
              <w:spacing w:line="360" w:lineRule="auto"/>
              <w:rPr>
                <w:rFonts w:ascii="Arial" w:hAnsi="Arial" w:cs="Arial"/>
                <w:sz w:val="22"/>
                <w:szCs w:val="22"/>
              </w:rPr>
            </w:pPr>
            <w:r w:rsidRPr="00B57DA7">
              <w:rPr>
                <w:rFonts w:ascii="Arial" w:hAnsi="Arial" w:cs="Arial"/>
                <w:sz w:val="22"/>
                <w:szCs w:val="22"/>
              </w:rPr>
              <w:t>Different regulatory requirements across international markets increase project complexity.</w:t>
            </w:r>
          </w:p>
        </w:tc>
      </w:tr>
      <w:tr w:rsidR="000312A0" w14:paraId="543B6556" w14:textId="77777777" w:rsidTr="00563C87">
        <w:tc>
          <w:tcPr>
            <w:tcW w:w="5222" w:type="dxa"/>
          </w:tcPr>
          <w:p w14:paraId="534071BD" w14:textId="0783A818" w:rsidR="000312A0" w:rsidRPr="00B57DA7" w:rsidRDefault="000A482E" w:rsidP="005E5FCF">
            <w:pPr>
              <w:tabs>
                <w:tab w:val="left" w:pos="6646"/>
              </w:tabs>
              <w:spacing w:line="360" w:lineRule="auto"/>
              <w:rPr>
                <w:rFonts w:ascii="Arial" w:hAnsi="Arial" w:cs="Arial"/>
                <w:sz w:val="22"/>
                <w:szCs w:val="22"/>
              </w:rPr>
            </w:pPr>
            <w:r w:rsidRPr="00B57DA7">
              <w:rPr>
                <w:rFonts w:ascii="Arial" w:hAnsi="Arial" w:cs="Arial"/>
                <w:sz w:val="22"/>
                <w:szCs w:val="22"/>
              </w:rPr>
              <w:t>Business partners enhance the customer experience through loyalty rewards and promotional collaborations.</w:t>
            </w:r>
          </w:p>
        </w:tc>
        <w:tc>
          <w:tcPr>
            <w:tcW w:w="5126" w:type="dxa"/>
          </w:tcPr>
          <w:p w14:paraId="6A583022" w14:textId="6456B034" w:rsidR="000312A0" w:rsidRPr="00B57DA7" w:rsidRDefault="000A482E" w:rsidP="005E5FCF">
            <w:pPr>
              <w:tabs>
                <w:tab w:val="left" w:pos="6646"/>
              </w:tabs>
              <w:spacing w:line="360" w:lineRule="auto"/>
              <w:rPr>
                <w:rFonts w:ascii="Arial" w:hAnsi="Arial" w:cs="Arial"/>
                <w:sz w:val="22"/>
                <w:szCs w:val="22"/>
              </w:rPr>
            </w:pPr>
            <w:r w:rsidRPr="00B57DA7">
              <w:rPr>
                <w:rFonts w:ascii="Arial" w:hAnsi="Arial" w:cs="Arial"/>
                <w:sz w:val="22"/>
                <w:szCs w:val="22"/>
              </w:rPr>
              <w:t>Customer trust may decline if concerns about data privacy or platform reliability are not addressed.</w:t>
            </w:r>
          </w:p>
        </w:tc>
      </w:tr>
      <w:tr w:rsidR="000312A0" w14:paraId="24F49713" w14:textId="77777777" w:rsidTr="00563C87">
        <w:tc>
          <w:tcPr>
            <w:tcW w:w="5222" w:type="dxa"/>
          </w:tcPr>
          <w:p w14:paraId="05AB7E0B" w14:textId="7D528533" w:rsidR="000312A0" w:rsidRPr="00440BBF" w:rsidRDefault="00F841FA" w:rsidP="005E5FCF">
            <w:pPr>
              <w:tabs>
                <w:tab w:val="left" w:pos="6646"/>
              </w:tabs>
              <w:spacing w:line="360" w:lineRule="auto"/>
              <w:rPr>
                <w:rFonts w:ascii="Arial" w:hAnsi="Arial" w:cs="Arial"/>
                <w:b/>
                <w:bCs/>
                <w:sz w:val="22"/>
                <w:szCs w:val="22"/>
              </w:rPr>
            </w:pPr>
            <w:r w:rsidRPr="00440BBF">
              <w:rPr>
                <w:rFonts w:ascii="Arial" w:hAnsi="Arial" w:cs="Arial"/>
                <w:b/>
                <w:bCs/>
                <w:sz w:val="22"/>
                <w:szCs w:val="22"/>
              </w:rPr>
              <w:t>Opportunities</w:t>
            </w:r>
          </w:p>
        </w:tc>
        <w:tc>
          <w:tcPr>
            <w:tcW w:w="5126" w:type="dxa"/>
          </w:tcPr>
          <w:p w14:paraId="1F0F31C2" w14:textId="5CA577AE" w:rsidR="000312A0" w:rsidRPr="00440BBF" w:rsidRDefault="00F841FA" w:rsidP="005E5FCF">
            <w:pPr>
              <w:tabs>
                <w:tab w:val="left" w:pos="6646"/>
              </w:tabs>
              <w:spacing w:line="360" w:lineRule="auto"/>
              <w:rPr>
                <w:rFonts w:ascii="Arial" w:hAnsi="Arial" w:cs="Arial"/>
                <w:b/>
                <w:bCs/>
                <w:sz w:val="22"/>
                <w:szCs w:val="22"/>
              </w:rPr>
            </w:pPr>
            <w:r w:rsidRPr="00440BBF">
              <w:rPr>
                <w:rFonts w:ascii="Arial" w:hAnsi="Arial" w:cs="Arial"/>
                <w:b/>
                <w:bCs/>
                <w:sz w:val="22"/>
                <w:szCs w:val="22"/>
              </w:rPr>
              <w:t>Threats</w:t>
            </w:r>
          </w:p>
        </w:tc>
      </w:tr>
      <w:tr w:rsidR="00461E8C" w14:paraId="78C9C514" w14:textId="77777777" w:rsidTr="00563C87">
        <w:tc>
          <w:tcPr>
            <w:tcW w:w="5222" w:type="dxa"/>
          </w:tcPr>
          <w:p w14:paraId="5336F41E" w14:textId="3B7EEC6D" w:rsidR="00461E8C" w:rsidRPr="00B57DA7" w:rsidRDefault="008D58A8" w:rsidP="005E5FCF">
            <w:pPr>
              <w:tabs>
                <w:tab w:val="left" w:pos="6646"/>
              </w:tabs>
              <w:spacing w:line="360" w:lineRule="auto"/>
              <w:rPr>
                <w:rFonts w:ascii="Arial" w:hAnsi="Arial" w:cs="Arial"/>
                <w:sz w:val="22"/>
                <w:szCs w:val="22"/>
              </w:rPr>
            </w:pPr>
            <w:r w:rsidRPr="00B57DA7">
              <w:rPr>
                <w:rFonts w:ascii="Arial" w:hAnsi="Arial" w:cs="Arial"/>
                <w:sz w:val="22"/>
                <w:szCs w:val="22"/>
              </w:rPr>
              <w:t>Growing demand for AI-driven personalisation and digital loyalty programmes creates opportunities to increase customer retention.</w:t>
            </w:r>
          </w:p>
        </w:tc>
        <w:tc>
          <w:tcPr>
            <w:tcW w:w="5126" w:type="dxa"/>
          </w:tcPr>
          <w:p w14:paraId="7E400341" w14:textId="56522119" w:rsidR="00461E8C" w:rsidRPr="00B57DA7" w:rsidRDefault="005548DA" w:rsidP="005E5FCF">
            <w:pPr>
              <w:tabs>
                <w:tab w:val="left" w:pos="6646"/>
              </w:tabs>
              <w:spacing w:line="360" w:lineRule="auto"/>
              <w:rPr>
                <w:rFonts w:ascii="Arial" w:hAnsi="Arial" w:cs="Arial"/>
                <w:sz w:val="22"/>
                <w:szCs w:val="22"/>
              </w:rPr>
            </w:pPr>
            <w:r w:rsidRPr="00B57DA7">
              <w:rPr>
                <w:rFonts w:ascii="Arial" w:hAnsi="Arial" w:cs="Arial"/>
                <w:sz w:val="22"/>
                <w:szCs w:val="22"/>
              </w:rPr>
              <w:t>GDPR compliance and evolving data protection regulations may restrict data collection and usage.</w:t>
            </w:r>
          </w:p>
        </w:tc>
      </w:tr>
      <w:tr w:rsidR="00461E8C" w14:paraId="225F24E8" w14:textId="77777777" w:rsidTr="00563C87">
        <w:tc>
          <w:tcPr>
            <w:tcW w:w="5222" w:type="dxa"/>
          </w:tcPr>
          <w:p w14:paraId="7E328D08" w14:textId="1AF4A1F5" w:rsidR="00461E8C" w:rsidRPr="00B57DA7" w:rsidRDefault="005548DA" w:rsidP="005E5FCF">
            <w:pPr>
              <w:tabs>
                <w:tab w:val="left" w:pos="6646"/>
              </w:tabs>
              <w:spacing w:line="360" w:lineRule="auto"/>
              <w:rPr>
                <w:rFonts w:ascii="Arial" w:hAnsi="Arial" w:cs="Arial"/>
                <w:sz w:val="22"/>
                <w:szCs w:val="22"/>
              </w:rPr>
            </w:pPr>
            <w:r w:rsidRPr="00B57DA7">
              <w:rPr>
                <w:rFonts w:ascii="Arial" w:hAnsi="Arial" w:cs="Arial"/>
                <w:sz w:val="22"/>
                <w:szCs w:val="22"/>
              </w:rPr>
              <w:t>Positive customer feedback can strengthen brand reputation and improve platform development.</w:t>
            </w:r>
          </w:p>
        </w:tc>
        <w:tc>
          <w:tcPr>
            <w:tcW w:w="5126" w:type="dxa"/>
          </w:tcPr>
          <w:p w14:paraId="745956AD" w14:textId="0478D1F9" w:rsidR="00461E8C" w:rsidRPr="00B57DA7" w:rsidRDefault="00F062E6" w:rsidP="005E5FCF">
            <w:pPr>
              <w:tabs>
                <w:tab w:val="left" w:pos="6646"/>
              </w:tabs>
              <w:spacing w:line="360" w:lineRule="auto"/>
              <w:rPr>
                <w:rFonts w:ascii="Arial" w:hAnsi="Arial" w:cs="Arial"/>
                <w:sz w:val="22"/>
                <w:szCs w:val="22"/>
              </w:rPr>
            </w:pPr>
            <w:r w:rsidRPr="00B57DA7">
              <w:rPr>
                <w:rFonts w:ascii="Arial" w:hAnsi="Arial" w:cs="Arial"/>
                <w:sz w:val="22"/>
                <w:szCs w:val="22"/>
              </w:rPr>
              <w:t>Cybersecurity threats and potential data breaches could damage customer confidence and Primark's reputation.</w:t>
            </w:r>
          </w:p>
        </w:tc>
      </w:tr>
      <w:tr w:rsidR="00461E8C" w14:paraId="7AA19B37" w14:textId="77777777" w:rsidTr="00563C87">
        <w:tc>
          <w:tcPr>
            <w:tcW w:w="5222" w:type="dxa"/>
          </w:tcPr>
          <w:p w14:paraId="0D86E87F" w14:textId="67995C7B" w:rsidR="00461E8C" w:rsidRPr="00B57DA7" w:rsidRDefault="00F062E6" w:rsidP="005E5FCF">
            <w:pPr>
              <w:tabs>
                <w:tab w:val="left" w:pos="6646"/>
              </w:tabs>
              <w:spacing w:line="360" w:lineRule="auto"/>
              <w:rPr>
                <w:rFonts w:ascii="Arial" w:hAnsi="Arial" w:cs="Arial"/>
                <w:sz w:val="22"/>
                <w:szCs w:val="22"/>
              </w:rPr>
            </w:pPr>
            <w:r w:rsidRPr="00B57DA7">
              <w:rPr>
                <w:rFonts w:ascii="Arial" w:hAnsi="Arial" w:cs="Arial"/>
                <w:sz w:val="22"/>
                <w:szCs w:val="22"/>
              </w:rPr>
              <w:t>Collaboration with technology providers can drive continuous innovation and platform improvements.</w:t>
            </w:r>
          </w:p>
        </w:tc>
        <w:tc>
          <w:tcPr>
            <w:tcW w:w="5126" w:type="dxa"/>
          </w:tcPr>
          <w:p w14:paraId="0B91FCF3" w14:textId="37FDC56B" w:rsidR="00461E8C" w:rsidRPr="00B57DA7" w:rsidRDefault="00DA33C4" w:rsidP="005E5FCF">
            <w:pPr>
              <w:tabs>
                <w:tab w:val="left" w:pos="6646"/>
              </w:tabs>
              <w:spacing w:line="360" w:lineRule="auto"/>
              <w:rPr>
                <w:rFonts w:ascii="Arial" w:hAnsi="Arial" w:cs="Arial"/>
                <w:sz w:val="22"/>
                <w:szCs w:val="22"/>
              </w:rPr>
            </w:pPr>
            <w:r w:rsidRPr="00B57DA7">
              <w:rPr>
                <w:rFonts w:ascii="Arial" w:hAnsi="Arial" w:cs="Arial"/>
                <w:sz w:val="22"/>
                <w:szCs w:val="22"/>
              </w:rPr>
              <w:t>Competitors may introduce more advanced digital loyalty platforms, reducing Primark's competitive advantage.</w:t>
            </w:r>
          </w:p>
        </w:tc>
      </w:tr>
      <w:tr w:rsidR="00461E8C" w14:paraId="0428BA22" w14:textId="77777777" w:rsidTr="00563C87">
        <w:tc>
          <w:tcPr>
            <w:tcW w:w="5222" w:type="dxa"/>
          </w:tcPr>
          <w:p w14:paraId="28286CFF" w14:textId="4108AF39" w:rsidR="00461E8C" w:rsidRPr="00B57DA7" w:rsidRDefault="005C058B" w:rsidP="005E5FCF">
            <w:pPr>
              <w:tabs>
                <w:tab w:val="left" w:pos="6646"/>
              </w:tabs>
              <w:spacing w:line="360" w:lineRule="auto"/>
              <w:rPr>
                <w:rFonts w:ascii="Arial" w:hAnsi="Arial" w:cs="Arial"/>
                <w:sz w:val="22"/>
                <w:szCs w:val="22"/>
              </w:rPr>
            </w:pPr>
            <w:r w:rsidRPr="00B57DA7">
              <w:rPr>
                <w:rFonts w:ascii="Arial" w:hAnsi="Arial" w:cs="Arial"/>
                <w:sz w:val="22"/>
                <w:szCs w:val="22"/>
              </w:rPr>
              <w:t>Support from local communities and sustainable business practices can enhance corporate reputation.</w:t>
            </w:r>
          </w:p>
        </w:tc>
        <w:tc>
          <w:tcPr>
            <w:tcW w:w="5126" w:type="dxa"/>
          </w:tcPr>
          <w:p w14:paraId="31EA4A14" w14:textId="4221493E" w:rsidR="00461E8C" w:rsidRPr="00B57DA7" w:rsidRDefault="001E7808" w:rsidP="005E5FCF">
            <w:pPr>
              <w:tabs>
                <w:tab w:val="left" w:pos="6646"/>
              </w:tabs>
              <w:spacing w:line="360" w:lineRule="auto"/>
              <w:rPr>
                <w:rFonts w:ascii="Arial" w:hAnsi="Arial" w:cs="Arial"/>
                <w:sz w:val="22"/>
                <w:szCs w:val="22"/>
              </w:rPr>
            </w:pPr>
            <w:r w:rsidRPr="00B57DA7">
              <w:rPr>
                <w:rFonts w:ascii="Arial" w:hAnsi="Arial" w:cs="Arial"/>
                <w:sz w:val="22"/>
                <w:szCs w:val="22"/>
              </w:rPr>
              <w:t>Negative media coverage or customer dissatisfaction could discourage adoption of ConnectPlus.</w:t>
            </w:r>
          </w:p>
        </w:tc>
      </w:tr>
      <w:tr w:rsidR="00461E8C" w14:paraId="0FDCAA13" w14:textId="77777777" w:rsidTr="00563C87">
        <w:tc>
          <w:tcPr>
            <w:tcW w:w="5222" w:type="dxa"/>
          </w:tcPr>
          <w:p w14:paraId="532815FC" w14:textId="53500AE9" w:rsidR="00461E8C" w:rsidRPr="00B57DA7" w:rsidRDefault="001E7808" w:rsidP="005E5FCF">
            <w:pPr>
              <w:tabs>
                <w:tab w:val="left" w:pos="6646"/>
              </w:tabs>
              <w:spacing w:line="360" w:lineRule="auto"/>
              <w:rPr>
                <w:rFonts w:ascii="Arial" w:hAnsi="Arial" w:cs="Arial"/>
                <w:sz w:val="22"/>
                <w:szCs w:val="22"/>
              </w:rPr>
            </w:pPr>
            <w:r w:rsidRPr="00B57DA7">
              <w:rPr>
                <w:rFonts w:ascii="Arial" w:hAnsi="Arial" w:cs="Arial"/>
                <w:sz w:val="22"/>
                <w:szCs w:val="22"/>
              </w:rPr>
              <w:t>Expanding partnerships with logistics and payment providers can improve customer convenience and operational efficiency</w:t>
            </w:r>
          </w:p>
        </w:tc>
        <w:tc>
          <w:tcPr>
            <w:tcW w:w="5126" w:type="dxa"/>
          </w:tcPr>
          <w:p w14:paraId="43E052FE" w14:textId="2DD7EB53" w:rsidR="00461E8C" w:rsidRPr="00B57DA7" w:rsidRDefault="00B57DA7" w:rsidP="005E5FCF">
            <w:pPr>
              <w:tabs>
                <w:tab w:val="left" w:pos="6646"/>
              </w:tabs>
              <w:spacing w:line="360" w:lineRule="auto"/>
              <w:rPr>
                <w:rFonts w:ascii="Arial" w:hAnsi="Arial" w:cs="Arial"/>
                <w:sz w:val="22"/>
                <w:szCs w:val="22"/>
              </w:rPr>
            </w:pPr>
            <w:r w:rsidRPr="00B57DA7">
              <w:rPr>
                <w:rFonts w:ascii="Arial" w:hAnsi="Arial" w:cs="Arial"/>
                <w:sz w:val="22"/>
                <w:szCs w:val="22"/>
              </w:rPr>
              <w:t>Disruptions affecting suppliers, logistics partners, or technology providers may delay implementation and affect service quality.</w:t>
            </w:r>
          </w:p>
        </w:tc>
      </w:tr>
    </w:tbl>
    <w:p w14:paraId="0CF7A033" w14:textId="77777777" w:rsidR="00B32571" w:rsidRDefault="00B32571" w:rsidP="005E5FCF">
      <w:pPr>
        <w:tabs>
          <w:tab w:val="left" w:pos="6646"/>
        </w:tabs>
        <w:spacing w:line="360" w:lineRule="auto"/>
        <w:rPr>
          <w:rFonts w:ascii="Arial" w:hAnsi="Arial" w:cs="Arial"/>
          <w:sz w:val="22"/>
          <w:szCs w:val="22"/>
        </w:rPr>
      </w:pPr>
    </w:p>
    <w:p w14:paraId="59F5FFB7" w14:textId="7E8344E9" w:rsidR="005E5FCF" w:rsidRPr="005E5FCF" w:rsidRDefault="005E5FCF" w:rsidP="005E5FCF">
      <w:pPr>
        <w:tabs>
          <w:tab w:val="left" w:pos="6646"/>
        </w:tabs>
        <w:spacing w:line="360" w:lineRule="auto"/>
        <w:rPr>
          <w:rFonts w:ascii="Arial" w:hAnsi="Arial" w:cs="Arial"/>
          <w:sz w:val="22"/>
          <w:szCs w:val="22"/>
        </w:rPr>
      </w:pPr>
      <w:r w:rsidRPr="005E5FCF">
        <w:rPr>
          <w:rFonts w:ascii="Arial" w:hAnsi="Arial" w:cs="Arial"/>
          <w:sz w:val="22"/>
          <w:szCs w:val="22"/>
        </w:rPr>
        <w:t>External stakeholders are individuals and organisations outside Primark that influence or are affected by the implementation of ConnectPlus.</w:t>
      </w:r>
    </w:p>
    <w:p w14:paraId="2AE51F87" w14:textId="77777777" w:rsidR="0043207C" w:rsidRDefault="0043207C" w:rsidP="009F46EE">
      <w:pPr>
        <w:tabs>
          <w:tab w:val="left" w:pos="6646"/>
        </w:tabs>
        <w:spacing w:line="360" w:lineRule="auto"/>
        <w:rPr>
          <w:rFonts w:ascii="Arial" w:hAnsi="Arial" w:cs="Arial"/>
          <w:b/>
          <w:bCs/>
          <w:sz w:val="22"/>
          <w:szCs w:val="22"/>
        </w:rPr>
      </w:pPr>
    </w:p>
    <w:p w14:paraId="3C126BD9" w14:textId="77777777" w:rsidR="00A868DB" w:rsidRDefault="00A868DB" w:rsidP="009F46EE">
      <w:pPr>
        <w:tabs>
          <w:tab w:val="left" w:pos="6646"/>
        </w:tabs>
        <w:spacing w:line="360" w:lineRule="auto"/>
        <w:rPr>
          <w:rFonts w:ascii="Arial" w:hAnsi="Arial" w:cs="Arial"/>
          <w:b/>
          <w:bCs/>
          <w:sz w:val="22"/>
          <w:szCs w:val="22"/>
        </w:rPr>
      </w:pPr>
    </w:p>
    <w:p w14:paraId="50C28D5E" w14:textId="77777777" w:rsidR="00A868DB" w:rsidRDefault="00A868DB" w:rsidP="009F46EE">
      <w:pPr>
        <w:tabs>
          <w:tab w:val="left" w:pos="6646"/>
        </w:tabs>
        <w:spacing w:line="360" w:lineRule="auto"/>
        <w:rPr>
          <w:rFonts w:ascii="Arial" w:hAnsi="Arial" w:cs="Arial"/>
          <w:b/>
          <w:bCs/>
          <w:sz w:val="22"/>
          <w:szCs w:val="22"/>
        </w:rPr>
      </w:pPr>
    </w:p>
    <w:p w14:paraId="734CD094" w14:textId="29C04923" w:rsidR="009F46EE" w:rsidRPr="009F46EE" w:rsidRDefault="009F46EE" w:rsidP="009F46EE">
      <w:pPr>
        <w:tabs>
          <w:tab w:val="left" w:pos="6646"/>
        </w:tabs>
        <w:spacing w:line="360" w:lineRule="auto"/>
        <w:rPr>
          <w:rFonts w:ascii="Arial" w:hAnsi="Arial" w:cs="Arial"/>
          <w:b/>
          <w:bCs/>
          <w:sz w:val="22"/>
          <w:szCs w:val="22"/>
        </w:rPr>
      </w:pPr>
      <w:r w:rsidRPr="009F46EE">
        <w:rPr>
          <w:rFonts w:ascii="Arial" w:hAnsi="Arial" w:cs="Arial"/>
          <w:b/>
          <w:bCs/>
          <w:sz w:val="22"/>
          <w:szCs w:val="22"/>
        </w:rPr>
        <w:lastRenderedPageBreak/>
        <w:t>SWOT Analysis – ConnectPlus Stakeholder Environment (Primark)</w:t>
      </w:r>
    </w:p>
    <w:p w14:paraId="7889D632" w14:textId="77777777" w:rsidR="009F46EE" w:rsidRPr="009F46EE" w:rsidRDefault="009F46EE" w:rsidP="009F46EE">
      <w:pPr>
        <w:tabs>
          <w:tab w:val="left" w:pos="6646"/>
        </w:tabs>
        <w:spacing w:line="360" w:lineRule="auto"/>
        <w:rPr>
          <w:rFonts w:ascii="Arial" w:hAnsi="Arial" w:cs="Arial"/>
          <w:b/>
          <w:bCs/>
          <w:vanish/>
          <w:sz w:val="22"/>
          <w:szCs w:val="22"/>
        </w:rPr>
      </w:pPr>
    </w:p>
    <w:p w14:paraId="7FA59530" w14:textId="7682A0BF" w:rsidR="005E5FCF" w:rsidRDefault="005E5FCF" w:rsidP="005E5FCF">
      <w:pPr>
        <w:tabs>
          <w:tab w:val="left" w:pos="6646"/>
        </w:tabs>
        <w:spacing w:line="360" w:lineRule="auto"/>
        <w:rPr>
          <w:rFonts w:ascii="Arial" w:hAnsi="Arial" w:cs="Arial"/>
          <w:b/>
          <w:bCs/>
          <w:sz w:val="22"/>
          <w:szCs w:val="22"/>
        </w:rPr>
      </w:pPr>
      <w:r w:rsidRPr="005E5FCF">
        <w:rPr>
          <w:rFonts w:ascii="Arial" w:hAnsi="Arial" w:cs="Arial"/>
          <w:b/>
          <w:bCs/>
          <w:sz w:val="22"/>
          <w:szCs w:val="22"/>
        </w:rPr>
        <w:t>Summary</w:t>
      </w:r>
    </w:p>
    <w:p w14:paraId="52E264A8" w14:textId="640AF2B4" w:rsidR="00E149AD" w:rsidRDefault="00D1567E" w:rsidP="002C27B6">
      <w:pPr>
        <w:tabs>
          <w:tab w:val="left" w:pos="6646"/>
        </w:tabs>
        <w:spacing w:line="360" w:lineRule="auto"/>
        <w:jc w:val="both"/>
        <w:rPr>
          <w:rFonts w:ascii="Arial" w:hAnsi="Arial" w:cs="Arial"/>
          <w:sz w:val="22"/>
          <w:szCs w:val="22"/>
        </w:rPr>
      </w:pPr>
      <w:r>
        <w:rPr>
          <w:rFonts w:ascii="Arial" w:hAnsi="Arial" w:cs="Arial"/>
          <w:sz w:val="22"/>
          <w:szCs w:val="22"/>
        </w:rPr>
        <w:t>Successful</w:t>
      </w:r>
      <w:r w:rsidR="00E149AD" w:rsidRPr="009E5191">
        <w:rPr>
          <w:rFonts w:ascii="Arial" w:hAnsi="Arial" w:cs="Arial"/>
          <w:sz w:val="22"/>
          <w:szCs w:val="22"/>
        </w:rPr>
        <w:t xml:space="preserve"> implementation of ConnectPlus depends on effective collaboration between a diverse range of internal and external stakeholders, whose interests, expectations, and levels of influence vary considerably throughout the project lifecycle. While internal stakeholders are responsible for planning, developing, managing, and delivering the platform, their effectiveness relies on cross-functional coordination, clear communication, and strong leadership. Likewise, external stakeholders influence project outcomes through customer adoption, regulatory compliance, technological expertise, and changing market conditions. </w:t>
      </w:r>
      <w:r w:rsidR="00E149AD" w:rsidRPr="001410D4">
        <w:rPr>
          <w:rFonts w:ascii="Arial" w:hAnsi="Arial" w:cs="Arial"/>
          <w:i/>
          <w:iCs/>
          <w:sz w:val="22"/>
          <w:szCs w:val="22"/>
        </w:rPr>
        <w:t>However, stakeholder interests are not always aligned, creating potential conflicts, competing priorities, and resistance to organisational change</w:t>
      </w:r>
      <w:r w:rsidR="001410D4" w:rsidRPr="001410D4">
        <w:rPr>
          <w:rFonts w:ascii="Arial" w:hAnsi="Arial" w:cs="Arial"/>
          <w:i/>
          <w:iCs/>
          <w:sz w:val="22"/>
          <w:szCs w:val="22"/>
        </w:rPr>
        <w:t xml:space="preserve"> </w:t>
      </w:r>
      <w:r w:rsidR="003834C5" w:rsidRPr="001410D4">
        <w:rPr>
          <w:rFonts w:ascii="Arial" w:hAnsi="Arial" w:cs="Arial"/>
          <w:i/>
          <w:iCs/>
          <w:sz w:val="22"/>
          <w:szCs w:val="22"/>
        </w:rPr>
        <w:t>(Freeman et al., 2020)</w:t>
      </w:r>
      <w:r w:rsidR="00E149AD" w:rsidRPr="001410D4">
        <w:rPr>
          <w:rFonts w:ascii="Arial" w:hAnsi="Arial" w:cs="Arial"/>
          <w:i/>
          <w:iCs/>
          <w:sz w:val="22"/>
          <w:szCs w:val="22"/>
        </w:rPr>
        <w:t>.</w:t>
      </w:r>
      <w:r w:rsidR="00E149AD" w:rsidRPr="009E5191">
        <w:rPr>
          <w:rFonts w:ascii="Arial" w:hAnsi="Arial" w:cs="Arial"/>
          <w:sz w:val="22"/>
          <w:szCs w:val="22"/>
        </w:rPr>
        <w:t xml:space="preserve"> </w:t>
      </w:r>
      <w:r w:rsidR="00E149AD" w:rsidRPr="00C63DC3">
        <w:rPr>
          <w:rFonts w:ascii="Arial" w:hAnsi="Arial" w:cs="Arial"/>
          <w:i/>
          <w:iCs/>
          <w:sz w:val="22"/>
          <w:szCs w:val="22"/>
        </w:rPr>
        <w:t>Consequently, stakeholder management should be viewed as a dynamic and continuous process rather than a one-off activity</w:t>
      </w:r>
      <w:r w:rsidR="002954E4">
        <w:rPr>
          <w:rFonts w:ascii="Arial" w:hAnsi="Arial" w:cs="Arial"/>
          <w:i/>
          <w:iCs/>
          <w:sz w:val="22"/>
          <w:szCs w:val="22"/>
        </w:rPr>
        <w:t xml:space="preserve"> </w:t>
      </w:r>
      <w:r w:rsidR="00C63DC3" w:rsidRPr="00C63DC3">
        <w:rPr>
          <w:rFonts w:ascii="Arial" w:hAnsi="Arial" w:cs="Arial"/>
          <w:i/>
          <w:iCs/>
          <w:sz w:val="22"/>
          <w:szCs w:val="22"/>
        </w:rPr>
        <w:t>(Project Management Institute, 2021)</w:t>
      </w:r>
      <w:r w:rsidR="00E149AD" w:rsidRPr="00C63DC3">
        <w:rPr>
          <w:rFonts w:ascii="Arial" w:hAnsi="Arial" w:cs="Arial"/>
          <w:i/>
          <w:iCs/>
          <w:sz w:val="22"/>
          <w:szCs w:val="22"/>
        </w:rPr>
        <w:t>.</w:t>
      </w:r>
      <w:r w:rsidR="00E149AD" w:rsidRPr="009E5191">
        <w:rPr>
          <w:rFonts w:ascii="Arial" w:hAnsi="Arial" w:cs="Arial"/>
          <w:sz w:val="22"/>
          <w:szCs w:val="22"/>
        </w:rPr>
        <w:t xml:space="preserve"> Primark must therefore adopt proactive engagement strategies that promote transparency, trust, and collaboration while balancing commercial objectives with legal, ethical, and social responsibilities. By critically identifying stakeholder priorities and responding to their evolving expectations, the organisation can minimise strategic and operational risks, improve decision-making, and enhance the long-term success and sustainability of the ConnectPlus platform.</w:t>
      </w:r>
    </w:p>
    <w:p w14:paraId="70EF469F" w14:textId="77777777" w:rsidR="007D25BE" w:rsidRPr="007D25BE" w:rsidRDefault="007D25BE" w:rsidP="002C27B6">
      <w:pPr>
        <w:tabs>
          <w:tab w:val="left" w:pos="6646"/>
        </w:tabs>
        <w:spacing w:line="360" w:lineRule="auto"/>
        <w:jc w:val="both"/>
        <w:rPr>
          <w:rFonts w:ascii="Arial" w:hAnsi="Arial" w:cs="Arial"/>
          <w:b/>
          <w:bCs/>
          <w:sz w:val="22"/>
          <w:szCs w:val="22"/>
        </w:rPr>
      </w:pPr>
      <w:r w:rsidRPr="007D25BE">
        <w:rPr>
          <w:rFonts w:ascii="Arial" w:hAnsi="Arial" w:cs="Arial"/>
          <w:b/>
          <w:bCs/>
          <w:sz w:val="22"/>
          <w:szCs w:val="22"/>
        </w:rPr>
        <w:t>Critical analysis</w:t>
      </w:r>
    </w:p>
    <w:p w14:paraId="217EDC3A" w14:textId="6DFBA761" w:rsidR="009475C6" w:rsidRDefault="007E6E50" w:rsidP="002C27B6">
      <w:pPr>
        <w:tabs>
          <w:tab w:val="left" w:pos="6646"/>
        </w:tabs>
        <w:spacing w:line="360" w:lineRule="auto"/>
        <w:jc w:val="both"/>
        <w:rPr>
          <w:rFonts w:ascii="Arial" w:hAnsi="Arial" w:cs="Arial"/>
          <w:sz w:val="22"/>
          <w:szCs w:val="22"/>
        </w:rPr>
      </w:pPr>
      <w:r w:rsidRPr="004065FF">
        <w:rPr>
          <w:rFonts w:ascii="Arial" w:hAnsi="Arial" w:cs="Arial"/>
          <w:i/>
          <w:iCs/>
          <w:sz w:val="22"/>
          <w:szCs w:val="22"/>
        </w:rPr>
        <w:t>Mende</w:t>
      </w:r>
      <w:r w:rsidR="00B264E5" w:rsidRPr="004065FF">
        <w:rPr>
          <w:rFonts w:ascii="Arial" w:hAnsi="Arial" w:cs="Arial"/>
          <w:i/>
          <w:iCs/>
          <w:sz w:val="22"/>
          <w:szCs w:val="22"/>
        </w:rPr>
        <w:t xml:space="preserve">low’s </w:t>
      </w:r>
      <w:r w:rsidR="007D25BE" w:rsidRPr="004065FF">
        <w:rPr>
          <w:rFonts w:ascii="Arial" w:hAnsi="Arial" w:cs="Arial"/>
          <w:i/>
          <w:iCs/>
          <w:sz w:val="22"/>
          <w:szCs w:val="22"/>
        </w:rPr>
        <w:t>Power/Interest Matrix demonstrates that stakeholders differ considerably in their ability to influence the success of the ConnectPlus project</w:t>
      </w:r>
      <w:r w:rsidR="009D0571" w:rsidRPr="004065FF">
        <w:rPr>
          <w:rFonts w:ascii="Arial" w:hAnsi="Arial" w:cs="Arial"/>
          <w:i/>
          <w:iCs/>
          <w:sz w:val="22"/>
          <w:szCs w:val="22"/>
        </w:rPr>
        <w:t xml:space="preserve"> (Johnson et al., 2020).</w:t>
      </w:r>
      <w:r w:rsidR="004065FF">
        <w:rPr>
          <w:rFonts w:ascii="Arial" w:hAnsi="Arial" w:cs="Arial"/>
          <w:sz w:val="22"/>
          <w:szCs w:val="22"/>
        </w:rPr>
        <w:t xml:space="preserve"> </w:t>
      </w:r>
      <w:r w:rsidR="007D25BE" w:rsidRPr="007D25BE">
        <w:rPr>
          <w:rFonts w:ascii="Arial" w:hAnsi="Arial" w:cs="Arial"/>
          <w:sz w:val="22"/>
          <w:szCs w:val="22"/>
        </w:rPr>
        <w:t xml:space="preserve">Stakeholders with both high power and high interest, such as the Board of Directors, CEO, IT Department, Data Analytics Team, Technology Providers, and GDPR Authorities, require close management because they </w:t>
      </w:r>
      <w:r w:rsidR="004861CA">
        <w:rPr>
          <w:rFonts w:ascii="Arial" w:hAnsi="Arial" w:cs="Arial"/>
          <w:sz w:val="22"/>
          <w:szCs w:val="22"/>
        </w:rPr>
        <w:t xml:space="preserve">directly influence </w:t>
      </w:r>
      <w:r w:rsidR="007D25BE" w:rsidRPr="007D25BE">
        <w:rPr>
          <w:rFonts w:ascii="Arial" w:hAnsi="Arial" w:cs="Arial"/>
          <w:sz w:val="22"/>
          <w:szCs w:val="22"/>
        </w:rPr>
        <w:t>strategic decision-making, regulatory compliance, and project delivery. Stakeholders with high interest but lower decision-making power, including customers and store employees, should be kept informed to encourage engagement and minimise resistance to change. Meanwhile, stakeholders with high power but lower day-to-day involvement, such as investors and the Finance Department, should be kept satisfied to maintain their continued support. Finally, stakeholders with relatively low influence and interest, such as competitors and local communities, should be monitored to identify changes that could affect the project's external environment. Applying the Power/Interest Matrix enables Primark to prioritise stakeholder engagement activities, allocate communication resources effectively, and improve decision-making throughout the ConnectPlus project lifecycle.</w:t>
      </w:r>
      <w:r w:rsidR="00CF6FB0">
        <w:rPr>
          <w:rFonts w:ascii="Arial" w:hAnsi="Arial" w:cs="Arial"/>
          <w:sz w:val="22"/>
          <w:szCs w:val="22"/>
        </w:rPr>
        <w:t xml:space="preserve">   </w:t>
      </w:r>
    </w:p>
    <w:p w14:paraId="74FE6C55" w14:textId="77777777" w:rsidR="008E6442" w:rsidRDefault="008E6442" w:rsidP="00A041EB">
      <w:pPr>
        <w:tabs>
          <w:tab w:val="left" w:pos="6646"/>
        </w:tabs>
        <w:spacing w:line="360" w:lineRule="auto"/>
        <w:jc w:val="both"/>
        <w:rPr>
          <w:rFonts w:ascii="Arial" w:hAnsi="Arial" w:cs="Arial"/>
          <w:sz w:val="22"/>
          <w:szCs w:val="22"/>
        </w:rPr>
      </w:pPr>
    </w:p>
    <w:p w14:paraId="30BB0ED6" w14:textId="77777777" w:rsidR="008D2228" w:rsidRDefault="008D2228" w:rsidP="00A041EB">
      <w:pPr>
        <w:tabs>
          <w:tab w:val="left" w:pos="6646"/>
        </w:tabs>
        <w:spacing w:line="360" w:lineRule="auto"/>
        <w:jc w:val="both"/>
        <w:rPr>
          <w:rFonts w:ascii="Arial" w:hAnsi="Arial" w:cs="Arial"/>
          <w:b/>
          <w:bCs/>
          <w:sz w:val="22"/>
          <w:szCs w:val="22"/>
        </w:rPr>
      </w:pPr>
    </w:p>
    <w:p w14:paraId="7259D082" w14:textId="77777777" w:rsidR="008D2228" w:rsidRDefault="008D2228" w:rsidP="00A041EB">
      <w:pPr>
        <w:tabs>
          <w:tab w:val="left" w:pos="6646"/>
        </w:tabs>
        <w:spacing w:line="360" w:lineRule="auto"/>
        <w:jc w:val="both"/>
        <w:rPr>
          <w:rFonts w:ascii="Arial" w:hAnsi="Arial" w:cs="Arial"/>
          <w:b/>
          <w:bCs/>
          <w:sz w:val="22"/>
          <w:szCs w:val="22"/>
        </w:rPr>
      </w:pPr>
    </w:p>
    <w:p w14:paraId="0BA87618" w14:textId="77777777" w:rsidR="008D2228" w:rsidRDefault="008D2228" w:rsidP="00A041EB">
      <w:pPr>
        <w:tabs>
          <w:tab w:val="left" w:pos="6646"/>
        </w:tabs>
        <w:spacing w:line="360" w:lineRule="auto"/>
        <w:jc w:val="both"/>
        <w:rPr>
          <w:rFonts w:ascii="Arial" w:hAnsi="Arial" w:cs="Arial"/>
          <w:b/>
          <w:bCs/>
          <w:sz w:val="22"/>
          <w:szCs w:val="22"/>
        </w:rPr>
      </w:pPr>
    </w:p>
    <w:p w14:paraId="79FECD50" w14:textId="7AA0F373" w:rsidR="00831205" w:rsidRPr="009F46D9" w:rsidRDefault="009F46D9" w:rsidP="00A041EB">
      <w:pPr>
        <w:tabs>
          <w:tab w:val="left" w:pos="6646"/>
        </w:tabs>
        <w:spacing w:line="360" w:lineRule="auto"/>
        <w:jc w:val="both"/>
        <w:rPr>
          <w:rFonts w:ascii="Arial" w:hAnsi="Arial" w:cs="Arial"/>
          <w:b/>
          <w:bCs/>
          <w:sz w:val="22"/>
          <w:szCs w:val="22"/>
        </w:rPr>
      </w:pPr>
      <w:r w:rsidRPr="009F46D9">
        <w:rPr>
          <w:rFonts w:ascii="Arial" w:hAnsi="Arial" w:cs="Arial"/>
          <w:b/>
          <w:bCs/>
          <w:sz w:val="22"/>
          <w:szCs w:val="22"/>
        </w:rPr>
        <w:t>4. Roles, Responsibilities, Benefits and Challenges of Key Stakeholders</w:t>
      </w:r>
    </w:p>
    <w:p w14:paraId="191322E1" w14:textId="17BCFFA8" w:rsidR="001121DF" w:rsidRPr="001121DF" w:rsidRDefault="001121DF" w:rsidP="00A041EB">
      <w:pPr>
        <w:tabs>
          <w:tab w:val="left" w:pos="6646"/>
        </w:tabs>
        <w:spacing w:line="360" w:lineRule="auto"/>
        <w:jc w:val="both"/>
        <w:rPr>
          <w:rFonts w:ascii="Arial" w:hAnsi="Arial" w:cs="Arial"/>
          <w:sz w:val="22"/>
          <w:szCs w:val="22"/>
        </w:rPr>
      </w:pPr>
      <w:r w:rsidRPr="001121DF">
        <w:rPr>
          <w:rFonts w:ascii="Arial" w:hAnsi="Arial" w:cs="Arial"/>
          <w:sz w:val="22"/>
          <w:szCs w:val="22"/>
        </w:rPr>
        <w:t xml:space="preserve">The successful implementation of ConnectPlus depends on understanding how stakeholders' different interests, responsibilities, and levels of influence affect project outcomes. </w:t>
      </w:r>
      <w:r w:rsidRPr="00AC58E4">
        <w:rPr>
          <w:rFonts w:ascii="Arial" w:hAnsi="Arial" w:cs="Arial"/>
          <w:i/>
          <w:iCs/>
          <w:sz w:val="22"/>
          <w:szCs w:val="22"/>
        </w:rPr>
        <w:t>Stakeholder management should therefore be viewed as a strategic process of balancing organisational objectives with stakeholder expectations rather than simply coordinating project activities</w:t>
      </w:r>
      <w:r w:rsidR="00125258" w:rsidRPr="00AC58E4">
        <w:rPr>
          <w:rFonts w:ascii="Arial" w:hAnsi="Arial" w:cs="Arial"/>
          <w:i/>
          <w:iCs/>
          <w:sz w:val="22"/>
          <w:szCs w:val="22"/>
        </w:rPr>
        <w:t xml:space="preserve"> (Freeman et al., 2020)</w:t>
      </w:r>
      <w:r w:rsidRPr="00AC58E4">
        <w:rPr>
          <w:rFonts w:ascii="Arial" w:hAnsi="Arial" w:cs="Arial"/>
          <w:i/>
          <w:iCs/>
          <w:sz w:val="22"/>
          <w:szCs w:val="22"/>
        </w:rPr>
        <w:t>.</w:t>
      </w:r>
      <w:r w:rsidR="00A041EB" w:rsidRPr="00AC58E4">
        <w:rPr>
          <w:rFonts w:ascii="Arial" w:hAnsi="Arial" w:cs="Arial"/>
          <w:i/>
          <w:iCs/>
          <w:sz w:val="22"/>
          <w:szCs w:val="22"/>
        </w:rPr>
        <w:t xml:space="preserve"> </w:t>
      </w:r>
      <w:r w:rsidRPr="001121DF">
        <w:rPr>
          <w:rFonts w:ascii="Arial" w:hAnsi="Arial" w:cs="Arial"/>
          <w:sz w:val="22"/>
          <w:szCs w:val="22"/>
        </w:rPr>
        <w:t>The Board of Directors and CEO provide strategic leadership, approve investments, and ensure the project aligns with Primark's digital transformation strategy. However, tensions may arise when financial objectives conflict with the long-term investment required for successful implementation. Similarly, the Project Manager plays a central role in coordinating communication, managing risks, and resolving conflicts, demonstrating that effective leadership requires negotiation and influence in addition to technical expertise.</w:t>
      </w:r>
      <w:r w:rsidR="00A041EB">
        <w:rPr>
          <w:rFonts w:ascii="Arial" w:hAnsi="Arial" w:cs="Arial"/>
          <w:sz w:val="22"/>
          <w:szCs w:val="22"/>
        </w:rPr>
        <w:t xml:space="preserve"> </w:t>
      </w:r>
      <w:r w:rsidRPr="001121DF">
        <w:rPr>
          <w:rFonts w:ascii="Arial" w:hAnsi="Arial" w:cs="Arial"/>
          <w:sz w:val="22"/>
          <w:szCs w:val="22"/>
        </w:rPr>
        <w:t>Technical stakeholders, including the IT Department, Product Development Team, and Data Analytics Team, are responsible for developing and maintaining ConnectPlus. While their expertise supports innovation and competitive advantage, technological capability alone is insufficient without effective collaboration, as system integration challenges and cybersecurity risks may affect project success.</w:t>
      </w:r>
      <w:r w:rsidR="002F6D06">
        <w:rPr>
          <w:rFonts w:ascii="Arial" w:hAnsi="Arial" w:cs="Arial"/>
          <w:sz w:val="22"/>
          <w:szCs w:val="22"/>
        </w:rPr>
        <w:t xml:space="preserve"> </w:t>
      </w:r>
      <w:r w:rsidRPr="001121DF">
        <w:rPr>
          <w:rFonts w:ascii="Arial" w:hAnsi="Arial" w:cs="Arial"/>
          <w:sz w:val="22"/>
          <w:szCs w:val="22"/>
        </w:rPr>
        <w:t>Operational stakeholders, such as Marketing, Sales, HR, Customer Service, Store Managers, Store Employees, and Finance, translate strategic objectives into daily operations. Although they support customer adoption and organisational change, resistance to change, communication barriers, and varying digital skills may reduce implementation effectiveness.</w:t>
      </w:r>
      <w:r w:rsidR="0071455F">
        <w:rPr>
          <w:rFonts w:ascii="Arial" w:hAnsi="Arial" w:cs="Arial"/>
          <w:sz w:val="22"/>
          <w:szCs w:val="22"/>
        </w:rPr>
        <w:t xml:space="preserve"> </w:t>
      </w:r>
      <w:r w:rsidRPr="001121DF">
        <w:rPr>
          <w:rFonts w:ascii="Arial" w:hAnsi="Arial" w:cs="Arial"/>
          <w:sz w:val="22"/>
          <w:szCs w:val="22"/>
        </w:rPr>
        <w:t>External stakeholders further increase project complexity. Customers determine platform adoption, while technology providers, AI vendors, payment providers, regulators, and investors significantly influence project outcomes. However, dependence on external partners introduces risks related to cybersecurity, regulatory compliance, and operational control.</w:t>
      </w:r>
      <w:r w:rsidR="0071455F">
        <w:rPr>
          <w:rFonts w:ascii="Arial" w:hAnsi="Arial" w:cs="Arial"/>
          <w:sz w:val="22"/>
          <w:szCs w:val="22"/>
        </w:rPr>
        <w:t xml:space="preserve"> </w:t>
      </w:r>
      <w:r w:rsidRPr="001121DF">
        <w:rPr>
          <w:rFonts w:ascii="Arial" w:hAnsi="Arial" w:cs="Arial"/>
          <w:sz w:val="22"/>
          <w:szCs w:val="22"/>
        </w:rPr>
        <w:t>Critically, stakeholder relationships are dynamic and interconnected. Decisions benefiting one stakeholder group may negatively affect another, such as increased customer personalisation creating greater privacy concerns. Therefore, successful stakeholder management requires continuous evaluation, collaboration, and balancing competing stakeholder interests to achieve sustainable organisational performance.</w:t>
      </w:r>
    </w:p>
    <w:p w14:paraId="335F1DC8" w14:textId="77777777" w:rsidR="0051734D" w:rsidRDefault="0051734D" w:rsidP="00A041EB">
      <w:pPr>
        <w:tabs>
          <w:tab w:val="left" w:pos="6646"/>
        </w:tabs>
        <w:spacing w:line="360" w:lineRule="auto"/>
        <w:jc w:val="both"/>
        <w:rPr>
          <w:rFonts w:ascii="Arial" w:hAnsi="Arial" w:cs="Arial"/>
          <w:b/>
          <w:bCs/>
          <w:sz w:val="22"/>
          <w:szCs w:val="22"/>
        </w:rPr>
      </w:pPr>
    </w:p>
    <w:p w14:paraId="5A264AD0" w14:textId="77777777" w:rsidR="00A1658A" w:rsidRDefault="00A1658A" w:rsidP="00A041EB">
      <w:pPr>
        <w:tabs>
          <w:tab w:val="left" w:pos="6646"/>
        </w:tabs>
        <w:spacing w:line="360" w:lineRule="auto"/>
        <w:jc w:val="both"/>
        <w:rPr>
          <w:rFonts w:ascii="Arial" w:hAnsi="Arial" w:cs="Arial"/>
          <w:b/>
          <w:bCs/>
          <w:sz w:val="22"/>
          <w:szCs w:val="22"/>
        </w:rPr>
      </w:pPr>
    </w:p>
    <w:p w14:paraId="49E859C8" w14:textId="77777777" w:rsidR="00A1658A" w:rsidRDefault="00A1658A" w:rsidP="00A041EB">
      <w:pPr>
        <w:tabs>
          <w:tab w:val="left" w:pos="6646"/>
        </w:tabs>
        <w:spacing w:line="360" w:lineRule="auto"/>
        <w:jc w:val="both"/>
        <w:rPr>
          <w:rFonts w:ascii="Arial" w:hAnsi="Arial" w:cs="Arial"/>
          <w:b/>
          <w:bCs/>
          <w:sz w:val="22"/>
          <w:szCs w:val="22"/>
        </w:rPr>
      </w:pPr>
    </w:p>
    <w:p w14:paraId="1E80FA5B" w14:textId="77777777" w:rsidR="006A6F61" w:rsidRDefault="006A6F61" w:rsidP="00A041EB">
      <w:pPr>
        <w:tabs>
          <w:tab w:val="left" w:pos="6646"/>
        </w:tabs>
        <w:spacing w:line="360" w:lineRule="auto"/>
        <w:jc w:val="both"/>
        <w:rPr>
          <w:rFonts w:ascii="Arial" w:hAnsi="Arial" w:cs="Arial"/>
          <w:b/>
          <w:bCs/>
          <w:sz w:val="22"/>
          <w:szCs w:val="22"/>
        </w:rPr>
      </w:pPr>
    </w:p>
    <w:p w14:paraId="3A1704E6" w14:textId="77777777" w:rsidR="003F6739" w:rsidRDefault="003F6739" w:rsidP="00A041EB">
      <w:pPr>
        <w:tabs>
          <w:tab w:val="left" w:pos="6646"/>
        </w:tabs>
        <w:spacing w:line="360" w:lineRule="auto"/>
        <w:jc w:val="both"/>
        <w:rPr>
          <w:rFonts w:ascii="Arial" w:hAnsi="Arial" w:cs="Arial"/>
          <w:b/>
          <w:bCs/>
          <w:sz w:val="22"/>
          <w:szCs w:val="22"/>
        </w:rPr>
      </w:pPr>
    </w:p>
    <w:p w14:paraId="1710A899" w14:textId="77777777" w:rsidR="003F6739" w:rsidRDefault="003F6739" w:rsidP="00A041EB">
      <w:pPr>
        <w:tabs>
          <w:tab w:val="left" w:pos="6646"/>
        </w:tabs>
        <w:spacing w:line="360" w:lineRule="auto"/>
        <w:jc w:val="both"/>
        <w:rPr>
          <w:rFonts w:ascii="Arial" w:hAnsi="Arial" w:cs="Arial"/>
          <w:b/>
          <w:bCs/>
          <w:sz w:val="22"/>
          <w:szCs w:val="22"/>
        </w:rPr>
      </w:pPr>
    </w:p>
    <w:p w14:paraId="7215E898" w14:textId="2023C386" w:rsidR="00111E25" w:rsidRPr="00111E25" w:rsidRDefault="00111E25" w:rsidP="00A041EB">
      <w:pPr>
        <w:tabs>
          <w:tab w:val="left" w:pos="6646"/>
        </w:tabs>
        <w:spacing w:line="360" w:lineRule="auto"/>
        <w:jc w:val="both"/>
        <w:rPr>
          <w:rFonts w:ascii="Arial" w:hAnsi="Arial" w:cs="Arial"/>
          <w:b/>
          <w:bCs/>
          <w:sz w:val="22"/>
          <w:szCs w:val="22"/>
        </w:rPr>
      </w:pPr>
      <w:r w:rsidRPr="00111E25">
        <w:rPr>
          <w:rFonts w:ascii="Arial" w:hAnsi="Arial" w:cs="Arial"/>
          <w:b/>
          <w:bCs/>
          <w:sz w:val="22"/>
          <w:szCs w:val="22"/>
        </w:rPr>
        <w:t>5. Stakeholder Engagement Strategy</w:t>
      </w:r>
    </w:p>
    <w:p w14:paraId="4D88F5A5" w14:textId="77777777" w:rsidR="00111E25" w:rsidRPr="00111E25" w:rsidRDefault="00111E25" w:rsidP="00A041EB">
      <w:pPr>
        <w:tabs>
          <w:tab w:val="left" w:pos="6646"/>
        </w:tabs>
        <w:spacing w:line="360" w:lineRule="auto"/>
        <w:jc w:val="both"/>
        <w:rPr>
          <w:rFonts w:ascii="Arial" w:hAnsi="Arial" w:cs="Arial"/>
          <w:b/>
          <w:bCs/>
          <w:sz w:val="22"/>
          <w:szCs w:val="22"/>
        </w:rPr>
      </w:pPr>
      <w:r w:rsidRPr="00111E25">
        <w:rPr>
          <w:rFonts w:ascii="Arial" w:hAnsi="Arial" w:cs="Arial"/>
          <w:b/>
          <w:bCs/>
          <w:sz w:val="22"/>
          <w:szCs w:val="22"/>
        </w:rPr>
        <w:t>5.1 Stakeholder Engagement Frameworks</w:t>
      </w:r>
    </w:p>
    <w:p w14:paraId="7950F4EC" w14:textId="702DBF62" w:rsidR="00B26F5A" w:rsidRPr="00EF020B" w:rsidRDefault="00B26F5A" w:rsidP="00A041EB">
      <w:pPr>
        <w:tabs>
          <w:tab w:val="left" w:pos="6646"/>
        </w:tabs>
        <w:spacing w:line="360" w:lineRule="auto"/>
        <w:jc w:val="both"/>
        <w:rPr>
          <w:rFonts w:ascii="Arial" w:hAnsi="Arial" w:cs="Arial"/>
          <w:i/>
          <w:iCs/>
          <w:sz w:val="22"/>
          <w:szCs w:val="22"/>
        </w:rPr>
      </w:pPr>
      <w:r w:rsidRPr="00B26F5A">
        <w:rPr>
          <w:rFonts w:ascii="Arial" w:hAnsi="Arial" w:cs="Arial"/>
          <w:sz w:val="22"/>
          <w:szCs w:val="22"/>
        </w:rPr>
        <w:t xml:space="preserve">The successful implementation of ConnectPlus requires more than identifying stakeholders; it demands structured engagement strategies that recognise differences in stakeholder influence, interests, and expectations. </w:t>
      </w:r>
      <w:r w:rsidRPr="00EF020B">
        <w:rPr>
          <w:rFonts w:ascii="Arial" w:hAnsi="Arial" w:cs="Arial"/>
          <w:i/>
          <w:iCs/>
          <w:sz w:val="22"/>
          <w:szCs w:val="22"/>
        </w:rPr>
        <w:t>As Freeman (1984) argues, organisations create greater value when they actively manage stakeholder relationships throughout the project lifecycle. Consequently, stakeholder engagement should be viewed as a continuous strategic process rather than a one-time activity</w:t>
      </w:r>
      <w:r w:rsidR="00E31AAB">
        <w:rPr>
          <w:rFonts w:ascii="Arial" w:hAnsi="Arial" w:cs="Arial"/>
          <w:i/>
          <w:iCs/>
          <w:sz w:val="22"/>
          <w:szCs w:val="22"/>
        </w:rPr>
        <w:t xml:space="preserve"> </w:t>
      </w:r>
      <w:r w:rsidR="00E31AAB" w:rsidRPr="00E31AAB">
        <w:rPr>
          <w:rFonts w:ascii="Arial" w:hAnsi="Arial" w:cs="Arial"/>
          <w:i/>
          <w:iCs/>
          <w:sz w:val="22"/>
          <w:szCs w:val="22"/>
        </w:rPr>
        <w:t>(Alnhari and Qureshi, 2024)</w:t>
      </w:r>
      <w:r w:rsidRPr="00EF020B">
        <w:rPr>
          <w:rFonts w:ascii="Arial" w:hAnsi="Arial" w:cs="Arial"/>
          <w:i/>
          <w:iCs/>
          <w:sz w:val="22"/>
          <w:szCs w:val="22"/>
        </w:rPr>
        <w:t>.</w:t>
      </w:r>
    </w:p>
    <w:p w14:paraId="29F35659" w14:textId="77445F55" w:rsidR="00DA4A5A" w:rsidRDefault="00FB1C45" w:rsidP="00A041EB">
      <w:pPr>
        <w:tabs>
          <w:tab w:val="left" w:pos="6646"/>
        </w:tabs>
        <w:spacing w:line="360" w:lineRule="auto"/>
        <w:jc w:val="both"/>
        <w:rPr>
          <w:rFonts w:ascii="Arial" w:hAnsi="Arial" w:cs="Arial"/>
          <w:sz w:val="22"/>
          <w:szCs w:val="22"/>
        </w:rPr>
      </w:pPr>
      <w:r w:rsidRPr="00DA4A5A">
        <w:rPr>
          <w:rFonts w:ascii="Arial" w:hAnsi="Arial" w:cs="Arial"/>
          <w:b/>
          <w:bCs/>
          <w:sz w:val="22"/>
          <w:szCs w:val="22"/>
        </w:rPr>
        <w:t>5</w:t>
      </w:r>
      <w:r w:rsidR="00DA4A5A" w:rsidRPr="00DA4A5A">
        <w:rPr>
          <w:rFonts w:ascii="Arial" w:hAnsi="Arial" w:cs="Arial"/>
          <w:b/>
          <w:bCs/>
          <w:sz w:val="22"/>
          <w:szCs w:val="22"/>
        </w:rPr>
        <w:t>.2</w:t>
      </w:r>
      <w:r w:rsidR="00DA4A5A">
        <w:rPr>
          <w:rFonts w:ascii="Arial" w:hAnsi="Arial" w:cs="Arial"/>
          <w:sz w:val="22"/>
          <w:szCs w:val="22"/>
        </w:rPr>
        <w:t xml:space="preserve"> </w:t>
      </w:r>
      <w:r w:rsidR="00DA4A5A" w:rsidRPr="00B26F5A">
        <w:rPr>
          <w:rFonts w:ascii="Arial" w:hAnsi="Arial" w:cs="Arial"/>
          <w:b/>
          <w:bCs/>
          <w:sz w:val="22"/>
          <w:szCs w:val="22"/>
        </w:rPr>
        <w:t>Power–Interest Matrix</w:t>
      </w:r>
      <w:r w:rsidR="00DA4A5A" w:rsidRPr="00B26F5A">
        <w:rPr>
          <w:rFonts w:ascii="Arial" w:hAnsi="Arial" w:cs="Arial"/>
          <w:sz w:val="22"/>
          <w:szCs w:val="22"/>
        </w:rPr>
        <w:t xml:space="preserve"> </w:t>
      </w:r>
    </w:p>
    <w:p w14:paraId="37A66425" w14:textId="7D7E5486" w:rsidR="00B26F5A" w:rsidRDefault="00D44B4A" w:rsidP="00A041EB">
      <w:pPr>
        <w:tabs>
          <w:tab w:val="left" w:pos="6646"/>
        </w:tabs>
        <w:spacing w:line="360" w:lineRule="auto"/>
        <w:jc w:val="both"/>
        <w:rPr>
          <w:rFonts w:ascii="Arial" w:hAnsi="Arial" w:cs="Arial"/>
          <w:sz w:val="22"/>
          <w:szCs w:val="22"/>
        </w:rPr>
      </w:pPr>
      <w:r w:rsidRPr="00631EB2">
        <w:rPr>
          <w:rFonts w:ascii="Arial" w:hAnsi="Arial" w:cs="Arial"/>
          <w:b/>
          <w:bCs/>
          <w:i/>
          <w:iCs/>
          <w:sz w:val="22"/>
          <w:szCs w:val="22"/>
        </w:rPr>
        <w:t>Mendelow’s</w:t>
      </w:r>
      <w:r w:rsidRPr="00631EB2">
        <w:rPr>
          <w:rFonts w:ascii="Arial" w:hAnsi="Arial" w:cs="Arial"/>
          <w:i/>
          <w:iCs/>
          <w:sz w:val="22"/>
          <w:szCs w:val="22"/>
        </w:rPr>
        <w:t xml:space="preserve"> </w:t>
      </w:r>
      <w:r w:rsidR="00B26F5A" w:rsidRPr="00631EB2">
        <w:rPr>
          <w:rFonts w:ascii="Arial" w:hAnsi="Arial" w:cs="Arial"/>
          <w:b/>
          <w:bCs/>
          <w:i/>
          <w:iCs/>
          <w:sz w:val="22"/>
          <w:szCs w:val="22"/>
        </w:rPr>
        <w:t>Power–Interest Matrix</w:t>
      </w:r>
      <w:r w:rsidR="00B26F5A" w:rsidRPr="00631EB2">
        <w:rPr>
          <w:rFonts w:ascii="Arial" w:hAnsi="Arial" w:cs="Arial"/>
          <w:i/>
          <w:iCs/>
          <w:sz w:val="22"/>
          <w:szCs w:val="22"/>
        </w:rPr>
        <w:t xml:space="preserve"> provides an effective framework for prioritising stakeholders according to their influence and level of </w:t>
      </w:r>
      <w:r w:rsidR="00113B7A" w:rsidRPr="00631EB2">
        <w:rPr>
          <w:rFonts w:ascii="Arial" w:hAnsi="Arial" w:cs="Arial"/>
          <w:i/>
          <w:iCs/>
          <w:sz w:val="22"/>
          <w:szCs w:val="22"/>
        </w:rPr>
        <w:t>interest</w:t>
      </w:r>
      <w:r w:rsidR="00113B7A" w:rsidRPr="00631EB2">
        <w:rPr>
          <w:rFonts w:ascii="Arial" w:hAnsi="Arial" w:cs="Arial"/>
          <w:b/>
          <w:bCs/>
          <w:i/>
          <w:iCs/>
          <w:sz w:val="22"/>
          <w:szCs w:val="22"/>
        </w:rPr>
        <w:t xml:space="preserve"> </w:t>
      </w:r>
      <w:r w:rsidR="00113B7A" w:rsidRPr="00631EB2">
        <w:rPr>
          <w:rFonts w:ascii="Arial" w:hAnsi="Arial" w:cs="Arial"/>
          <w:i/>
          <w:iCs/>
          <w:sz w:val="22"/>
          <w:szCs w:val="22"/>
        </w:rPr>
        <w:t>(</w:t>
      </w:r>
      <w:r w:rsidR="00486C89" w:rsidRPr="00631EB2">
        <w:rPr>
          <w:rFonts w:ascii="Arial" w:hAnsi="Arial" w:cs="Arial"/>
          <w:i/>
          <w:iCs/>
          <w:sz w:val="22"/>
          <w:szCs w:val="22"/>
        </w:rPr>
        <w:t>Johnson et al., 2020</w:t>
      </w:r>
      <w:r w:rsidR="00486C89" w:rsidRPr="00631EB2">
        <w:rPr>
          <w:rFonts w:ascii="Arial" w:hAnsi="Arial" w:cs="Arial"/>
          <w:b/>
          <w:bCs/>
          <w:i/>
          <w:iCs/>
          <w:sz w:val="22"/>
          <w:szCs w:val="22"/>
        </w:rPr>
        <w:t>)</w:t>
      </w:r>
      <w:r w:rsidR="00B26F5A" w:rsidRPr="00631EB2">
        <w:rPr>
          <w:rFonts w:ascii="Arial" w:hAnsi="Arial" w:cs="Arial"/>
          <w:i/>
          <w:iCs/>
          <w:sz w:val="22"/>
          <w:szCs w:val="22"/>
        </w:rPr>
        <w:t>.</w:t>
      </w:r>
      <w:r w:rsidR="00B26F5A" w:rsidRPr="00B26F5A">
        <w:rPr>
          <w:rFonts w:ascii="Arial" w:hAnsi="Arial" w:cs="Arial"/>
          <w:sz w:val="22"/>
          <w:szCs w:val="22"/>
        </w:rPr>
        <w:t xml:space="preserve"> Stakeholders with high power and high interest, including the Board of Directors, CEO, IT Department, Product Development Team, Data Analytics Team, Technology Providers, Government Regulators, and GDPR Authorities, require close management through regular communication, performance reviews, and collaborative decision-making. In contrast, Finance, Investors, Business Partners, and Payment Providers should be kept satisfied through strategic updates, while customers and store employees should be kept informed to encourage engagement and support platform adoption. Competitors and the media should be monitored because changes in market conditions or public perception may indirectly influence project success.</w:t>
      </w:r>
      <w:r w:rsidR="000E4528">
        <w:rPr>
          <w:rFonts w:ascii="Arial" w:hAnsi="Arial" w:cs="Arial"/>
          <w:sz w:val="22"/>
          <w:szCs w:val="22"/>
        </w:rPr>
        <w:t xml:space="preserve"> </w:t>
      </w:r>
      <w:r w:rsidR="00B26F5A" w:rsidRPr="00B26F5A">
        <w:rPr>
          <w:rFonts w:ascii="Arial" w:hAnsi="Arial" w:cs="Arial"/>
          <w:sz w:val="22"/>
          <w:szCs w:val="22"/>
        </w:rPr>
        <w:t>However, relying solely on the Power–Interest Matrix is insufficient because stakeholder influence changes throughout the project lifecycle.  Within ConnectPlus, stakeholders such as the CEO, Board of Directors, Government Regulators, GDPR Authorities, and customers possess these attributes, making them the highest management priority. This demonstrates that stakeholder importance should be continuously reassessed rather than determined solely by organisational hierarchy.</w:t>
      </w:r>
    </w:p>
    <w:p w14:paraId="01AC4DE8" w14:textId="77777777" w:rsidR="007F30A3" w:rsidRDefault="007F30A3" w:rsidP="00A041EB">
      <w:pPr>
        <w:tabs>
          <w:tab w:val="left" w:pos="6646"/>
        </w:tabs>
        <w:spacing w:line="360" w:lineRule="auto"/>
        <w:jc w:val="both"/>
        <w:rPr>
          <w:rFonts w:ascii="Arial" w:hAnsi="Arial" w:cs="Arial"/>
          <w:sz w:val="22"/>
          <w:szCs w:val="22"/>
        </w:rPr>
      </w:pPr>
    </w:p>
    <w:p w14:paraId="006A0630" w14:textId="54E40CAF" w:rsidR="007F30A3" w:rsidRDefault="007F30A3" w:rsidP="00A041EB">
      <w:pPr>
        <w:tabs>
          <w:tab w:val="left" w:pos="6646"/>
        </w:tabs>
        <w:spacing w:line="360" w:lineRule="auto"/>
        <w:jc w:val="both"/>
        <w:rPr>
          <w:rFonts w:ascii="Arial" w:hAnsi="Arial" w:cs="Arial"/>
          <w:sz w:val="22"/>
          <w:szCs w:val="22"/>
        </w:rPr>
      </w:pPr>
    </w:p>
    <w:p w14:paraId="0B5A5DD7" w14:textId="77777777" w:rsidR="00A1658A" w:rsidRDefault="00A1658A" w:rsidP="007F30A3">
      <w:pPr>
        <w:tabs>
          <w:tab w:val="left" w:pos="6646"/>
        </w:tabs>
        <w:spacing w:line="360" w:lineRule="auto"/>
        <w:jc w:val="center"/>
        <w:rPr>
          <w:rFonts w:ascii="Arial" w:hAnsi="Arial" w:cs="Arial"/>
          <w:color w:val="156082" w:themeColor="accent1"/>
          <w:sz w:val="22"/>
          <w:szCs w:val="22"/>
        </w:rPr>
      </w:pPr>
    </w:p>
    <w:p w14:paraId="295A12FB" w14:textId="77777777" w:rsidR="00A1658A" w:rsidRDefault="00A1658A" w:rsidP="007F30A3">
      <w:pPr>
        <w:tabs>
          <w:tab w:val="left" w:pos="6646"/>
        </w:tabs>
        <w:spacing w:line="360" w:lineRule="auto"/>
        <w:jc w:val="center"/>
        <w:rPr>
          <w:rFonts w:ascii="Arial" w:hAnsi="Arial" w:cs="Arial"/>
          <w:color w:val="156082" w:themeColor="accent1"/>
          <w:sz w:val="22"/>
          <w:szCs w:val="22"/>
        </w:rPr>
      </w:pPr>
    </w:p>
    <w:p w14:paraId="5C5D33E3" w14:textId="77777777" w:rsidR="00A1658A" w:rsidRDefault="00A1658A" w:rsidP="007F30A3">
      <w:pPr>
        <w:tabs>
          <w:tab w:val="left" w:pos="6646"/>
        </w:tabs>
        <w:spacing w:line="360" w:lineRule="auto"/>
        <w:jc w:val="center"/>
        <w:rPr>
          <w:rFonts w:ascii="Arial" w:hAnsi="Arial" w:cs="Arial"/>
          <w:color w:val="156082" w:themeColor="accent1"/>
          <w:sz w:val="22"/>
          <w:szCs w:val="22"/>
        </w:rPr>
      </w:pPr>
    </w:p>
    <w:p w14:paraId="1C572593" w14:textId="77777777" w:rsidR="00A1658A" w:rsidRDefault="00A1658A" w:rsidP="00E41A9F">
      <w:pPr>
        <w:tabs>
          <w:tab w:val="left" w:pos="6646"/>
        </w:tabs>
        <w:spacing w:line="360" w:lineRule="auto"/>
        <w:rPr>
          <w:rFonts w:ascii="Arial" w:hAnsi="Arial" w:cs="Arial"/>
          <w:color w:val="156082" w:themeColor="accent1"/>
          <w:sz w:val="22"/>
          <w:szCs w:val="22"/>
        </w:rPr>
      </w:pPr>
    </w:p>
    <w:p w14:paraId="124F1346" w14:textId="77777777" w:rsidR="006A6F61" w:rsidRDefault="006A6F61" w:rsidP="007F30A3">
      <w:pPr>
        <w:tabs>
          <w:tab w:val="left" w:pos="6646"/>
        </w:tabs>
        <w:spacing w:line="360" w:lineRule="auto"/>
        <w:jc w:val="center"/>
        <w:rPr>
          <w:rFonts w:ascii="Arial" w:hAnsi="Arial" w:cs="Arial"/>
          <w:color w:val="156082" w:themeColor="accent1"/>
          <w:sz w:val="22"/>
          <w:szCs w:val="22"/>
        </w:rPr>
      </w:pPr>
    </w:p>
    <w:p w14:paraId="70CCAE6F" w14:textId="55114348" w:rsidR="007F30A3" w:rsidRPr="006C49EA" w:rsidRDefault="007F30A3" w:rsidP="007F30A3">
      <w:pPr>
        <w:tabs>
          <w:tab w:val="left" w:pos="6646"/>
        </w:tabs>
        <w:spacing w:line="360" w:lineRule="auto"/>
        <w:jc w:val="center"/>
        <w:rPr>
          <w:rFonts w:ascii="Arial" w:hAnsi="Arial" w:cs="Arial"/>
          <w:color w:val="156082" w:themeColor="accent1"/>
          <w:sz w:val="22"/>
          <w:szCs w:val="22"/>
        </w:rPr>
      </w:pPr>
      <w:r w:rsidRPr="006C49EA">
        <w:rPr>
          <w:rFonts w:ascii="Arial" w:hAnsi="Arial" w:cs="Arial"/>
          <w:color w:val="156082" w:themeColor="accent1"/>
          <w:sz w:val="22"/>
          <w:szCs w:val="22"/>
        </w:rPr>
        <w:t xml:space="preserve">LEVEL OF INTEREST </w:t>
      </w:r>
    </w:p>
    <w:p w14:paraId="774CBA41" w14:textId="5CC271E8" w:rsidR="007F30A3" w:rsidRPr="006C49EA" w:rsidRDefault="007F30A3" w:rsidP="007F30A3">
      <w:pPr>
        <w:tabs>
          <w:tab w:val="left" w:pos="6646"/>
        </w:tabs>
        <w:spacing w:line="360" w:lineRule="auto"/>
        <w:jc w:val="center"/>
        <w:rPr>
          <w:rFonts w:ascii="Arial" w:hAnsi="Arial" w:cs="Arial"/>
          <w:color w:val="156082" w:themeColor="accent1"/>
          <w:sz w:val="22"/>
          <w:szCs w:val="22"/>
        </w:rPr>
      </w:pPr>
      <w:r w:rsidRPr="006C49EA">
        <w:rPr>
          <w:rFonts w:ascii="Arial" w:hAnsi="Arial" w:cs="Arial"/>
          <w:color w:val="156082" w:themeColor="accent1"/>
          <w:sz w:val="22"/>
          <w:szCs w:val="22"/>
        </w:rPr>
        <w:t>LOW                                                  HIGH</w:t>
      </w:r>
    </w:p>
    <w:p w14:paraId="78DA4D95" w14:textId="46F01E81" w:rsidR="007F30A3" w:rsidRDefault="00E41A9F" w:rsidP="007F30A3">
      <w:pPr>
        <w:tabs>
          <w:tab w:val="left" w:pos="6646"/>
        </w:tabs>
        <w:spacing w:line="360" w:lineRule="auto"/>
        <w:jc w:val="both"/>
        <w:rPr>
          <w:rFonts w:ascii="Arial" w:hAnsi="Arial" w:cs="Arial"/>
          <w:sz w:val="22"/>
          <w:szCs w:val="22"/>
        </w:rPr>
      </w:pPr>
      <w:r w:rsidRPr="0076400C">
        <w:rPr>
          <w:rFonts w:ascii="Arial" w:hAnsi="Arial" w:cs="Arial"/>
          <w:b/>
          <w:bCs/>
          <w:noProof/>
          <w:sz w:val="22"/>
          <w:szCs w:val="22"/>
        </w:rPr>
        <mc:AlternateContent>
          <mc:Choice Requires="wps">
            <w:drawing>
              <wp:anchor distT="91440" distB="91440" distL="91440" distR="91440" simplePos="0" relativeHeight="251670528" behindDoc="1" locked="0" layoutInCell="1" allowOverlap="1" wp14:anchorId="694E3EEE" wp14:editId="0F32C8AC">
                <wp:simplePos x="0" y="0"/>
                <wp:positionH relativeFrom="margin">
                  <wp:posOffset>-654050</wp:posOffset>
                </wp:positionH>
                <wp:positionV relativeFrom="margin">
                  <wp:posOffset>3028950</wp:posOffset>
                </wp:positionV>
                <wp:extent cx="857250" cy="673100"/>
                <wp:effectExtent l="0" t="0" r="0" b="0"/>
                <wp:wrapSquare wrapText="bothSides"/>
                <wp:docPr id="544927922" name="Text Box 544927922"/>
                <wp:cNvGraphicFramePr/>
                <a:graphic xmlns:a="http://schemas.openxmlformats.org/drawingml/2006/main">
                  <a:graphicData uri="http://schemas.microsoft.com/office/word/2010/wordprocessingShape">
                    <wps:wsp>
                      <wps:cNvSpPr txBox="1"/>
                      <wps:spPr>
                        <a:xfrm>
                          <a:off x="0" y="0"/>
                          <a:ext cx="857250" cy="673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CB34A" w14:textId="77777777" w:rsidR="007F30A3" w:rsidRDefault="007F30A3" w:rsidP="007F30A3">
                            <w:pPr>
                              <w:rPr>
                                <w:color w:val="156082" w:themeColor="accent1"/>
                              </w:rPr>
                            </w:pPr>
                            <w:r>
                              <w:rPr>
                                <w:color w:val="156082" w:themeColor="accent1"/>
                              </w:rPr>
                              <w:t xml:space="preserve"> LOW </w:t>
                            </w:r>
                          </w:p>
                          <w:p w14:paraId="3716ED75" w14:textId="77777777" w:rsidR="007F30A3" w:rsidRDefault="007F30A3" w:rsidP="007F30A3">
                            <w:pPr>
                              <w:rPr>
                                <w:color w:val="156082" w:themeColor="accent1"/>
                              </w:rPr>
                            </w:pPr>
                            <w:r>
                              <w:rPr>
                                <w:color w:val="156082" w:themeColor="accent1"/>
                              </w:rPr>
                              <w:t xml:space="preserve"> POWER</w:t>
                            </w:r>
                          </w:p>
                          <w:sdt>
                            <w:sdtPr>
                              <w:rPr>
                                <w:color w:val="7F7F7F" w:themeColor="text1" w:themeTint="80"/>
                                <w:sz w:val="18"/>
                                <w:szCs w:val="18"/>
                              </w:rPr>
                              <w:id w:val="-138110785"/>
                              <w:temporary/>
                              <w:showingPlcHdr/>
                              <w15:appearance w15:val="hidden"/>
                              <w:text w:multiLine="1"/>
                            </w:sdtPr>
                            <w:sdtContent>
                              <w:p w14:paraId="05A0779A" w14:textId="77777777" w:rsidR="007F30A3" w:rsidRDefault="007F30A3" w:rsidP="007F30A3">
                                <w:pPr>
                                  <w:pStyle w:val="NoSpacing"/>
                                  <w:ind w:left="360"/>
                                  <w:rPr>
                                    <w:color w:val="7F7F7F" w:themeColor="text1" w:themeTint="80"/>
                                    <w:sz w:val="18"/>
                                    <w:szCs w:val="18"/>
                                  </w:rPr>
                                </w:pPr>
                                <w:r>
                                  <w:rPr>
                                    <w:color w:val="7F7F7F" w:themeColor="text1" w:themeTint="80"/>
                                    <w:sz w:val="18"/>
                                    <w:szCs w:val="18"/>
                                  </w:rPr>
                                  <w:t>[Cite your source here.]</w:t>
                                </w:r>
                              </w:p>
                            </w:sdtContent>
                          </w:sdt>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4E3EEE" id="_x0000_t202" coordsize="21600,21600" o:spt="202" path="m,l,21600r21600,l21600,xe">
                <v:stroke joinstyle="miter"/>
                <v:path gradientshapeok="t" o:connecttype="rect"/>
              </v:shapetype>
              <v:shape id="Text Box 544927922" o:spid="_x0000_s1032" type="#_x0000_t202" style="position:absolute;left:0;text-align:left;margin-left:-51.5pt;margin-top:238.5pt;width:67.5pt;height:53pt;z-index:-25164595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" filled="f" stroked="f" strokeweight=".5pt">
                <v:textbox inset=",7.2pt,,7.2pt">
                  <w:txbxContent>
                    <w:p w14:paraId="1B1CB34A" w14:textId="77777777" w:rsidR="007F30A3" w:rsidRDefault="007F30A3" w:rsidP="007F30A3">
                      <w:pPr>
                        <w:rPr>
                          <w:color w:val="156082" w:themeColor="accent1"/>
                        </w:rPr>
                      </w:pPr>
                      <w:r>
                        <w:rPr>
                          <w:color w:val="156082" w:themeColor="accent1"/>
                        </w:rPr>
                        <w:t xml:space="preserve"> LOW </w:t>
                      </w:r>
                    </w:p>
                    <w:p w14:paraId="3716ED75" w14:textId="77777777" w:rsidR="007F30A3" w:rsidRDefault="007F30A3" w:rsidP="007F30A3">
                      <w:pPr>
                        <w:rPr>
                          <w:color w:val="156082" w:themeColor="accent1"/>
                        </w:rPr>
                      </w:pPr>
                      <w:r>
                        <w:rPr>
                          <w:color w:val="156082" w:themeColor="accent1"/>
                        </w:rPr>
                        <w:t xml:space="preserve"> POWER</w:t>
                      </w:r>
                    </w:p>
                    <w:sdt>
                      <w:sdtPr>
                        <w:rPr>
                          <w:color w:val="7F7F7F" w:themeColor="text1" w:themeTint="80"/>
                          <w:sz w:val="18"/>
                          <w:szCs w:val="18"/>
                        </w:rPr>
                        <w:id w:val="-138110785"/>
                        <w:temporary/>
                        <w:showingPlcHdr/>
                        <w15:appearance w15:val="hidden"/>
                        <w:text w:multiLine="1"/>
                      </w:sdtPr>
                      <w:sdtContent>
                        <w:p w14:paraId="05A0779A" w14:textId="77777777" w:rsidR="007F30A3" w:rsidRDefault="007F30A3" w:rsidP="007F30A3">
                          <w:pPr>
                            <w:pStyle w:val="NoSpacing"/>
                            <w:ind w:left="360"/>
                            <w:rPr>
                              <w:color w:val="7F7F7F" w:themeColor="text1" w:themeTint="80"/>
                              <w:sz w:val="18"/>
                              <w:szCs w:val="18"/>
                            </w:rPr>
                          </w:pPr>
                          <w:r>
                            <w:rPr>
                              <w:color w:val="7F7F7F" w:themeColor="text1" w:themeTint="80"/>
                              <w:sz w:val="18"/>
                              <w:szCs w:val="18"/>
                            </w:rPr>
                            <w:t>[Cite your source here.]</w:t>
                          </w:r>
                        </w:p>
                      </w:sdtContent>
                    </w:sdt>
                  </w:txbxContent>
                </v:textbox>
                <w10:wrap type="square" anchorx="margin" anchory="margin"/>
              </v:shape>
            </w:pict>
          </mc:Fallback>
        </mc:AlternateContent>
      </w:r>
      <w:r w:rsidRPr="0076400C">
        <w:rPr>
          <w:rFonts w:ascii="Arial" w:hAnsi="Arial" w:cs="Arial"/>
          <w:b/>
          <w:bCs/>
          <w:noProof/>
          <w:sz w:val="22"/>
          <w:szCs w:val="22"/>
        </w:rPr>
        <mc:AlternateContent>
          <mc:Choice Requires="wps">
            <w:drawing>
              <wp:anchor distT="91440" distB="91440" distL="91440" distR="91440" simplePos="0" relativeHeight="251671552" behindDoc="1" locked="0" layoutInCell="1" allowOverlap="1" wp14:anchorId="65A2FDFC" wp14:editId="1CD68CFB">
                <wp:simplePos x="0" y="0"/>
                <wp:positionH relativeFrom="margin">
                  <wp:posOffset>-584200</wp:posOffset>
                </wp:positionH>
                <wp:positionV relativeFrom="margin">
                  <wp:posOffset>1568450</wp:posOffset>
                </wp:positionV>
                <wp:extent cx="844550" cy="673100"/>
                <wp:effectExtent l="0" t="0" r="0" b="0"/>
                <wp:wrapSquare wrapText="bothSides"/>
                <wp:docPr id="1911495455" name="Text Box 1911495455"/>
                <wp:cNvGraphicFramePr/>
                <a:graphic xmlns:a="http://schemas.openxmlformats.org/drawingml/2006/main">
                  <a:graphicData uri="http://schemas.microsoft.com/office/word/2010/wordprocessingShape">
                    <wps:wsp>
                      <wps:cNvSpPr txBox="1"/>
                      <wps:spPr>
                        <a:xfrm>
                          <a:off x="0" y="0"/>
                          <a:ext cx="844550" cy="673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EB6ED" w14:textId="77777777" w:rsidR="007F30A3" w:rsidRPr="00A773D8" w:rsidRDefault="007F30A3" w:rsidP="007F30A3">
                            <w:pPr>
                              <w:rPr>
                                <w:color w:val="156082" w:themeColor="accent1"/>
                              </w:rPr>
                            </w:pPr>
                            <w:r w:rsidRPr="00A773D8">
                              <w:rPr>
                                <w:color w:val="156082" w:themeColor="accent1"/>
                              </w:rPr>
                              <w:t>HIGH</w:t>
                            </w:r>
                          </w:p>
                          <w:p w14:paraId="492C5C51" w14:textId="77777777" w:rsidR="007F30A3" w:rsidRPr="00A773D8" w:rsidRDefault="007F30A3" w:rsidP="007F30A3">
                            <w:pPr>
                              <w:rPr>
                                <w:color w:val="156082" w:themeColor="accent1"/>
                              </w:rPr>
                            </w:pPr>
                            <w:r w:rsidRPr="00A773D8">
                              <w:rPr>
                                <w:color w:val="156082" w:themeColor="accent1"/>
                              </w:rPr>
                              <w:t>POWER</w:t>
                            </w:r>
                          </w:p>
                          <w:sdt>
                            <w:sdtPr>
                              <w:rPr>
                                <w:color w:val="7F7F7F" w:themeColor="text1" w:themeTint="80"/>
                                <w:sz w:val="18"/>
                                <w:szCs w:val="18"/>
                              </w:rPr>
                              <w:id w:val="-742560091"/>
                              <w:temporary/>
                              <w:showingPlcHdr/>
                              <w15:appearance w15:val="hidden"/>
                              <w:text w:multiLine="1"/>
                            </w:sdtPr>
                            <w:sdtContent>
                              <w:p w14:paraId="45DE6E6F" w14:textId="77777777" w:rsidR="007F30A3" w:rsidRDefault="007F30A3" w:rsidP="007F30A3">
                                <w:pPr>
                                  <w:pStyle w:val="NoSpacing"/>
                                  <w:ind w:left="360"/>
                                  <w:rPr>
                                    <w:color w:val="7F7F7F" w:themeColor="text1" w:themeTint="80"/>
                                    <w:sz w:val="18"/>
                                    <w:szCs w:val="18"/>
                                  </w:rPr>
                                </w:pPr>
                                <w:r>
                                  <w:rPr>
                                    <w:color w:val="7F7F7F" w:themeColor="text1" w:themeTint="80"/>
                                    <w:sz w:val="18"/>
                                    <w:szCs w:val="18"/>
                                  </w:rPr>
                                  <w:t>[Cite your source here.]</w:t>
                                </w:r>
                              </w:p>
                            </w:sdtContent>
                          </w:sdt>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2FDFC" id="Text Box 1911495455" o:spid="_x0000_s1033" type="#_x0000_t202" style="position:absolute;left:0;text-align:left;margin-left:-46pt;margin-top:123.5pt;width:66.5pt;height:53pt;z-index:-251644928;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" filled="f" stroked="f" strokeweight=".5pt">
                <v:textbox inset=",7.2pt,,7.2pt">
                  <w:txbxContent>
                    <w:p w14:paraId="062EB6ED" w14:textId="77777777" w:rsidR="007F30A3" w:rsidRPr="00A773D8" w:rsidRDefault="007F30A3" w:rsidP="007F30A3">
                      <w:pPr>
                        <w:rPr>
                          <w:color w:val="156082" w:themeColor="accent1"/>
                        </w:rPr>
                      </w:pPr>
                      <w:r w:rsidRPr="00A773D8">
                        <w:rPr>
                          <w:color w:val="156082" w:themeColor="accent1"/>
                        </w:rPr>
                        <w:t>HIGH</w:t>
                      </w:r>
                    </w:p>
                    <w:p w14:paraId="492C5C51" w14:textId="77777777" w:rsidR="007F30A3" w:rsidRPr="00A773D8" w:rsidRDefault="007F30A3" w:rsidP="007F30A3">
                      <w:pPr>
                        <w:rPr>
                          <w:color w:val="156082" w:themeColor="accent1"/>
                        </w:rPr>
                      </w:pPr>
                      <w:r w:rsidRPr="00A773D8">
                        <w:rPr>
                          <w:color w:val="156082" w:themeColor="accent1"/>
                        </w:rPr>
                        <w:t>POWER</w:t>
                      </w:r>
                    </w:p>
                    <w:sdt>
                      <w:sdtPr>
                        <w:rPr>
                          <w:color w:val="7F7F7F" w:themeColor="text1" w:themeTint="80"/>
                          <w:sz w:val="18"/>
                          <w:szCs w:val="18"/>
                        </w:rPr>
                        <w:id w:val="-742560091"/>
                        <w:temporary/>
                        <w:showingPlcHdr/>
                        <w15:appearance w15:val="hidden"/>
                        <w:text w:multiLine="1"/>
                      </w:sdtPr>
                      <w:sdtContent>
                        <w:p w14:paraId="45DE6E6F" w14:textId="77777777" w:rsidR="007F30A3" w:rsidRDefault="007F30A3" w:rsidP="007F30A3">
                          <w:pPr>
                            <w:pStyle w:val="NoSpacing"/>
                            <w:ind w:left="360"/>
                            <w:rPr>
                              <w:color w:val="7F7F7F" w:themeColor="text1" w:themeTint="80"/>
                              <w:sz w:val="18"/>
                              <w:szCs w:val="18"/>
                            </w:rPr>
                          </w:pPr>
                          <w:r>
                            <w:rPr>
                              <w:color w:val="7F7F7F" w:themeColor="text1" w:themeTint="80"/>
                              <w:sz w:val="18"/>
                              <w:szCs w:val="18"/>
                            </w:rPr>
                            <w:t>[Cite your source here.]</w:t>
                          </w:r>
                        </w:p>
                      </w:sdtContent>
                    </w:sdt>
                  </w:txbxContent>
                </v:textbox>
                <w10:wrap type="square" anchorx="margin" anchory="margin"/>
              </v:shape>
            </w:pict>
          </mc:Fallback>
        </mc:AlternateContent>
      </w:r>
      <w:r w:rsidR="007F30A3">
        <w:rPr>
          <w:rFonts w:ascii="Arial" w:hAnsi="Arial" w:cs="Arial"/>
          <w:b/>
          <w:bCs/>
          <w:noProof/>
          <w:sz w:val="22"/>
          <w:szCs w:val="22"/>
        </w:rPr>
        <w:drawing>
          <wp:inline distT="0" distB="0" distL="0" distR="0" wp14:anchorId="66ACB94D" wp14:editId="0B4DB7B0">
            <wp:extent cx="4552950" cy="2673350"/>
            <wp:effectExtent l="0" t="342900" r="38100" b="355600"/>
            <wp:docPr id="61811392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5446E61" w14:textId="77777777" w:rsidR="00F0495D" w:rsidRDefault="00F0495D" w:rsidP="007F30A3">
      <w:pPr>
        <w:tabs>
          <w:tab w:val="left" w:pos="6646"/>
        </w:tabs>
        <w:spacing w:line="360" w:lineRule="auto"/>
        <w:jc w:val="both"/>
        <w:rPr>
          <w:rFonts w:ascii="Arial" w:hAnsi="Arial" w:cs="Arial"/>
          <w:sz w:val="22"/>
          <w:szCs w:val="22"/>
        </w:rPr>
      </w:pPr>
    </w:p>
    <w:p w14:paraId="14C5ED02" w14:textId="7659402C" w:rsidR="00B05D73" w:rsidRPr="00B05D73" w:rsidRDefault="00B05D73" w:rsidP="00B05D73">
      <w:pPr>
        <w:tabs>
          <w:tab w:val="left" w:pos="6646"/>
        </w:tabs>
        <w:rPr>
          <w:rFonts w:ascii="Arial" w:hAnsi="Arial" w:cs="Arial"/>
          <w:b/>
          <w:bCs/>
          <w:sz w:val="22"/>
          <w:szCs w:val="22"/>
        </w:rPr>
      </w:pPr>
      <w:r w:rsidRPr="00B05D73">
        <w:rPr>
          <w:rFonts w:ascii="Arial" w:hAnsi="Arial" w:cs="Arial"/>
          <w:b/>
          <w:bCs/>
          <w:sz w:val="22"/>
          <w:szCs w:val="22"/>
        </w:rPr>
        <w:t>5.</w:t>
      </w:r>
      <w:r w:rsidR="002946C7">
        <w:rPr>
          <w:rFonts w:ascii="Arial" w:hAnsi="Arial" w:cs="Arial"/>
          <w:b/>
          <w:bCs/>
          <w:sz w:val="22"/>
          <w:szCs w:val="22"/>
        </w:rPr>
        <w:t>3</w:t>
      </w:r>
      <w:r w:rsidRPr="00B05D73">
        <w:rPr>
          <w:rFonts w:ascii="Arial" w:hAnsi="Arial" w:cs="Arial"/>
          <w:b/>
          <w:bCs/>
          <w:sz w:val="22"/>
          <w:szCs w:val="22"/>
        </w:rPr>
        <w:t xml:space="preserve"> Communication Plan</w:t>
      </w:r>
    </w:p>
    <w:p w14:paraId="5A81C88F" w14:textId="6B3D8DF0" w:rsidR="008412DE" w:rsidRPr="008412DE" w:rsidRDefault="00B05D73" w:rsidP="008412DE">
      <w:pPr>
        <w:tabs>
          <w:tab w:val="left" w:pos="6646"/>
        </w:tabs>
        <w:rPr>
          <w:rFonts w:ascii="Arial" w:hAnsi="Arial" w:cs="Arial"/>
          <w:b/>
          <w:bCs/>
          <w:sz w:val="22"/>
          <w:szCs w:val="22"/>
        </w:rPr>
      </w:pPr>
      <w:r w:rsidRPr="00B05D73">
        <w:rPr>
          <w:rFonts w:ascii="Arial" w:hAnsi="Arial" w:cs="Arial"/>
          <w:b/>
          <w:bCs/>
          <w:sz w:val="22"/>
          <w:szCs w:val="22"/>
        </w:rPr>
        <w:t>5.</w:t>
      </w:r>
      <w:r w:rsidR="002946C7">
        <w:rPr>
          <w:rFonts w:ascii="Arial" w:hAnsi="Arial" w:cs="Arial"/>
          <w:b/>
          <w:bCs/>
          <w:sz w:val="22"/>
          <w:szCs w:val="22"/>
        </w:rPr>
        <w:t>4</w:t>
      </w:r>
      <w:r w:rsidRPr="00B05D73">
        <w:rPr>
          <w:rFonts w:ascii="Arial" w:hAnsi="Arial" w:cs="Arial"/>
          <w:b/>
          <w:bCs/>
          <w:sz w:val="22"/>
          <w:szCs w:val="22"/>
        </w:rPr>
        <w:t xml:space="preserve"> The 4C's Model (Communication, Consultation, Collaboration and Commitment)</w:t>
      </w:r>
    </w:p>
    <w:p w14:paraId="055CA188" w14:textId="23BD14C9" w:rsidR="00B26F5A" w:rsidRPr="00B26F5A" w:rsidRDefault="008412DE" w:rsidP="00F004FC">
      <w:pPr>
        <w:tabs>
          <w:tab w:val="left" w:pos="6646"/>
        </w:tabs>
        <w:spacing w:line="360" w:lineRule="auto"/>
        <w:jc w:val="both"/>
        <w:rPr>
          <w:rFonts w:ascii="Arial" w:hAnsi="Arial" w:cs="Arial"/>
          <w:sz w:val="22"/>
          <w:szCs w:val="22"/>
        </w:rPr>
      </w:pPr>
      <w:r w:rsidRPr="008412DE">
        <w:rPr>
          <w:rFonts w:ascii="Arial" w:hAnsi="Arial" w:cs="Arial"/>
          <w:sz w:val="22"/>
          <w:szCs w:val="22"/>
        </w:rPr>
        <w:t xml:space="preserve">The 4C’s Model delivers a structured approach to stakeholder engagement throughout the ConnectPlus project. Communication </w:t>
      </w:r>
      <w:r w:rsidR="006424FF">
        <w:rPr>
          <w:rFonts w:ascii="Arial" w:hAnsi="Arial" w:cs="Arial"/>
          <w:sz w:val="22"/>
          <w:szCs w:val="22"/>
        </w:rPr>
        <w:t>ensures that stakeholders receive clear and timely information about the project’s objectives, benefits, and potential</w:t>
      </w:r>
      <w:r w:rsidRPr="008412DE">
        <w:rPr>
          <w:rFonts w:ascii="Arial" w:hAnsi="Arial" w:cs="Arial"/>
          <w:sz w:val="22"/>
          <w:szCs w:val="22"/>
        </w:rPr>
        <w:t xml:space="preserve"> changes. </w:t>
      </w:r>
      <w:r w:rsidRPr="008412DE">
        <w:rPr>
          <w:rFonts w:ascii="Arial" w:hAnsi="Arial" w:cs="Arial"/>
          <w:b/>
          <w:bCs/>
          <w:sz w:val="22"/>
          <w:szCs w:val="22"/>
        </w:rPr>
        <w:t>Consultation</w:t>
      </w:r>
      <w:r w:rsidRPr="008412DE">
        <w:rPr>
          <w:rFonts w:ascii="Arial" w:hAnsi="Arial" w:cs="Arial"/>
          <w:sz w:val="22"/>
          <w:szCs w:val="22"/>
        </w:rPr>
        <w:t xml:space="preserve"> allows Primark to collect feedback from employees, customers and other stakeholders, helping the organisation identify concerns and expectations. </w:t>
      </w:r>
      <w:r w:rsidRPr="008412DE">
        <w:rPr>
          <w:rFonts w:ascii="Arial" w:hAnsi="Arial" w:cs="Arial"/>
          <w:b/>
          <w:bCs/>
          <w:sz w:val="22"/>
          <w:szCs w:val="22"/>
        </w:rPr>
        <w:t>Collaboration</w:t>
      </w:r>
      <w:r w:rsidRPr="008412DE">
        <w:rPr>
          <w:rFonts w:ascii="Arial" w:hAnsi="Arial" w:cs="Arial"/>
          <w:sz w:val="22"/>
          <w:szCs w:val="22"/>
        </w:rPr>
        <w:t xml:space="preserve"> involves key stakeholders, such as the IT, Marketing and Customer Service teams, working together to support the development and implementation of ConnectPlus. Finally, </w:t>
      </w:r>
      <w:r w:rsidRPr="008412DE">
        <w:rPr>
          <w:rFonts w:ascii="Arial" w:hAnsi="Arial" w:cs="Arial"/>
          <w:b/>
          <w:bCs/>
          <w:sz w:val="22"/>
          <w:szCs w:val="22"/>
        </w:rPr>
        <w:t>Commitment</w:t>
      </w:r>
      <w:r w:rsidRPr="008412DE">
        <w:rPr>
          <w:rFonts w:ascii="Arial" w:hAnsi="Arial" w:cs="Arial"/>
          <w:sz w:val="22"/>
          <w:szCs w:val="22"/>
        </w:rPr>
        <w:t xml:space="preserve"> focuses on developing long-term stakeholder faith and support through continuous engagement, training and responsiveness to feedback.</w:t>
      </w:r>
      <w:r w:rsidR="001D131E">
        <w:rPr>
          <w:rFonts w:ascii="Arial" w:hAnsi="Arial" w:cs="Arial"/>
          <w:sz w:val="22"/>
          <w:szCs w:val="22"/>
        </w:rPr>
        <w:t xml:space="preserve"> </w:t>
      </w:r>
      <w:r w:rsidRPr="008412DE">
        <w:rPr>
          <w:rFonts w:ascii="Arial" w:hAnsi="Arial" w:cs="Arial"/>
          <w:sz w:val="22"/>
          <w:szCs w:val="22"/>
        </w:rPr>
        <w:t>However, communication alone does not guarantee stakeholder support</w:t>
      </w:r>
      <w:r w:rsidR="00BC51D2">
        <w:rPr>
          <w:rFonts w:ascii="Arial" w:hAnsi="Arial" w:cs="Arial"/>
          <w:sz w:val="22"/>
          <w:szCs w:val="22"/>
        </w:rPr>
        <w:t xml:space="preserve"> </w:t>
      </w:r>
      <w:r w:rsidR="00490968" w:rsidRPr="00BC51D2">
        <w:rPr>
          <w:rFonts w:ascii="Arial" w:hAnsi="Arial" w:cs="Arial"/>
          <w:sz w:val="22"/>
          <w:szCs w:val="22"/>
        </w:rPr>
        <w:t>(Alnhari and Qureshi, 2024)</w:t>
      </w:r>
      <w:r w:rsidRPr="00BC51D2">
        <w:rPr>
          <w:rFonts w:ascii="Arial" w:hAnsi="Arial" w:cs="Arial"/>
          <w:sz w:val="22"/>
          <w:szCs w:val="22"/>
        </w:rPr>
        <w:t>.</w:t>
      </w:r>
      <w:r w:rsidRPr="008412DE">
        <w:rPr>
          <w:rFonts w:ascii="Arial" w:hAnsi="Arial" w:cs="Arial"/>
          <w:sz w:val="22"/>
          <w:szCs w:val="22"/>
        </w:rPr>
        <w:t xml:space="preserve"> Primark should progressively move from informing stakeholders to actively involving them in decision-making and implementation. </w:t>
      </w:r>
      <w:r w:rsidRPr="008412DE">
        <w:rPr>
          <w:rFonts w:ascii="Arial" w:hAnsi="Arial" w:cs="Arial"/>
          <w:sz w:val="22"/>
          <w:szCs w:val="22"/>
        </w:rPr>
        <w:lastRenderedPageBreak/>
        <w:t xml:space="preserve">Therefore, the 4C’s Model complements the Power–Interest Matrix: while the matrix identifies which stakeholders require greater attention, the 4C’s Model provides guidance on </w:t>
      </w:r>
      <w:r w:rsidRPr="001D131E">
        <w:rPr>
          <w:rFonts w:ascii="Arial" w:hAnsi="Arial" w:cs="Arial"/>
          <w:sz w:val="22"/>
          <w:szCs w:val="22"/>
        </w:rPr>
        <w:t xml:space="preserve">how </w:t>
      </w:r>
      <w:r w:rsidR="006424FF">
        <w:rPr>
          <w:rFonts w:ascii="Arial" w:hAnsi="Arial" w:cs="Arial"/>
          <w:sz w:val="22"/>
          <w:szCs w:val="22"/>
        </w:rPr>
        <w:t>to engage them</w:t>
      </w:r>
      <w:r w:rsidRPr="001D131E">
        <w:rPr>
          <w:rFonts w:ascii="Arial" w:hAnsi="Arial" w:cs="Arial"/>
          <w:sz w:val="22"/>
          <w:szCs w:val="22"/>
        </w:rPr>
        <w:t>.</w:t>
      </w:r>
      <w:r w:rsidR="00BC51D2">
        <w:rPr>
          <w:rFonts w:ascii="Arial" w:hAnsi="Arial" w:cs="Arial"/>
          <w:sz w:val="22"/>
          <w:szCs w:val="22"/>
        </w:rPr>
        <w:t xml:space="preserve"> </w:t>
      </w:r>
      <w:r w:rsidR="00B05176" w:rsidRPr="00B05176">
        <w:rPr>
          <w:rFonts w:ascii="Arial" w:hAnsi="Arial" w:cs="Arial"/>
          <w:i/>
          <w:iCs/>
          <w:sz w:val="22"/>
          <w:szCs w:val="22"/>
        </w:rPr>
        <w:t>‘’</w:t>
      </w:r>
      <w:r w:rsidR="00B26F5A" w:rsidRPr="00B05176">
        <w:rPr>
          <w:rFonts w:ascii="Arial" w:hAnsi="Arial" w:cs="Arial"/>
          <w:i/>
          <w:iCs/>
          <w:sz w:val="22"/>
          <w:szCs w:val="22"/>
        </w:rPr>
        <w:t>Combining both frameworks enables the Project Manager to allocate resources more effectively and tailor communication according to stakeholder needs</w:t>
      </w:r>
      <w:r w:rsidR="00B05176" w:rsidRPr="00B05176">
        <w:rPr>
          <w:rFonts w:ascii="Arial" w:hAnsi="Arial" w:cs="Arial"/>
          <w:i/>
          <w:iCs/>
          <w:sz w:val="22"/>
          <w:szCs w:val="22"/>
        </w:rPr>
        <w:t>’’</w:t>
      </w:r>
      <w:r w:rsidR="0043121D" w:rsidRPr="00B05176">
        <w:rPr>
          <w:rFonts w:ascii="Arial" w:hAnsi="Arial" w:cs="Arial"/>
          <w:i/>
          <w:iCs/>
          <w:sz w:val="22"/>
          <w:szCs w:val="22"/>
        </w:rPr>
        <w:t>(Project Management Institute, 2021)</w:t>
      </w:r>
      <w:r w:rsidR="00B26F5A" w:rsidRPr="00B26F5A">
        <w:rPr>
          <w:rFonts w:ascii="Arial" w:hAnsi="Arial" w:cs="Arial"/>
          <w:sz w:val="22"/>
          <w:szCs w:val="22"/>
        </w:rPr>
        <w:t xml:space="preserve">. </w:t>
      </w:r>
      <w:r w:rsidR="00B26F5A" w:rsidRPr="002A387B">
        <w:rPr>
          <w:rFonts w:ascii="Arial" w:hAnsi="Arial" w:cs="Arial"/>
          <w:i/>
          <w:iCs/>
          <w:sz w:val="22"/>
          <w:szCs w:val="22"/>
        </w:rPr>
        <w:t>Nevertheless, stakeholder engagement should remain flexible because stakeholder expectations and project risks evolve over time</w:t>
      </w:r>
      <w:r w:rsidR="002A387B">
        <w:rPr>
          <w:rFonts w:ascii="Arial" w:hAnsi="Arial" w:cs="Arial"/>
          <w:i/>
          <w:iCs/>
          <w:sz w:val="22"/>
          <w:szCs w:val="22"/>
        </w:rPr>
        <w:t xml:space="preserve"> </w:t>
      </w:r>
      <w:r w:rsidR="002A387B" w:rsidRPr="002A387B">
        <w:rPr>
          <w:rFonts w:ascii="Arial" w:hAnsi="Arial" w:cs="Arial"/>
          <w:i/>
          <w:iCs/>
          <w:sz w:val="22"/>
          <w:szCs w:val="22"/>
        </w:rPr>
        <w:t>(Alnhari and Qureshi, 2024)</w:t>
      </w:r>
      <w:r w:rsidR="00B26F5A" w:rsidRPr="002A387B">
        <w:rPr>
          <w:rFonts w:ascii="Arial" w:hAnsi="Arial" w:cs="Arial"/>
          <w:i/>
          <w:iCs/>
          <w:sz w:val="22"/>
          <w:szCs w:val="22"/>
        </w:rPr>
        <w:t>.</w:t>
      </w:r>
      <w:r w:rsidR="00B26F5A" w:rsidRPr="00B26F5A">
        <w:rPr>
          <w:rFonts w:ascii="Arial" w:hAnsi="Arial" w:cs="Arial"/>
          <w:sz w:val="22"/>
          <w:szCs w:val="22"/>
        </w:rPr>
        <w:t xml:space="preserve"> Therefore, regular stakeholder reviews are essential to maintain collaboration, reduce conflict, and improve decision-making. This adaptive approach increases the likelihood of successfully implementing ConnectPlus across different international markets while supporting long-term organisational objectives.</w:t>
      </w:r>
    </w:p>
    <w:p w14:paraId="7A664D18" w14:textId="77777777" w:rsidR="00F004FC" w:rsidRDefault="00F004FC" w:rsidP="003B2981">
      <w:pPr>
        <w:tabs>
          <w:tab w:val="left" w:pos="6646"/>
        </w:tabs>
        <w:spacing w:line="360" w:lineRule="auto"/>
        <w:rPr>
          <w:rFonts w:ascii="Arial" w:hAnsi="Arial" w:cs="Arial"/>
          <w:sz w:val="22"/>
          <w:szCs w:val="22"/>
        </w:rPr>
      </w:pPr>
    </w:p>
    <w:p w14:paraId="24CE06C4" w14:textId="6FA3CFC3" w:rsidR="003B2981" w:rsidRPr="003B2981" w:rsidRDefault="003B2981" w:rsidP="003B2981">
      <w:pPr>
        <w:tabs>
          <w:tab w:val="left" w:pos="6646"/>
        </w:tabs>
        <w:spacing w:line="360" w:lineRule="auto"/>
        <w:rPr>
          <w:rFonts w:ascii="Arial" w:hAnsi="Arial" w:cs="Arial"/>
          <w:b/>
          <w:bCs/>
          <w:sz w:val="22"/>
          <w:szCs w:val="22"/>
        </w:rPr>
      </w:pPr>
      <w:r w:rsidRPr="003B2981">
        <w:rPr>
          <w:rFonts w:ascii="Arial" w:hAnsi="Arial" w:cs="Arial"/>
          <w:b/>
          <w:bCs/>
          <w:sz w:val="22"/>
          <w:szCs w:val="22"/>
        </w:rPr>
        <w:t>6. Sustainable Stakeholder Engagement and Business Performance</w:t>
      </w:r>
    </w:p>
    <w:p w14:paraId="476C213C" w14:textId="20D34BBB" w:rsidR="00DA6786" w:rsidRDefault="00DA6786" w:rsidP="009854C1">
      <w:pPr>
        <w:tabs>
          <w:tab w:val="left" w:pos="6646"/>
        </w:tabs>
        <w:spacing w:line="360" w:lineRule="auto"/>
        <w:jc w:val="both"/>
        <w:rPr>
          <w:rFonts w:ascii="Arial" w:hAnsi="Arial" w:cs="Arial"/>
          <w:sz w:val="22"/>
          <w:szCs w:val="22"/>
        </w:rPr>
      </w:pPr>
      <w:r w:rsidRPr="00DA6786">
        <w:rPr>
          <w:rFonts w:ascii="Arial" w:hAnsi="Arial" w:cs="Arial"/>
          <w:sz w:val="22"/>
          <w:szCs w:val="22"/>
        </w:rPr>
        <w:t xml:space="preserve">The long-term success of ConnectPlus depends not only on technological innovation but also on Primark's ability to build sustainable relationships with its stakeholders. </w:t>
      </w:r>
      <w:r w:rsidRPr="00256343">
        <w:rPr>
          <w:rFonts w:ascii="Arial" w:hAnsi="Arial" w:cs="Arial"/>
          <w:i/>
          <w:iCs/>
          <w:sz w:val="22"/>
          <w:szCs w:val="22"/>
        </w:rPr>
        <w:t>Sustainable stakeholder engagement extends beyond project implementation by promoting trust, transparency, and shared value, while contributing to innovation, organisational resilience, and long-term business performance</w:t>
      </w:r>
      <w:r w:rsidR="00256343">
        <w:rPr>
          <w:rFonts w:ascii="Arial" w:hAnsi="Arial" w:cs="Arial"/>
          <w:i/>
          <w:iCs/>
          <w:sz w:val="22"/>
          <w:szCs w:val="22"/>
        </w:rPr>
        <w:t xml:space="preserve"> </w:t>
      </w:r>
      <w:r w:rsidR="00256343" w:rsidRPr="00256343">
        <w:rPr>
          <w:rFonts w:ascii="Arial" w:hAnsi="Arial" w:cs="Arial"/>
          <w:i/>
          <w:iCs/>
          <w:sz w:val="22"/>
          <w:szCs w:val="22"/>
        </w:rPr>
        <w:t>(Freeman et al., 2020)</w:t>
      </w:r>
      <w:r w:rsidRPr="00256343">
        <w:rPr>
          <w:rFonts w:ascii="Arial" w:hAnsi="Arial" w:cs="Arial"/>
          <w:i/>
          <w:iCs/>
          <w:sz w:val="22"/>
          <w:szCs w:val="22"/>
        </w:rPr>
        <w:t>.</w:t>
      </w:r>
      <w:r w:rsidR="00D53DD8">
        <w:rPr>
          <w:rFonts w:ascii="Arial" w:hAnsi="Arial" w:cs="Arial"/>
          <w:sz w:val="22"/>
          <w:szCs w:val="22"/>
        </w:rPr>
        <w:t xml:space="preserve"> </w:t>
      </w:r>
      <w:r w:rsidRPr="00DA6786">
        <w:rPr>
          <w:rFonts w:ascii="Arial" w:hAnsi="Arial" w:cs="Arial"/>
          <w:sz w:val="22"/>
          <w:szCs w:val="22"/>
        </w:rPr>
        <w:t xml:space="preserve">Customer loyalty is strengthened through AI-driven personalisation and data analytics, which improve the customer experience. However, technological capability alone is insufficient. </w:t>
      </w:r>
      <w:r w:rsidRPr="003E39AC">
        <w:rPr>
          <w:rFonts w:ascii="Arial" w:hAnsi="Arial" w:cs="Arial"/>
          <w:i/>
          <w:iCs/>
          <w:sz w:val="22"/>
          <w:szCs w:val="22"/>
        </w:rPr>
        <w:t>Growing concerns about data privacy and the ethical use of AI mean that customer trust depends on transparent communication and responsible data governance</w:t>
      </w:r>
      <w:r w:rsidR="008E20BA" w:rsidRPr="003E39AC">
        <w:rPr>
          <w:rFonts w:ascii="Arial" w:hAnsi="Arial" w:cs="Arial"/>
          <w:i/>
          <w:iCs/>
          <w:sz w:val="22"/>
          <w:szCs w:val="22"/>
        </w:rPr>
        <w:t xml:space="preserve"> (Information Commissioner's Office, 2023)</w:t>
      </w:r>
      <w:r w:rsidRPr="003E39AC">
        <w:rPr>
          <w:rFonts w:ascii="Arial" w:hAnsi="Arial" w:cs="Arial"/>
          <w:i/>
          <w:iCs/>
          <w:sz w:val="22"/>
          <w:szCs w:val="22"/>
        </w:rPr>
        <w:t>.</w:t>
      </w:r>
      <w:r w:rsidRPr="00DA6786">
        <w:rPr>
          <w:rFonts w:ascii="Arial" w:hAnsi="Arial" w:cs="Arial"/>
          <w:sz w:val="22"/>
          <w:szCs w:val="22"/>
        </w:rPr>
        <w:t xml:space="preserve"> Without these, investment in digital innovation may fail to achieve its intended benefits.</w:t>
      </w:r>
      <w:r w:rsidR="00F004FC">
        <w:rPr>
          <w:rFonts w:ascii="Arial" w:hAnsi="Arial" w:cs="Arial"/>
          <w:sz w:val="22"/>
          <w:szCs w:val="22"/>
        </w:rPr>
        <w:t xml:space="preserve"> </w:t>
      </w:r>
      <w:r w:rsidRPr="00DA6786">
        <w:rPr>
          <w:rFonts w:ascii="Arial" w:hAnsi="Arial" w:cs="Arial"/>
          <w:sz w:val="22"/>
          <w:szCs w:val="22"/>
        </w:rPr>
        <w:t>Employee engagement is equally important because employees influence customer adoption and support organisational change. Although training develops digital skills, long-term commitment requires consultation, participation, and continuous feedback. This demonstrates that successful digital transformation depends as much on people as on technology.</w:t>
      </w:r>
      <w:r w:rsidR="004133D1">
        <w:rPr>
          <w:rFonts w:ascii="Arial" w:hAnsi="Arial" w:cs="Arial"/>
          <w:sz w:val="22"/>
          <w:szCs w:val="22"/>
        </w:rPr>
        <w:t xml:space="preserve"> </w:t>
      </w:r>
      <w:r w:rsidRPr="004C3C8D">
        <w:rPr>
          <w:rFonts w:ascii="Arial" w:hAnsi="Arial" w:cs="Arial"/>
          <w:i/>
          <w:iCs/>
          <w:sz w:val="22"/>
          <w:szCs w:val="22"/>
        </w:rPr>
        <w:t>Collaboratio</w:t>
      </w:r>
      <w:r w:rsidR="005A13D0" w:rsidRPr="004C3C8D">
        <w:rPr>
          <w:rFonts w:ascii="Arial" w:hAnsi="Arial" w:cs="Arial"/>
          <w:i/>
          <w:iCs/>
          <w:sz w:val="22"/>
          <w:szCs w:val="22"/>
        </w:rPr>
        <w:t>n</w:t>
      </w:r>
      <w:r w:rsidRPr="004C3C8D">
        <w:rPr>
          <w:rFonts w:ascii="Arial" w:hAnsi="Arial" w:cs="Arial"/>
          <w:i/>
          <w:iCs/>
          <w:sz w:val="22"/>
          <w:szCs w:val="22"/>
        </w:rPr>
        <w:t xml:space="preserve"> with internal departments, customers, technology providers, and business partners also supports continuous innovation</w:t>
      </w:r>
      <w:r w:rsidR="004C3C8D">
        <w:rPr>
          <w:rFonts w:ascii="Arial" w:hAnsi="Arial" w:cs="Arial"/>
          <w:i/>
          <w:iCs/>
          <w:sz w:val="22"/>
          <w:szCs w:val="22"/>
        </w:rPr>
        <w:t xml:space="preserve"> </w:t>
      </w:r>
      <w:r w:rsidR="00563207" w:rsidRPr="004C3C8D">
        <w:rPr>
          <w:rFonts w:ascii="Arial" w:hAnsi="Arial" w:cs="Arial"/>
          <w:i/>
          <w:iCs/>
          <w:sz w:val="22"/>
          <w:szCs w:val="22"/>
        </w:rPr>
        <w:t>(Alnhari and Qureshi, 2024)</w:t>
      </w:r>
      <w:r w:rsidRPr="004C3C8D">
        <w:rPr>
          <w:rFonts w:ascii="Arial" w:hAnsi="Arial" w:cs="Arial"/>
          <w:i/>
          <w:iCs/>
          <w:sz w:val="22"/>
          <w:szCs w:val="22"/>
        </w:rPr>
        <w:t>.</w:t>
      </w:r>
      <w:r w:rsidRPr="00DA6786">
        <w:rPr>
          <w:rFonts w:ascii="Arial" w:hAnsi="Arial" w:cs="Arial"/>
          <w:sz w:val="22"/>
          <w:szCs w:val="22"/>
        </w:rPr>
        <w:t xml:space="preserve"> Nevertheless, innovation should not be viewed as inherently beneficial, as stakeholder priorities often conflict. For example, technology providers may prioritise advanced functionality, whereas customers value simplicity and privacy. Therefore, innovation should be evaluated according to the value it creates for stakeholders rather than technological sophistication alone.</w:t>
      </w:r>
      <w:r w:rsidR="009F3F08">
        <w:rPr>
          <w:rFonts w:ascii="Arial" w:hAnsi="Arial" w:cs="Arial"/>
          <w:sz w:val="22"/>
          <w:szCs w:val="22"/>
        </w:rPr>
        <w:t xml:space="preserve"> </w:t>
      </w:r>
      <w:r w:rsidRPr="00DA6786">
        <w:rPr>
          <w:rFonts w:ascii="Arial" w:hAnsi="Arial" w:cs="Arial"/>
          <w:sz w:val="22"/>
          <w:szCs w:val="22"/>
        </w:rPr>
        <w:t xml:space="preserve">Sustainable stakeholder engagement also strengthens organisational reputation and supports ESG objectives through ethical governance, GDPR compliance, and transparent communication. However, these initiatives require significant investment and remain vulnerable to </w:t>
      </w:r>
      <w:r w:rsidRPr="00DA6786">
        <w:rPr>
          <w:rFonts w:ascii="Arial" w:hAnsi="Arial" w:cs="Arial"/>
          <w:sz w:val="22"/>
          <w:szCs w:val="22"/>
        </w:rPr>
        <w:lastRenderedPageBreak/>
        <w:t>cybersecurity incidents or unethical data practices, demonstrating that stakeholder trust must be continuously maintained rather than assumed.</w:t>
      </w:r>
      <w:r w:rsidR="001E1E24">
        <w:rPr>
          <w:rFonts w:ascii="Arial" w:hAnsi="Arial" w:cs="Arial"/>
          <w:sz w:val="22"/>
          <w:szCs w:val="22"/>
        </w:rPr>
        <w:t xml:space="preserve"> </w:t>
      </w:r>
      <w:r w:rsidRPr="00DA6786">
        <w:rPr>
          <w:rFonts w:ascii="Arial" w:hAnsi="Arial" w:cs="Arial"/>
          <w:sz w:val="22"/>
          <w:szCs w:val="22"/>
        </w:rPr>
        <w:t xml:space="preserve">From a strategic perspective, effective stakeholder engagement enhances customer retention, innovation, and organisational resilience. Nevertheless, competitive advantage cannot rely solely on stakeholder relationships because customer expectations, technology, and market conditions continue to evolve. </w:t>
      </w:r>
      <w:r w:rsidRPr="00FE06A0">
        <w:rPr>
          <w:rFonts w:ascii="Arial" w:hAnsi="Arial" w:cs="Arial"/>
          <w:i/>
          <w:iCs/>
          <w:sz w:val="22"/>
          <w:szCs w:val="22"/>
        </w:rPr>
        <w:t>Consequently, stakeholder engagement should be treated as a dynamic capability requiring continuous evaluation and adaptation</w:t>
      </w:r>
      <w:r w:rsidR="00FE06A0">
        <w:rPr>
          <w:rFonts w:ascii="Arial" w:hAnsi="Arial" w:cs="Arial"/>
          <w:i/>
          <w:iCs/>
          <w:sz w:val="22"/>
          <w:szCs w:val="22"/>
        </w:rPr>
        <w:t xml:space="preserve"> </w:t>
      </w:r>
      <w:r w:rsidR="00FE06A0" w:rsidRPr="00FE06A0">
        <w:rPr>
          <w:rFonts w:ascii="Arial" w:hAnsi="Arial" w:cs="Arial"/>
          <w:i/>
          <w:iCs/>
          <w:sz w:val="22"/>
          <w:szCs w:val="22"/>
        </w:rPr>
        <w:t>(Project Management Institute, 2021)</w:t>
      </w:r>
      <w:r w:rsidRPr="00FE06A0">
        <w:rPr>
          <w:rFonts w:ascii="Arial" w:hAnsi="Arial" w:cs="Arial"/>
          <w:i/>
          <w:iCs/>
          <w:sz w:val="22"/>
          <w:szCs w:val="22"/>
        </w:rPr>
        <w:t>.</w:t>
      </w:r>
      <w:r w:rsidR="001E1E24">
        <w:rPr>
          <w:rFonts w:ascii="Arial" w:hAnsi="Arial" w:cs="Arial"/>
          <w:sz w:val="22"/>
          <w:szCs w:val="22"/>
        </w:rPr>
        <w:t xml:space="preserve"> </w:t>
      </w:r>
      <w:r w:rsidRPr="00DA6786">
        <w:rPr>
          <w:rFonts w:ascii="Arial" w:hAnsi="Arial" w:cs="Arial"/>
          <w:sz w:val="22"/>
          <w:szCs w:val="22"/>
        </w:rPr>
        <w:t>Overall, the ConnectPlus project demonstrates that sustainable stakeholder engagement requires balancing competing stakeholder interests through ethical leadership, transparent decision-making, and ongoing collaboration. By embedding stakeholder engagement within its strategic decision-making, Primark can strengthen organisational resilience, improve customer loyalty, and achieve sustainable competitive advantage in an increasingly digital retail environment.</w:t>
      </w:r>
    </w:p>
    <w:p w14:paraId="4ABC551C" w14:textId="77777777" w:rsidR="003B5711" w:rsidRDefault="003B5711" w:rsidP="009854C1">
      <w:pPr>
        <w:tabs>
          <w:tab w:val="left" w:pos="6646"/>
        </w:tabs>
        <w:spacing w:line="360" w:lineRule="auto"/>
        <w:jc w:val="both"/>
        <w:rPr>
          <w:rFonts w:ascii="Arial" w:hAnsi="Arial" w:cs="Arial"/>
          <w:sz w:val="22"/>
          <w:szCs w:val="22"/>
        </w:rPr>
      </w:pPr>
    </w:p>
    <w:p w14:paraId="1B7E1F93" w14:textId="77777777" w:rsidR="003B5711" w:rsidRDefault="003B5711" w:rsidP="009854C1">
      <w:pPr>
        <w:tabs>
          <w:tab w:val="left" w:pos="6646"/>
        </w:tabs>
        <w:spacing w:line="360" w:lineRule="auto"/>
        <w:jc w:val="both"/>
        <w:rPr>
          <w:rFonts w:ascii="Arial" w:hAnsi="Arial" w:cs="Arial"/>
          <w:sz w:val="22"/>
          <w:szCs w:val="22"/>
        </w:rPr>
      </w:pPr>
    </w:p>
    <w:p w14:paraId="7525D1D1" w14:textId="77777777" w:rsidR="003B5711" w:rsidRDefault="003B5711" w:rsidP="009854C1">
      <w:pPr>
        <w:tabs>
          <w:tab w:val="left" w:pos="6646"/>
        </w:tabs>
        <w:spacing w:line="360" w:lineRule="auto"/>
        <w:jc w:val="both"/>
        <w:rPr>
          <w:rFonts w:ascii="Arial" w:hAnsi="Arial" w:cs="Arial"/>
          <w:sz w:val="22"/>
          <w:szCs w:val="22"/>
        </w:rPr>
      </w:pPr>
    </w:p>
    <w:p w14:paraId="62DCEC2A" w14:textId="77777777" w:rsidR="003B5711" w:rsidRDefault="003B5711" w:rsidP="009854C1">
      <w:pPr>
        <w:tabs>
          <w:tab w:val="left" w:pos="6646"/>
        </w:tabs>
        <w:spacing w:line="360" w:lineRule="auto"/>
        <w:jc w:val="both"/>
        <w:rPr>
          <w:rFonts w:ascii="Arial" w:hAnsi="Arial" w:cs="Arial"/>
          <w:sz w:val="22"/>
          <w:szCs w:val="22"/>
        </w:rPr>
      </w:pPr>
    </w:p>
    <w:p w14:paraId="1A1F809F" w14:textId="77777777" w:rsidR="003B5711" w:rsidRDefault="003B5711" w:rsidP="009854C1">
      <w:pPr>
        <w:tabs>
          <w:tab w:val="left" w:pos="6646"/>
        </w:tabs>
        <w:spacing w:line="360" w:lineRule="auto"/>
        <w:jc w:val="both"/>
        <w:rPr>
          <w:rFonts w:ascii="Arial" w:hAnsi="Arial" w:cs="Arial"/>
          <w:sz w:val="22"/>
          <w:szCs w:val="22"/>
        </w:rPr>
      </w:pPr>
    </w:p>
    <w:p w14:paraId="2A7D7FDB" w14:textId="77777777" w:rsidR="003B5711" w:rsidRDefault="003B5711" w:rsidP="009854C1">
      <w:pPr>
        <w:tabs>
          <w:tab w:val="left" w:pos="6646"/>
        </w:tabs>
        <w:spacing w:line="360" w:lineRule="auto"/>
        <w:jc w:val="both"/>
        <w:rPr>
          <w:rFonts w:ascii="Arial" w:hAnsi="Arial" w:cs="Arial"/>
          <w:sz w:val="22"/>
          <w:szCs w:val="22"/>
        </w:rPr>
      </w:pPr>
    </w:p>
    <w:p w14:paraId="040DEB80" w14:textId="77777777" w:rsidR="003B5711" w:rsidRDefault="003B5711" w:rsidP="009854C1">
      <w:pPr>
        <w:tabs>
          <w:tab w:val="left" w:pos="6646"/>
        </w:tabs>
        <w:spacing w:line="360" w:lineRule="auto"/>
        <w:jc w:val="both"/>
        <w:rPr>
          <w:rFonts w:ascii="Arial" w:hAnsi="Arial" w:cs="Arial"/>
          <w:sz w:val="22"/>
          <w:szCs w:val="22"/>
        </w:rPr>
      </w:pPr>
    </w:p>
    <w:p w14:paraId="7CE4199E" w14:textId="77777777" w:rsidR="003B5711" w:rsidRDefault="003B5711" w:rsidP="009854C1">
      <w:pPr>
        <w:tabs>
          <w:tab w:val="left" w:pos="6646"/>
        </w:tabs>
        <w:spacing w:line="360" w:lineRule="auto"/>
        <w:jc w:val="both"/>
        <w:rPr>
          <w:rFonts w:ascii="Arial" w:hAnsi="Arial" w:cs="Arial"/>
          <w:sz w:val="22"/>
          <w:szCs w:val="22"/>
        </w:rPr>
      </w:pPr>
    </w:p>
    <w:p w14:paraId="0397D7CE" w14:textId="77777777" w:rsidR="003B5711" w:rsidRDefault="003B5711" w:rsidP="009854C1">
      <w:pPr>
        <w:tabs>
          <w:tab w:val="left" w:pos="6646"/>
        </w:tabs>
        <w:spacing w:line="360" w:lineRule="auto"/>
        <w:jc w:val="both"/>
        <w:rPr>
          <w:rFonts w:ascii="Arial" w:hAnsi="Arial" w:cs="Arial"/>
          <w:sz w:val="22"/>
          <w:szCs w:val="22"/>
        </w:rPr>
      </w:pPr>
    </w:p>
    <w:p w14:paraId="46FBC2B1" w14:textId="77777777" w:rsidR="003B5711" w:rsidRDefault="003B5711" w:rsidP="009854C1">
      <w:pPr>
        <w:tabs>
          <w:tab w:val="left" w:pos="6646"/>
        </w:tabs>
        <w:spacing w:line="360" w:lineRule="auto"/>
        <w:jc w:val="both"/>
        <w:rPr>
          <w:rFonts w:ascii="Arial" w:hAnsi="Arial" w:cs="Arial"/>
          <w:sz w:val="22"/>
          <w:szCs w:val="22"/>
        </w:rPr>
      </w:pPr>
    </w:p>
    <w:p w14:paraId="276035F1" w14:textId="77777777" w:rsidR="003B5711" w:rsidRDefault="003B5711" w:rsidP="009854C1">
      <w:pPr>
        <w:tabs>
          <w:tab w:val="left" w:pos="6646"/>
        </w:tabs>
        <w:spacing w:line="360" w:lineRule="auto"/>
        <w:jc w:val="both"/>
        <w:rPr>
          <w:rFonts w:ascii="Arial" w:hAnsi="Arial" w:cs="Arial"/>
          <w:sz w:val="22"/>
          <w:szCs w:val="22"/>
        </w:rPr>
      </w:pPr>
    </w:p>
    <w:p w14:paraId="3CE9A99F" w14:textId="71D27430" w:rsidR="003B5711" w:rsidRDefault="003B5711" w:rsidP="009854C1">
      <w:pPr>
        <w:tabs>
          <w:tab w:val="left" w:pos="6646"/>
        </w:tabs>
        <w:spacing w:line="360" w:lineRule="auto"/>
        <w:jc w:val="both"/>
        <w:rPr>
          <w:rFonts w:ascii="Arial" w:hAnsi="Arial" w:cs="Arial"/>
          <w:sz w:val="22"/>
          <w:szCs w:val="22"/>
        </w:rPr>
      </w:pPr>
    </w:p>
    <w:p w14:paraId="5559AFE0" w14:textId="6EF3FE05" w:rsidR="003B5711" w:rsidRDefault="003B5711" w:rsidP="009854C1">
      <w:pPr>
        <w:tabs>
          <w:tab w:val="left" w:pos="6646"/>
        </w:tabs>
        <w:spacing w:line="360" w:lineRule="auto"/>
        <w:jc w:val="both"/>
        <w:rPr>
          <w:rFonts w:ascii="Arial" w:hAnsi="Arial" w:cs="Arial"/>
          <w:sz w:val="22"/>
          <w:szCs w:val="22"/>
        </w:rPr>
      </w:pPr>
    </w:p>
    <w:p w14:paraId="2A9C4834" w14:textId="4535C1B9" w:rsidR="003B5711" w:rsidRDefault="003B5711" w:rsidP="009854C1">
      <w:pPr>
        <w:tabs>
          <w:tab w:val="left" w:pos="6646"/>
        </w:tabs>
        <w:spacing w:line="360" w:lineRule="auto"/>
        <w:jc w:val="both"/>
        <w:rPr>
          <w:rFonts w:ascii="Arial" w:hAnsi="Arial" w:cs="Arial"/>
          <w:sz w:val="22"/>
          <w:szCs w:val="22"/>
        </w:rPr>
      </w:pPr>
    </w:p>
    <w:p w14:paraId="0ED47F82" w14:textId="47FCB843" w:rsidR="003B5711" w:rsidRDefault="003B5711" w:rsidP="009854C1">
      <w:pPr>
        <w:tabs>
          <w:tab w:val="left" w:pos="6646"/>
        </w:tabs>
        <w:spacing w:line="360" w:lineRule="auto"/>
        <w:jc w:val="both"/>
        <w:rPr>
          <w:rFonts w:ascii="Arial" w:hAnsi="Arial" w:cs="Arial"/>
          <w:sz w:val="22"/>
          <w:szCs w:val="22"/>
        </w:rPr>
      </w:pPr>
    </w:p>
    <w:p w14:paraId="0389809A" w14:textId="77777777" w:rsidR="003B5711" w:rsidRDefault="003B5711" w:rsidP="009854C1">
      <w:pPr>
        <w:tabs>
          <w:tab w:val="left" w:pos="6646"/>
        </w:tabs>
        <w:spacing w:line="360" w:lineRule="auto"/>
        <w:jc w:val="both"/>
        <w:rPr>
          <w:rFonts w:ascii="Arial" w:hAnsi="Arial" w:cs="Arial"/>
          <w:sz w:val="22"/>
          <w:szCs w:val="22"/>
        </w:rPr>
      </w:pPr>
    </w:p>
    <w:p w14:paraId="74811ECB" w14:textId="77777777" w:rsidR="003B5711" w:rsidRDefault="003B5711" w:rsidP="009854C1">
      <w:pPr>
        <w:tabs>
          <w:tab w:val="left" w:pos="6646"/>
        </w:tabs>
        <w:spacing w:line="360" w:lineRule="auto"/>
        <w:jc w:val="both"/>
        <w:rPr>
          <w:rFonts w:ascii="Arial" w:hAnsi="Arial" w:cs="Arial"/>
          <w:sz w:val="22"/>
          <w:szCs w:val="22"/>
        </w:rPr>
      </w:pPr>
    </w:p>
    <w:tbl>
      <w:tblPr>
        <w:tblpPr w:leftFromText="180" w:rightFromText="180" w:vertAnchor="text" w:horzAnchor="margin" w:tblpXSpec="center" w:tblpY="130"/>
        <w:tblW w:w="8200" w:type="dxa"/>
        <w:tblLook w:val="04A0" w:firstRow="1" w:lastRow="0" w:firstColumn="1" w:lastColumn="0" w:noHBand="0" w:noVBand="1"/>
      </w:tblPr>
      <w:tblGrid>
        <w:gridCol w:w="1680"/>
        <w:gridCol w:w="2020"/>
        <w:gridCol w:w="1760"/>
        <w:gridCol w:w="2740"/>
      </w:tblGrid>
      <w:tr w:rsidR="00343C1A" w:rsidRPr="001775F7" w14:paraId="0A01D038" w14:textId="77777777" w:rsidTr="00BE7F9D">
        <w:trPr>
          <w:trHeight w:val="290"/>
        </w:trPr>
        <w:tc>
          <w:tcPr>
            <w:tcW w:w="1680" w:type="dxa"/>
            <w:tcBorders>
              <w:top w:val="single" w:sz="8" w:space="0" w:color="000000"/>
              <w:left w:val="single" w:sz="4" w:space="0" w:color="000000"/>
              <w:bottom w:val="single" w:sz="8" w:space="0" w:color="000000"/>
              <w:right w:val="single" w:sz="4" w:space="0" w:color="000000"/>
            </w:tcBorders>
            <w:shd w:val="clear" w:color="000000" w:fill="000000"/>
            <w:vAlign w:val="center"/>
            <w:hideMark/>
          </w:tcPr>
          <w:p w14:paraId="623D827A" w14:textId="77777777" w:rsidR="00343C1A" w:rsidRPr="001775F7" w:rsidRDefault="00343C1A" w:rsidP="00BE7F9D">
            <w:pPr>
              <w:spacing w:after="0" w:line="240" w:lineRule="auto"/>
              <w:rPr>
                <w:rFonts w:ascii="Aptos Narrow" w:eastAsia="Times New Roman" w:hAnsi="Aptos Narrow" w:cs="Times New Roman"/>
                <w:b/>
                <w:bCs/>
                <w:color w:val="FFFFFF"/>
                <w:kern w:val="0"/>
                <w:sz w:val="22"/>
                <w:szCs w:val="22"/>
                <w:lang w:eastAsia="en-GB"/>
                <w14:ligatures w14:val="none"/>
              </w:rPr>
            </w:pPr>
            <w:r w:rsidRPr="00FF61B0">
              <w:rPr>
                <w:rFonts w:ascii="Aptos Narrow" w:eastAsia="Times New Roman" w:hAnsi="Aptos Narrow" w:cs="Times New Roman"/>
                <w:b/>
                <w:bCs/>
                <w:color w:val="FFFFFF"/>
                <w:kern w:val="0"/>
                <w:sz w:val="22"/>
                <w:szCs w:val="22"/>
                <w:lang w:eastAsia="en-GB"/>
                <w14:ligatures w14:val="none"/>
              </w:rPr>
              <w:lastRenderedPageBreak/>
              <w:t>Stakeholder</w:t>
            </w:r>
          </w:p>
        </w:tc>
        <w:tc>
          <w:tcPr>
            <w:tcW w:w="2020" w:type="dxa"/>
            <w:tcBorders>
              <w:top w:val="single" w:sz="8" w:space="0" w:color="000000"/>
              <w:left w:val="single" w:sz="4" w:space="0" w:color="000000"/>
              <w:bottom w:val="single" w:sz="8" w:space="0" w:color="000000"/>
              <w:right w:val="single" w:sz="4" w:space="0" w:color="000000"/>
            </w:tcBorders>
            <w:shd w:val="clear" w:color="000000" w:fill="000000"/>
            <w:vAlign w:val="center"/>
            <w:hideMark/>
          </w:tcPr>
          <w:p w14:paraId="6CC373D6" w14:textId="77777777" w:rsidR="00343C1A" w:rsidRPr="001775F7" w:rsidRDefault="00343C1A" w:rsidP="00BE7F9D">
            <w:pPr>
              <w:spacing w:after="0" w:line="240" w:lineRule="auto"/>
              <w:rPr>
                <w:rFonts w:ascii="Aptos Narrow" w:eastAsia="Times New Roman" w:hAnsi="Aptos Narrow" w:cs="Times New Roman"/>
                <w:b/>
                <w:bCs/>
                <w:color w:val="FFFFFF"/>
                <w:kern w:val="0"/>
                <w:sz w:val="22"/>
                <w:szCs w:val="22"/>
                <w:lang w:eastAsia="en-GB"/>
                <w14:ligatures w14:val="none"/>
              </w:rPr>
            </w:pPr>
            <w:r w:rsidRPr="000F4DD5">
              <w:rPr>
                <w:rFonts w:ascii="Aptos Narrow" w:eastAsia="Times New Roman" w:hAnsi="Aptos Narrow" w:cs="Times New Roman"/>
                <w:b/>
                <w:bCs/>
                <w:color w:val="FFFFFF"/>
                <w:kern w:val="0"/>
                <w:sz w:val="22"/>
                <w:szCs w:val="22"/>
                <w:lang w:eastAsia="en-GB"/>
                <w14:ligatures w14:val="none"/>
              </w:rPr>
              <w:t>Power</w:t>
            </w:r>
          </w:p>
        </w:tc>
        <w:tc>
          <w:tcPr>
            <w:tcW w:w="1760" w:type="dxa"/>
            <w:tcBorders>
              <w:top w:val="single" w:sz="8" w:space="0" w:color="000000"/>
              <w:left w:val="single" w:sz="4" w:space="0" w:color="000000"/>
              <w:bottom w:val="single" w:sz="8" w:space="0" w:color="000000"/>
              <w:right w:val="single" w:sz="4" w:space="0" w:color="000000"/>
            </w:tcBorders>
            <w:shd w:val="clear" w:color="000000" w:fill="000000"/>
            <w:vAlign w:val="center"/>
            <w:hideMark/>
          </w:tcPr>
          <w:p w14:paraId="213FB9B4" w14:textId="77777777" w:rsidR="00343C1A" w:rsidRPr="001775F7" w:rsidRDefault="00343C1A" w:rsidP="00BE7F9D">
            <w:pPr>
              <w:spacing w:after="0" w:line="240" w:lineRule="auto"/>
              <w:rPr>
                <w:rFonts w:ascii="Aptos Narrow" w:eastAsia="Times New Roman" w:hAnsi="Aptos Narrow" w:cs="Times New Roman"/>
                <w:b/>
                <w:bCs/>
                <w:color w:val="FFFFFF"/>
                <w:kern w:val="0"/>
                <w:sz w:val="22"/>
                <w:szCs w:val="22"/>
                <w:lang w:eastAsia="en-GB"/>
                <w14:ligatures w14:val="none"/>
              </w:rPr>
            </w:pPr>
            <w:r w:rsidRPr="000F4DD5">
              <w:rPr>
                <w:rFonts w:ascii="Aptos Narrow" w:eastAsia="Times New Roman" w:hAnsi="Aptos Narrow" w:cs="Times New Roman"/>
                <w:b/>
                <w:bCs/>
                <w:color w:val="FFFFFF"/>
                <w:kern w:val="0"/>
                <w:sz w:val="22"/>
                <w:szCs w:val="22"/>
                <w:lang w:eastAsia="en-GB"/>
                <w14:ligatures w14:val="none"/>
              </w:rPr>
              <w:t>Interest</w:t>
            </w:r>
          </w:p>
        </w:tc>
        <w:tc>
          <w:tcPr>
            <w:tcW w:w="2740" w:type="dxa"/>
            <w:tcBorders>
              <w:top w:val="single" w:sz="8" w:space="0" w:color="000000"/>
              <w:left w:val="single" w:sz="4" w:space="0" w:color="000000"/>
              <w:bottom w:val="single" w:sz="8" w:space="0" w:color="000000"/>
              <w:right w:val="single" w:sz="4" w:space="0" w:color="000000"/>
            </w:tcBorders>
            <w:shd w:val="clear" w:color="000000" w:fill="000000"/>
            <w:vAlign w:val="center"/>
            <w:hideMark/>
          </w:tcPr>
          <w:p w14:paraId="24C3E3AB" w14:textId="77777777" w:rsidR="00343C1A" w:rsidRPr="001775F7" w:rsidRDefault="00343C1A" w:rsidP="00BE7F9D">
            <w:pPr>
              <w:spacing w:after="0" w:line="240" w:lineRule="auto"/>
              <w:rPr>
                <w:rFonts w:ascii="Aptos Narrow" w:eastAsia="Times New Roman" w:hAnsi="Aptos Narrow" w:cs="Times New Roman"/>
                <w:b/>
                <w:bCs/>
                <w:color w:val="FFFFFF"/>
                <w:kern w:val="0"/>
                <w:sz w:val="22"/>
                <w:szCs w:val="22"/>
                <w:lang w:eastAsia="en-GB"/>
                <w14:ligatures w14:val="none"/>
              </w:rPr>
            </w:pPr>
            <w:r w:rsidRPr="00E43417">
              <w:rPr>
                <w:rFonts w:ascii="Aptos Narrow" w:eastAsia="Times New Roman" w:hAnsi="Aptos Narrow" w:cs="Times New Roman"/>
                <w:b/>
                <w:bCs/>
                <w:color w:val="FFFFFF"/>
                <w:kern w:val="0"/>
                <w:sz w:val="22"/>
                <w:szCs w:val="22"/>
                <w:lang w:eastAsia="en-GB"/>
                <w14:ligatures w14:val="none"/>
              </w:rPr>
              <w:t>Engagement Strategy</w:t>
            </w:r>
          </w:p>
        </w:tc>
      </w:tr>
      <w:tr w:rsidR="00343C1A" w:rsidRPr="001775F7" w14:paraId="3832F2EE"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29DB78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Board of Directors</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79799CD"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DF437CD"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D0D7449"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6A770156"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159E6935"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Chief Executive Officer (CEO)</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7936DA6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4866DFC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2DA33D64"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3B490BC1"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27B428A"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Project Manager</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DB4A37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5EFE579"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F431352"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3C34F3A7"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7C54B238"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IT Department</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5845F6A5"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0F13EBCA"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0A4961AE"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3549B10A" w14:textId="77777777" w:rsidTr="00BE7F9D">
        <w:trPr>
          <w:trHeight w:val="87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6742449"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Product Development Team</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0A0DD7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65CC2A5"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FA4186B"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64DBB99D"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6719A33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Marketing Team</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5D98A730"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4452CD9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37A58B3F"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2D841D51"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C6CB20C"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Sales Department</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0F7536B"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B4820A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918F537"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2B94D5CF"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40657A3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Store Managers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100DE533"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001E93D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301B8A49"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6EBE1221"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7DB2C69"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Store Employees</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E43732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Low</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CA6D75E"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7A136BF"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Informed</w:t>
            </w:r>
          </w:p>
        </w:tc>
      </w:tr>
      <w:tr w:rsidR="00343C1A" w:rsidRPr="001775F7" w14:paraId="4B40E88B"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0CCA668A"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Human Resources (HR)</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4BCC7AF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7E9771A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12F139BE"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089349B7"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425F105"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Finance Department</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E9BFC19"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123162A"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A15FCE3"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1926F6EB"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157F9C4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Customer Service</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5B9AABAD"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57B8F6EB"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6DE584DD"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19B28887"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6DB46C1"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Data Analytics Team</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5360221"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3FC5F51"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3E16A2A"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51C0CB36"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712C708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Customers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50E5711D"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Low</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0D313470"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33B56A6E"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Informed</w:t>
            </w:r>
          </w:p>
        </w:tc>
      </w:tr>
      <w:tr w:rsidR="00343C1A" w:rsidRPr="001775F7" w14:paraId="50DECB66"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C40BADE"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Suppliers</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A4DD83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76BF89D"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42D81F1"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2FA8A8D0"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0E2DE18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Technology Providers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11318083"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331BE939"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50CEFC0F"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42F19B1E"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460F379"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AI Software Vendors</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66966D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49AFF93"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94B9074"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3A11AB7A"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49D893BB"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Payment Providers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14A851DD"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18595877"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36A38427"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12213108"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2EC42F5"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Investors</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CD1907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E9FE872"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7A50E44"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21E9807A"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1E62A9CB"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Government Regulators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4A1898D4"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2CABCCD1"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55DD328F"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41A1DEAD"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5F28AB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GDPR Authorities</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4C0190C"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88DAC4A"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E175EEF"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Manage Closely</w:t>
            </w:r>
          </w:p>
        </w:tc>
      </w:tr>
      <w:tr w:rsidR="00343C1A" w:rsidRPr="001775F7" w14:paraId="55A5D9E4"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79E8633E"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Local Communities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63343DE7"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Low</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6637B4D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0221617E"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Monitor</w:t>
            </w:r>
          </w:p>
        </w:tc>
      </w:tr>
      <w:tr w:rsidR="00343C1A" w:rsidRPr="001775F7" w14:paraId="630970F6"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6A4E5BB"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Logistics Partners</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F0E28FA"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D46C3D5"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ED38106"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3E5CBB8A" w14:textId="77777777" w:rsidTr="00BE7F9D">
        <w:trPr>
          <w:trHeight w:val="58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7C3F6687"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Business Partners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274D4F17"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5BDFFD8B"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High</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3B0EB5AF"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Keep Satisfied</w:t>
            </w:r>
          </w:p>
        </w:tc>
      </w:tr>
      <w:tr w:rsidR="00343C1A" w:rsidRPr="001775F7" w14:paraId="2AB7AE33"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693631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Media</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F4E4266"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176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8562E5A"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Medium</w:t>
            </w:r>
          </w:p>
        </w:tc>
        <w:tc>
          <w:tcPr>
            <w:tcW w:w="274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D3D10BA"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Monitor</w:t>
            </w:r>
          </w:p>
        </w:tc>
      </w:tr>
      <w:tr w:rsidR="00343C1A" w:rsidRPr="001775F7" w14:paraId="29F428F6" w14:textId="77777777" w:rsidTr="00BE7F9D">
        <w:trPr>
          <w:trHeight w:val="290"/>
        </w:trPr>
        <w:tc>
          <w:tcPr>
            <w:tcW w:w="1680" w:type="dxa"/>
            <w:tcBorders>
              <w:top w:val="single" w:sz="4" w:space="0" w:color="000000"/>
              <w:left w:val="single" w:sz="4" w:space="0" w:color="000000"/>
              <w:bottom w:val="single" w:sz="4" w:space="0" w:color="000000"/>
              <w:right w:val="single" w:sz="4" w:space="0" w:color="000000"/>
            </w:tcBorders>
            <w:vAlign w:val="center"/>
            <w:hideMark/>
          </w:tcPr>
          <w:p w14:paraId="63A2B377"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Competitors</w:t>
            </w:r>
          </w:p>
        </w:tc>
        <w:tc>
          <w:tcPr>
            <w:tcW w:w="2020" w:type="dxa"/>
            <w:tcBorders>
              <w:top w:val="single" w:sz="4" w:space="0" w:color="000000"/>
              <w:left w:val="single" w:sz="4" w:space="0" w:color="000000"/>
              <w:bottom w:val="single" w:sz="4" w:space="0" w:color="000000"/>
              <w:right w:val="single" w:sz="4" w:space="0" w:color="000000"/>
            </w:tcBorders>
            <w:vAlign w:val="center"/>
            <w:hideMark/>
          </w:tcPr>
          <w:p w14:paraId="73CBCD5F"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Low</w:t>
            </w:r>
          </w:p>
        </w:tc>
        <w:tc>
          <w:tcPr>
            <w:tcW w:w="1760" w:type="dxa"/>
            <w:tcBorders>
              <w:top w:val="single" w:sz="4" w:space="0" w:color="000000"/>
              <w:left w:val="single" w:sz="4" w:space="0" w:color="000000"/>
              <w:bottom w:val="single" w:sz="4" w:space="0" w:color="000000"/>
              <w:right w:val="single" w:sz="4" w:space="0" w:color="000000"/>
            </w:tcBorders>
            <w:vAlign w:val="center"/>
            <w:hideMark/>
          </w:tcPr>
          <w:p w14:paraId="6C9299FD" w14:textId="77777777" w:rsidR="00343C1A" w:rsidRPr="001775F7" w:rsidRDefault="00343C1A" w:rsidP="00BE7F9D">
            <w:pPr>
              <w:spacing w:after="0" w:line="240" w:lineRule="auto"/>
              <w:rPr>
                <w:rFonts w:ascii="Aptos Narrow" w:eastAsia="Times New Roman" w:hAnsi="Aptos Narrow" w:cs="Times New Roman"/>
                <w:color w:val="000000"/>
                <w:kern w:val="0"/>
                <w:sz w:val="22"/>
                <w:szCs w:val="22"/>
                <w:lang w:eastAsia="en-GB"/>
                <w14:ligatures w14:val="none"/>
              </w:rPr>
            </w:pPr>
            <w:r w:rsidRPr="001775F7">
              <w:rPr>
                <w:rFonts w:ascii="Aptos Narrow" w:eastAsia="Times New Roman" w:hAnsi="Aptos Narrow" w:cs="Times New Roman"/>
                <w:color w:val="000000"/>
                <w:kern w:val="0"/>
                <w:sz w:val="22"/>
                <w:szCs w:val="22"/>
                <w:lang w:eastAsia="en-GB"/>
                <w14:ligatures w14:val="none"/>
              </w:rPr>
              <w:t>Low</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4F2A6F14" w14:textId="77777777" w:rsidR="00343C1A" w:rsidRPr="001775F7" w:rsidRDefault="00343C1A" w:rsidP="00BE7F9D">
            <w:pPr>
              <w:spacing w:after="0" w:line="240" w:lineRule="auto"/>
              <w:rPr>
                <w:rFonts w:ascii="Aptos Narrow" w:eastAsia="Times New Roman" w:hAnsi="Aptos Narrow" w:cs="Times New Roman"/>
                <w:b/>
                <w:bCs/>
                <w:color w:val="000000"/>
                <w:kern w:val="0"/>
                <w:sz w:val="22"/>
                <w:szCs w:val="22"/>
                <w:lang w:eastAsia="en-GB"/>
                <w14:ligatures w14:val="none"/>
              </w:rPr>
            </w:pPr>
            <w:r w:rsidRPr="001775F7">
              <w:rPr>
                <w:rFonts w:ascii="Aptos Narrow" w:eastAsia="Times New Roman" w:hAnsi="Aptos Narrow" w:cs="Times New Roman"/>
                <w:b/>
                <w:bCs/>
                <w:color w:val="000000"/>
                <w:kern w:val="0"/>
                <w:sz w:val="22"/>
                <w:szCs w:val="22"/>
                <w:lang w:eastAsia="en-GB"/>
                <w14:ligatures w14:val="none"/>
              </w:rPr>
              <w:t>Monitor</w:t>
            </w:r>
          </w:p>
        </w:tc>
      </w:tr>
    </w:tbl>
    <w:p w14:paraId="64C343F9" w14:textId="25421E86" w:rsidR="00781D7A" w:rsidRPr="00781D7A" w:rsidRDefault="00781D7A" w:rsidP="00781D7A">
      <w:pPr>
        <w:tabs>
          <w:tab w:val="left" w:pos="6646"/>
        </w:tabs>
        <w:spacing w:line="360" w:lineRule="auto"/>
        <w:rPr>
          <w:rFonts w:ascii="Arial" w:hAnsi="Arial" w:cs="Arial"/>
          <w:sz w:val="22"/>
          <w:szCs w:val="22"/>
        </w:rPr>
      </w:pPr>
      <w:r>
        <w:rPr>
          <w:rFonts w:ascii="Arial" w:hAnsi="Arial" w:cs="Arial"/>
          <w:b/>
          <w:bCs/>
          <w:sz w:val="22"/>
          <w:szCs w:val="22"/>
        </w:rPr>
        <w:t xml:space="preserve">6.1 </w:t>
      </w:r>
      <w:r w:rsidRPr="00781D7A">
        <w:rPr>
          <w:rFonts w:ascii="Arial" w:hAnsi="Arial" w:cs="Arial"/>
          <w:sz w:val="22"/>
          <w:szCs w:val="22"/>
        </w:rPr>
        <w:t>Stakeholder Power, Interest and Engagement Strategy for ConnectPlus</w:t>
      </w:r>
    </w:p>
    <w:p w14:paraId="32138E1C" w14:textId="5B0A1395" w:rsidR="00781D7A" w:rsidRPr="00781D7A" w:rsidRDefault="00781D7A" w:rsidP="00781D7A">
      <w:pPr>
        <w:tabs>
          <w:tab w:val="left" w:pos="6646"/>
        </w:tabs>
        <w:spacing w:line="360" w:lineRule="auto"/>
        <w:rPr>
          <w:rFonts w:ascii="Arial" w:hAnsi="Arial" w:cs="Arial"/>
          <w:sz w:val="22"/>
          <w:szCs w:val="22"/>
        </w:rPr>
      </w:pPr>
    </w:p>
    <w:p w14:paraId="57C53FB3" w14:textId="77777777" w:rsidR="00343C1A" w:rsidRPr="00DA6786" w:rsidRDefault="00343C1A" w:rsidP="00DA6786">
      <w:pPr>
        <w:tabs>
          <w:tab w:val="left" w:pos="6646"/>
        </w:tabs>
        <w:spacing w:line="360" w:lineRule="auto"/>
        <w:rPr>
          <w:rFonts w:ascii="Arial" w:hAnsi="Arial" w:cs="Arial"/>
          <w:sz w:val="22"/>
          <w:szCs w:val="22"/>
        </w:rPr>
      </w:pPr>
    </w:p>
    <w:p w14:paraId="315B473D" w14:textId="4C49D082" w:rsidR="00151095" w:rsidRPr="00151095" w:rsidRDefault="00151095" w:rsidP="00151095">
      <w:pPr>
        <w:tabs>
          <w:tab w:val="left" w:pos="6646"/>
        </w:tabs>
        <w:spacing w:line="360" w:lineRule="auto"/>
        <w:rPr>
          <w:rFonts w:ascii="Arial" w:hAnsi="Arial" w:cs="Arial"/>
          <w:b/>
          <w:bCs/>
          <w:sz w:val="22"/>
          <w:szCs w:val="22"/>
        </w:rPr>
      </w:pPr>
      <w:r w:rsidRPr="00151095">
        <w:rPr>
          <w:rFonts w:ascii="Arial" w:hAnsi="Arial" w:cs="Arial"/>
          <w:b/>
          <w:bCs/>
          <w:sz w:val="22"/>
          <w:szCs w:val="22"/>
        </w:rPr>
        <w:t xml:space="preserve">7. Recommendations </w:t>
      </w:r>
    </w:p>
    <w:p w14:paraId="15C8AA22" w14:textId="400CA838" w:rsidR="00151095" w:rsidRPr="00151095" w:rsidRDefault="00151095" w:rsidP="006961E4">
      <w:pPr>
        <w:tabs>
          <w:tab w:val="left" w:pos="6646"/>
        </w:tabs>
        <w:spacing w:line="360" w:lineRule="auto"/>
        <w:jc w:val="both"/>
        <w:rPr>
          <w:rFonts w:ascii="Arial" w:hAnsi="Arial" w:cs="Arial"/>
          <w:sz w:val="22"/>
          <w:szCs w:val="22"/>
        </w:rPr>
      </w:pPr>
      <w:r w:rsidRPr="00151095">
        <w:rPr>
          <w:rFonts w:ascii="Arial" w:hAnsi="Arial" w:cs="Arial"/>
          <w:sz w:val="22"/>
          <w:szCs w:val="22"/>
        </w:rPr>
        <w:t xml:space="preserve">Drawing on the critical analysis in this report, Primark ought to </w:t>
      </w:r>
      <w:r w:rsidR="006961E4">
        <w:rPr>
          <w:rFonts w:ascii="Arial" w:hAnsi="Arial" w:cs="Arial"/>
          <w:sz w:val="22"/>
          <w:szCs w:val="22"/>
        </w:rPr>
        <w:t>adopt a more agile and data-driven approach to</w:t>
      </w:r>
      <w:r w:rsidRPr="00151095">
        <w:rPr>
          <w:rFonts w:ascii="Arial" w:hAnsi="Arial" w:cs="Arial"/>
          <w:sz w:val="22"/>
          <w:szCs w:val="22"/>
        </w:rPr>
        <w:t xml:space="preserve"> engaging stakeholders throughout the ConnectPlus project lifecycle. </w:t>
      </w:r>
      <w:r w:rsidRPr="000344DB">
        <w:rPr>
          <w:rFonts w:ascii="Arial" w:hAnsi="Arial" w:cs="Arial"/>
          <w:i/>
          <w:iCs/>
          <w:sz w:val="22"/>
          <w:szCs w:val="22"/>
        </w:rPr>
        <w:t>Instead of relying solely on occasional updates, stakeholder expectations should be tracked continuously through quantifiable Key Performance Indicators (KPIs), such as customer adoption, workforce engagement, satisfaction metrics, and stakeholder feedback</w:t>
      </w:r>
      <w:r w:rsidR="001B07F2">
        <w:rPr>
          <w:rFonts w:ascii="Arial" w:hAnsi="Arial" w:cs="Arial"/>
          <w:i/>
          <w:iCs/>
          <w:sz w:val="22"/>
          <w:szCs w:val="22"/>
        </w:rPr>
        <w:t xml:space="preserve"> </w:t>
      </w:r>
      <w:r w:rsidR="00E35ECC" w:rsidRPr="000344DB">
        <w:rPr>
          <w:rFonts w:ascii="Arial" w:hAnsi="Arial" w:cs="Arial"/>
          <w:i/>
          <w:iCs/>
          <w:sz w:val="22"/>
          <w:szCs w:val="22"/>
        </w:rPr>
        <w:t>(Project Management Institute, 2021)</w:t>
      </w:r>
      <w:r w:rsidRPr="000344DB">
        <w:rPr>
          <w:rFonts w:ascii="Arial" w:hAnsi="Arial" w:cs="Arial"/>
          <w:i/>
          <w:iCs/>
          <w:sz w:val="22"/>
          <w:szCs w:val="22"/>
        </w:rPr>
        <w:t>.</w:t>
      </w:r>
      <w:r w:rsidRPr="00151095">
        <w:rPr>
          <w:rFonts w:ascii="Arial" w:hAnsi="Arial" w:cs="Arial"/>
          <w:sz w:val="22"/>
          <w:szCs w:val="22"/>
        </w:rPr>
        <w:t xml:space="preserve"> Additionally, it is advisable to conduct frequent assessments of the Power-Interest Matrix and</w:t>
      </w:r>
      <w:r w:rsidR="000C609C">
        <w:rPr>
          <w:rFonts w:ascii="Arial" w:hAnsi="Arial" w:cs="Arial"/>
          <w:sz w:val="22"/>
          <w:szCs w:val="22"/>
        </w:rPr>
        <w:t xml:space="preserve"> </w:t>
      </w:r>
      <w:r w:rsidR="0018512B">
        <w:rPr>
          <w:rFonts w:ascii="Arial" w:hAnsi="Arial" w:cs="Arial"/>
          <w:sz w:val="22"/>
          <w:szCs w:val="22"/>
        </w:rPr>
        <w:t>4C</w:t>
      </w:r>
      <w:r w:rsidR="00A66BE7">
        <w:rPr>
          <w:rFonts w:ascii="Arial" w:hAnsi="Arial" w:cs="Arial"/>
          <w:sz w:val="22"/>
          <w:szCs w:val="22"/>
        </w:rPr>
        <w:t>’s</w:t>
      </w:r>
      <w:r w:rsidR="0018512B">
        <w:rPr>
          <w:rFonts w:ascii="Arial" w:hAnsi="Arial" w:cs="Arial"/>
          <w:sz w:val="22"/>
          <w:szCs w:val="22"/>
        </w:rPr>
        <w:t xml:space="preserve"> </w:t>
      </w:r>
      <w:r w:rsidRPr="00151095">
        <w:rPr>
          <w:rFonts w:ascii="Arial" w:hAnsi="Arial" w:cs="Arial"/>
          <w:sz w:val="22"/>
          <w:szCs w:val="22"/>
        </w:rPr>
        <w:t xml:space="preserve">to capture shifts in stakeholder influence as the project evolves. </w:t>
      </w:r>
      <w:r w:rsidRPr="0011303A">
        <w:rPr>
          <w:rFonts w:ascii="Arial" w:hAnsi="Arial" w:cs="Arial"/>
          <w:i/>
          <w:iCs/>
          <w:sz w:val="22"/>
          <w:szCs w:val="22"/>
        </w:rPr>
        <w:t>Primark should further enhance employee participation by offering ongoing development, soliciting input, and involving staff in decision-making processes to reduce resistance to organisational changes</w:t>
      </w:r>
      <w:r w:rsidR="0011303A">
        <w:rPr>
          <w:rFonts w:ascii="Arial" w:hAnsi="Arial" w:cs="Arial"/>
          <w:i/>
          <w:iCs/>
          <w:sz w:val="22"/>
          <w:szCs w:val="22"/>
        </w:rPr>
        <w:t xml:space="preserve"> </w:t>
      </w:r>
      <w:r w:rsidR="0011303A" w:rsidRPr="0011303A">
        <w:rPr>
          <w:rFonts w:ascii="Arial" w:hAnsi="Arial" w:cs="Arial"/>
          <w:i/>
          <w:iCs/>
          <w:sz w:val="22"/>
          <w:szCs w:val="22"/>
        </w:rPr>
        <w:t>(CIPD, 2024)</w:t>
      </w:r>
      <w:r w:rsidRPr="0011303A">
        <w:rPr>
          <w:rFonts w:ascii="Arial" w:hAnsi="Arial" w:cs="Arial"/>
          <w:i/>
          <w:iCs/>
          <w:sz w:val="22"/>
          <w:szCs w:val="22"/>
        </w:rPr>
        <w:t>.</w:t>
      </w:r>
      <w:r w:rsidRPr="00151095">
        <w:rPr>
          <w:rFonts w:ascii="Arial" w:hAnsi="Arial" w:cs="Arial"/>
          <w:sz w:val="22"/>
          <w:szCs w:val="22"/>
        </w:rPr>
        <w:t xml:space="preserve"> Moreover, prioritising cybersecurity, responsible AI management, and GDPR adherence should remain central to preserving partner confidence. Ultimately, stakeholder engagement must be integrated into the core organisational strategy</w:t>
      </w:r>
      <w:r w:rsidR="00300FB8">
        <w:rPr>
          <w:rFonts w:ascii="Arial" w:hAnsi="Arial" w:cs="Arial"/>
          <w:sz w:val="22"/>
          <w:szCs w:val="22"/>
        </w:rPr>
        <w:t xml:space="preserve"> to ensure</w:t>
      </w:r>
      <w:r w:rsidRPr="00151095">
        <w:rPr>
          <w:rFonts w:ascii="Arial" w:hAnsi="Arial" w:cs="Arial"/>
          <w:sz w:val="22"/>
          <w:szCs w:val="22"/>
        </w:rPr>
        <w:t xml:space="preserve"> that ConnectPlus delivers lasting value well beyond its initial rollout.</w:t>
      </w:r>
    </w:p>
    <w:p w14:paraId="4E338BF4" w14:textId="4B6274D1" w:rsidR="00151095" w:rsidRPr="00151095" w:rsidRDefault="00151095" w:rsidP="00151095">
      <w:pPr>
        <w:tabs>
          <w:tab w:val="left" w:pos="6646"/>
        </w:tabs>
        <w:spacing w:line="360" w:lineRule="auto"/>
        <w:rPr>
          <w:rFonts w:ascii="Arial" w:hAnsi="Arial" w:cs="Arial"/>
          <w:sz w:val="22"/>
          <w:szCs w:val="22"/>
        </w:rPr>
      </w:pPr>
    </w:p>
    <w:p w14:paraId="2A8CF2EC" w14:textId="5C5248DA" w:rsidR="00151095" w:rsidRPr="00151095" w:rsidRDefault="00151095" w:rsidP="00151095">
      <w:pPr>
        <w:tabs>
          <w:tab w:val="left" w:pos="6646"/>
        </w:tabs>
        <w:spacing w:line="360" w:lineRule="auto"/>
        <w:rPr>
          <w:rFonts w:ascii="Arial" w:hAnsi="Arial" w:cs="Arial"/>
          <w:b/>
          <w:bCs/>
          <w:sz w:val="22"/>
          <w:szCs w:val="22"/>
        </w:rPr>
      </w:pPr>
      <w:r w:rsidRPr="00151095">
        <w:rPr>
          <w:rFonts w:ascii="Arial" w:hAnsi="Arial" w:cs="Arial"/>
          <w:b/>
          <w:bCs/>
          <w:sz w:val="22"/>
          <w:szCs w:val="22"/>
        </w:rPr>
        <w:t xml:space="preserve">8. Conclusion </w:t>
      </w:r>
    </w:p>
    <w:p w14:paraId="7C50150F" w14:textId="51467345" w:rsidR="00151095" w:rsidRPr="00151095" w:rsidRDefault="00151095" w:rsidP="006961E4">
      <w:pPr>
        <w:tabs>
          <w:tab w:val="left" w:pos="6646"/>
        </w:tabs>
        <w:spacing w:line="360" w:lineRule="auto"/>
        <w:jc w:val="both"/>
        <w:rPr>
          <w:rFonts w:ascii="Arial" w:hAnsi="Arial" w:cs="Arial"/>
          <w:sz w:val="22"/>
          <w:szCs w:val="22"/>
        </w:rPr>
      </w:pPr>
      <w:r w:rsidRPr="00151095">
        <w:rPr>
          <w:rFonts w:ascii="Arial" w:hAnsi="Arial" w:cs="Arial"/>
          <w:sz w:val="22"/>
          <w:szCs w:val="22"/>
        </w:rPr>
        <w:t xml:space="preserve">This report has thoroughly evaluated the significance of stakeholder engagement in achieving the effective rollout of ConnectPlus at Primark. The findings revealed that stakeholders vary greatly in </w:t>
      </w:r>
      <w:r w:rsidR="00E96982">
        <w:rPr>
          <w:rFonts w:ascii="Arial" w:hAnsi="Arial" w:cs="Arial"/>
          <w:sz w:val="22"/>
          <w:szCs w:val="22"/>
        </w:rPr>
        <w:t>their influence, expectations, and capacity to affect project outcomes</w:t>
      </w:r>
      <w:r w:rsidRPr="00151095">
        <w:rPr>
          <w:rFonts w:ascii="Arial" w:hAnsi="Arial" w:cs="Arial"/>
          <w:sz w:val="22"/>
          <w:szCs w:val="22"/>
        </w:rPr>
        <w:t xml:space="preserve">, necessitating tailored engagement strategies rather than a uniform approach. Using stakeholder management frameworks like the Power-Interest Matrix and </w:t>
      </w:r>
      <w:r w:rsidR="0018512B">
        <w:rPr>
          <w:rFonts w:ascii="Arial" w:hAnsi="Arial" w:cs="Arial"/>
          <w:sz w:val="22"/>
          <w:szCs w:val="22"/>
        </w:rPr>
        <w:t>4C</w:t>
      </w:r>
      <w:r w:rsidR="00A66BE7">
        <w:rPr>
          <w:rFonts w:ascii="Arial" w:hAnsi="Arial" w:cs="Arial"/>
          <w:sz w:val="22"/>
          <w:szCs w:val="22"/>
        </w:rPr>
        <w:t xml:space="preserve">’s </w:t>
      </w:r>
      <w:r w:rsidRPr="00151095">
        <w:rPr>
          <w:rFonts w:ascii="Arial" w:hAnsi="Arial" w:cs="Arial"/>
          <w:sz w:val="22"/>
          <w:szCs w:val="22"/>
        </w:rPr>
        <w:t xml:space="preserve">highlighted the benefits of prioritising stakeholder relationships, while also acknowledging the drawbacks of relying on just one tool. Additionally, the report contended that ongoing stakeholder engagement not only facilitates project completion but also fosters customer loyalty, staff dedication, innovation, corporate reputation, and </w:t>
      </w:r>
      <w:r w:rsidR="001409FB">
        <w:rPr>
          <w:rFonts w:ascii="Arial" w:hAnsi="Arial" w:cs="Arial"/>
          <w:sz w:val="22"/>
          <w:szCs w:val="22"/>
        </w:rPr>
        <w:t xml:space="preserve">an </w:t>
      </w:r>
      <w:r w:rsidRPr="00151095">
        <w:rPr>
          <w:rFonts w:ascii="Arial" w:hAnsi="Arial" w:cs="Arial"/>
          <w:sz w:val="22"/>
          <w:szCs w:val="22"/>
        </w:rPr>
        <w:t>enduring competitive edge. Yet</w:t>
      </w:r>
      <w:r w:rsidR="00E96982">
        <w:rPr>
          <w:rFonts w:ascii="Arial" w:hAnsi="Arial" w:cs="Arial"/>
          <w:sz w:val="22"/>
          <w:szCs w:val="22"/>
        </w:rPr>
        <w:t xml:space="preserve"> these outcomes are attainable only </w:t>
      </w:r>
      <w:r w:rsidRPr="00151095">
        <w:rPr>
          <w:rFonts w:ascii="Arial" w:hAnsi="Arial" w:cs="Arial"/>
          <w:sz w:val="22"/>
          <w:szCs w:val="22"/>
        </w:rPr>
        <w:t>if Primark consistently updates its stakeholder engagement approach in response to evolving organisational, technological, and regulatory landscapes. Thus, robust stakeholder engagement should be seen as a strategic asset that underpins both effective digital transformation and long-term organisational success.</w:t>
      </w:r>
    </w:p>
    <w:p w14:paraId="17333305" w14:textId="77777777" w:rsidR="00B26BFB" w:rsidRPr="003B2981" w:rsidRDefault="00B26BFB" w:rsidP="003B2981">
      <w:pPr>
        <w:tabs>
          <w:tab w:val="left" w:pos="6646"/>
        </w:tabs>
        <w:spacing w:line="360" w:lineRule="auto"/>
        <w:rPr>
          <w:rFonts w:ascii="Arial" w:hAnsi="Arial" w:cs="Arial"/>
          <w:sz w:val="22"/>
          <w:szCs w:val="22"/>
        </w:rPr>
      </w:pPr>
    </w:p>
    <w:p w14:paraId="430B9AC9" w14:textId="77777777" w:rsidR="003C24A8" w:rsidRPr="008E689E" w:rsidRDefault="003C24A8" w:rsidP="008E689E">
      <w:pPr>
        <w:tabs>
          <w:tab w:val="left" w:pos="6646"/>
        </w:tabs>
        <w:spacing w:line="360" w:lineRule="auto"/>
        <w:rPr>
          <w:rFonts w:ascii="Arial" w:hAnsi="Arial" w:cs="Arial"/>
          <w:sz w:val="22"/>
          <w:szCs w:val="22"/>
        </w:rPr>
      </w:pPr>
    </w:p>
    <w:p w14:paraId="7EC80F4A" w14:textId="1312624A" w:rsidR="001A452F" w:rsidRDefault="001A452F" w:rsidP="008E689E">
      <w:pPr>
        <w:tabs>
          <w:tab w:val="left" w:pos="6646"/>
        </w:tabs>
        <w:spacing w:line="360" w:lineRule="auto"/>
        <w:rPr>
          <w:rFonts w:ascii="Arial" w:hAnsi="Arial" w:cs="Arial"/>
          <w:sz w:val="22"/>
          <w:szCs w:val="22"/>
        </w:rPr>
      </w:pPr>
    </w:p>
    <w:p w14:paraId="2BEF94B5" w14:textId="77777777" w:rsidR="0041104B" w:rsidRDefault="0041104B" w:rsidP="008E689E">
      <w:pPr>
        <w:tabs>
          <w:tab w:val="left" w:pos="6646"/>
        </w:tabs>
        <w:spacing w:line="360" w:lineRule="auto"/>
        <w:rPr>
          <w:rFonts w:ascii="Arial" w:hAnsi="Arial" w:cs="Arial"/>
          <w:sz w:val="22"/>
          <w:szCs w:val="22"/>
        </w:rPr>
      </w:pPr>
    </w:p>
    <w:p w14:paraId="3334DF6F" w14:textId="14099D3B" w:rsidR="0041104B" w:rsidRDefault="0041104B" w:rsidP="008E689E">
      <w:pPr>
        <w:tabs>
          <w:tab w:val="left" w:pos="6646"/>
        </w:tabs>
        <w:spacing w:line="360" w:lineRule="auto"/>
        <w:rPr>
          <w:rFonts w:ascii="Arial" w:hAnsi="Arial" w:cs="Arial"/>
          <w:b/>
          <w:bCs/>
          <w:sz w:val="22"/>
          <w:szCs w:val="22"/>
        </w:rPr>
      </w:pPr>
      <w:r w:rsidRPr="0041104B">
        <w:rPr>
          <w:rFonts w:ascii="Arial" w:hAnsi="Arial" w:cs="Arial"/>
          <w:b/>
          <w:bCs/>
          <w:sz w:val="22"/>
          <w:szCs w:val="22"/>
        </w:rPr>
        <w:t>Referenc</w:t>
      </w:r>
      <w:r>
        <w:rPr>
          <w:rFonts w:ascii="Arial" w:hAnsi="Arial" w:cs="Arial"/>
          <w:b/>
          <w:bCs/>
          <w:sz w:val="22"/>
          <w:szCs w:val="22"/>
        </w:rPr>
        <w:t>e</w:t>
      </w:r>
    </w:p>
    <w:p w14:paraId="249A58C2"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Alnhari, A.A. and Qureshi, R. (2024) ‘Unified external stakeholder engagement and requirements strategy’, </w:t>
      </w:r>
      <w:proofErr w:type="spellStart"/>
      <w:r w:rsidRPr="00AE643B">
        <w:rPr>
          <w:rFonts w:ascii="Arial" w:hAnsi="Arial" w:cs="Arial"/>
          <w:i/>
          <w:iCs/>
          <w:sz w:val="22"/>
          <w:szCs w:val="22"/>
        </w:rPr>
        <w:t>arXiv</w:t>
      </w:r>
      <w:proofErr w:type="spellEnd"/>
      <w:r w:rsidRPr="00AE643B">
        <w:rPr>
          <w:rFonts w:ascii="Arial" w:hAnsi="Arial" w:cs="Arial"/>
          <w:sz w:val="22"/>
          <w:szCs w:val="22"/>
        </w:rPr>
        <w:t xml:space="preserve">. Available at: </w:t>
      </w:r>
      <w:hyperlink r:id="rId17" w:tgtFrame="_blank" w:history="1">
        <w:proofErr w:type="spellStart"/>
        <w:r w:rsidRPr="00AE643B">
          <w:rPr>
            <w:rStyle w:val="Hyperlink"/>
            <w:rFonts w:ascii="Arial" w:hAnsi="Arial" w:cs="Arial"/>
            <w:sz w:val="22"/>
            <w:szCs w:val="22"/>
          </w:rPr>
          <w:t>arXiv</w:t>
        </w:r>
        <w:proofErr w:type="spellEnd"/>
      </w:hyperlink>
      <w:r w:rsidRPr="00AE643B">
        <w:rPr>
          <w:rFonts w:ascii="Arial" w:hAnsi="Arial" w:cs="Arial"/>
          <w:sz w:val="22"/>
          <w:szCs w:val="22"/>
        </w:rPr>
        <w:t xml:space="preserve"> (Accessed: 12 August 2026).</w:t>
      </w:r>
    </w:p>
    <w:p w14:paraId="504BC299"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Associated British Foods plc (2025) </w:t>
      </w:r>
      <w:r w:rsidRPr="00AE643B">
        <w:rPr>
          <w:rFonts w:ascii="Arial" w:hAnsi="Arial" w:cs="Arial"/>
          <w:i/>
          <w:iCs/>
          <w:sz w:val="22"/>
          <w:szCs w:val="22"/>
        </w:rPr>
        <w:t>Annual Report and Accounts 2025</w:t>
      </w:r>
      <w:r w:rsidRPr="00AE643B">
        <w:rPr>
          <w:rFonts w:ascii="Arial" w:hAnsi="Arial" w:cs="Arial"/>
          <w:sz w:val="22"/>
          <w:szCs w:val="22"/>
        </w:rPr>
        <w:t xml:space="preserve">. London: Associated British Foods plc. Available at: </w:t>
      </w:r>
      <w:hyperlink r:id="rId18" w:tgtFrame="_blank" w:history="1">
        <w:r w:rsidRPr="00AE643B">
          <w:rPr>
            <w:rStyle w:val="Hyperlink"/>
            <w:rFonts w:ascii="Arial" w:hAnsi="Arial" w:cs="Arial"/>
            <w:sz w:val="22"/>
            <w:szCs w:val="22"/>
          </w:rPr>
          <w:t>Associated British Foods</w:t>
        </w:r>
      </w:hyperlink>
      <w:r w:rsidRPr="00AE643B">
        <w:rPr>
          <w:rFonts w:ascii="Arial" w:hAnsi="Arial" w:cs="Arial"/>
          <w:sz w:val="22"/>
          <w:szCs w:val="22"/>
        </w:rPr>
        <w:t xml:space="preserve"> (Accessed: 12 August 2026).</w:t>
      </w:r>
    </w:p>
    <w:p w14:paraId="0575434C" w14:textId="234EFBC5" w:rsidR="00C87437" w:rsidRPr="00445B2C"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CIPD (2023) </w:t>
      </w:r>
      <w:r w:rsidRPr="00AE643B">
        <w:rPr>
          <w:rFonts w:ascii="Arial" w:hAnsi="Arial" w:cs="Arial"/>
          <w:i/>
          <w:iCs/>
          <w:sz w:val="22"/>
          <w:szCs w:val="22"/>
        </w:rPr>
        <w:t>Digital transformation in organisations</w:t>
      </w:r>
      <w:r w:rsidRPr="00AE643B">
        <w:rPr>
          <w:rFonts w:ascii="Arial" w:hAnsi="Arial" w:cs="Arial"/>
          <w:sz w:val="22"/>
          <w:szCs w:val="22"/>
        </w:rPr>
        <w:t xml:space="preserve">. London: Chartered Institute of Personnel and Development. </w:t>
      </w:r>
    </w:p>
    <w:p w14:paraId="7EA37AAB"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CIPD (2024) </w:t>
      </w:r>
      <w:r w:rsidRPr="00AE643B">
        <w:rPr>
          <w:rFonts w:ascii="Arial" w:hAnsi="Arial" w:cs="Arial"/>
          <w:i/>
          <w:iCs/>
          <w:sz w:val="22"/>
          <w:szCs w:val="22"/>
        </w:rPr>
        <w:t>Employee voice</w:t>
      </w:r>
      <w:r w:rsidRPr="00AE643B">
        <w:rPr>
          <w:rFonts w:ascii="Arial" w:hAnsi="Arial" w:cs="Arial"/>
          <w:sz w:val="22"/>
          <w:szCs w:val="22"/>
        </w:rPr>
        <w:t xml:space="preserve">. London: Chartered Institute of Personnel and Development. Available at: </w:t>
      </w:r>
      <w:hyperlink r:id="rId19" w:tgtFrame="_blank" w:history="1">
        <w:r w:rsidRPr="00AE643B">
          <w:rPr>
            <w:rStyle w:val="Hyperlink"/>
            <w:rFonts w:ascii="Arial" w:hAnsi="Arial" w:cs="Arial"/>
            <w:sz w:val="22"/>
            <w:szCs w:val="22"/>
          </w:rPr>
          <w:t>CIPD</w:t>
        </w:r>
      </w:hyperlink>
      <w:r w:rsidRPr="00AE643B">
        <w:rPr>
          <w:rFonts w:ascii="Arial" w:hAnsi="Arial" w:cs="Arial"/>
          <w:sz w:val="22"/>
          <w:szCs w:val="22"/>
        </w:rPr>
        <w:t xml:space="preserve"> (Accessed: 12 August 2026).</w:t>
      </w:r>
    </w:p>
    <w:p w14:paraId="60A5FDF0"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Freeman, R.E. (1984) </w:t>
      </w:r>
      <w:r w:rsidRPr="00AE643B">
        <w:rPr>
          <w:rFonts w:ascii="Arial" w:hAnsi="Arial" w:cs="Arial"/>
          <w:i/>
          <w:iCs/>
          <w:sz w:val="22"/>
          <w:szCs w:val="22"/>
        </w:rPr>
        <w:t>Strategic Management: A Stakeholder Approach</w:t>
      </w:r>
      <w:r w:rsidRPr="00AE643B">
        <w:rPr>
          <w:rFonts w:ascii="Arial" w:hAnsi="Arial" w:cs="Arial"/>
          <w:sz w:val="22"/>
          <w:szCs w:val="22"/>
        </w:rPr>
        <w:t>. Boston, MA: Pitman.</w:t>
      </w:r>
    </w:p>
    <w:p w14:paraId="5B0BB7ED"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Freeman, R.E., Phillips, R. and Sisodia, R. (2020) ‘Tensions in stakeholder theory’, </w:t>
      </w:r>
      <w:r w:rsidRPr="00AE643B">
        <w:rPr>
          <w:rFonts w:ascii="Arial" w:hAnsi="Arial" w:cs="Arial"/>
          <w:i/>
          <w:iCs/>
          <w:sz w:val="22"/>
          <w:szCs w:val="22"/>
        </w:rPr>
        <w:t>Business &amp; Society</w:t>
      </w:r>
      <w:r w:rsidRPr="00AE643B">
        <w:rPr>
          <w:rFonts w:ascii="Arial" w:hAnsi="Arial" w:cs="Arial"/>
          <w:sz w:val="22"/>
          <w:szCs w:val="22"/>
        </w:rPr>
        <w:t>, 59(2), pp. 213–231.</w:t>
      </w:r>
    </w:p>
    <w:p w14:paraId="6B9BF3D5"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Information Commissioner's Office (2023) </w:t>
      </w:r>
      <w:r w:rsidRPr="00AE643B">
        <w:rPr>
          <w:rFonts w:ascii="Arial" w:hAnsi="Arial" w:cs="Arial"/>
          <w:i/>
          <w:iCs/>
          <w:sz w:val="22"/>
          <w:szCs w:val="22"/>
        </w:rPr>
        <w:t>How do we ensure transparency in AI?</w:t>
      </w:r>
      <w:r w:rsidRPr="00AE643B">
        <w:rPr>
          <w:rFonts w:ascii="Arial" w:hAnsi="Arial" w:cs="Arial"/>
          <w:sz w:val="22"/>
          <w:szCs w:val="22"/>
        </w:rPr>
        <w:t xml:space="preserve"> Available at: </w:t>
      </w:r>
      <w:hyperlink r:id="rId20" w:tgtFrame="_blank" w:history="1">
        <w:r w:rsidRPr="00AE643B">
          <w:rPr>
            <w:rStyle w:val="Hyperlink"/>
            <w:rFonts w:ascii="Arial" w:hAnsi="Arial" w:cs="Arial"/>
            <w:sz w:val="22"/>
            <w:szCs w:val="22"/>
          </w:rPr>
          <w:t>ICO – Transparency in AI</w:t>
        </w:r>
      </w:hyperlink>
      <w:r w:rsidRPr="00AE643B">
        <w:rPr>
          <w:rFonts w:ascii="Arial" w:hAnsi="Arial" w:cs="Arial"/>
          <w:sz w:val="22"/>
          <w:szCs w:val="22"/>
        </w:rPr>
        <w:t xml:space="preserve"> (Accessed: 12 August 2026).</w:t>
      </w:r>
    </w:p>
    <w:p w14:paraId="58E6326E"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Information Commissioner's Office (2024) </w:t>
      </w:r>
      <w:r w:rsidRPr="00AE643B">
        <w:rPr>
          <w:rFonts w:ascii="Arial" w:hAnsi="Arial" w:cs="Arial"/>
          <w:i/>
          <w:iCs/>
          <w:sz w:val="22"/>
          <w:szCs w:val="22"/>
        </w:rPr>
        <w:t>Guidance on AI and data protection</w:t>
      </w:r>
      <w:r w:rsidRPr="00AE643B">
        <w:rPr>
          <w:rFonts w:ascii="Arial" w:hAnsi="Arial" w:cs="Arial"/>
          <w:sz w:val="22"/>
          <w:szCs w:val="22"/>
        </w:rPr>
        <w:t xml:space="preserve">. Available at: </w:t>
      </w:r>
      <w:hyperlink r:id="rId21" w:tgtFrame="_blank" w:history="1">
        <w:r w:rsidRPr="00AE643B">
          <w:rPr>
            <w:rStyle w:val="Hyperlink"/>
            <w:rFonts w:ascii="Arial" w:hAnsi="Arial" w:cs="Arial"/>
            <w:sz w:val="22"/>
            <w:szCs w:val="22"/>
          </w:rPr>
          <w:t>ICO – Guidance on AI and data protection</w:t>
        </w:r>
      </w:hyperlink>
      <w:r w:rsidRPr="00AE643B">
        <w:rPr>
          <w:rFonts w:ascii="Arial" w:hAnsi="Arial" w:cs="Arial"/>
          <w:sz w:val="22"/>
          <w:szCs w:val="22"/>
        </w:rPr>
        <w:t xml:space="preserve"> (Accessed: 12 August 2026).</w:t>
      </w:r>
    </w:p>
    <w:p w14:paraId="12299023"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Johnson, G., Whittington, R., Scholes, K., Angwin, D. and </w:t>
      </w:r>
      <w:proofErr w:type="spellStart"/>
      <w:r w:rsidRPr="00AE643B">
        <w:rPr>
          <w:rFonts w:ascii="Arial" w:hAnsi="Arial" w:cs="Arial"/>
          <w:sz w:val="22"/>
          <w:szCs w:val="22"/>
        </w:rPr>
        <w:t>Regnér</w:t>
      </w:r>
      <w:proofErr w:type="spellEnd"/>
      <w:r w:rsidRPr="00AE643B">
        <w:rPr>
          <w:rFonts w:ascii="Arial" w:hAnsi="Arial" w:cs="Arial"/>
          <w:sz w:val="22"/>
          <w:szCs w:val="22"/>
        </w:rPr>
        <w:t xml:space="preserve">, P. (2020) </w:t>
      </w:r>
      <w:r w:rsidRPr="00AE643B">
        <w:rPr>
          <w:rFonts w:ascii="Arial" w:hAnsi="Arial" w:cs="Arial"/>
          <w:i/>
          <w:iCs/>
          <w:sz w:val="22"/>
          <w:szCs w:val="22"/>
        </w:rPr>
        <w:t>Exploring Strategy</w:t>
      </w:r>
      <w:r w:rsidRPr="00AE643B">
        <w:rPr>
          <w:rFonts w:ascii="Arial" w:hAnsi="Arial" w:cs="Arial"/>
          <w:sz w:val="22"/>
          <w:szCs w:val="22"/>
        </w:rPr>
        <w:t xml:space="preserve">. 12th </w:t>
      </w:r>
      <w:proofErr w:type="spellStart"/>
      <w:r w:rsidRPr="00AE643B">
        <w:rPr>
          <w:rFonts w:ascii="Arial" w:hAnsi="Arial" w:cs="Arial"/>
          <w:sz w:val="22"/>
          <w:szCs w:val="22"/>
        </w:rPr>
        <w:t>edn</w:t>
      </w:r>
      <w:proofErr w:type="spellEnd"/>
      <w:r w:rsidRPr="00AE643B">
        <w:rPr>
          <w:rFonts w:ascii="Arial" w:hAnsi="Arial" w:cs="Arial"/>
          <w:sz w:val="22"/>
          <w:szCs w:val="22"/>
        </w:rPr>
        <w:t>. Harlow: Pearson.</w:t>
      </w:r>
    </w:p>
    <w:p w14:paraId="5F8B50F3" w14:textId="77777777" w:rsidR="00C87437" w:rsidRPr="00AE643B" w:rsidRDefault="00C87437" w:rsidP="00C87437">
      <w:pPr>
        <w:tabs>
          <w:tab w:val="left" w:pos="6646"/>
        </w:tabs>
        <w:spacing w:line="360" w:lineRule="auto"/>
        <w:rPr>
          <w:rFonts w:ascii="Arial" w:hAnsi="Arial" w:cs="Arial"/>
          <w:sz w:val="22"/>
          <w:szCs w:val="22"/>
        </w:rPr>
      </w:pPr>
      <w:r w:rsidRPr="00AE643B">
        <w:rPr>
          <w:rFonts w:ascii="Arial" w:hAnsi="Arial" w:cs="Arial"/>
          <w:sz w:val="22"/>
          <w:szCs w:val="22"/>
        </w:rPr>
        <w:t xml:space="preserve">Project Management Institute (2021) </w:t>
      </w:r>
      <w:r w:rsidRPr="00AE643B">
        <w:rPr>
          <w:rFonts w:ascii="Arial" w:hAnsi="Arial" w:cs="Arial"/>
          <w:i/>
          <w:iCs/>
          <w:sz w:val="22"/>
          <w:szCs w:val="22"/>
        </w:rPr>
        <w:t>A Guide to the Project Management Body of Knowledge (PMBOK Guide) and The Standard for Project Management</w:t>
      </w:r>
      <w:r w:rsidRPr="00AE643B">
        <w:rPr>
          <w:rFonts w:ascii="Arial" w:hAnsi="Arial" w:cs="Arial"/>
          <w:sz w:val="22"/>
          <w:szCs w:val="22"/>
        </w:rPr>
        <w:t xml:space="preserve">. 7th </w:t>
      </w:r>
      <w:proofErr w:type="spellStart"/>
      <w:r w:rsidRPr="00AE643B">
        <w:rPr>
          <w:rFonts w:ascii="Arial" w:hAnsi="Arial" w:cs="Arial"/>
          <w:sz w:val="22"/>
          <w:szCs w:val="22"/>
        </w:rPr>
        <w:t>edn</w:t>
      </w:r>
      <w:proofErr w:type="spellEnd"/>
      <w:r w:rsidRPr="00AE643B">
        <w:rPr>
          <w:rFonts w:ascii="Arial" w:hAnsi="Arial" w:cs="Arial"/>
          <w:sz w:val="22"/>
          <w:szCs w:val="22"/>
        </w:rPr>
        <w:t>. Newtown Square, PA: Project Management Institute.</w:t>
      </w:r>
    </w:p>
    <w:p w14:paraId="189583D1" w14:textId="77777777" w:rsidR="00C87437" w:rsidRDefault="00C87437" w:rsidP="008E689E">
      <w:pPr>
        <w:tabs>
          <w:tab w:val="left" w:pos="6646"/>
        </w:tabs>
        <w:spacing w:line="360" w:lineRule="auto"/>
        <w:rPr>
          <w:rFonts w:ascii="Arial" w:hAnsi="Arial" w:cs="Arial"/>
          <w:b/>
          <w:bCs/>
          <w:sz w:val="22"/>
          <w:szCs w:val="22"/>
        </w:rPr>
      </w:pPr>
    </w:p>
    <w:p w14:paraId="5516EEDC" w14:textId="77777777" w:rsidR="000C7E4C" w:rsidRDefault="000C7E4C" w:rsidP="008E689E">
      <w:pPr>
        <w:tabs>
          <w:tab w:val="left" w:pos="6646"/>
        </w:tabs>
        <w:spacing w:line="360" w:lineRule="auto"/>
        <w:rPr>
          <w:rFonts w:ascii="Arial" w:hAnsi="Arial" w:cs="Arial"/>
          <w:b/>
          <w:bCs/>
          <w:sz w:val="22"/>
          <w:szCs w:val="22"/>
        </w:rPr>
      </w:pPr>
    </w:p>
    <w:p w14:paraId="17B6C811" w14:textId="77777777" w:rsidR="000C7E4C" w:rsidRPr="0041104B" w:rsidRDefault="000C7E4C" w:rsidP="008E689E">
      <w:pPr>
        <w:tabs>
          <w:tab w:val="left" w:pos="6646"/>
        </w:tabs>
        <w:spacing w:line="360" w:lineRule="auto"/>
        <w:rPr>
          <w:rFonts w:ascii="Arial" w:hAnsi="Arial" w:cs="Arial"/>
          <w:b/>
          <w:bCs/>
          <w:sz w:val="22"/>
          <w:szCs w:val="22"/>
        </w:rPr>
      </w:pPr>
    </w:p>
    <w:sectPr w:rsidR="000C7E4C" w:rsidRPr="0041104B" w:rsidSect="006E3915">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00411" w14:textId="77777777" w:rsidR="00386F4C" w:rsidRDefault="00386F4C" w:rsidP="006E3915">
      <w:pPr>
        <w:spacing w:after="0" w:line="240" w:lineRule="auto"/>
      </w:pPr>
      <w:r>
        <w:separator/>
      </w:r>
    </w:p>
  </w:endnote>
  <w:endnote w:type="continuationSeparator" w:id="0">
    <w:p w14:paraId="7CD7FD82" w14:textId="77777777" w:rsidR="00386F4C" w:rsidRDefault="00386F4C" w:rsidP="006E3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490166"/>
      <w:docPartObj>
        <w:docPartGallery w:val="Page Numbers (Bottom of Page)"/>
        <w:docPartUnique/>
      </w:docPartObj>
    </w:sdtPr>
    <w:sdtEndPr>
      <w:rPr>
        <w:noProof/>
      </w:rPr>
    </w:sdtEndPr>
    <w:sdtContent>
      <w:p w14:paraId="583C89C3" w14:textId="5871529B" w:rsidR="006E3915" w:rsidRDefault="006E39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1F5E1" w14:textId="77777777" w:rsidR="006E3915" w:rsidRDefault="006E3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3B956" w14:textId="77777777" w:rsidR="00386F4C" w:rsidRDefault="00386F4C" w:rsidP="006E3915">
      <w:pPr>
        <w:spacing w:after="0" w:line="240" w:lineRule="auto"/>
      </w:pPr>
      <w:r>
        <w:separator/>
      </w:r>
    </w:p>
  </w:footnote>
  <w:footnote w:type="continuationSeparator" w:id="0">
    <w:p w14:paraId="26CAC257" w14:textId="77777777" w:rsidR="00386F4C" w:rsidRDefault="00386F4C" w:rsidP="006E3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A31CC"/>
    <w:multiLevelType w:val="hybridMultilevel"/>
    <w:tmpl w:val="CCEADDF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26DA387C"/>
    <w:multiLevelType w:val="multilevel"/>
    <w:tmpl w:val="4D3C55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 w15:restartNumberingAfterBreak="0">
    <w:nsid w:val="34240FB9"/>
    <w:multiLevelType w:val="hybridMultilevel"/>
    <w:tmpl w:val="076C07C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 w15:restartNumberingAfterBreak="0">
    <w:nsid w:val="5B5234FC"/>
    <w:multiLevelType w:val="multilevel"/>
    <w:tmpl w:val="CE46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B31DB5"/>
    <w:multiLevelType w:val="hybridMultilevel"/>
    <w:tmpl w:val="2A8EEAA8"/>
    <w:lvl w:ilvl="0" w:tplc="595CAA28">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EB6F76"/>
    <w:multiLevelType w:val="hybridMultilevel"/>
    <w:tmpl w:val="887C7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612894">
    <w:abstractNumId w:val="1"/>
  </w:num>
  <w:num w:numId="2" w16cid:durableId="1057706838">
    <w:abstractNumId w:val="3"/>
  </w:num>
  <w:num w:numId="3" w16cid:durableId="1439371492">
    <w:abstractNumId w:val="4"/>
  </w:num>
  <w:num w:numId="4" w16cid:durableId="1393500708">
    <w:abstractNumId w:val="5"/>
  </w:num>
  <w:num w:numId="5" w16cid:durableId="591201297">
    <w:abstractNumId w:val="2"/>
  </w:num>
  <w:num w:numId="6" w16cid:durableId="599803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86A"/>
    <w:rsid w:val="00011E59"/>
    <w:rsid w:val="000239A0"/>
    <w:rsid w:val="00025600"/>
    <w:rsid w:val="000312A0"/>
    <w:rsid w:val="00032B2E"/>
    <w:rsid w:val="000337AB"/>
    <w:rsid w:val="000343B8"/>
    <w:rsid w:val="000344DB"/>
    <w:rsid w:val="00034F94"/>
    <w:rsid w:val="000353C0"/>
    <w:rsid w:val="00036733"/>
    <w:rsid w:val="0005013E"/>
    <w:rsid w:val="0005214F"/>
    <w:rsid w:val="00052844"/>
    <w:rsid w:val="00056CC4"/>
    <w:rsid w:val="00061EF0"/>
    <w:rsid w:val="00077864"/>
    <w:rsid w:val="00080BF0"/>
    <w:rsid w:val="00084C8A"/>
    <w:rsid w:val="000856F6"/>
    <w:rsid w:val="00092469"/>
    <w:rsid w:val="0009436B"/>
    <w:rsid w:val="000949FD"/>
    <w:rsid w:val="000A209F"/>
    <w:rsid w:val="000A43C1"/>
    <w:rsid w:val="000A482E"/>
    <w:rsid w:val="000B1353"/>
    <w:rsid w:val="000B136B"/>
    <w:rsid w:val="000B287E"/>
    <w:rsid w:val="000B5A98"/>
    <w:rsid w:val="000B768C"/>
    <w:rsid w:val="000C609C"/>
    <w:rsid w:val="000C60BD"/>
    <w:rsid w:val="000C7E4C"/>
    <w:rsid w:val="000D2EB2"/>
    <w:rsid w:val="000E145D"/>
    <w:rsid w:val="000E4528"/>
    <w:rsid w:val="000E4AE4"/>
    <w:rsid w:val="000F2FF3"/>
    <w:rsid w:val="000F4DD5"/>
    <w:rsid w:val="000F5BE9"/>
    <w:rsid w:val="00101BCA"/>
    <w:rsid w:val="00106553"/>
    <w:rsid w:val="001067C2"/>
    <w:rsid w:val="00111E25"/>
    <w:rsid w:val="001121DF"/>
    <w:rsid w:val="0011303A"/>
    <w:rsid w:val="00113B7A"/>
    <w:rsid w:val="0011550F"/>
    <w:rsid w:val="00117EA6"/>
    <w:rsid w:val="0012311F"/>
    <w:rsid w:val="00125258"/>
    <w:rsid w:val="00131033"/>
    <w:rsid w:val="00133088"/>
    <w:rsid w:val="001409FB"/>
    <w:rsid w:val="001410D4"/>
    <w:rsid w:val="00143AF7"/>
    <w:rsid w:val="00150043"/>
    <w:rsid w:val="00151095"/>
    <w:rsid w:val="001519A5"/>
    <w:rsid w:val="00153862"/>
    <w:rsid w:val="00156D80"/>
    <w:rsid w:val="00175145"/>
    <w:rsid w:val="001753F5"/>
    <w:rsid w:val="001775F7"/>
    <w:rsid w:val="00183E31"/>
    <w:rsid w:val="0018425D"/>
    <w:rsid w:val="001846BC"/>
    <w:rsid w:val="0018512B"/>
    <w:rsid w:val="00185F92"/>
    <w:rsid w:val="001A452F"/>
    <w:rsid w:val="001A7FA4"/>
    <w:rsid w:val="001B07F2"/>
    <w:rsid w:val="001B13E8"/>
    <w:rsid w:val="001C040A"/>
    <w:rsid w:val="001C528B"/>
    <w:rsid w:val="001C750F"/>
    <w:rsid w:val="001C764B"/>
    <w:rsid w:val="001D07F7"/>
    <w:rsid w:val="001D131E"/>
    <w:rsid w:val="001D27CF"/>
    <w:rsid w:val="001D27D4"/>
    <w:rsid w:val="001E1E24"/>
    <w:rsid w:val="001E470B"/>
    <w:rsid w:val="001E48C4"/>
    <w:rsid w:val="001E7808"/>
    <w:rsid w:val="001F4429"/>
    <w:rsid w:val="002012FF"/>
    <w:rsid w:val="0020273F"/>
    <w:rsid w:val="002064D1"/>
    <w:rsid w:val="00210D13"/>
    <w:rsid w:val="00222FDD"/>
    <w:rsid w:val="00231195"/>
    <w:rsid w:val="0023567D"/>
    <w:rsid w:val="00244646"/>
    <w:rsid w:val="00244E36"/>
    <w:rsid w:val="00247E2F"/>
    <w:rsid w:val="00252B74"/>
    <w:rsid w:val="00256343"/>
    <w:rsid w:val="002646A0"/>
    <w:rsid w:val="00285DE9"/>
    <w:rsid w:val="0028701A"/>
    <w:rsid w:val="00293A7B"/>
    <w:rsid w:val="002946C7"/>
    <w:rsid w:val="002954E4"/>
    <w:rsid w:val="00297671"/>
    <w:rsid w:val="002A387B"/>
    <w:rsid w:val="002A5AF7"/>
    <w:rsid w:val="002A5C98"/>
    <w:rsid w:val="002B14C1"/>
    <w:rsid w:val="002B7EEB"/>
    <w:rsid w:val="002C27B6"/>
    <w:rsid w:val="002C70E3"/>
    <w:rsid w:val="002D2A30"/>
    <w:rsid w:val="002E0918"/>
    <w:rsid w:val="002E3B21"/>
    <w:rsid w:val="002E45D7"/>
    <w:rsid w:val="002F0173"/>
    <w:rsid w:val="002F6D06"/>
    <w:rsid w:val="00300D13"/>
    <w:rsid w:val="00300FB8"/>
    <w:rsid w:val="00307248"/>
    <w:rsid w:val="00333844"/>
    <w:rsid w:val="00336BCF"/>
    <w:rsid w:val="00343C1A"/>
    <w:rsid w:val="00345518"/>
    <w:rsid w:val="00347418"/>
    <w:rsid w:val="00350796"/>
    <w:rsid w:val="00362290"/>
    <w:rsid w:val="00363CC4"/>
    <w:rsid w:val="00364006"/>
    <w:rsid w:val="0037265C"/>
    <w:rsid w:val="003779BA"/>
    <w:rsid w:val="003834C5"/>
    <w:rsid w:val="00385DDD"/>
    <w:rsid w:val="00386F4C"/>
    <w:rsid w:val="00391C9C"/>
    <w:rsid w:val="003967DB"/>
    <w:rsid w:val="0039709A"/>
    <w:rsid w:val="0039732E"/>
    <w:rsid w:val="003978FE"/>
    <w:rsid w:val="003B00DB"/>
    <w:rsid w:val="003B2981"/>
    <w:rsid w:val="003B3C77"/>
    <w:rsid w:val="003B5711"/>
    <w:rsid w:val="003B6864"/>
    <w:rsid w:val="003C24A8"/>
    <w:rsid w:val="003C2879"/>
    <w:rsid w:val="003C6AE6"/>
    <w:rsid w:val="003D18BE"/>
    <w:rsid w:val="003D2B11"/>
    <w:rsid w:val="003D72FD"/>
    <w:rsid w:val="003E39AC"/>
    <w:rsid w:val="003E4B30"/>
    <w:rsid w:val="003E7659"/>
    <w:rsid w:val="003F2DCD"/>
    <w:rsid w:val="003F6739"/>
    <w:rsid w:val="003F7D46"/>
    <w:rsid w:val="0040121B"/>
    <w:rsid w:val="004027B4"/>
    <w:rsid w:val="004042CC"/>
    <w:rsid w:val="004063F2"/>
    <w:rsid w:val="004065FF"/>
    <w:rsid w:val="00406D0E"/>
    <w:rsid w:val="00407188"/>
    <w:rsid w:val="00410345"/>
    <w:rsid w:val="004105F3"/>
    <w:rsid w:val="0041104B"/>
    <w:rsid w:val="004133D1"/>
    <w:rsid w:val="00413F1A"/>
    <w:rsid w:val="00414D39"/>
    <w:rsid w:val="004207A9"/>
    <w:rsid w:val="0043121D"/>
    <w:rsid w:val="0043145A"/>
    <w:rsid w:val="0043207C"/>
    <w:rsid w:val="0043569B"/>
    <w:rsid w:val="00440BBF"/>
    <w:rsid w:val="00445B2C"/>
    <w:rsid w:val="00447555"/>
    <w:rsid w:val="0045358C"/>
    <w:rsid w:val="00454994"/>
    <w:rsid w:val="00461E8C"/>
    <w:rsid w:val="00464BB1"/>
    <w:rsid w:val="00465B5D"/>
    <w:rsid w:val="004774F7"/>
    <w:rsid w:val="0048132B"/>
    <w:rsid w:val="00484D47"/>
    <w:rsid w:val="004861CA"/>
    <w:rsid w:val="00486C89"/>
    <w:rsid w:val="00490968"/>
    <w:rsid w:val="004A2124"/>
    <w:rsid w:val="004A3983"/>
    <w:rsid w:val="004A4092"/>
    <w:rsid w:val="004A5F84"/>
    <w:rsid w:val="004A6C00"/>
    <w:rsid w:val="004B4699"/>
    <w:rsid w:val="004C0A25"/>
    <w:rsid w:val="004C3634"/>
    <w:rsid w:val="004C3C8D"/>
    <w:rsid w:val="004C5560"/>
    <w:rsid w:val="004C6F76"/>
    <w:rsid w:val="004D3AAA"/>
    <w:rsid w:val="004D4506"/>
    <w:rsid w:val="004E0429"/>
    <w:rsid w:val="004E2B7D"/>
    <w:rsid w:val="004F2790"/>
    <w:rsid w:val="004F373A"/>
    <w:rsid w:val="004F6739"/>
    <w:rsid w:val="005021AE"/>
    <w:rsid w:val="00512C34"/>
    <w:rsid w:val="00514361"/>
    <w:rsid w:val="0051734D"/>
    <w:rsid w:val="00525B2E"/>
    <w:rsid w:val="00527238"/>
    <w:rsid w:val="00530E5C"/>
    <w:rsid w:val="00531BE4"/>
    <w:rsid w:val="00534A26"/>
    <w:rsid w:val="00536A7F"/>
    <w:rsid w:val="00536F54"/>
    <w:rsid w:val="005404D4"/>
    <w:rsid w:val="005439C3"/>
    <w:rsid w:val="0054442B"/>
    <w:rsid w:val="005548DA"/>
    <w:rsid w:val="005565E2"/>
    <w:rsid w:val="00562468"/>
    <w:rsid w:val="00563207"/>
    <w:rsid w:val="00563C87"/>
    <w:rsid w:val="005650DA"/>
    <w:rsid w:val="005676FE"/>
    <w:rsid w:val="00577DBA"/>
    <w:rsid w:val="005873EA"/>
    <w:rsid w:val="00592709"/>
    <w:rsid w:val="00597CA0"/>
    <w:rsid w:val="005A13D0"/>
    <w:rsid w:val="005A4EA4"/>
    <w:rsid w:val="005B04A9"/>
    <w:rsid w:val="005B714B"/>
    <w:rsid w:val="005B72E3"/>
    <w:rsid w:val="005C058B"/>
    <w:rsid w:val="005C67E9"/>
    <w:rsid w:val="005D0412"/>
    <w:rsid w:val="005D2D75"/>
    <w:rsid w:val="005D46B4"/>
    <w:rsid w:val="005E5FCF"/>
    <w:rsid w:val="005E64C6"/>
    <w:rsid w:val="005E6CA7"/>
    <w:rsid w:val="005F196C"/>
    <w:rsid w:val="005F57A8"/>
    <w:rsid w:val="0060239A"/>
    <w:rsid w:val="00612599"/>
    <w:rsid w:val="0061650D"/>
    <w:rsid w:val="00631EB2"/>
    <w:rsid w:val="0063347E"/>
    <w:rsid w:val="006336A3"/>
    <w:rsid w:val="00640340"/>
    <w:rsid w:val="006411EA"/>
    <w:rsid w:val="006424FF"/>
    <w:rsid w:val="0064326A"/>
    <w:rsid w:val="00647D5D"/>
    <w:rsid w:val="00650CD1"/>
    <w:rsid w:val="00653BCF"/>
    <w:rsid w:val="006568F6"/>
    <w:rsid w:val="0065716A"/>
    <w:rsid w:val="006605A3"/>
    <w:rsid w:val="00665734"/>
    <w:rsid w:val="00666DF3"/>
    <w:rsid w:val="006705A4"/>
    <w:rsid w:val="00673575"/>
    <w:rsid w:val="00673EE0"/>
    <w:rsid w:val="00676BE8"/>
    <w:rsid w:val="00680EA3"/>
    <w:rsid w:val="00681441"/>
    <w:rsid w:val="0068645E"/>
    <w:rsid w:val="0068653A"/>
    <w:rsid w:val="0069063D"/>
    <w:rsid w:val="0069267E"/>
    <w:rsid w:val="006950CA"/>
    <w:rsid w:val="00695863"/>
    <w:rsid w:val="006961E4"/>
    <w:rsid w:val="006A5B0D"/>
    <w:rsid w:val="006A6F61"/>
    <w:rsid w:val="006C49EA"/>
    <w:rsid w:val="006D526B"/>
    <w:rsid w:val="006D6807"/>
    <w:rsid w:val="006E1324"/>
    <w:rsid w:val="006E2B61"/>
    <w:rsid w:val="006E3915"/>
    <w:rsid w:val="006E3C54"/>
    <w:rsid w:val="006E4C96"/>
    <w:rsid w:val="006E6968"/>
    <w:rsid w:val="006F198C"/>
    <w:rsid w:val="006F66EC"/>
    <w:rsid w:val="007021CC"/>
    <w:rsid w:val="007058E6"/>
    <w:rsid w:val="0070738F"/>
    <w:rsid w:val="0071455F"/>
    <w:rsid w:val="00716DB0"/>
    <w:rsid w:val="00717DFE"/>
    <w:rsid w:val="00721396"/>
    <w:rsid w:val="00742A75"/>
    <w:rsid w:val="007457EC"/>
    <w:rsid w:val="0074639F"/>
    <w:rsid w:val="00753A79"/>
    <w:rsid w:val="00754C90"/>
    <w:rsid w:val="00760216"/>
    <w:rsid w:val="00763412"/>
    <w:rsid w:val="0076400C"/>
    <w:rsid w:val="00773E74"/>
    <w:rsid w:val="00777A36"/>
    <w:rsid w:val="00781D7A"/>
    <w:rsid w:val="007925C4"/>
    <w:rsid w:val="00793B3D"/>
    <w:rsid w:val="007A0C0F"/>
    <w:rsid w:val="007A1F32"/>
    <w:rsid w:val="007A5A11"/>
    <w:rsid w:val="007A6C80"/>
    <w:rsid w:val="007B291E"/>
    <w:rsid w:val="007B5D2F"/>
    <w:rsid w:val="007C51A4"/>
    <w:rsid w:val="007C52AF"/>
    <w:rsid w:val="007D0C8E"/>
    <w:rsid w:val="007D2006"/>
    <w:rsid w:val="007D25BE"/>
    <w:rsid w:val="007D7B8F"/>
    <w:rsid w:val="007E2888"/>
    <w:rsid w:val="007E509C"/>
    <w:rsid w:val="007E6E50"/>
    <w:rsid w:val="007F04F6"/>
    <w:rsid w:val="007F30A3"/>
    <w:rsid w:val="007F7D04"/>
    <w:rsid w:val="008010E4"/>
    <w:rsid w:val="00803A6E"/>
    <w:rsid w:val="0080457E"/>
    <w:rsid w:val="00811358"/>
    <w:rsid w:val="008123D1"/>
    <w:rsid w:val="008310F5"/>
    <w:rsid w:val="00831205"/>
    <w:rsid w:val="00836270"/>
    <w:rsid w:val="008372F7"/>
    <w:rsid w:val="00837F3E"/>
    <w:rsid w:val="008412DE"/>
    <w:rsid w:val="00841AA1"/>
    <w:rsid w:val="008440FD"/>
    <w:rsid w:val="00853E52"/>
    <w:rsid w:val="008554AF"/>
    <w:rsid w:val="008605C8"/>
    <w:rsid w:val="008651C1"/>
    <w:rsid w:val="00874CE1"/>
    <w:rsid w:val="008759B5"/>
    <w:rsid w:val="00876C20"/>
    <w:rsid w:val="00887AA0"/>
    <w:rsid w:val="00887D67"/>
    <w:rsid w:val="008904A4"/>
    <w:rsid w:val="0089106E"/>
    <w:rsid w:val="00892BD5"/>
    <w:rsid w:val="008A0FED"/>
    <w:rsid w:val="008B5DAE"/>
    <w:rsid w:val="008B5F3C"/>
    <w:rsid w:val="008C0032"/>
    <w:rsid w:val="008C1255"/>
    <w:rsid w:val="008D1CDD"/>
    <w:rsid w:val="008D2228"/>
    <w:rsid w:val="008D58A8"/>
    <w:rsid w:val="008E20BA"/>
    <w:rsid w:val="008E6442"/>
    <w:rsid w:val="008E689E"/>
    <w:rsid w:val="008E723F"/>
    <w:rsid w:val="008F0AD9"/>
    <w:rsid w:val="008F41C8"/>
    <w:rsid w:val="00903D31"/>
    <w:rsid w:val="00915EFD"/>
    <w:rsid w:val="0091638E"/>
    <w:rsid w:val="00921DFA"/>
    <w:rsid w:val="00924CA9"/>
    <w:rsid w:val="00932434"/>
    <w:rsid w:val="00932749"/>
    <w:rsid w:val="00935EF3"/>
    <w:rsid w:val="00937668"/>
    <w:rsid w:val="009475C6"/>
    <w:rsid w:val="009503A7"/>
    <w:rsid w:val="0095550D"/>
    <w:rsid w:val="00963E55"/>
    <w:rsid w:val="00966210"/>
    <w:rsid w:val="0097286A"/>
    <w:rsid w:val="00975B39"/>
    <w:rsid w:val="009854C1"/>
    <w:rsid w:val="00985994"/>
    <w:rsid w:val="00986C9B"/>
    <w:rsid w:val="0099388C"/>
    <w:rsid w:val="0099482B"/>
    <w:rsid w:val="009A1C83"/>
    <w:rsid w:val="009A535D"/>
    <w:rsid w:val="009A7CE7"/>
    <w:rsid w:val="009B004E"/>
    <w:rsid w:val="009C03B3"/>
    <w:rsid w:val="009D0571"/>
    <w:rsid w:val="009D2193"/>
    <w:rsid w:val="009D2CB3"/>
    <w:rsid w:val="009D417A"/>
    <w:rsid w:val="009E14A4"/>
    <w:rsid w:val="009E1CBD"/>
    <w:rsid w:val="009E5191"/>
    <w:rsid w:val="009F3591"/>
    <w:rsid w:val="009F3F08"/>
    <w:rsid w:val="009F46D9"/>
    <w:rsid w:val="009F46EE"/>
    <w:rsid w:val="00A01DB4"/>
    <w:rsid w:val="00A041EB"/>
    <w:rsid w:val="00A064B4"/>
    <w:rsid w:val="00A11814"/>
    <w:rsid w:val="00A1658A"/>
    <w:rsid w:val="00A21970"/>
    <w:rsid w:val="00A31722"/>
    <w:rsid w:val="00A3680B"/>
    <w:rsid w:val="00A5525A"/>
    <w:rsid w:val="00A5569B"/>
    <w:rsid w:val="00A56D2E"/>
    <w:rsid w:val="00A63ECB"/>
    <w:rsid w:val="00A64D5F"/>
    <w:rsid w:val="00A65BCB"/>
    <w:rsid w:val="00A66BE7"/>
    <w:rsid w:val="00A66DE2"/>
    <w:rsid w:val="00A74938"/>
    <w:rsid w:val="00A773D8"/>
    <w:rsid w:val="00A77755"/>
    <w:rsid w:val="00A809B1"/>
    <w:rsid w:val="00A83597"/>
    <w:rsid w:val="00A868DB"/>
    <w:rsid w:val="00A92B30"/>
    <w:rsid w:val="00AA35B1"/>
    <w:rsid w:val="00AA37EB"/>
    <w:rsid w:val="00AA41F1"/>
    <w:rsid w:val="00AA4A68"/>
    <w:rsid w:val="00AB007B"/>
    <w:rsid w:val="00AB3CC8"/>
    <w:rsid w:val="00AB5A5C"/>
    <w:rsid w:val="00AB5D96"/>
    <w:rsid w:val="00AB7FC4"/>
    <w:rsid w:val="00AC58E4"/>
    <w:rsid w:val="00AD1601"/>
    <w:rsid w:val="00AD22FB"/>
    <w:rsid w:val="00AE2BE4"/>
    <w:rsid w:val="00AE4727"/>
    <w:rsid w:val="00AE5D91"/>
    <w:rsid w:val="00AE643B"/>
    <w:rsid w:val="00AF004D"/>
    <w:rsid w:val="00AF49C0"/>
    <w:rsid w:val="00AF58A4"/>
    <w:rsid w:val="00B00D6C"/>
    <w:rsid w:val="00B046B4"/>
    <w:rsid w:val="00B04708"/>
    <w:rsid w:val="00B05176"/>
    <w:rsid w:val="00B0589E"/>
    <w:rsid w:val="00B05BB9"/>
    <w:rsid w:val="00B05D73"/>
    <w:rsid w:val="00B071BF"/>
    <w:rsid w:val="00B07922"/>
    <w:rsid w:val="00B1591C"/>
    <w:rsid w:val="00B203DB"/>
    <w:rsid w:val="00B23FF8"/>
    <w:rsid w:val="00B264E5"/>
    <w:rsid w:val="00B26BFB"/>
    <w:rsid w:val="00B26F5A"/>
    <w:rsid w:val="00B27BF4"/>
    <w:rsid w:val="00B31A85"/>
    <w:rsid w:val="00B32571"/>
    <w:rsid w:val="00B40FB4"/>
    <w:rsid w:val="00B47A7E"/>
    <w:rsid w:val="00B47AF2"/>
    <w:rsid w:val="00B54508"/>
    <w:rsid w:val="00B57DA7"/>
    <w:rsid w:val="00B619CD"/>
    <w:rsid w:val="00B62AD8"/>
    <w:rsid w:val="00B63426"/>
    <w:rsid w:val="00B64EA1"/>
    <w:rsid w:val="00B65649"/>
    <w:rsid w:val="00B7127C"/>
    <w:rsid w:val="00B72C07"/>
    <w:rsid w:val="00B766A5"/>
    <w:rsid w:val="00B83AFA"/>
    <w:rsid w:val="00B85B6A"/>
    <w:rsid w:val="00B87D2E"/>
    <w:rsid w:val="00B9294E"/>
    <w:rsid w:val="00B93393"/>
    <w:rsid w:val="00B945FD"/>
    <w:rsid w:val="00BA5A8B"/>
    <w:rsid w:val="00BA63FD"/>
    <w:rsid w:val="00BA6F86"/>
    <w:rsid w:val="00BC1E99"/>
    <w:rsid w:val="00BC29EE"/>
    <w:rsid w:val="00BC51D2"/>
    <w:rsid w:val="00BD0557"/>
    <w:rsid w:val="00BD259D"/>
    <w:rsid w:val="00BE3ADA"/>
    <w:rsid w:val="00BE402B"/>
    <w:rsid w:val="00BF5EFF"/>
    <w:rsid w:val="00BF7647"/>
    <w:rsid w:val="00C03547"/>
    <w:rsid w:val="00C105E8"/>
    <w:rsid w:val="00C13E33"/>
    <w:rsid w:val="00C21625"/>
    <w:rsid w:val="00C23AC9"/>
    <w:rsid w:val="00C275DB"/>
    <w:rsid w:val="00C334A1"/>
    <w:rsid w:val="00C33F4E"/>
    <w:rsid w:val="00C34D19"/>
    <w:rsid w:val="00C3720D"/>
    <w:rsid w:val="00C420AF"/>
    <w:rsid w:val="00C63DC3"/>
    <w:rsid w:val="00C63EB3"/>
    <w:rsid w:val="00C71A8E"/>
    <w:rsid w:val="00C7201B"/>
    <w:rsid w:val="00C80456"/>
    <w:rsid w:val="00C81398"/>
    <w:rsid w:val="00C85ADF"/>
    <w:rsid w:val="00C86B78"/>
    <w:rsid w:val="00C87437"/>
    <w:rsid w:val="00C876FD"/>
    <w:rsid w:val="00C8794F"/>
    <w:rsid w:val="00C91C51"/>
    <w:rsid w:val="00C9646F"/>
    <w:rsid w:val="00CA4B93"/>
    <w:rsid w:val="00CC3D25"/>
    <w:rsid w:val="00CC6D95"/>
    <w:rsid w:val="00CD78C1"/>
    <w:rsid w:val="00CE31E6"/>
    <w:rsid w:val="00CF0FD3"/>
    <w:rsid w:val="00CF31D3"/>
    <w:rsid w:val="00CF6FB0"/>
    <w:rsid w:val="00D0681A"/>
    <w:rsid w:val="00D1209F"/>
    <w:rsid w:val="00D1543C"/>
    <w:rsid w:val="00D1567E"/>
    <w:rsid w:val="00D1761D"/>
    <w:rsid w:val="00D228A2"/>
    <w:rsid w:val="00D2594D"/>
    <w:rsid w:val="00D27B71"/>
    <w:rsid w:val="00D3275A"/>
    <w:rsid w:val="00D3785C"/>
    <w:rsid w:val="00D42B7A"/>
    <w:rsid w:val="00D44B4A"/>
    <w:rsid w:val="00D477F3"/>
    <w:rsid w:val="00D511D2"/>
    <w:rsid w:val="00D53DD8"/>
    <w:rsid w:val="00D635FB"/>
    <w:rsid w:val="00D6522B"/>
    <w:rsid w:val="00D675F9"/>
    <w:rsid w:val="00D73A8E"/>
    <w:rsid w:val="00D73D6D"/>
    <w:rsid w:val="00D8160D"/>
    <w:rsid w:val="00D849F1"/>
    <w:rsid w:val="00D92ADC"/>
    <w:rsid w:val="00D97003"/>
    <w:rsid w:val="00DA33C4"/>
    <w:rsid w:val="00DA4A22"/>
    <w:rsid w:val="00DA4A5A"/>
    <w:rsid w:val="00DA6786"/>
    <w:rsid w:val="00DB35E8"/>
    <w:rsid w:val="00DC0BBA"/>
    <w:rsid w:val="00DD14E6"/>
    <w:rsid w:val="00DD18CD"/>
    <w:rsid w:val="00DD38F5"/>
    <w:rsid w:val="00DD3E95"/>
    <w:rsid w:val="00DD67EC"/>
    <w:rsid w:val="00DE4F18"/>
    <w:rsid w:val="00DF1AED"/>
    <w:rsid w:val="00DF3034"/>
    <w:rsid w:val="00DF3EEC"/>
    <w:rsid w:val="00DF4DED"/>
    <w:rsid w:val="00E06E3F"/>
    <w:rsid w:val="00E10A0E"/>
    <w:rsid w:val="00E149AD"/>
    <w:rsid w:val="00E152CE"/>
    <w:rsid w:val="00E207E7"/>
    <w:rsid w:val="00E278A4"/>
    <w:rsid w:val="00E31AAB"/>
    <w:rsid w:val="00E351BA"/>
    <w:rsid w:val="00E35ECC"/>
    <w:rsid w:val="00E41A9F"/>
    <w:rsid w:val="00E42BE5"/>
    <w:rsid w:val="00E43417"/>
    <w:rsid w:val="00E5310B"/>
    <w:rsid w:val="00E564F9"/>
    <w:rsid w:val="00E602B2"/>
    <w:rsid w:val="00E73089"/>
    <w:rsid w:val="00E83478"/>
    <w:rsid w:val="00E93C0B"/>
    <w:rsid w:val="00E94A80"/>
    <w:rsid w:val="00E95FFB"/>
    <w:rsid w:val="00E96982"/>
    <w:rsid w:val="00EA174D"/>
    <w:rsid w:val="00EA4F97"/>
    <w:rsid w:val="00EB2DD7"/>
    <w:rsid w:val="00EB34B8"/>
    <w:rsid w:val="00EB6A85"/>
    <w:rsid w:val="00EB72F6"/>
    <w:rsid w:val="00EC45A6"/>
    <w:rsid w:val="00EC6819"/>
    <w:rsid w:val="00ED6319"/>
    <w:rsid w:val="00EE77C9"/>
    <w:rsid w:val="00EF020B"/>
    <w:rsid w:val="00F004FC"/>
    <w:rsid w:val="00F0495D"/>
    <w:rsid w:val="00F062E6"/>
    <w:rsid w:val="00F13540"/>
    <w:rsid w:val="00F2645C"/>
    <w:rsid w:val="00F334D9"/>
    <w:rsid w:val="00F42308"/>
    <w:rsid w:val="00F42956"/>
    <w:rsid w:val="00F461F2"/>
    <w:rsid w:val="00F54101"/>
    <w:rsid w:val="00F63282"/>
    <w:rsid w:val="00F7622F"/>
    <w:rsid w:val="00F80504"/>
    <w:rsid w:val="00F83735"/>
    <w:rsid w:val="00F83907"/>
    <w:rsid w:val="00F841FA"/>
    <w:rsid w:val="00F85BE3"/>
    <w:rsid w:val="00F87FFB"/>
    <w:rsid w:val="00F90D86"/>
    <w:rsid w:val="00F94AAE"/>
    <w:rsid w:val="00FA09C3"/>
    <w:rsid w:val="00FA4320"/>
    <w:rsid w:val="00FB1C45"/>
    <w:rsid w:val="00FC01F6"/>
    <w:rsid w:val="00FC1344"/>
    <w:rsid w:val="00FD15DE"/>
    <w:rsid w:val="00FD474E"/>
    <w:rsid w:val="00FD7230"/>
    <w:rsid w:val="00FE06A0"/>
    <w:rsid w:val="00FF088F"/>
    <w:rsid w:val="00FF0AC2"/>
    <w:rsid w:val="00FF3D46"/>
    <w:rsid w:val="00FF41E9"/>
    <w:rsid w:val="00FF427B"/>
    <w:rsid w:val="00FF4712"/>
    <w:rsid w:val="00FF6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652A1"/>
  <w15:chartTrackingRefBased/>
  <w15:docId w15:val="{EE9E5140-460B-4C96-AE6E-9DE357299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1A4"/>
  </w:style>
  <w:style w:type="paragraph" w:styleId="Heading1">
    <w:name w:val="heading 1"/>
    <w:basedOn w:val="Normal"/>
    <w:next w:val="Normal"/>
    <w:link w:val="Heading1Char"/>
    <w:uiPriority w:val="9"/>
    <w:qFormat/>
    <w:rsid w:val="009728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28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28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8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8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8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8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8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8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8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28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28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8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8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8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8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8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86A"/>
    <w:rPr>
      <w:rFonts w:eastAsiaTheme="majorEastAsia" w:cstheme="majorBidi"/>
      <w:color w:val="272727" w:themeColor="text1" w:themeTint="D8"/>
    </w:rPr>
  </w:style>
  <w:style w:type="paragraph" w:styleId="Title">
    <w:name w:val="Title"/>
    <w:basedOn w:val="Normal"/>
    <w:next w:val="Normal"/>
    <w:link w:val="TitleChar"/>
    <w:uiPriority w:val="10"/>
    <w:qFormat/>
    <w:rsid w:val="00972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8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8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86A"/>
    <w:pPr>
      <w:spacing w:before="160"/>
      <w:jc w:val="center"/>
    </w:pPr>
    <w:rPr>
      <w:i/>
      <w:iCs/>
      <w:color w:val="404040" w:themeColor="text1" w:themeTint="BF"/>
    </w:rPr>
  </w:style>
  <w:style w:type="character" w:customStyle="1" w:styleId="QuoteChar">
    <w:name w:val="Quote Char"/>
    <w:basedOn w:val="DefaultParagraphFont"/>
    <w:link w:val="Quote"/>
    <w:uiPriority w:val="29"/>
    <w:rsid w:val="0097286A"/>
    <w:rPr>
      <w:i/>
      <w:iCs/>
      <w:color w:val="404040" w:themeColor="text1" w:themeTint="BF"/>
    </w:rPr>
  </w:style>
  <w:style w:type="paragraph" w:styleId="ListParagraph">
    <w:name w:val="List Paragraph"/>
    <w:basedOn w:val="Normal"/>
    <w:uiPriority w:val="34"/>
    <w:qFormat/>
    <w:rsid w:val="0097286A"/>
    <w:pPr>
      <w:ind w:left="720"/>
      <w:contextualSpacing/>
    </w:pPr>
  </w:style>
  <w:style w:type="character" w:styleId="IntenseEmphasis">
    <w:name w:val="Intense Emphasis"/>
    <w:basedOn w:val="DefaultParagraphFont"/>
    <w:uiPriority w:val="21"/>
    <w:qFormat/>
    <w:rsid w:val="0097286A"/>
    <w:rPr>
      <w:i/>
      <w:iCs/>
      <w:color w:val="0F4761" w:themeColor="accent1" w:themeShade="BF"/>
    </w:rPr>
  </w:style>
  <w:style w:type="paragraph" w:styleId="IntenseQuote">
    <w:name w:val="Intense Quote"/>
    <w:basedOn w:val="Normal"/>
    <w:next w:val="Normal"/>
    <w:link w:val="IntenseQuoteChar"/>
    <w:uiPriority w:val="30"/>
    <w:qFormat/>
    <w:rsid w:val="009728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86A"/>
    <w:rPr>
      <w:i/>
      <w:iCs/>
      <w:color w:val="0F4761" w:themeColor="accent1" w:themeShade="BF"/>
    </w:rPr>
  </w:style>
  <w:style w:type="character" w:styleId="IntenseReference">
    <w:name w:val="Intense Reference"/>
    <w:basedOn w:val="DefaultParagraphFont"/>
    <w:uiPriority w:val="32"/>
    <w:qFormat/>
    <w:rsid w:val="0097286A"/>
    <w:rPr>
      <w:b/>
      <w:bCs/>
      <w:smallCaps/>
      <w:color w:val="0F4761" w:themeColor="accent1" w:themeShade="BF"/>
      <w:spacing w:val="5"/>
    </w:rPr>
  </w:style>
  <w:style w:type="paragraph" w:styleId="Header">
    <w:name w:val="header"/>
    <w:basedOn w:val="Normal"/>
    <w:link w:val="HeaderChar"/>
    <w:uiPriority w:val="99"/>
    <w:unhideWhenUsed/>
    <w:rsid w:val="006E3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915"/>
  </w:style>
  <w:style w:type="paragraph" w:styleId="Footer">
    <w:name w:val="footer"/>
    <w:basedOn w:val="Normal"/>
    <w:link w:val="FooterChar"/>
    <w:uiPriority w:val="99"/>
    <w:unhideWhenUsed/>
    <w:rsid w:val="006E3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915"/>
  </w:style>
  <w:style w:type="paragraph" w:styleId="NoSpacing">
    <w:name w:val="No Spacing"/>
    <w:link w:val="NoSpacingChar"/>
    <w:uiPriority w:val="1"/>
    <w:qFormat/>
    <w:rsid w:val="006E391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E3915"/>
    <w:rPr>
      <w:rFonts w:eastAsiaTheme="minorEastAsia"/>
      <w:kern w:val="0"/>
      <w:sz w:val="22"/>
      <w:szCs w:val="22"/>
      <w:lang w:val="en-US"/>
      <w14:ligatures w14:val="none"/>
    </w:rPr>
  </w:style>
  <w:style w:type="table" w:styleId="TableGrid">
    <w:name w:val="Table Grid"/>
    <w:basedOn w:val="TableNormal"/>
    <w:uiPriority w:val="39"/>
    <w:rsid w:val="0096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F41C8"/>
    <w:rPr>
      <w:b/>
      <w:bCs/>
    </w:rPr>
  </w:style>
  <w:style w:type="paragraph" w:customStyle="1" w:styleId="isselectedend">
    <w:name w:val="isselectedend"/>
    <w:basedOn w:val="Normal"/>
    <w:rsid w:val="00B23F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B23F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484D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87437"/>
    <w:rPr>
      <w:color w:val="467886" w:themeColor="hyperlink"/>
      <w:u w:val="single"/>
    </w:rPr>
  </w:style>
  <w:style w:type="character" w:styleId="UnresolvedMention">
    <w:name w:val="Unresolved Mention"/>
    <w:basedOn w:val="DefaultParagraphFont"/>
    <w:uiPriority w:val="99"/>
    <w:semiHidden/>
    <w:unhideWhenUsed/>
    <w:rsid w:val="00C874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www.abf.co.uk/?utm_source=chatgpt.com" TargetMode="External"/><Relationship Id="rId3" Type="http://schemas.openxmlformats.org/officeDocument/2006/relationships/styles" Target="styles.xml"/><Relationship Id="rId21" Type="http://schemas.openxmlformats.org/officeDocument/2006/relationships/hyperlink" Target="https://ico.org.uk/for-organisations/uk-gdpr-guidance-and-resources/artificial-intelligence/guidance-on-ai-and-data-protection/about-this-guidance/?utm_source=chatgpt.com"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arxiv.org/abs/2409.05019?utm_source=chatgpt.com"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ico.org.uk/for-organisations/uk-gdpr-guidance-and-resources/artificial-intelligence/guidance-on-ai-and-data-protection/how-do-we-ensure-transparency-in-ai/?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ruzzo24ore.tv/news/Primark-apre-in-Italia-Scatta-la-Selezione-del-Personale/162282.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yperlink" Target="https://www.cipd.org/uk/knowledge/factsheets/voice-factsheet/?utm_source=chatgpt.com"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diagramQuickStyle" Target="diagrams/quickStyle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8B1B7B-EE13-485C-B27B-22F7615C9890}"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C940BFF3-8AF8-4486-9332-CFD11FC53C3C}">
      <dgm:prSet phldrT="[Text]" custT="1"/>
      <dgm:spPr/>
      <dgm:t>
        <a:bodyPr/>
        <a:lstStyle/>
        <a:p>
          <a:pPr algn="ctr"/>
          <a:r>
            <a:rPr lang="en-GB" sz="1000"/>
            <a:t>KEEP SATISFIED</a:t>
          </a:r>
        </a:p>
        <a:p>
          <a:pPr algn="ctr"/>
          <a:endParaRPr lang="en-GB" sz="1000">
            <a:latin typeface="Arial" panose="020B0604020202020204" pitchFamily="34" charset="0"/>
            <a:cs typeface="Arial" panose="020B0604020202020204" pitchFamily="34" charset="0"/>
          </a:endParaRPr>
        </a:p>
        <a:p>
          <a:pPr algn="ctr"/>
          <a:endParaRPr lang="en-GB" sz="1000">
            <a:latin typeface="Arial" panose="020B0604020202020204" pitchFamily="34" charset="0"/>
            <a:cs typeface="Arial" panose="020B0604020202020204" pitchFamily="34" charset="0"/>
          </a:endParaRPr>
        </a:p>
        <a:p>
          <a:pPr algn="ctr"/>
          <a:r>
            <a:rPr lang="en-GB" sz="1000">
              <a:latin typeface="Arial" panose="020B0604020202020204" pitchFamily="34" charset="0"/>
              <a:cs typeface="Arial" panose="020B0604020202020204" pitchFamily="34" charset="0"/>
            </a:rPr>
            <a:t>finance</a:t>
          </a:r>
        </a:p>
        <a:p>
          <a:pPr algn="ctr"/>
          <a:r>
            <a:rPr lang="en-GB" sz="1000">
              <a:latin typeface="Arial" panose="020B0604020202020204" pitchFamily="34" charset="0"/>
              <a:cs typeface="Arial" panose="020B0604020202020204" pitchFamily="34" charset="0"/>
            </a:rPr>
            <a:t>payment providers</a:t>
          </a:r>
        </a:p>
        <a:p>
          <a:pPr algn="ctr"/>
          <a:r>
            <a:rPr lang="en-GB" sz="1000">
              <a:latin typeface="Arial" panose="020B0604020202020204" pitchFamily="34" charset="0"/>
              <a:cs typeface="Arial" panose="020B0604020202020204" pitchFamily="34" charset="0"/>
            </a:rPr>
            <a:t>investors</a:t>
          </a:r>
        </a:p>
        <a:p>
          <a:pPr algn="ctr"/>
          <a:r>
            <a:rPr lang="en-GB" sz="1000">
              <a:latin typeface="Arial" panose="020B0604020202020204" pitchFamily="34" charset="0"/>
              <a:cs typeface="Arial" panose="020B0604020202020204" pitchFamily="34" charset="0"/>
            </a:rPr>
            <a:t> </a:t>
          </a:r>
        </a:p>
      </dgm:t>
    </dgm:pt>
    <dgm:pt modelId="{96E8B4A3-DCB0-4B0D-9658-D6DFEF63BF93}" type="parTrans" cxnId="{328EA250-531B-4FC1-AEF0-E4C5763684D7}">
      <dgm:prSet/>
      <dgm:spPr/>
      <dgm:t>
        <a:bodyPr/>
        <a:lstStyle/>
        <a:p>
          <a:pPr algn="ctr"/>
          <a:endParaRPr lang="en-GB"/>
        </a:p>
      </dgm:t>
    </dgm:pt>
    <dgm:pt modelId="{8BBDC008-BEA8-41AE-AC7E-27C8E08201A5}" type="sibTrans" cxnId="{328EA250-531B-4FC1-AEF0-E4C5763684D7}">
      <dgm:prSet/>
      <dgm:spPr/>
      <dgm:t>
        <a:bodyPr/>
        <a:lstStyle/>
        <a:p>
          <a:pPr algn="ctr"/>
          <a:endParaRPr lang="en-GB"/>
        </a:p>
      </dgm:t>
    </dgm:pt>
    <dgm:pt modelId="{520D846C-BB7D-4AA6-9F59-FA0262F6E9FC}">
      <dgm:prSet phldrT="[Text]" phldr="1"/>
      <dgm:spPr/>
      <dgm:t>
        <a:bodyPr/>
        <a:lstStyle/>
        <a:p>
          <a:pPr algn="ctr"/>
          <a:endParaRPr lang="en-GB"/>
        </a:p>
      </dgm:t>
    </dgm:pt>
    <dgm:pt modelId="{4DB29A66-4196-41B1-B51C-1257EEC2166F}" type="parTrans" cxnId="{B1F7D1AB-7672-413F-B3D5-6977B16A13E2}">
      <dgm:prSet/>
      <dgm:spPr/>
      <dgm:t>
        <a:bodyPr/>
        <a:lstStyle/>
        <a:p>
          <a:pPr algn="ctr"/>
          <a:endParaRPr lang="en-GB"/>
        </a:p>
      </dgm:t>
    </dgm:pt>
    <dgm:pt modelId="{7DEA6A71-40C3-49A1-821C-72E9EC6C34F1}" type="sibTrans" cxnId="{B1F7D1AB-7672-413F-B3D5-6977B16A13E2}">
      <dgm:prSet/>
      <dgm:spPr/>
      <dgm:t>
        <a:bodyPr/>
        <a:lstStyle/>
        <a:p>
          <a:pPr algn="ctr"/>
          <a:endParaRPr lang="en-GB"/>
        </a:p>
      </dgm:t>
    </dgm:pt>
    <dgm:pt modelId="{FA2A85FB-DBC5-4732-AF01-74C908BAEB86}">
      <dgm:prSet phldrT="[Text]" phldr="1"/>
      <dgm:spPr/>
      <dgm:t>
        <a:bodyPr/>
        <a:lstStyle/>
        <a:p>
          <a:pPr algn="ctr"/>
          <a:endParaRPr lang="en-GB"/>
        </a:p>
      </dgm:t>
    </dgm:pt>
    <dgm:pt modelId="{2AD339AF-2015-4169-91AF-27CF65871368}" type="parTrans" cxnId="{36BD249E-B107-4EE8-8786-32B527BAC7B2}">
      <dgm:prSet/>
      <dgm:spPr/>
      <dgm:t>
        <a:bodyPr/>
        <a:lstStyle/>
        <a:p>
          <a:pPr algn="ctr"/>
          <a:endParaRPr lang="en-GB"/>
        </a:p>
      </dgm:t>
    </dgm:pt>
    <dgm:pt modelId="{BD9B3064-0FFB-4556-8193-2B557FF83EAD}" type="sibTrans" cxnId="{36BD249E-B107-4EE8-8786-32B527BAC7B2}">
      <dgm:prSet/>
      <dgm:spPr/>
      <dgm:t>
        <a:bodyPr/>
        <a:lstStyle/>
        <a:p>
          <a:pPr algn="ctr"/>
          <a:endParaRPr lang="en-GB"/>
        </a:p>
      </dgm:t>
    </dgm:pt>
    <dgm:pt modelId="{EE80E9C4-B3B3-4C43-AEA5-BBA2CE60B1D1}">
      <dgm:prSet phldrT="[Text]" phldr="1"/>
      <dgm:spPr/>
      <dgm:t>
        <a:bodyPr/>
        <a:lstStyle/>
        <a:p>
          <a:pPr algn="ctr"/>
          <a:endParaRPr lang="en-GB"/>
        </a:p>
      </dgm:t>
    </dgm:pt>
    <dgm:pt modelId="{FEE8E4C2-BAD8-4EFC-AD14-FAB65BC86F5F}" type="parTrans" cxnId="{4A4726BD-A686-45E3-AB88-05E263524581}">
      <dgm:prSet/>
      <dgm:spPr/>
      <dgm:t>
        <a:bodyPr/>
        <a:lstStyle/>
        <a:p>
          <a:pPr algn="ctr"/>
          <a:endParaRPr lang="en-GB"/>
        </a:p>
      </dgm:t>
    </dgm:pt>
    <dgm:pt modelId="{3D780670-42C8-40BD-A39F-0B82FD26AFF0}" type="sibTrans" cxnId="{4A4726BD-A686-45E3-AB88-05E263524581}">
      <dgm:prSet/>
      <dgm:spPr/>
      <dgm:t>
        <a:bodyPr/>
        <a:lstStyle/>
        <a:p>
          <a:pPr algn="ctr"/>
          <a:endParaRPr lang="en-GB"/>
        </a:p>
      </dgm:t>
    </dgm:pt>
    <dgm:pt modelId="{4FF7904E-B017-4153-A8E5-7B530A888836}">
      <dgm:prSet phldrT="[Text]"/>
      <dgm:spPr/>
      <dgm:t>
        <a:bodyPr/>
        <a:lstStyle/>
        <a:p>
          <a:pPr algn="ctr"/>
          <a:endParaRPr lang="en-GB">
            <a:latin typeface="Arial" panose="020B0604020202020204" pitchFamily="34" charset="0"/>
            <a:cs typeface="Arial" panose="020B0604020202020204" pitchFamily="34" charset="0"/>
          </a:endParaRPr>
        </a:p>
      </dgm:t>
    </dgm:pt>
    <dgm:pt modelId="{7295C96E-3BF7-4EFE-8463-2A34634C5A51}" type="parTrans" cxnId="{5A9CDA6A-C9AF-420C-BF40-781E61FF17D6}">
      <dgm:prSet/>
      <dgm:spPr/>
      <dgm:t>
        <a:bodyPr/>
        <a:lstStyle/>
        <a:p>
          <a:endParaRPr lang="en-GB"/>
        </a:p>
      </dgm:t>
    </dgm:pt>
    <dgm:pt modelId="{81F00EB5-6A1C-415D-859B-54CB539467E8}" type="sibTrans" cxnId="{5A9CDA6A-C9AF-420C-BF40-781E61FF17D6}">
      <dgm:prSet/>
      <dgm:spPr/>
      <dgm:t>
        <a:bodyPr/>
        <a:lstStyle/>
        <a:p>
          <a:endParaRPr lang="en-GB"/>
        </a:p>
      </dgm:t>
    </dgm:pt>
    <dgm:pt modelId="{25034AEE-79B7-4904-B283-A2317CC647CE}">
      <dgm:prSet phldrT="[Text]" custT="1"/>
      <dgm:spPr/>
      <dgm:t>
        <a:bodyPr/>
        <a:lstStyle/>
        <a:p>
          <a:pPr algn="ctr">
            <a:buNone/>
          </a:pPr>
          <a:endParaRPr lang="en-GB" sz="1000"/>
        </a:p>
        <a:p>
          <a:pPr algn="ctr">
            <a:buNone/>
          </a:pPr>
          <a:r>
            <a:rPr lang="en-GB" sz="1000"/>
            <a:t>MANAGE CLOSELY</a:t>
          </a:r>
        </a:p>
        <a:p>
          <a:pPr algn="ctr">
            <a:buNone/>
          </a:pPr>
          <a:r>
            <a:rPr lang="en-GB" sz="1000"/>
            <a:t>Board of Directors</a:t>
          </a:r>
        </a:p>
        <a:p>
          <a:pPr algn="ctr">
            <a:buNone/>
          </a:pPr>
          <a:r>
            <a:rPr lang="en-GB" sz="1000">
              <a:latin typeface="Arial" panose="020B0604020202020204" pitchFamily="34" charset="0"/>
              <a:cs typeface="Arial" panose="020B0604020202020204" pitchFamily="34" charset="0"/>
            </a:rPr>
            <a:t>CEO</a:t>
          </a:r>
        </a:p>
        <a:p>
          <a:pPr algn="ctr">
            <a:buNone/>
          </a:pPr>
          <a:r>
            <a:rPr lang="en-GB" sz="1000"/>
            <a:t>Project Manager</a:t>
          </a:r>
        </a:p>
        <a:p>
          <a:pPr algn="ctr">
            <a:buNone/>
          </a:pPr>
          <a:r>
            <a:rPr lang="en-GB" sz="1000"/>
            <a:t>IT Department</a:t>
          </a:r>
        </a:p>
        <a:p>
          <a:pPr algn="ctr">
            <a:buNone/>
          </a:pPr>
          <a:r>
            <a:rPr lang="en-GB" sz="1000"/>
            <a:t>Product Development</a:t>
          </a:r>
        </a:p>
        <a:p>
          <a:pPr algn="ctr">
            <a:buNone/>
          </a:pPr>
          <a:r>
            <a:rPr lang="en-GB" sz="1000"/>
            <a:t>Data Analytics</a:t>
          </a:r>
        </a:p>
        <a:p>
          <a:pPr algn="ctr">
            <a:buNone/>
          </a:pPr>
          <a:r>
            <a:rPr lang="en-GB" sz="1000"/>
            <a:t>              Technology Providers</a:t>
          </a:r>
        </a:p>
        <a:p>
          <a:pPr algn="ctr">
            <a:buNone/>
          </a:pPr>
          <a:r>
            <a:rPr lang="en-GB" sz="1000"/>
            <a:t>                  Government Regulators       </a:t>
          </a:r>
        </a:p>
        <a:p>
          <a:pPr algn="ctr">
            <a:buNone/>
          </a:pPr>
          <a:r>
            <a:rPr lang="en-GB" sz="1000"/>
            <a:t>    GDPR Authorities</a:t>
          </a:r>
        </a:p>
        <a:p>
          <a:pPr algn="ctr">
            <a:buNone/>
          </a:pPr>
          <a:endParaRPr lang="en-GB" sz="1000">
            <a:latin typeface="Arial" panose="020B0604020202020204" pitchFamily="34" charset="0"/>
            <a:cs typeface="Arial" panose="020B0604020202020204" pitchFamily="34" charset="0"/>
          </a:endParaRPr>
        </a:p>
      </dgm:t>
    </dgm:pt>
    <dgm:pt modelId="{BE29D575-20E4-4521-A9BB-5436269D154C}" type="parTrans" cxnId="{A5109A64-652B-40BF-9E7F-9359480E37EA}">
      <dgm:prSet/>
      <dgm:spPr/>
      <dgm:t>
        <a:bodyPr/>
        <a:lstStyle/>
        <a:p>
          <a:endParaRPr lang="en-GB"/>
        </a:p>
      </dgm:t>
    </dgm:pt>
    <dgm:pt modelId="{B9851764-056A-462F-A474-7D31D63ACC03}" type="sibTrans" cxnId="{A5109A64-652B-40BF-9E7F-9359480E37EA}">
      <dgm:prSet/>
      <dgm:spPr/>
      <dgm:t>
        <a:bodyPr/>
        <a:lstStyle/>
        <a:p>
          <a:endParaRPr lang="en-GB"/>
        </a:p>
      </dgm:t>
    </dgm:pt>
    <dgm:pt modelId="{47BB8336-FD1D-407E-8175-C062A1581309}">
      <dgm:prSet phldrT="[Text]" custT="1"/>
      <dgm:spPr/>
      <dgm:t>
        <a:bodyPr/>
        <a:lstStyle/>
        <a:p>
          <a:pPr algn="ctr">
            <a:buNone/>
          </a:pPr>
          <a:r>
            <a:rPr lang="en-GB" sz="1000"/>
            <a:t>KEEP INFORMED </a:t>
          </a:r>
        </a:p>
        <a:p>
          <a:pPr algn="ctr">
            <a:buNone/>
          </a:pPr>
          <a:endParaRPr lang="en-GB" sz="1000"/>
        </a:p>
        <a:p>
          <a:pPr algn="ctr">
            <a:buNone/>
          </a:pPr>
          <a:r>
            <a:rPr lang="en-GB" sz="1000"/>
            <a:t>Marketing Team,Sales Department,Store Managers,Store Employees,HR,Customer Service,Customers,Suppliers,Logistics Partners,Business Partners</a:t>
          </a:r>
        </a:p>
        <a:p>
          <a:pPr algn="ctr">
            <a:buNone/>
          </a:pPr>
          <a:endParaRPr lang="en-GB" sz="1000"/>
        </a:p>
        <a:p>
          <a:pPr algn="ctr">
            <a:buNone/>
          </a:pPr>
          <a:endParaRPr lang="en-GB" sz="1000">
            <a:latin typeface="Arial" panose="020B0604020202020204" pitchFamily="34" charset="0"/>
            <a:cs typeface="Arial" panose="020B0604020202020204" pitchFamily="34" charset="0"/>
          </a:endParaRPr>
        </a:p>
      </dgm:t>
    </dgm:pt>
    <dgm:pt modelId="{20A11682-476D-4EA3-A25B-32A115C42C85}" type="parTrans" cxnId="{92BD5EF5-3A4A-44CA-8C1C-FACACB20ED8B}">
      <dgm:prSet/>
      <dgm:spPr/>
      <dgm:t>
        <a:bodyPr/>
        <a:lstStyle/>
        <a:p>
          <a:endParaRPr lang="en-GB"/>
        </a:p>
      </dgm:t>
    </dgm:pt>
    <dgm:pt modelId="{DDF881E2-64E0-4709-B7D6-CF98993364B2}" type="sibTrans" cxnId="{92BD5EF5-3A4A-44CA-8C1C-FACACB20ED8B}">
      <dgm:prSet/>
      <dgm:spPr/>
      <dgm:t>
        <a:bodyPr/>
        <a:lstStyle/>
        <a:p>
          <a:endParaRPr lang="en-GB"/>
        </a:p>
      </dgm:t>
    </dgm:pt>
    <dgm:pt modelId="{9EB1A80C-8472-4370-96DB-D0A1A973321D}">
      <dgm:prSet phldrT="[Text]" custT="1"/>
      <dgm:spPr/>
      <dgm:t>
        <a:bodyPr/>
        <a:lstStyle/>
        <a:p>
          <a:pPr algn="ctr">
            <a:buNone/>
          </a:pPr>
          <a:endParaRPr lang="en-GB" sz="1000">
            <a:latin typeface="Arial" panose="020B0604020202020204" pitchFamily="34" charset="0"/>
            <a:cs typeface="Arial" panose="020B0604020202020204" pitchFamily="34" charset="0"/>
          </a:endParaRPr>
        </a:p>
      </dgm:t>
    </dgm:pt>
    <dgm:pt modelId="{774C2D82-737C-4678-A10A-7BD66EAA3753}" type="parTrans" cxnId="{14AA9786-2652-48A4-AF7B-827FCF0E9216}">
      <dgm:prSet/>
      <dgm:spPr/>
      <dgm:t>
        <a:bodyPr/>
        <a:lstStyle/>
        <a:p>
          <a:endParaRPr lang="en-GB"/>
        </a:p>
      </dgm:t>
    </dgm:pt>
    <dgm:pt modelId="{9D700DCB-8F99-46D5-8B84-0E123355A9EF}" type="sibTrans" cxnId="{14AA9786-2652-48A4-AF7B-827FCF0E9216}">
      <dgm:prSet/>
      <dgm:spPr/>
      <dgm:t>
        <a:bodyPr/>
        <a:lstStyle/>
        <a:p>
          <a:endParaRPr lang="en-GB"/>
        </a:p>
      </dgm:t>
    </dgm:pt>
    <dgm:pt modelId="{6F1AE658-AB0F-4F7F-8516-DE631157D17A}">
      <dgm:prSet phldrT="[Text]" custT="1"/>
      <dgm:spPr/>
      <dgm:t>
        <a:bodyPr/>
        <a:lstStyle/>
        <a:p>
          <a:pPr algn="ctr">
            <a:buNone/>
          </a:pPr>
          <a:r>
            <a:rPr lang="en-GB" sz="1000"/>
            <a:t>MONITOR</a:t>
          </a:r>
        </a:p>
        <a:p>
          <a:pPr algn="ctr">
            <a:buNone/>
          </a:pPr>
          <a:endParaRPr lang="en-GB" sz="1000"/>
        </a:p>
        <a:p>
          <a:pPr algn="ctr">
            <a:buNone/>
          </a:pPr>
          <a:r>
            <a:rPr lang="en-GB" sz="1000"/>
            <a:t>Local Communities</a:t>
          </a:r>
        </a:p>
        <a:p>
          <a:pPr algn="ctr">
            <a:buNone/>
          </a:pPr>
          <a:r>
            <a:rPr lang="en-GB" sz="1000"/>
            <a:t>Media </a:t>
          </a:r>
        </a:p>
        <a:p>
          <a:pPr algn="ctr">
            <a:buNone/>
          </a:pPr>
          <a:r>
            <a:rPr lang="en-GB" sz="1000"/>
            <a:t>Competitors</a:t>
          </a:r>
        </a:p>
        <a:p>
          <a:pPr algn="ctr">
            <a:buNone/>
          </a:pPr>
          <a:endParaRPr lang="en-GB" sz="1000">
            <a:latin typeface="Arial" panose="020B0604020202020204" pitchFamily="34" charset="0"/>
            <a:cs typeface="Arial" panose="020B0604020202020204" pitchFamily="34" charset="0"/>
          </a:endParaRPr>
        </a:p>
      </dgm:t>
    </dgm:pt>
    <dgm:pt modelId="{F64A64A8-D4F3-4F66-A908-844FA339815C}" type="parTrans" cxnId="{89F480BB-F1E0-4326-B0E7-8E714C956C68}">
      <dgm:prSet/>
      <dgm:spPr/>
      <dgm:t>
        <a:bodyPr/>
        <a:lstStyle/>
        <a:p>
          <a:endParaRPr lang="en-GB"/>
        </a:p>
      </dgm:t>
    </dgm:pt>
    <dgm:pt modelId="{ABE060B6-E494-42D5-BB3F-A0307AC6011A}" type="sibTrans" cxnId="{89F480BB-F1E0-4326-B0E7-8E714C956C68}">
      <dgm:prSet/>
      <dgm:spPr/>
      <dgm:t>
        <a:bodyPr/>
        <a:lstStyle/>
        <a:p>
          <a:endParaRPr lang="en-GB"/>
        </a:p>
      </dgm:t>
    </dgm:pt>
    <dgm:pt modelId="{57D62719-AA2C-4C85-A68B-07FECBE0EFA1}">
      <dgm:prSet/>
      <dgm:spPr/>
      <dgm:t>
        <a:bodyPr/>
        <a:lstStyle/>
        <a:p>
          <a:endParaRPr lang="en-GB"/>
        </a:p>
      </dgm:t>
    </dgm:pt>
    <dgm:pt modelId="{523546E7-AAC9-4A79-A08E-FF7CF7C1B95A}" type="parTrans" cxnId="{75BB3EA6-FD65-4D3F-8468-D81D1907F853}">
      <dgm:prSet/>
      <dgm:spPr/>
      <dgm:t>
        <a:bodyPr/>
        <a:lstStyle/>
        <a:p>
          <a:endParaRPr lang="en-GB"/>
        </a:p>
      </dgm:t>
    </dgm:pt>
    <dgm:pt modelId="{49A237B9-E15B-4EBF-8641-230ECB1D3A38}" type="sibTrans" cxnId="{75BB3EA6-FD65-4D3F-8468-D81D1907F853}">
      <dgm:prSet/>
      <dgm:spPr/>
      <dgm:t>
        <a:bodyPr/>
        <a:lstStyle/>
        <a:p>
          <a:endParaRPr lang="en-GB"/>
        </a:p>
      </dgm:t>
    </dgm:pt>
    <dgm:pt modelId="{6E7DF8E2-F4EF-4E15-8557-308794066226}">
      <dgm:prSet phldrT="[Text]"/>
      <dgm:spPr/>
      <dgm:t>
        <a:bodyPr/>
        <a:lstStyle/>
        <a:p>
          <a:pPr algn="ctr">
            <a:buNone/>
          </a:pPr>
          <a:r>
            <a:rPr lang="en-GB"/>
            <a:t>Mendelow’s Power/Interest Matrix</a:t>
          </a:r>
        </a:p>
      </dgm:t>
    </dgm:pt>
    <dgm:pt modelId="{1783DCDD-6DFA-477D-93C9-0C846905DE42}" type="sibTrans" cxnId="{BFC8049D-384C-444D-9E34-B69225A42F87}">
      <dgm:prSet/>
      <dgm:spPr/>
      <dgm:t>
        <a:bodyPr/>
        <a:lstStyle/>
        <a:p>
          <a:pPr algn="ctr"/>
          <a:endParaRPr lang="en-GB"/>
        </a:p>
      </dgm:t>
    </dgm:pt>
    <dgm:pt modelId="{51AE51B9-B92F-4B24-94DE-B5BE80E258B9}" type="parTrans" cxnId="{BFC8049D-384C-444D-9E34-B69225A42F87}">
      <dgm:prSet/>
      <dgm:spPr/>
      <dgm:t>
        <a:bodyPr/>
        <a:lstStyle/>
        <a:p>
          <a:pPr algn="ctr"/>
          <a:endParaRPr lang="en-GB"/>
        </a:p>
      </dgm:t>
    </dgm:pt>
    <dgm:pt modelId="{39BAF7E5-8C4C-4D37-B56A-030A8EC68FA3}" type="pres">
      <dgm:prSet presAssocID="{EE8B1B7B-EE13-485C-B27B-22F7615C9890}" presName="diagram" presStyleCnt="0">
        <dgm:presLayoutVars>
          <dgm:chMax val="1"/>
          <dgm:dir/>
          <dgm:animLvl val="ctr"/>
          <dgm:resizeHandles val="exact"/>
        </dgm:presLayoutVars>
      </dgm:prSet>
      <dgm:spPr/>
    </dgm:pt>
    <dgm:pt modelId="{F6C21790-2612-4165-9C3F-A53B17144297}" type="pres">
      <dgm:prSet presAssocID="{EE8B1B7B-EE13-485C-B27B-22F7615C9890}" presName="matrix" presStyleCnt="0"/>
      <dgm:spPr/>
    </dgm:pt>
    <dgm:pt modelId="{790B47E5-8696-40B4-9281-AEA4E76A0224}" type="pres">
      <dgm:prSet presAssocID="{EE8B1B7B-EE13-485C-B27B-22F7615C9890}" presName="tile1" presStyleLbl="node1" presStyleIdx="0" presStyleCnt="4" custScaleY="198575"/>
      <dgm:spPr/>
    </dgm:pt>
    <dgm:pt modelId="{4C43AABE-B178-44FD-B8AA-3D5868B3CB6D}" type="pres">
      <dgm:prSet presAssocID="{EE8B1B7B-EE13-485C-B27B-22F7615C9890}" presName="tile1text" presStyleLbl="node1" presStyleIdx="0" presStyleCnt="4">
        <dgm:presLayoutVars>
          <dgm:chMax val="0"/>
          <dgm:chPref val="0"/>
          <dgm:bulletEnabled val="1"/>
        </dgm:presLayoutVars>
      </dgm:prSet>
      <dgm:spPr/>
    </dgm:pt>
    <dgm:pt modelId="{2AC4BD86-73EA-4069-89A9-929EA13C2F1E}" type="pres">
      <dgm:prSet presAssocID="{EE8B1B7B-EE13-485C-B27B-22F7615C9890}" presName="tile2" presStyleLbl="node1" presStyleIdx="1" presStyleCnt="4" custScaleY="198337"/>
      <dgm:spPr/>
    </dgm:pt>
    <dgm:pt modelId="{74406F9A-824B-42DB-8DF5-0F39DF0E42E0}" type="pres">
      <dgm:prSet presAssocID="{EE8B1B7B-EE13-485C-B27B-22F7615C9890}" presName="tile2text" presStyleLbl="node1" presStyleIdx="1" presStyleCnt="4">
        <dgm:presLayoutVars>
          <dgm:chMax val="0"/>
          <dgm:chPref val="0"/>
          <dgm:bulletEnabled val="1"/>
        </dgm:presLayoutVars>
      </dgm:prSet>
      <dgm:spPr/>
    </dgm:pt>
    <dgm:pt modelId="{CB09969F-94DA-4FEC-943A-3BC16DB0BC45}" type="pres">
      <dgm:prSet presAssocID="{EE8B1B7B-EE13-485C-B27B-22F7615C9890}" presName="tile3" presStyleLbl="node1" presStyleIdx="2" presStyleCnt="4"/>
      <dgm:spPr/>
    </dgm:pt>
    <dgm:pt modelId="{D582AC00-02BE-4F99-A89C-CC03F25F041C}" type="pres">
      <dgm:prSet presAssocID="{EE8B1B7B-EE13-485C-B27B-22F7615C9890}" presName="tile3text" presStyleLbl="node1" presStyleIdx="2" presStyleCnt="4">
        <dgm:presLayoutVars>
          <dgm:chMax val="0"/>
          <dgm:chPref val="0"/>
          <dgm:bulletEnabled val="1"/>
        </dgm:presLayoutVars>
      </dgm:prSet>
      <dgm:spPr/>
    </dgm:pt>
    <dgm:pt modelId="{C21569EA-5F6A-46B6-952B-AABF914AAED7}" type="pres">
      <dgm:prSet presAssocID="{EE8B1B7B-EE13-485C-B27B-22F7615C9890}" presName="tile4" presStyleLbl="node1" presStyleIdx="3" presStyleCnt="4" custScaleX="100279" custScaleY="98813"/>
      <dgm:spPr/>
    </dgm:pt>
    <dgm:pt modelId="{30FAB0CA-EEF9-4433-836C-1C3A9CBD7403}" type="pres">
      <dgm:prSet presAssocID="{EE8B1B7B-EE13-485C-B27B-22F7615C9890}" presName="tile4text" presStyleLbl="node1" presStyleIdx="3" presStyleCnt="4">
        <dgm:presLayoutVars>
          <dgm:chMax val="0"/>
          <dgm:chPref val="0"/>
          <dgm:bulletEnabled val="1"/>
        </dgm:presLayoutVars>
      </dgm:prSet>
      <dgm:spPr/>
    </dgm:pt>
    <dgm:pt modelId="{CB686FCA-60AA-4DFC-9CE3-0160C37511E5}" type="pres">
      <dgm:prSet presAssocID="{EE8B1B7B-EE13-485C-B27B-22F7615C9890}" presName="centerTile" presStyleLbl="fgShp" presStyleIdx="0" presStyleCnt="1">
        <dgm:presLayoutVars>
          <dgm:chMax val="0"/>
          <dgm:chPref val="0"/>
        </dgm:presLayoutVars>
      </dgm:prSet>
      <dgm:spPr/>
    </dgm:pt>
  </dgm:ptLst>
  <dgm:cxnLst>
    <dgm:cxn modelId="{6826643F-9D01-49B4-ACDC-E5A9A8C481C8}" type="presOf" srcId="{47BB8336-FD1D-407E-8175-C062A1581309}" destId="{30FAB0CA-EEF9-4433-836C-1C3A9CBD7403}" srcOrd="1" destOrd="0" presId="urn:microsoft.com/office/officeart/2005/8/layout/matrix1"/>
    <dgm:cxn modelId="{927B5E63-D41C-4EB5-A0D2-B2CF72369493}" type="presOf" srcId="{EE8B1B7B-EE13-485C-B27B-22F7615C9890}" destId="{39BAF7E5-8C4C-4D37-B56A-030A8EC68FA3}" srcOrd="0" destOrd="0" presId="urn:microsoft.com/office/officeart/2005/8/layout/matrix1"/>
    <dgm:cxn modelId="{A5109A64-652B-40BF-9E7F-9359480E37EA}" srcId="{6E7DF8E2-F4EF-4E15-8557-308794066226}" destId="{25034AEE-79B7-4904-B283-A2317CC647CE}" srcOrd="1" destOrd="0" parTransId="{BE29D575-20E4-4521-A9BB-5436269D154C}" sibTransId="{B9851764-056A-462F-A474-7D31D63ACC03}"/>
    <dgm:cxn modelId="{5A9CDA6A-C9AF-420C-BF40-781E61FF17D6}" srcId="{6E7DF8E2-F4EF-4E15-8557-308794066226}" destId="{4FF7904E-B017-4153-A8E5-7B530A888836}" srcOrd="6" destOrd="0" parTransId="{7295C96E-3BF7-4EFE-8463-2A34634C5A51}" sibTransId="{81F00EB5-6A1C-415D-859B-54CB539467E8}"/>
    <dgm:cxn modelId="{328EA250-531B-4FC1-AEF0-E4C5763684D7}" srcId="{6E7DF8E2-F4EF-4E15-8557-308794066226}" destId="{C940BFF3-8AF8-4486-9332-CFD11FC53C3C}" srcOrd="0" destOrd="0" parTransId="{96E8B4A3-DCB0-4B0D-9658-D6DFEF63BF93}" sibTransId="{8BBDC008-BEA8-41AE-AC7E-27C8E08201A5}"/>
    <dgm:cxn modelId="{46D92058-627E-4E81-8CEB-905DF60BD24A}" type="presOf" srcId="{6F1AE658-AB0F-4F7F-8516-DE631157D17A}" destId="{D582AC00-02BE-4F99-A89C-CC03F25F041C}" srcOrd="1" destOrd="0" presId="urn:microsoft.com/office/officeart/2005/8/layout/matrix1"/>
    <dgm:cxn modelId="{3A6A685A-B067-4CE8-95A1-505ED30333BC}" type="presOf" srcId="{25034AEE-79B7-4904-B283-A2317CC647CE}" destId="{2AC4BD86-73EA-4069-89A9-929EA13C2F1E}" srcOrd="0" destOrd="0" presId="urn:microsoft.com/office/officeart/2005/8/layout/matrix1"/>
    <dgm:cxn modelId="{A6C1C05A-43E4-4929-9F71-F6237935DA57}" type="presOf" srcId="{47BB8336-FD1D-407E-8175-C062A1581309}" destId="{C21569EA-5F6A-46B6-952B-AABF914AAED7}" srcOrd="0" destOrd="0" presId="urn:microsoft.com/office/officeart/2005/8/layout/matrix1"/>
    <dgm:cxn modelId="{14AA9786-2652-48A4-AF7B-827FCF0E9216}" srcId="{6E7DF8E2-F4EF-4E15-8557-308794066226}" destId="{9EB1A80C-8472-4370-96DB-D0A1A973321D}" srcOrd="5" destOrd="0" parTransId="{774C2D82-737C-4678-A10A-7BD66EAA3753}" sibTransId="{9D700DCB-8F99-46D5-8B84-0E123355A9EF}"/>
    <dgm:cxn modelId="{BFC8049D-384C-444D-9E34-B69225A42F87}" srcId="{EE8B1B7B-EE13-485C-B27B-22F7615C9890}" destId="{6E7DF8E2-F4EF-4E15-8557-308794066226}" srcOrd="0" destOrd="0" parTransId="{51AE51B9-B92F-4B24-94DE-B5BE80E258B9}" sibTransId="{1783DCDD-6DFA-477D-93C9-0C846905DE42}"/>
    <dgm:cxn modelId="{36BD249E-B107-4EE8-8786-32B527BAC7B2}" srcId="{6E7DF8E2-F4EF-4E15-8557-308794066226}" destId="{FA2A85FB-DBC5-4732-AF01-74C908BAEB86}" srcOrd="8" destOrd="0" parTransId="{2AD339AF-2015-4169-91AF-27CF65871368}" sibTransId="{BD9B3064-0FFB-4556-8193-2B557FF83EAD}"/>
    <dgm:cxn modelId="{5101B0A0-BBCB-4CA1-8CCF-FF7FDE1B1AD9}" type="presOf" srcId="{25034AEE-79B7-4904-B283-A2317CC647CE}" destId="{74406F9A-824B-42DB-8DF5-0F39DF0E42E0}" srcOrd="1" destOrd="0" presId="urn:microsoft.com/office/officeart/2005/8/layout/matrix1"/>
    <dgm:cxn modelId="{B22663A5-DD0C-46F3-BE32-33BE38CF1856}" type="presOf" srcId="{C940BFF3-8AF8-4486-9332-CFD11FC53C3C}" destId="{790B47E5-8696-40B4-9281-AEA4E76A0224}" srcOrd="0" destOrd="0" presId="urn:microsoft.com/office/officeart/2005/8/layout/matrix1"/>
    <dgm:cxn modelId="{75BB3EA6-FD65-4D3F-8468-D81D1907F853}" srcId="{6E7DF8E2-F4EF-4E15-8557-308794066226}" destId="{57D62719-AA2C-4C85-A68B-07FECBE0EFA1}" srcOrd="4" destOrd="0" parTransId="{523546E7-AAC9-4A79-A08E-FF7CF7C1B95A}" sibTransId="{49A237B9-E15B-4EBF-8641-230ECB1D3A38}"/>
    <dgm:cxn modelId="{B1F7D1AB-7672-413F-B3D5-6977B16A13E2}" srcId="{6E7DF8E2-F4EF-4E15-8557-308794066226}" destId="{520D846C-BB7D-4AA6-9F59-FA0262F6E9FC}" srcOrd="7" destOrd="0" parTransId="{4DB29A66-4196-41B1-B51C-1257EEC2166F}" sibTransId="{7DEA6A71-40C3-49A1-821C-72E9EC6C34F1}"/>
    <dgm:cxn modelId="{89F480BB-F1E0-4326-B0E7-8E714C956C68}" srcId="{6E7DF8E2-F4EF-4E15-8557-308794066226}" destId="{6F1AE658-AB0F-4F7F-8516-DE631157D17A}" srcOrd="2" destOrd="0" parTransId="{F64A64A8-D4F3-4F66-A908-844FA339815C}" sibTransId="{ABE060B6-E494-42D5-BB3F-A0307AC6011A}"/>
    <dgm:cxn modelId="{4A4726BD-A686-45E3-AB88-05E263524581}" srcId="{6E7DF8E2-F4EF-4E15-8557-308794066226}" destId="{EE80E9C4-B3B3-4C43-AEA5-BBA2CE60B1D1}" srcOrd="9" destOrd="0" parTransId="{FEE8E4C2-BAD8-4EFC-AD14-FAB65BC86F5F}" sibTransId="{3D780670-42C8-40BD-A39F-0B82FD26AFF0}"/>
    <dgm:cxn modelId="{CC134FC4-DDFE-426A-8F1B-883474B95959}" type="presOf" srcId="{6E7DF8E2-F4EF-4E15-8557-308794066226}" destId="{CB686FCA-60AA-4DFC-9CE3-0160C37511E5}" srcOrd="0" destOrd="0" presId="urn:microsoft.com/office/officeart/2005/8/layout/matrix1"/>
    <dgm:cxn modelId="{4E8140DD-A0C8-4546-A151-EF1C01B1C0C0}" type="presOf" srcId="{6F1AE658-AB0F-4F7F-8516-DE631157D17A}" destId="{CB09969F-94DA-4FEC-943A-3BC16DB0BC45}" srcOrd="0" destOrd="0" presId="urn:microsoft.com/office/officeart/2005/8/layout/matrix1"/>
    <dgm:cxn modelId="{EB5358E6-B52D-4D70-8206-19F1CCB3CE40}" type="presOf" srcId="{C940BFF3-8AF8-4486-9332-CFD11FC53C3C}" destId="{4C43AABE-B178-44FD-B8AA-3D5868B3CB6D}" srcOrd="1" destOrd="0" presId="urn:microsoft.com/office/officeart/2005/8/layout/matrix1"/>
    <dgm:cxn modelId="{92BD5EF5-3A4A-44CA-8C1C-FACACB20ED8B}" srcId="{6E7DF8E2-F4EF-4E15-8557-308794066226}" destId="{47BB8336-FD1D-407E-8175-C062A1581309}" srcOrd="3" destOrd="0" parTransId="{20A11682-476D-4EA3-A25B-32A115C42C85}" sibTransId="{DDF881E2-64E0-4709-B7D6-CF98993364B2}"/>
    <dgm:cxn modelId="{F7E53C1D-BE8F-4AF3-A7B6-19F3AE522511}" type="presParOf" srcId="{39BAF7E5-8C4C-4D37-B56A-030A8EC68FA3}" destId="{F6C21790-2612-4165-9C3F-A53B17144297}" srcOrd="0" destOrd="0" presId="urn:microsoft.com/office/officeart/2005/8/layout/matrix1"/>
    <dgm:cxn modelId="{AC9F9F4A-8E19-4352-9F95-6CCCC2FC53E8}" type="presParOf" srcId="{F6C21790-2612-4165-9C3F-A53B17144297}" destId="{790B47E5-8696-40B4-9281-AEA4E76A0224}" srcOrd="0" destOrd="0" presId="urn:microsoft.com/office/officeart/2005/8/layout/matrix1"/>
    <dgm:cxn modelId="{D7366367-00FF-4530-9FC4-2CAEB611F0F6}" type="presParOf" srcId="{F6C21790-2612-4165-9C3F-A53B17144297}" destId="{4C43AABE-B178-44FD-B8AA-3D5868B3CB6D}" srcOrd="1" destOrd="0" presId="urn:microsoft.com/office/officeart/2005/8/layout/matrix1"/>
    <dgm:cxn modelId="{C0F8AE88-1E74-444A-8FC8-11457757BCBE}" type="presParOf" srcId="{F6C21790-2612-4165-9C3F-A53B17144297}" destId="{2AC4BD86-73EA-4069-89A9-929EA13C2F1E}" srcOrd="2" destOrd="0" presId="urn:microsoft.com/office/officeart/2005/8/layout/matrix1"/>
    <dgm:cxn modelId="{8CF5BCC3-0F68-4F67-B169-23520F5E6F35}" type="presParOf" srcId="{F6C21790-2612-4165-9C3F-A53B17144297}" destId="{74406F9A-824B-42DB-8DF5-0F39DF0E42E0}" srcOrd="3" destOrd="0" presId="urn:microsoft.com/office/officeart/2005/8/layout/matrix1"/>
    <dgm:cxn modelId="{29C0E11A-67F5-4C9F-AAAC-E9E2A794C96C}" type="presParOf" srcId="{F6C21790-2612-4165-9C3F-A53B17144297}" destId="{CB09969F-94DA-4FEC-943A-3BC16DB0BC45}" srcOrd="4" destOrd="0" presId="urn:microsoft.com/office/officeart/2005/8/layout/matrix1"/>
    <dgm:cxn modelId="{701D56D4-DC97-4932-92FE-DDC187EC586B}" type="presParOf" srcId="{F6C21790-2612-4165-9C3F-A53B17144297}" destId="{D582AC00-02BE-4F99-A89C-CC03F25F041C}" srcOrd="5" destOrd="0" presId="urn:microsoft.com/office/officeart/2005/8/layout/matrix1"/>
    <dgm:cxn modelId="{03F7D60C-8FD9-4CF3-A525-D56B0C2346A4}" type="presParOf" srcId="{F6C21790-2612-4165-9C3F-A53B17144297}" destId="{C21569EA-5F6A-46B6-952B-AABF914AAED7}" srcOrd="6" destOrd="0" presId="urn:microsoft.com/office/officeart/2005/8/layout/matrix1"/>
    <dgm:cxn modelId="{BFA1FFD1-D890-4662-84D7-D9046A6E106B}" type="presParOf" srcId="{F6C21790-2612-4165-9C3F-A53B17144297}" destId="{30FAB0CA-EEF9-4433-836C-1C3A9CBD7403}" srcOrd="7" destOrd="0" presId="urn:microsoft.com/office/officeart/2005/8/layout/matrix1"/>
    <dgm:cxn modelId="{41DB667A-E0F4-4C33-A960-C66818D329FE}" type="presParOf" srcId="{39BAF7E5-8C4C-4D37-B56A-030A8EC68FA3}" destId="{CB686FCA-60AA-4DFC-9CE3-0160C37511E5}" srcOrd="1" destOrd="0" presId="urn:microsoft.com/office/officeart/2005/8/layout/matrix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0B47E5-8696-40B4-9281-AEA4E76A0224}">
      <dsp:nvSpPr>
        <dsp:cNvPr id="0" name=""/>
        <dsp:cNvSpPr/>
      </dsp:nvSpPr>
      <dsp:spPr>
        <a:xfrm rot="16200000">
          <a:off x="-190501" y="-140493"/>
          <a:ext cx="2654302" cy="227647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KEEP SATISFIED</a:t>
          </a:r>
        </a:p>
        <a:p>
          <a:pPr marL="0" lvl="0" indent="0" algn="ctr"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finance</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payment providers</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investors</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a:t>
          </a:r>
        </a:p>
      </dsp:txBody>
      <dsp:txXfrm rot="5400000">
        <a:off x="-1588" y="-329406"/>
        <a:ext cx="2276475" cy="1990726"/>
      </dsp:txXfrm>
    </dsp:sp>
    <dsp:sp modelId="{2AC4BD86-73EA-4069-89A9-929EA13C2F1E}">
      <dsp:nvSpPr>
        <dsp:cNvPr id="0" name=""/>
        <dsp:cNvSpPr/>
      </dsp:nvSpPr>
      <dsp:spPr>
        <a:xfrm>
          <a:off x="2274887" y="-327816"/>
          <a:ext cx="2276475" cy="2651121"/>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endParaRPr lang="en-GB" sz="1000" kern="1200"/>
        </a:p>
        <a:p>
          <a:pPr marL="0" lvl="0" indent="0" algn="ctr" defTabSz="444500">
            <a:lnSpc>
              <a:spcPct val="90000"/>
            </a:lnSpc>
            <a:spcBef>
              <a:spcPct val="0"/>
            </a:spcBef>
            <a:spcAft>
              <a:spcPct val="35000"/>
            </a:spcAft>
            <a:buNone/>
          </a:pPr>
          <a:r>
            <a:rPr lang="en-GB" sz="1000" kern="1200"/>
            <a:t>MANAGE CLOSELY</a:t>
          </a:r>
        </a:p>
        <a:p>
          <a:pPr marL="0" lvl="0" indent="0" algn="ctr" defTabSz="444500">
            <a:lnSpc>
              <a:spcPct val="90000"/>
            </a:lnSpc>
            <a:spcBef>
              <a:spcPct val="0"/>
            </a:spcBef>
            <a:spcAft>
              <a:spcPct val="35000"/>
            </a:spcAft>
            <a:buNone/>
          </a:pPr>
          <a:r>
            <a:rPr lang="en-GB" sz="1000" kern="1200"/>
            <a:t>Board of Directors</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CEO</a:t>
          </a:r>
        </a:p>
        <a:p>
          <a:pPr marL="0" lvl="0" indent="0" algn="ctr" defTabSz="444500">
            <a:lnSpc>
              <a:spcPct val="90000"/>
            </a:lnSpc>
            <a:spcBef>
              <a:spcPct val="0"/>
            </a:spcBef>
            <a:spcAft>
              <a:spcPct val="35000"/>
            </a:spcAft>
            <a:buNone/>
          </a:pPr>
          <a:r>
            <a:rPr lang="en-GB" sz="1000" kern="1200"/>
            <a:t>Project Manager</a:t>
          </a:r>
        </a:p>
        <a:p>
          <a:pPr marL="0" lvl="0" indent="0" algn="ctr" defTabSz="444500">
            <a:lnSpc>
              <a:spcPct val="90000"/>
            </a:lnSpc>
            <a:spcBef>
              <a:spcPct val="0"/>
            </a:spcBef>
            <a:spcAft>
              <a:spcPct val="35000"/>
            </a:spcAft>
            <a:buNone/>
          </a:pPr>
          <a:r>
            <a:rPr lang="en-GB" sz="1000" kern="1200"/>
            <a:t>IT Department</a:t>
          </a:r>
        </a:p>
        <a:p>
          <a:pPr marL="0" lvl="0" indent="0" algn="ctr" defTabSz="444500">
            <a:lnSpc>
              <a:spcPct val="90000"/>
            </a:lnSpc>
            <a:spcBef>
              <a:spcPct val="0"/>
            </a:spcBef>
            <a:spcAft>
              <a:spcPct val="35000"/>
            </a:spcAft>
            <a:buNone/>
          </a:pPr>
          <a:r>
            <a:rPr lang="en-GB" sz="1000" kern="1200"/>
            <a:t>Product Development</a:t>
          </a:r>
        </a:p>
        <a:p>
          <a:pPr marL="0" lvl="0" indent="0" algn="ctr" defTabSz="444500">
            <a:lnSpc>
              <a:spcPct val="90000"/>
            </a:lnSpc>
            <a:spcBef>
              <a:spcPct val="0"/>
            </a:spcBef>
            <a:spcAft>
              <a:spcPct val="35000"/>
            </a:spcAft>
            <a:buNone/>
          </a:pPr>
          <a:r>
            <a:rPr lang="en-GB" sz="1000" kern="1200"/>
            <a:t>Data Analytics</a:t>
          </a:r>
        </a:p>
        <a:p>
          <a:pPr marL="0" lvl="0" indent="0" algn="ctr" defTabSz="444500">
            <a:lnSpc>
              <a:spcPct val="90000"/>
            </a:lnSpc>
            <a:spcBef>
              <a:spcPct val="0"/>
            </a:spcBef>
            <a:spcAft>
              <a:spcPct val="35000"/>
            </a:spcAft>
            <a:buNone/>
          </a:pPr>
          <a:r>
            <a:rPr lang="en-GB" sz="1000" kern="1200"/>
            <a:t>              Technology Providers</a:t>
          </a:r>
        </a:p>
        <a:p>
          <a:pPr marL="0" lvl="0" indent="0" algn="ctr" defTabSz="444500">
            <a:lnSpc>
              <a:spcPct val="90000"/>
            </a:lnSpc>
            <a:spcBef>
              <a:spcPct val="0"/>
            </a:spcBef>
            <a:spcAft>
              <a:spcPct val="35000"/>
            </a:spcAft>
            <a:buNone/>
          </a:pPr>
          <a:r>
            <a:rPr lang="en-GB" sz="1000" kern="1200"/>
            <a:t>                  Government Regulators       </a:t>
          </a:r>
        </a:p>
        <a:p>
          <a:pPr marL="0" lvl="0" indent="0" algn="ctr" defTabSz="444500">
            <a:lnSpc>
              <a:spcPct val="90000"/>
            </a:lnSpc>
            <a:spcBef>
              <a:spcPct val="0"/>
            </a:spcBef>
            <a:spcAft>
              <a:spcPct val="35000"/>
            </a:spcAft>
            <a:buNone/>
          </a:pPr>
          <a:r>
            <a:rPr lang="en-GB" sz="1000" kern="1200"/>
            <a:t>    GDPR Authorities</a:t>
          </a:r>
        </a:p>
        <a:p>
          <a:pPr marL="0" lvl="0" indent="0" algn="ctr"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dsp:txBody>
      <dsp:txXfrm>
        <a:off x="2274887" y="-327816"/>
        <a:ext cx="2276475" cy="1988340"/>
      </dsp:txXfrm>
    </dsp:sp>
    <dsp:sp modelId="{CB09969F-94DA-4FEC-943A-3BC16DB0BC45}">
      <dsp:nvSpPr>
        <dsp:cNvPr id="0" name=""/>
        <dsp:cNvSpPr/>
      </dsp:nvSpPr>
      <dsp:spPr>
        <a:xfrm rot="10800000">
          <a:off x="-1587" y="1666081"/>
          <a:ext cx="2276475" cy="133667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MONITOR</a:t>
          </a:r>
        </a:p>
        <a:p>
          <a:pPr marL="0" lvl="0" indent="0" algn="ctr" defTabSz="444500">
            <a:lnSpc>
              <a:spcPct val="90000"/>
            </a:lnSpc>
            <a:spcBef>
              <a:spcPct val="0"/>
            </a:spcBef>
            <a:spcAft>
              <a:spcPct val="35000"/>
            </a:spcAft>
            <a:buNone/>
          </a:pPr>
          <a:endParaRPr lang="en-GB" sz="1000" kern="1200"/>
        </a:p>
        <a:p>
          <a:pPr marL="0" lvl="0" indent="0" algn="ctr" defTabSz="444500">
            <a:lnSpc>
              <a:spcPct val="90000"/>
            </a:lnSpc>
            <a:spcBef>
              <a:spcPct val="0"/>
            </a:spcBef>
            <a:spcAft>
              <a:spcPct val="35000"/>
            </a:spcAft>
            <a:buNone/>
          </a:pPr>
          <a:r>
            <a:rPr lang="en-GB" sz="1000" kern="1200"/>
            <a:t>Local Communities</a:t>
          </a:r>
        </a:p>
        <a:p>
          <a:pPr marL="0" lvl="0" indent="0" algn="ctr" defTabSz="444500">
            <a:lnSpc>
              <a:spcPct val="90000"/>
            </a:lnSpc>
            <a:spcBef>
              <a:spcPct val="0"/>
            </a:spcBef>
            <a:spcAft>
              <a:spcPct val="35000"/>
            </a:spcAft>
            <a:buNone/>
          </a:pPr>
          <a:r>
            <a:rPr lang="en-GB" sz="1000" kern="1200"/>
            <a:t>Media </a:t>
          </a:r>
        </a:p>
        <a:p>
          <a:pPr marL="0" lvl="0" indent="0" algn="ctr" defTabSz="444500">
            <a:lnSpc>
              <a:spcPct val="90000"/>
            </a:lnSpc>
            <a:spcBef>
              <a:spcPct val="0"/>
            </a:spcBef>
            <a:spcAft>
              <a:spcPct val="35000"/>
            </a:spcAft>
            <a:buNone/>
          </a:pPr>
          <a:r>
            <a:rPr lang="en-GB" sz="1000" kern="1200"/>
            <a:t>Competitors</a:t>
          </a:r>
        </a:p>
        <a:p>
          <a:pPr marL="0" lvl="0" indent="0" algn="ctr"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dsp:txBody>
      <dsp:txXfrm rot="10800000">
        <a:off x="-1587" y="2000250"/>
        <a:ext cx="2276475" cy="1002506"/>
      </dsp:txXfrm>
    </dsp:sp>
    <dsp:sp modelId="{C21569EA-5F6A-46B6-952B-AABF914AAED7}">
      <dsp:nvSpPr>
        <dsp:cNvPr id="0" name=""/>
        <dsp:cNvSpPr/>
      </dsp:nvSpPr>
      <dsp:spPr>
        <a:xfrm rot="5400000">
          <a:off x="2752720" y="1193006"/>
          <a:ext cx="1320808" cy="228282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KEEP INFORMED </a:t>
          </a:r>
        </a:p>
        <a:p>
          <a:pPr marL="0" lvl="0" indent="0" algn="ctr" defTabSz="444500">
            <a:lnSpc>
              <a:spcPct val="90000"/>
            </a:lnSpc>
            <a:spcBef>
              <a:spcPct val="0"/>
            </a:spcBef>
            <a:spcAft>
              <a:spcPct val="35000"/>
            </a:spcAft>
            <a:buNone/>
          </a:pPr>
          <a:endParaRPr lang="en-GB" sz="1000" kern="1200"/>
        </a:p>
        <a:p>
          <a:pPr marL="0" lvl="0" indent="0" algn="ctr" defTabSz="444500">
            <a:lnSpc>
              <a:spcPct val="90000"/>
            </a:lnSpc>
            <a:spcBef>
              <a:spcPct val="0"/>
            </a:spcBef>
            <a:spcAft>
              <a:spcPct val="35000"/>
            </a:spcAft>
            <a:buNone/>
          </a:pPr>
          <a:r>
            <a:rPr lang="en-GB" sz="1000" kern="1200"/>
            <a:t>Marketing Team,Sales Department,Store Managers,Store Employees,HR,Customer Service,Customers,Suppliers,Logistics Partners,Business Partners</a:t>
          </a:r>
        </a:p>
        <a:p>
          <a:pPr marL="0" lvl="0" indent="0" algn="ctr" defTabSz="444500">
            <a:lnSpc>
              <a:spcPct val="90000"/>
            </a:lnSpc>
            <a:spcBef>
              <a:spcPct val="0"/>
            </a:spcBef>
            <a:spcAft>
              <a:spcPct val="35000"/>
            </a:spcAft>
            <a:buNone/>
          </a:pPr>
          <a:endParaRPr lang="en-GB" sz="1000" kern="1200"/>
        </a:p>
        <a:p>
          <a:pPr marL="0" lvl="0" indent="0" algn="ctr"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dsp:txBody>
      <dsp:txXfrm rot="-5400000">
        <a:off x="2271711" y="2004217"/>
        <a:ext cx="2282826" cy="990606"/>
      </dsp:txXfrm>
    </dsp:sp>
    <dsp:sp modelId="{CB686FCA-60AA-4DFC-9CE3-0160C37511E5}">
      <dsp:nvSpPr>
        <dsp:cNvPr id="0" name=""/>
        <dsp:cNvSpPr/>
      </dsp:nvSpPr>
      <dsp:spPr>
        <a:xfrm>
          <a:off x="1593532" y="1002506"/>
          <a:ext cx="1365885" cy="668337"/>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Mendelow’s Power/Interest Matrix</a:t>
          </a:r>
        </a:p>
      </dsp:txBody>
      <dsp:txXfrm>
        <a:off x="1626158" y="1035132"/>
        <a:ext cx="1300633" cy="60308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1921</TotalTime>
  <Pages>17</Pages>
  <Words>5159</Words>
  <Characters>29407</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Individual Report</vt:lpstr>
    </vt:vector>
  </TitlesOfParts>
  <Company/>
  <LinksUpToDate>false</LinksUpToDate>
  <CharactersWithSpaces>34498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
  <dc:creator>Individual Report: Stakeholder Engagement Strategy for the       Launch of ConnectPlus at Primark                                 Name: Diane Scolari             Student Number: 2412035 Company: Primark             Lecturer’s name: Lakshani Nissanga Mendis                   Module name: Understanding and Engaging Stakeholders          Module code: LCLM5001</dc:creator>
  <cp:keywords/>
  <dc:description/>
  <cp:lastModifiedBy>dianne mariny</cp:lastModifiedBy>
  <cp:revision>591</cp:revision>
  <dcterms:created xsi:type="dcterms:W3CDTF">2026-07-26T20:33:00Z</dcterms:created>
  <dcterms:modified xsi:type="dcterms:W3CDTF">2026-08-13T21:27:00Z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cfad87e3-2d58-4466-8b44-4265a1c02822</vt:lpwstr>
  </property>
</Properties>
</file>