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85187" w14:textId="77777777" w:rsidR="00F91C3A" w:rsidRDefault="00754C95" w:rsidP="00571EB8">
      <w:pPr>
        <w:spacing w:after="194" w:line="360" w:lineRule="auto"/>
        <w:ind w:left="0" w:right="8" w:firstLine="0"/>
        <w:jc w:val="center"/>
      </w:pPr>
      <w:r>
        <w:rPr>
          <w:b/>
          <w:color w:val="1F3864"/>
          <w:sz w:val="28"/>
        </w:rPr>
        <w:t>Component 3: Critical Literature Review</w:t>
      </w:r>
      <w:r>
        <w:t xml:space="preserve"> </w:t>
      </w:r>
    </w:p>
    <w:p w14:paraId="30A4C3D8" w14:textId="5B3859D0" w:rsidR="00F91C3A" w:rsidRDefault="00754C95" w:rsidP="007F2BFC">
      <w:pPr>
        <w:spacing w:after="74" w:line="360" w:lineRule="auto"/>
        <w:ind w:left="0" w:right="0" w:firstLine="0"/>
        <w:jc w:val="center"/>
      </w:pPr>
      <w:r>
        <w:rPr>
          <w:b/>
          <w:sz w:val="26"/>
        </w:rPr>
        <w:t>Microlearning in High-Risk Professional Training: A Critical Literature Review with Specific Reference to Fire and Rescue Services in Wales</w:t>
      </w:r>
      <w:r>
        <w:t xml:space="preserve"> </w:t>
      </w:r>
    </w:p>
    <w:p w14:paraId="3BF9F42F" w14:textId="77777777" w:rsidR="00F91C3A" w:rsidRDefault="00754C95" w:rsidP="00571EB8">
      <w:pPr>
        <w:pStyle w:val="Heading1"/>
        <w:spacing w:after="103" w:line="360" w:lineRule="auto"/>
        <w:ind w:left="-5" w:right="0"/>
      </w:pPr>
      <w:r>
        <w:t xml:space="preserve">1. Introduction </w:t>
      </w:r>
    </w:p>
    <w:p w14:paraId="7F198A2F" w14:textId="7641812D" w:rsidR="00F91C3A" w:rsidRDefault="00754C95" w:rsidP="00571EB8">
      <w:pPr>
        <w:spacing w:line="360" w:lineRule="auto"/>
        <w:ind w:left="-5" w:right="0"/>
      </w:pPr>
      <w:r>
        <w:t>High-risk professional domains such as Fire and Rescue Services (FRS), emergency medicine, and aviation share distinctive training characteristics: time-pressured decision-making, severe consequences of error, complex psychomotor demands, and requirements for coordinated team performance under uncertainty (</w:t>
      </w:r>
      <w:proofErr w:type="spellStart"/>
      <w:r>
        <w:t>Flin</w:t>
      </w:r>
      <w:proofErr w:type="spellEnd"/>
      <w:r>
        <w:t xml:space="preserve"> et al., 2017; Klein, 2017). In Wales specifically, FRS face well-documented challenges: financial constraints, workforce pressures, and structural inequalities in training access between </w:t>
      </w:r>
      <w:r w:rsidR="00144453">
        <w:t>whole time</w:t>
      </w:r>
      <w:r>
        <w:t xml:space="preserve"> and Retained Duty System (RDS) personnel (Welsh Government, 2022). The Welsh Government's (2023) Fire and Rescue National Framework for Wales sets expectations for continuous professional development that are increasingly difficult to meet within existing operational constraints, while HMICFRS (2023) has identified uneven training quality across services, with particular concerns regarding risk-critical skills maintenance. These pressures have intensified </w:t>
      </w:r>
      <w:r w:rsidR="00144453">
        <w:t>organizational</w:t>
      </w:r>
      <w:r>
        <w:t xml:space="preserve"> interest in flexible, digitally mediated training approaches, of which microlearning is among the most frequently advocated. </w:t>
      </w:r>
    </w:p>
    <w:p w14:paraId="7122A8E1" w14:textId="54CE3ABA" w:rsidR="00144453" w:rsidRDefault="00754C95" w:rsidP="00571EB8">
      <w:pPr>
        <w:spacing w:line="360" w:lineRule="auto"/>
        <w:ind w:left="-5" w:right="0"/>
      </w:pPr>
      <w:r>
        <w:t xml:space="preserve">Despite this enthusiasm, the microlearning literature is </w:t>
      </w:r>
      <w:r w:rsidR="00144453">
        <w:t>characterized</w:t>
      </w:r>
      <w:r>
        <w:t xml:space="preserve"> by conceptual imprecision, theoretical ambiguity, and methodological weakness. This review contends, however, that the problem is not merely evidential: there is a more fundamental incompatibility between the cognitive architecture implicit in microlearning design and the nature of expertise in high-reliability environments. The review therefore examines what the existing literature establishes about microlearning in professional contexts, what it fails to establish, and why those limitations may be irreducible rather than contingent on improved research design. Its findings directly inform the proposed qualitative study exploring Welsh firefighters' perceptions of microlearning — questions the existing literature cannot yet answer.</w:t>
      </w:r>
    </w:p>
    <w:p w14:paraId="2B455999" w14:textId="77777777" w:rsidR="00144453" w:rsidRPr="00144453" w:rsidRDefault="00144453" w:rsidP="00571EB8">
      <w:pPr>
        <w:spacing w:line="360" w:lineRule="auto"/>
        <w:ind w:left="-5" w:right="0"/>
        <w:rPr>
          <w:b/>
          <w:color w:val="1F3864"/>
          <w:sz w:val="28"/>
          <w:lang w:val="en-GB" w:eastAsia="en-GB" w:bidi="ar-SA"/>
        </w:rPr>
      </w:pPr>
      <w:r w:rsidRPr="00144453">
        <w:rPr>
          <w:b/>
          <w:color w:val="1F3864"/>
          <w:sz w:val="28"/>
          <w:lang w:val="en-GB" w:eastAsia="en-GB" w:bidi="ar-SA"/>
        </w:rPr>
        <w:t>Research Aim</w:t>
      </w:r>
    </w:p>
    <w:p w14:paraId="5A1EA949" w14:textId="11FE3DE8" w:rsidR="00144453" w:rsidRPr="00144453" w:rsidRDefault="00144453" w:rsidP="00571EB8">
      <w:pPr>
        <w:spacing w:line="360" w:lineRule="auto"/>
        <w:ind w:left="-5" w:right="0"/>
        <w:rPr>
          <w:lang w:val="en-GB"/>
        </w:rPr>
      </w:pPr>
      <w:r w:rsidRPr="00144453">
        <w:rPr>
          <w:lang w:val="en-GB"/>
        </w:rPr>
        <w:t>This review aims to critically examine the literature on microlearning in high-risk professional training, with particular reference to Fire and Rescue Services in Wales.</w:t>
      </w:r>
    </w:p>
    <w:p w14:paraId="65512E9B" w14:textId="77777777" w:rsidR="00144453" w:rsidRPr="00144453" w:rsidRDefault="00144453" w:rsidP="00571EB8">
      <w:pPr>
        <w:spacing w:line="360" w:lineRule="auto"/>
        <w:ind w:left="-5" w:right="0"/>
        <w:rPr>
          <w:lang w:val="en-GB"/>
        </w:rPr>
      </w:pPr>
      <w:r w:rsidRPr="00144453">
        <w:rPr>
          <w:lang w:val="en-GB"/>
        </w:rPr>
        <w:t>Draft Research Question</w:t>
      </w:r>
    </w:p>
    <w:p w14:paraId="256D8534" w14:textId="6DFE3869" w:rsidR="00144453" w:rsidRPr="00144453" w:rsidRDefault="00144453" w:rsidP="00571EB8">
      <w:pPr>
        <w:spacing w:line="360" w:lineRule="auto"/>
        <w:ind w:left="-5" w:right="0"/>
        <w:rPr>
          <w:lang w:val="en-GB"/>
        </w:rPr>
      </w:pPr>
      <w:r w:rsidRPr="00144453">
        <w:rPr>
          <w:lang w:val="en-GB"/>
        </w:rPr>
        <w:t>How do firefighters in Welsh Fire and Rescue Services perceive the usefulness, relevance, and limitations of microlearning in their professional training?</w:t>
      </w:r>
    </w:p>
    <w:p w14:paraId="759BE671" w14:textId="77777777" w:rsidR="00144453" w:rsidRPr="00144453" w:rsidRDefault="00144453" w:rsidP="00571EB8">
      <w:pPr>
        <w:spacing w:line="360" w:lineRule="auto"/>
        <w:ind w:left="-5" w:right="0"/>
        <w:rPr>
          <w:lang w:val="en-GB"/>
        </w:rPr>
      </w:pPr>
      <w:r w:rsidRPr="00144453">
        <w:rPr>
          <w:lang w:val="en-GB"/>
        </w:rPr>
        <w:t>Context</w:t>
      </w:r>
    </w:p>
    <w:p w14:paraId="0638D6D2" w14:textId="54EE56E7" w:rsidR="00F91C3A" w:rsidRPr="00144453" w:rsidRDefault="00144453" w:rsidP="00571EB8">
      <w:pPr>
        <w:spacing w:line="360" w:lineRule="auto"/>
        <w:ind w:left="-5" w:right="0"/>
        <w:rPr>
          <w:lang w:val="en-GB"/>
        </w:rPr>
      </w:pPr>
      <w:r w:rsidRPr="00144453">
        <w:rPr>
          <w:lang w:val="en-GB"/>
        </w:rPr>
        <w:lastRenderedPageBreak/>
        <w:t>This study is situated within current pressures on Welsh Fire and Rescue Services, including training inequalities, operational demands, and growing interest in flexible digital learning approaches.</w:t>
      </w:r>
      <w:r w:rsidR="00754C95">
        <w:t xml:space="preserve"> </w:t>
      </w:r>
    </w:p>
    <w:p w14:paraId="4D95EB7D" w14:textId="77777777" w:rsidR="00F91C3A" w:rsidRDefault="00754C95" w:rsidP="00571EB8">
      <w:pPr>
        <w:pStyle w:val="Heading1"/>
        <w:spacing w:line="360" w:lineRule="auto"/>
        <w:ind w:left="-5" w:right="0"/>
      </w:pPr>
      <w:r>
        <w:t xml:space="preserve">2. Methodology of the Review </w:t>
      </w:r>
    </w:p>
    <w:p w14:paraId="0B77F2E7" w14:textId="77777777" w:rsidR="00F91C3A" w:rsidRDefault="00754C95" w:rsidP="00571EB8">
      <w:pPr>
        <w:pStyle w:val="Heading2"/>
        <w:spacing w:line="360" w:lineRule="auto"/>
        <w:ind w:left="-5"/>
      </w:pPr>
      <w:r>
        <w:t xml:space="preserve">2.1 Search Strategy and Database Selection </w:t>
      </w:r>
    </w:p>
    <w:p w14:paraId="13AE4F41" w14:textId="197366D8" w:rsidR="00F91C3A" w:rsidRDefault="00754C95" w:rsidP="00571EB8">
      <w:pPr>
        <w:spacing w:line="360" w:lineRule="auto"/>
        <w:ind w:left="-5" w:right="0"/>
      </w:pPr>
      <w:r>
        <w:t xml:space="preserve">Literature was identified through structured searches of five academic databases: ERIC (education and training focus), Scopus (broad scientific coverage), Web of Science (high-quality </w:t>
      </w:r>
      <w:r w:rsidR="00144453">
        <w:t>peer reviewed</w:t>
      </w:r>
      <w:r>
        <w:t xml:space="preserve"> literature), PsycINFO (cognitive and psychological foundations), and the British Education Index (UK-specific educational research). Grey literature was additionally sourced from Welsh Government publications, HMICFRS inspection reports, and the National Fire Chiefs Council (NFCC). The search strategy, limiters, and yield for each database are </w:t>
      </w:r>
      <w:r w:rsidR="00144453">
        <w:t>summarized</w:t>
      </w:r>
      <w:r>
        <w:t xml:space="preserve"> in Table 1. Reference lists of included systematic reviews were hand-searched, and forward citation searching via Google Scholar was employed for key theoretical sources. </w:t>
      </w:r>
    </w:p>
    <w:p w14:paraId="21232118" w14:textId="77777777" w:rsidR="00F91C3A" w:rsidRDefault="00754C95" w:rsidP="00571EB8">
      <w:pPr>
        <w:spacing w:after="104" w:line="360" w:lineRule="auto"/>
        <w:ind w:left="0" w:right="0" w:firstLine="0"/>
        <w:jc w:val="left"/>
      </w:pPr>
      <w:r>
        <w:t xml:space="preserve"> </w:t>
      </w:r>
    </w:p>
    <w:p w14:paraId="5BB95D33" w14:textId="77777777" w:rsidR="00F91C3A" w:rsidRDefault="00754C95" w:rsidP="00571EB8">
      <w:pPr>
        <w:pStyle w:val="Heading3"/>
        <w:spacing w:line="360" w:lineRule="auto"/>
        <w:ind w:left="-5"/>
      </w:pPr>
      <w:r>
        <w:t>Table 1: Search Strategy Summary</w:t>
      </w:r>
      <w:r>
        <w:rPr>
          <w:b w:val="0"/>
          <w:sz w:val="22"/>
        </w:rPr>
        <w:t xml:space="preserve"> </w:t>
      </w:r>
    </w:p>
    <w:tbl>
      <w:tblPr>
        <w:tblStyle w:val="TableGrid"/>
        <w:tblW w:w="8401" w:type="dxa"/>
        <w:tblInd w:w="-10" w:type="dxa"/>
        <w:tblCellMar>
          <w:top w:w="53" w:type="dxa"/>
          <w:left w:w="115" w:type="dxa"/>
          <w:right w:w="81" w:type="dxa"/>
        </w:tblCellMar>
        <w:tblLook w:val="04A0" w:firstRow="1" w:lastRow="0" w:firstColumn="1" w:lastColumn="0" w:noHBand="0" w:noVBand="1"/>
      </w:tblPr>
      <w:tblGrid>
        <w:gridCol w:w="1601"/>
        <w:gridCol w:w="2600"/>
        <w:gridCol w:w="2201"/>
        <w:gridCol w:w="1999"/>
      </w:tblGrid>
      <w:tr w:rsidR="00F91C3A" w14:paraId="4E493850" w14:textId="77777777">
        <w:trPr>
          <w:trHeight w:val="359"/>
        </w:trPr>
        <w:tc>
          <w:tcPr>
            <w:tcW w:w="1600" w:type="dxa"/>
            <w:tcBorders>
              <w:top w:val="single" w:sz="2" w:space="0" w:color="CCCCCC"/>
              <w:left w:val="single" w:sz="2" w:space="0" w:color="CCCCCC"/>
              <w:bottom w:val="single" w:sz="32" w:space="0" w:color="FFFFFF"/>
              <w:right w:val="single" w:sz="2" w:space="0" w:color="CCCCCC"/>
            </w:tcBorders>
            <w:shd w:val="clear" w:color="auto" w:fill="2E75B6"/>
          </w:tcPr>
          <w:p w14:paraId="7139524E" w14:textId="77777777" w:rsidR="00F91C3A" w:rsidRDefault="00754C95" w:rsidP="00571EB8">
            <w:pPr>
              <w:spacing w:after="0" w:line="360" w:lineRule="auto"/>
              <w:ind w:left="0" w:right="25" w:firstLine="0"/>
              <w:jc w:val="center"/>
            </w:pPr>
            <w:r>
              <w:rPr>
                <w:b/>
                <w:color w:val="FFFFFF"/>
                <w:sz w:val="18"/>
              </w:rPr>
              <w:t>Database</w:t>
            </w:r>
            <w:r>
              <w:t xml:space="preserve"> </w:t>
            </w:r>
          </w:p>
        </w:tc>
        <w:tc>
          <w:tcPr>
            <w:tcW w:w="2600" w:type="dxa"/>
            <w:tcBorders>
              <w:top w:val="single" w:sz="2" w:space="0" w:color="CCCCCC"/>
              <w:left w:val="single" w:sz="2" w:space="0" w:color="CCCCCC"/>
              <w:bottom w:val="single" w:sz="32" w:space="0" w:color="FFFFFF"/>
              <w:right w:val="single" w:sz="2" w:space="0" w:color="CCCCCC"/>
            </w:tcBorders>
            <w:shd w:val="clear" w:color="auto" w:fill="2E75B6"/>
          </w:tcPr>
          <w:p w14:paraId="3F175FF0" w14:textId="77777777" w:rsidR="00F91C3A" w:rsidRDefault="00754C95" w:rsidP="00571EB8">
            <w:pPr>
              <w:spacing w:after="0" w:line="360" w:lineRule="auto"/>
              <w:ind w:left="0" w:right="25" w:firstLine="0"/>
              <w:jc w:val="center"/>
            </w:pPr>
            <w:r>
              <w:rPr>
                <w:b/>
                <w:color w:val="FFFFFF"/>
                <w:sz w:val="18"/>
              </w:rPr>
              <w:t>Search Terms</w:t>
            </w:r>
            <w:r>
              <w:t xml:space="preserve"> </w:t>
            </w:r>
          </w:p>
        </w:tc>
        <w:tc>
          <w:tcPr>
            <w:tcW w:w="2201" w:type="dxa"/>
            <w:tcBorders>
              <w:top w:val="single" w:sz="2" w:space="0" w:color="CCCCCC"/>
              <w:left w:val="single" w:sz="2" w:space="0" w:color="CCCCCC"/>
              <w:bottom w:val="single" w:sz="32" w:space="0" w:color="FFFFFF"/>
              <w:right w:val="single" w:sz="2" w:space="0" w:color="CCCCCC"/>
            </w:tcBorders>
            <w:shd w:val="clear" w:color="auto" w:fill="2E75B6"/>
          </w:tcPr>
          <w:p w14:paraId="7EC85FB6" w14:textId="77777777" w:rsidR="00F91C3A" w:rsidRDefault="00754C95" w:rsidP="00571EB8">
            <w:pPr>
              <w:spacing w:after="0" w:line="360" w:lineRule="auto"/>
              <w:ind w:left="0" w:right="25" w:firstLine="0"/>
              <w:jc w:val="center"/>
            </w:pPr>
            <w:r>
              <w:rPr>
                <w:b/>
                <w:color w:val="FFFFFF"/>
                <w:sz w:val="18"/>
              </w:rPr>
              <w:t>Limiters Applied</w:t>
            </w:r>
            <w:r>
              <w:t xml:space="preserve"> </w:t>
            </w:r>
          </w:p>
        </w:tc>
        <w:tc>
          <w:tcPr>
            <w:tcW w:w="1999" w:type="dxa"/>
            <w:tcBorders>
              <w:top w:val="single" w:sz="2" w:space="0" w:color="CCCCCC"/>
              <w:left w:val="single" w:sz="2" w:space="0" w:color="CCCCCC"/>
              <w:bottom w:val="single" w:sz="32" w:space="0" w:color="FFFFFF"/>
              <w:right w:val="single" w:sz="2" w:space="0" w:color="CCCCCC"/>
            </w:tcBorders>
            <w:shd w:val="clear" w:color="auto" w:fill="2E75B6"/>
          </w:tcPr>
          <w:p w14:paraId="680CCE0A" w14:textId="77777777" w:rsidR="00F91C3A" w:rsidRDefault="00754C95" w:rsidP="00571EB8">
            <w:pPr>
              <w:spacing w:after="0" w:line="360" w:lineRule="auto"/>
              <w:ind w:left="0" w:right="22" w:firstLine="0"/>
              <w:jc w:val="center"/>
            </w:pPr>
            <w:r>
              <w:rPr>
                <w:b/>
                <w:color w:val="FFFFFF"/>
                <w:sz w:val="18"/>
              </w:rPr>
              <w:t>Results / Included</w:t>
            </w:r>
            <w:r>
              <w:t xml:space="preserve"> </w:t>
            </w:r>
          </w:p>
        </w:tc>
      </w:tr>
      <w:tr w:rsidR="00F91C3A" w14:paraId="18F88D4A" w14:textId="77777777">
        <w:trPr>
          <w:trHeight w:val="822"/>
        </w:trPr>
        <w:tc>
          <w:tcPr>
            <w:tcW w:w="1600" w:type="dxa"/>
            <w:tcBorders>
              <w:top w:val="single" w:sz="32" w:space="0" w:color="FFFFFF"/>
              <w:left w:val="single" w:sz="2" w:space="0" w:color="CCCCCC"/>
              <w:bottom w:val="single" w:sz="32" w:space="0" w:color="FFFFFF"/>
              <w:right w:val="single" w:sz="2" w:space="0" w:color="CCCCCC"/>
            </w:tcBorders>
            <w:vAlign w:val="center"/>
          </w:tcPr>
          <w:p w14:paraId="6A02375E" w14:textId="77777777" w:rsidR="00F91C3A" w:rsidRDefault="00754C95" w:rsidP="00571EB8">
            <w:pPr>
              <w:spacing w:after="0" w:line="360" w:lineRule="auto"/>
              <w:ind w:left="0" w:right="21" w:firstLine="0"/>
              <w:jc w:val="center"/>
            </w:pPr>
            <w:r>
              <w:rPr>
                <w:sz w:val="18"/>
              </w:rPr>
              <w:t>ERIC</w:t>
            </w:r>
            <w:r>
              <w:t xml:space="preserve"> </w:t>
            </w:r>
          </w:p>
        </w:tc>
        <w:tc>
          <w:tcPr>
            <w:tcW w:w="2600" w:type="dxa"/>
            <w:tcBorders>
              <w:top w:val="single" w:sz="32" w:space="0" w:color="FFFFFF"/>
              <w:left w:val="single" w:sz="2" w:space="0" w:color="CCCCCC"/>
              <w:bottom w:val="single" w:sz="32" w:space="0" w:color="FFFFFF"/>
              <w:right w:val="single" w:sz="2" w:space="0" w:color="CCCCCC"/>
            </w:tcBorders>
          </w:tcPr>
          <w:p w14:paraId="7212F6F9" w14:textId="77777777" w:rsidR="00F91C3A" w:rsidRDefault="00754C95" w:rsidP="00571EB8">
            <w:pPr>
              <w:spacing w:after="0" w:line="360" w:lineRule="auto"/>
              <w:ind w:left="0" w:right="21" w:firstLine="0"/>
              <w:jc w:val="center"/>
            </w:pPr>
            <w:r>
              <w:rPr>
                <w:sz w:val="18"/>
              </w:rPr>
              <w:t xml:space="preserve">microlearning AND </w:t>
            </w:r>
          </w:p>
          <w:p w14:paraId="5C99A8E3" w14:textId="77777777" w:rsidR="00F91C3A" w:rsidRDefault="00754C95" w:rsidP="00571EB8">
            <w:pPr>
              <w:spacing w:after="0" w:line="360" w:lineRule="auto"/>
              <w:ind w:left="0" w:right="0" w:firstLine="0"/>
              <w:jc w:val="center"/>
            </w:pPr>
            <w:r>
              <w:rPr>
                <w:sz w:val="18"/>
              </w:rPr>
              <w:t>(professional OR workplace OR training)</w:t>
            </w:r>
            <w:r>
              <w:t xml:space="preserve"> </w:t>
            </w:r>
          </w:p>
        </w:tc>
        <w:tc>
          <w:tcPr>
            <w:tcW w:w="2201" w:type="dxa"/>
            <w:tcBorders>
              <w:top w:val="single" w:sz="32" w:space="0" w:color="FFFFFF"/>
              <w:left w:val="single" w:sz="2" w:space="0" w:color="CCCCCC"/>
              <w:bottom w:val="single" w:sz="32" w:space="0" w:color="FFFFFF"/>
              <w:right w:val="single" w:sz="2" w:space="0" w:color="CCCCCC"/>
            </w:tcBorders>
            <w:vAlign w:val="center"/>
          </w:tcPr>
          <w:p w14:paraId="0DF10507" w14:textId="77777777" w:rsidR="00F91C3A" w:rsidRDefault="00754C95" w:rsidP="00571EB8">
            <w:pPr>
              <w:spacing w:after="0" w:line="360" w:lineRule="auto"/>
              <w:ind w:left="0" w:right="22" w:firstLine="0"/>
              <w:jc w:val="center"/>
            </w:pPr>
            <w:r>
              <w:rPr>
                <w:sz w:val="18"/>
              </w:rPr>
              <w:t>2010–2025; English</w:t>
            </w:r>
            <w:r>
              <w:t xml:space="preserve"> </w:t>
            </w:r>
          </w:p>
        </w:tc>
        <w:tc>
          <w:tcPr>
            <w:tcW w:w="1999" w:type="dxa"/>
            <w:tcBorders>
              <w:top w:val="single" w:sz="32" w:space="0" w:color="FFFFFF"/>
              <w:left w:val="single" w:sz="2" w:space="0" w:color="CCCCCC"/>
              <w:bottom w:val="single" w:sz="32" w:space="0" w:color="FFFFFF"/>
              <w:right w:val="single" w:sz="2" w:space="0" w:color="CCCCCC"/>
            </w:tcBorders>
            <w:vAlign w:val="center"/>
          </w:tcPr>
          <w:p w14:paraId="725A9AFB" w14:textId="77777777" w:rsidR="00F91C3A" w:rsidRDefault="00754C95" w:rsidP="00571EB8">
            <w:pPr>
              <w:spacing w:after="0" w:line="360" w:lineRule="auto"/>
              <w:ind w:left="0" w:right="20" w:firstLine="0"/>
              <w:jc w:val="center"/>
            </w:pPr>
            <w:r>
              <w:rPr>
                <w:sz w:val="18"/>
              </w:rPr>
              <w:t>312 / 18 included</w:t>
            </w:r>
            <w:r>
              <w:t xml:space="preserve"> </w:t>
            </w:r>
          </w:p>
        </w:tc>
      </w:tr>
      <w:tr w:rsidR="00F91C3A" w14:paraId="6C7153D5" w14:textId="77777777">
        <w:trPr>
          <w:trHeight w:val="783"/>
        </w:trPr>
        <w:tc>
          <w:tcPr>
            <w:tcW w:w="1600" w:type="dxa"/>
            <w:tcBorders>
              <w:top w:val="single" w:sz="32" w:space="0" w:color="FFFFFF"/>
              <w:left w:val="single" w:sz="2" w:space="0" w:color="CCCCCC"/>
              <w:bottom w:val="single" w:sz="32" w:space="0" w:color="FFFFFF"/>
              <w:right w:val="single" w:sz="2" w:space="0" w:color="CCCCCC"/>
            </w:tcBorders>
            <w:vAlign w:val="center"/>
          </w:tcPr>
          <w:p w14:paraId="12511E56" w14:textId="77777777" w:rsidR="00F91C3A" w:rsidRDefault="00754C95" w:rsidP="00571EB8">
            <w:pPr>
              <w:spacing w:after="0" w:line="360" w:lineRule="auto"/>
              <w:ind w:left="0" w:right="19" w:firstLine="0"/>
              <w:jc w:val="center"/>
            </w:pPr>
            <w:r>
              <w:rPr>
                <w:sz w:val="18"/>
              </w:rPr>
              <w:t>Scopus</w:t>
            </w:r>
            <w:r>
              <w:t xml:space="preserve"> </w:t>
            </w:r>
          </w:p>
        </w:tc>
        <w:tc>
          <w:tcPr>
            <w:tcW w:w="2600" w:type="dxa"/>
            <w:tcBorders>
              <w:top w:val="single" w:sz="32" w:space="0" w:color="FFFFFF"/>
              <w:left w:val="single" w:sz="2" w:space="0" w:color="CCCCCC"/>
              <w:bottom w:val="single" w:sz="32" w:space="0" w:color="FFFFFF"/>
              <w:right w:val="single" w:sz="2" w:space="0" w:color="CCCCCC"/>
            </w:tcBorders>
          </w:tcPr>
          <w:p w14:paraId="4D058389" w14:textId="77777777" w:rsidR="00F91C3A" w:rsidRDefault="00754C95" w:rsidP="00571EB8">
            <w:pPr>
              <w:spacing w:after="0" w:line="360" w:lineRule="auto"/>
              <w:ind w:left="0" w:right="24" w:firstLine="0"/>
              <w:jc w:val="center"/>
            </w:pPr>
            <w:r>
              <w:rPr>
                <w:sz w:val="18"/>
              </w:rPr>
              <w:t xml:space="preserve">microlearning AND (fire OR </w:t>
            </w:r>
          </w:p>
          <w:p w14:paraId="679404BF" w14:textId="77777777" w:rsidR="00F91C3A" w:rsidRDefault="00754C95" w:rsidP="00571EB8">
            <w:pPr>
              <w:spacing w:after="16" w:line="360" w:lineRule="auto"/>
              <w:ind w:left="0" w:right="24" w:firstLine="0"/>
              <w:jc w:val="center"/>
            </w:pPr>
            <w:r>
              <w:rPr>
                <w:sz w:val="18"/>
              </w:rPr>
              <w:t xml:space="preserve">emergency OR rescue OR </w:t>
            </w:r>
          </w:p>
          <w:p w14:paraId="3486F565" w14:textId="77777777" w:rsidR="00F91C3A" w:rsidRDefault="00754C95" w:rsidP="00571EB8">
            <w:pPr>
              <w:spacing w:after="0" w:line="360" w:lineRule="auto"/>
              <w:ind w:left="0" w:right="23" w:firstLine="0"/>
              <w:jc w:val="center"/>
            </w:pPr>
            <w:r>
              <w:rPr>
                <w:sz w:val="18"/>
              </w:rPr>
              <w:t>safety-critical)</w:t>
            </w:r>
            <w:r>
              <w:t xml:space="preserve"> </w:t>
            </w:r>
          </w:p>
        </w:tc>
        <w:tc>
          <w:tcPr>
            <w:tcW w:w="2201" w:type="dxa"/>
            <w:tcBorders>
              <w:top w:val="single" w:sz="32" w:space="0" w:color="FFFFFF"/>
              <w:left w:val="single" w:sz="2" w:space="0" w:color="CCCCCC"/>
              <w:bottom w:val="single" w:sz="32" w:space="0" w:color="FFFFFF"/>
              <w:right w:val="single" w:sz="2" w:space="0" w:color="CCCCCC"/>
            </w:tcBorders>
            <w:vAlign w:val="center"/>
          </w:tcPr>
          <w:p w14:paraId="3880EDA5" w14:textId="371974AE" w:rsidR="00F91C3A" w:rsidRDefault="00754C95" w:rsidP="00571EB8">
            <w:pPr>
              <w:spacing w:after="0" w:line="360" w:lineRule="auto"/>
              <w:ind w:left="0" w:right="0" w:firstLine="0"/>
              <w:jc w:val="center"/>
            </w:pPr>
            <w:r>
              <w:rPr>
                <w:sz w:val="18"/>
              </w:rPr>
              <w:t xml:space="preserve">2005–2025; English; </w:t>
            </w:r>
            <w:r w:rsidR="00144453">
              <w:rPr>
                <w:sz w:val="18"/>
              </w:rPr>
              <w:t>peer reviewed</w:t>
            </w:r>
            <w:r>
              <w:t xml:space="preserve"> </w:t>
            </w:r>
          </w:p>
        </w:tc>
        <w:tc>
          <w:tcPr>
            <w:tcW w:w="1999" w:type="dxa"/>
            <w:tcBorders>
              <w:top w:val="single" w:sz="32" w:space="0" w:color="FFFFFF"/>
              <w:left w:val="single" w:sz="2" w:space="0" w:color="CCCCCC"/>
              <w:bottom w:val="single" w:sz="32" w:space="0" w:color="FFFFFF"/>
              <w:right w:val="single" w:sz="2" w:space="0" w:color="CCCCCC"/>
            </w:tcBorders>
            <w:vAlign w:val="center"/>
          </w:tcPr>
          <w:p w14:paraId="4529B77F" w14:textId="77777777" w:rsidR="00F91C3A" w:rsidRDefault="00754C95" w:rsidP="00571EB8">
            <w:pPr>
              <w:spacing w:after="0" w:line="360" w:lineRule="auto"/>
              <w:ind w:left="0" w:right="22" w:firstLine="0"/>
              <w:jc w:val="center"/>
            </w:pPr>
            <w:r>
              <w:rPr>
                <w:sz w:val="18"/>
              </w:rPr>
              <w:t>47 / 6 included</w:t>
            </w:r>
            <w:r>
              <w:t xml:space="preserve"> </w:t>
            </w:r>
          </w:p>
        </w:tc>
      </w:tr>
      <w:tr w:rsidR="00F91C3A" w14:paraId="3C6EA9D1" w14:textId="77777777">
        <w:trPr>
          <w:trHeight w:val="785"/>
        </w:trPr>
        <w:tc>
          <w:tcPr>
            <w:tcW w:w="1600" w:type="dxa"/>
            <w:tcBorders>
              <w:top w:val="single" w:sz="32" w:space="0" w:color="FFFFFF"/>
              <w:left w:val="single" w:sz="2" w:space="0" w:color="CCCCCC"/>
              <w:bottom w:val="single" w:sz="32" w:space="0" w:color="FFFFFF"/>
              <w:right w:val="single" w:sz="2" w:space="0" w:color="CCCCCC"/>
            </w:tcBorders>
            <w:vAlign w:val="center"/>
          </w:tcPr>
          <w:p w14:paraId="52AA0445" w14:textId="77777777" w:rsidR="00F91C3A" w:rsidRDefault="00754C95" w:rsidP="00571EB8">
            <w:pPr>
              <w:spacing w:after="0" w:line="360" w:lineRule="auto"/>
              <w:ind w:left="0" w:right="24" w:firstLine="0"/>
              <w:jc w:val="center"/>
            </w:pPr>
            <w:r>
              <w:rPr>
                <w:sz w:val="18"/>
              </w:rPr>
              <w:t>Web of Science</w:t>
            </w:r>
            <w:r>
              <w:t xml:space="preserve"> </w:t>
            </w:r>
          </w:p>
        </w:tc>
        <w:tc>
          <w:tcPr>
            <w:tcW w:w="2600" w:type="dxa"/>
            <w:tcBorders>
              <w:top w:val="single" w:sz="32" w:space="0" w:color="FFFFFF"/>
              <w:left w:val="single" w:sz="2" w:space="0" w:color="CCCCCC"/>
              <w:bottom w:val="single" w:sz="32" w:space="0" w:color="FFFFFF"/>
              <w:right w:val="single" w:sz="2" w:space="0" w:color="CCCCCC"/>
            </w:tcBorders>
          </w:tcPr>
          <w:p w14:paraId="5F72A880" w14:textId="77777777" w:rsidR="00F91C3A" w:rsidRDefault="00754C95" w:rsidP="00571EB8">
            <w:pPr>
              <w:spacing w:after="0" w:line="360" w:lineRule="auto"/>
              <w:ind w:left="0" w:right="24" w:firstLine="0"/>
              <w:jc w:val="center"/>
            </w:pPr>
            <w:r>
              <w:rPr>
                <w:sz w:val="18"/>
              </w:rPr>
              <w:t xml:space="preserve">"microlearning" AND </w:t>
            </w:r>
          </w:p>
          <w:p w14:paraId="4CB723BF" w14:textId="77777777" w:rsidR="00F91C3A" w:rsidRDefault="00754C95" w:rsidP="00571EB8">
            <w:pPr>
              <w:spacing w:after="0" w:line="360" w:lineRule="auto"/>
              <w:ind w:left="0" w:right="0" w:firstLine="0"/>
              <w:jc w:val="center"/>
            </w:pPr>
            <w:r>
              <w:rPr>
                <w:sz w:val="18"/>
              </w:rPr>
              <w:t>("cognitive load" OR "spaced repetition" OR "adult learning")</w:t>
            </w:r>
            <w:r>
              <w:t xml:space="preserve"> </w:t>
            </w:r>
          </w:p>
        </w:tc>
        <w:tc>
          <w:tcPr>
            <w:tcW w:w="2201" w:type="dxa"/>
            <w:tcBorders>
              <w:top w:val="single" w:sz="32" w:space="0" w:color="FFFFFF"/>
              <w:left w:val="single" w:sz="2" w:space="0" w:color="CCCCCC"/>
              <w:bottom w:val="single" w:sz="32" w:space="0" w:color="FFFFFF"/>
              <w:right w:val="single" w:sz="2" w:space="0" w:color="CCCCCC"/>
            </w:tcBorders>
            <w:vAlign w:val="center"/>
          </w:tcPr>
          <w:p w14:paraId="28E329C9" w14:textId="77777777" w:rsidR="00F91C3A" w:rsidRDefault="00754C95" w:rsidP="00571EB8">
            <w:pPr>
              <w:spacing w:after="0" w:line="360" w:lineRule="auto"/>
              <w:ind w:left="0" w:right="22" w:firstLine="0"/>
              <w:jc w:val="center"/>
            </w:pPr>
            <w:r>
              <w:rPr>
                <w:sz w:val="18"/>
              </w:rPr>
              <w:t>2005–2025; English</w:t>
            </w:r>
            <w:r>
              <w:t xml:space="preserve"> </w:t>
            </w:r>
          </w:p>
        </w:tc>
        <w:tc>
          <w:tcPr>
            <w:tcW w:w="1999" w:type="dxa"/>
            <w:tcBorders>
              <w:top w:val="single" w:sz="32" w:space="0" w:color="FFFFFF"/>
              <w:left w:val="single" w:sz="2" w:space="0" w:color="CCCCCC"/>
              <w:bottom w:val="single" w:sz="32" w:space="0" w:color="FFFFFF"/>
              <w:right w:val="single" w:sz="2" w:space="0" w:color="CCCCCC"/>
            </w:tcBorders>
            <w:vAlign w:val="center"/>
          </w:tcPr>
          <w:p w14:paraId="2DC6BDDE" w14:textId="77777777" w:rsidR="00F91C3A" w:rsidRDefault="00754C95" w:rsidP="00571EB8">
            <w:pPr>
              <w:spacing w:after="0" w:line="360" w:lineRule="auto"/>
              <w:ind w:left="0" w:right="20" w:firstLine="0"/>
              <w:jc w:val="center"/>
            </w:pPr>
            <w:r>
              <w:rPr>
                <w:sz w:val="18"/>
              </w:rPr>
              <w:t>198 / 22 included</w:t>
            </w:r>
            <w:r>
              <w:t xml:space="preserve"> </w:t>
            </w:r>
          </w:p>
        </w:tc>
      </w:tr>
      <w:tr w:rsidR="00F91C3A" w14:paraId="73DE267D" w14:textId="77777777">
        <w:trPr>
          <w:trHeight w:val="752"/>
        </w:trPr>
        <w:tc>
          <w:tcPr>
            <w:tcW w:w="1600" w:type="dxa"/>
            <w:tcBorders>
              <w:top w:val="single" w:sz="32" w:space="0" w:color="FFFFFF"/>
              <w:left w:val="single" w:sz="2" w:space="0" w:color="CCCCCC"/>
              <w:bottom w:val="single" w:sz="2" w:space="0" w:color="CCCCCC"/>
              <w:right w:val="single" w:sz="2" w:space="0" w:color="CCCCCC"/>
            </w:tcBorders>
            <w:vAlign w:val="center"/>
          </w:tcPr>
          <w:p w14:paraId="7C758B4B" w14:textId="77777777" w:rsidR="00F91C3A" w:rsidRDefault="00754C95" w:rsidP="00571EB8">
            <w:pPr>
              <w:spacing w:after="0" w:line="360" w:lineRule="auto"/>
              <w:ind w:left="0" w:right="24" w:firstLine="0"/>
              <w:jc w:val="center"/>
            </w:pPr>
            <w:r>
              <w:rPr>
                <w:sz w:val="18"/>
              </w:rPr>
              <w:t>PsycINFO</w:t>
            </w:r>
            <w:r>
              <w:t xml:space="preserve"> </w:t>
            </w:r>
          </w:p>
        </w:tc>
        <w:tc>
          <w:tcPr>
            <w:tcW w:w="2600" w:type="dxa"/>
            <w:tcBorders>
              <w:top w:val="single" w:sz="32" w:space="0" w:color="FFFFFF"/>
              <w:left w:val="single" w:sz="2" w:space="0" w:color="CCCCCC"/>
              <w:bottom w:val="single" w:sz="2" w:space="0" w:color="CCCCCC"/>
              <w:right w:val="single" w:sz="2" w:space="0" w:color="CCCCCC"/>
            </w:tcBorders>
          </w:tcPr>
          <w:p w14:paraId="446DAA51" w14:textId="77777777" w:rsidR="00F91C3A" w:rsidRDefault="00754C95" w:rsidP="00571EB8">
            <w:pPr>
              <w:spacing w:after="0" w:line="360" w:lineRule="auto"/>
              <w:ind w:left="0" w:right="22" w:firstLine="0"/>
              <w:jc w:val="center"/>
            </w:pPr>
            <w:r>
              <w:rPr>
                <w:sz w:val="18"/>
              </w:rPr>
              <w:t xml:space="preserve">microlearning AND (high-risk </w:t>
            </w:r>
          </w:p>
          <w:p w14:paraId="3E2BB8D2" w14:textId="77777777" w:rsidR="00F91C3A" w:rsidRDefault="00754C95" w:rsidP="00571EB8">
            <w:pPr>
              <w:spacing w:after="0" w:line="360" w:lineRule="auto"/>
              <w:ind w:left="0" w:right="0" w:firstLine="0"/>
              <w:jc w:val="center"/>
            </w:pPr>
            <w:r>
              <w:rPr>
                <w:sz w:val="18"/>
              </w:rPr>
              <w:t>OR occupational OR professional development)</w:t>
            </w:r>
            <w:r>
              <w:t xml:space="preserve"> </w:t>
            </w:r>
          </w:p>
        </w:tc>
        <w:tc>
          <w:tcPr>
            <w:tcW w:w="2201" w:type="dxa"/>
            <w:tcBorders>
              <w:top w:val="single" w:sz="32" w:space="0" w:color="FFFFFF"/>
              <w:left w:val="single" w:sz="2" w:space="0" w:color="CCCCCC"/>
              <w:bottom w:val="single" w:sz="2" w:space="0" w:color="CCCCCC"/>
              <w:right w:val="single" w:sz="2" w:space="0" w:color="CCCCCC"/>
            </w:tcBorders>
            <w:vAlign w:val="center"/>
          </w:tcPr>
          <w:p w14:paraId="2E5E3080" w14:textId="77777777" w:rsidR="00F91C3A" w:rsidRDefault="00754C95" w:rsidP="00571EB8">
            <w:pPr>
              <w:spacing w:after="0" w:line="360" w:lineRule="auto"/>
              <w:ind w:left="0" w:right="22" w:firstLine="0"/>
              <w:jc w:val="center"/>
            </w:pPr>
            <w:r>
              <w:rPr>
                <w:sz w:val="18"/>
              </w:rPr>
              <w:t>2005–2025; English</w:t>
            </w:r>
            <w:r>
              <w:t xml:space="preserve"> </w:t>
            </w:r>
          </w:p>
        </w:tc>
        <w:tc>
          <w:tcPr>
            <w:tcW w:w="1999" w:type="dxa"/>
            <w:tcBorders>
              <w:top w:val="single" w:sz="32" w:space="0" w:color="FFFFFF"/>
              <w:left w:val="single" w:sz="2" w:space="0" w:color="CCCCCC"/>
              <w:bottom w:val="single" w:sz="2" w:space="0" w:color="CCCCCC"/>
              <w:right w:val="single" w:sz="2" w:space="0" w:color="CCCCCC"/>
            </w:tcBorders>
            <w:vAlign w:val="center"/>
          </w:tcPr>
          <w:p w14:paraId="6E775AAA" w14:textId="77777777" w:rsidR="00F91C3A" w:rsidRDefault="00754C95" w:rsidP="00571EB8">
            <w:pPr>
              <w:spacing w:after="0" w:line="360" w:lineRule="auto"/>
              <w:ind w:left="0" w:right="22" w:firstLine="0"/>
              <w:jc w:val="center"/>
            </w:pPr>
            <w:r>
              <w:rPr>
                <w:sz w:val="18"/>
              </w:rPr>
              <w:t>84 / 9 included</w:t>
            </w:r>
            <w:r>
              <w:t xml:space="preserve"> </w:t>
            </w:r>
          </w:p>
        </w:tc>
      </w:tr>
      <w:tr w:rsidR="00F91C3A" w14:paraId="7FAA8BDA" w14:textId="77777777">
        <w:trPr>
          <w:trHeight w:val="783"/>
        </w:trPr>
        <w:tc>
          <w:tcPr>
            <w:tcW w:w="1600" w:type="dxa"/>
            <w:tcBorders>
              <w:top w:val="single" w:sz="2" w:space="0" w:color="CCCCCC"/>
              <w:left w:val="single" w:sz="2" w:space="0" w:color="CCCCCC"/>
              <w:bottom w:val="single" w:sz="32" w:space="0" w:color="FFFFFF"/>
              <w:right w:val="single" w:sz="2" w:space="0" w:color="CCCCCC"/>
            </w:tcBorders>
            <w:vAlign w:val="center"/>
          </w:tcPr>
          <w:p w14:paraId="2C77777B" w14:textId="77777777" w:rsidR="00F91C3A" w:rsidRDefault="00754C95" w:rsidP="00571EB8">
            <w:pPr>
              <w:spacing w:after="0" w:line="360" w:lineRule="auto"/>
              <w:ind w:left="0" w:right="0" w:firstLine="0"/>
              <w:jc w:val="center"/>
            </w:pPr>
            <w:r>
              <w:rPr>
                <w:sz w:val="18"/>
              </w:rPr>
              <w:t>British Education Index</w:t>
            </w:r>
            <w:r>
              <w:t xml:space="preserve"> </w:t>
            </w:r>
          </w:p>
        </w:tc>
        <w:tc>
          <w:tcPr>
            <w:tcW w:w="2600" w:type="dxa"/>
            <w:tcBorders>
              <w:top w:val="single" w:sz="2" w:space="0" w:color="CCCCCC"/>
              <w:left w:val="single" w:sz="2" w:space="0" w:color="CCCCCC"/>
              <w:bottom w:val="single" w:sz="32" w:space="0" w:color="FFFFFF"/>
              <w:right w:val="single" w:sz="2" w:space="0" w:color="CCCCCC"/>
            </w:tcBorders>
          </w:tcPr>
          <w:p w14:paraId="7E2F7D13" w14:textId="77777777" w:rsidR="00F91C3A" w:rsidRDefault="00754C95" w:rsidP="00571EB8">
            <w:pPr>
              <w:spacing w:after="0" w:line="360" w:lineRule="auto"/>
              <w:ind w:left="0" w:right="0" w:firstLine="0"/>
              <w:jc w:val="center"/>
            </w:pPr>
            <w:r>
              <w:rPr>
                <w:sz w:val="18"/>
              </w:rPr>
              <w:t>microlearning AND Wales OR 'fire and rescue' OR 'emergency services'</w:t>
            </w:r>
            <w:r>
              <w:t xml:space="preserve"> </w:t>
            </w:r>
          </w:p>
        </w:tc>
        <w:tc>
          <w:tcPr>
            <w:tcW w:w="2201" w:type="dxa"/>
            <w:tcBorders>
              <w:top w:val="single" w:sz="2" w:space="0" w:color="CCCCCC"/>
              <w:left w:val="single" w:sz="2" w:space="0" w:color="CCCCCC"/>
              <w:bottom w:val="single" w:sz="32" w:space="0" w:color="FFFFFF"/>
              <w:right w:val="single" w:sz="2" w:space="0" w:color="CCCCCC"/>
            </w:tcBorders>
            <w:vAlign w:val="center"/>
          </w:tcPr>
          <w:p w14:paraId="7EDE4878" w14:textId="77777777" w:rsidR="00F91C3A" w:rsidRDefault="00754C95" w:rsidP="00571EB8">
            <w:pPr>
              <w:spacing w:after="0" w:line="360" w:lineRule="auto"/>
              <w:ind w:left="0" w:right="33" w:firstLine="0"/>
              <w:jc w:val="center"/>
            </w:pPr>
            <w:r>
              <w:rPr>
                <w:sz w:val="18"/>
              </w:rPr>
              <w:t>2000–2025; English</w:t>
            </w:r>
            <w:r>
              <w:t xml:space="preserve"> </w:t>
            </w:r>
          </w:p>
        </w:tc>
        <w:tc>
          <w:tcPr>
            <w:tcW w:w="1999" w:type="dxa"/>
            <w:tcBorders>
              <w:top w:val="single" w:sz="2" w:space="0" w:color="CCCCCC"/>
              <w:left w:val="single" w:sz="2" w:space="0" w:color="CCCCCC"/>
              <w:bottom w:val="single" w:sz="32" w:space="0" w:color="FFFFFF"/>
              <w:right w:val="single" w:sz="2" w:space="0" w:color="CCCCCC"/>
            </w:tcBorders>
            <w:vAlign w:val="center"/>
          </w:tcPr>
          <w:p w14:paraId="308F2C7D" w14:textId="77777777" w:rsidR="00F91C3A" w:rsidRDefault="00754C95" w:rsidP="00571EB8">
            <w:pPr>
              <w:spacing w:after="0" w:line="360" w:lineRule="auto"/>
              <w:ind w:left="0" w:right="34" w:firstLine="0"/>
              <w:jc w:val="center"/>
            </w:pPr>
            <w:r>
              <w:rPr>
                <w:sz w:val="18"/>
              </w:rPr>
              <w:t>12 / 3 included</w:t>
            </w:r>
            <w:r>
              <w:t xml:space="preserve"> </w:t>
            </w:r>
          </w:p>
        </w:tc>
      </w:tr>
      <w:tr w:rsidR="00F91C3A" w14:paraId="11E92C61" w14:textId="77777777">
        <w:trPr>
          <w:trHeight w:val="961"/>
        </w:trPr>
        <w:tc>
          <w:tcPr>
            <w:tcW w:w="1600" w:type="dxa"/>
            <w:tcBorders>
              <w:top w:val="single" w:sz="32" w:space="0" w:color="FFFFFF"/>
              <w:left w:val="single" w:sz="2" w:space="0" w:color="CCCCCC"/>
              <w:bottom w:val="single" w:sz="2" w:space="0" w:color="CCCCCC"/>
              <w:right w:val="single" w:sz="2" w:space="0" w:color="CCCCCC"/>
            </w:tcBorders>
          </w:tcPr>
          <w:p w14:paraId="4CC41F3C" w14:textId="77777777" w:rsidR="00F91C3A" w:rsidRDefault="00754C95" w:rsidP="00571EB8">
            <w:pPr>
              <w:spacing w:after="0" w:line="360" w:lineRule="auto"/>
              <w:ind w:left="2" w:right="0" w:firstLine="0"/>
              <w:jc w:val="center"/>
            </w:pPr>
            <w:r>
              <w:rPr>
                <w:sz w:val="18"/>
              </w:rPr>
              <w:t>Grey literature (Welsh Gov, HMICFRS, NFCC)</w:t>
            </w:r>
            <w:r>
              <w:t xml:space="preserve"> </w:t>
            </w:r>
          </w:p>
        </w:tc>
        <w:tc>
          <w:tcPr>
            <w:tcW w:w="2600" w:type="dxa"/>
            <w:tcBorders>
              <w:top w:val="single" w:sz="32" w:space="0" w:color="FFFFFF"/>
              <w:left w:val="single" w:sz="2" w:space="0" w:color="CCCCCC"/>
              <w:bottom w:val="single" w:sz="2" w:space="0" w:color="CCCCCC"/>
              <w:right w:val="single" w:sz="2" w:space="0" w:color="CCCCCC"/>
            </w:tcBorders>
            <w:vAlign w:val="center"/>
          </w:tcPr>
          <w:p w14:paraId="1AEF1000" w14:textId="77777777" w:rsidR="00F91C3A" w:rsidRDefault="00754C95" w:rsidP="00571EB8">
            <w:pPr>
              <w:spacing w:after="31" w:line="360" w:lineRule="auto"/>
              <w:ind w:left="0" w:right="0" w:firstLine="0"/>
              <w:jc w:val="center"/>
            </w:pPr>
            <w:r>
              <w:rPr>
                <w:sz w:val="18"/>
              </w:rPr>
              <w:t xml:space="preserve">Welsh FRS training; microlearning policy; fire rescue </w:t>
            </w:r>
          </w:p>
          <w:p w14:paraId="60458340" w14:textId="77777777" w:rsidR="00F91C3A" w:rsidRDefault="00754C95" w:rsidP="00571EB8">
            <w:pPr>
              <w:spacing w:after="0" w:line="360" w:lineRule="auto"/>
              <w:ind w:left="0" w:right="31" w:firstLine="0"/>
              <w:jc w:val="center"/>
            </w:pPr>
            <w:r>
              <w:rPr>
                <w:sz w:val="18"/>
              </w:rPr>
              <w:t>CPD</w:t>
            </w:r>
            <w:r>
              <w:t xml:space="preserve"> </w:t>
            </w:r>
          </w:p>
        </w:tc>
        <w:tc>
          <w:tcPr>
            <w:tcW w:w="2201" w:type="dxa"/>
            <w:tcBorders>
              <w:top w:val="single" w:sz="32" w:space="0" w:color="FFFFFF"/>
              <w:left w:val="single" w:sz="2" w:space="0" w:color="CCCCCC"/>
              <w:bottom w:val="single" w:sz="2" w:space="0" w:color="CCCCCC"/>
              <w:right w:val="single" w:sz="2" w:space="0" w:color="CCCCCC"/>
            </w:tcBorders>
            <w:vAlign w:val="center"/>
          </w:tcPr>
          <w:p w14:paraId="65C91161" w14:textId="77777777" w:rsidR="00F91C3A" w:rsidRDefault="00754C95" w:rsidP="00571EB8">
            <w:pPr>
              <w:spacing w:after="0" w:line="360" w:lineRule="auto"/>
              <w:ind w:left="0" w:right="0" w:firstLine="0"/>
              <w:jc w:val="center"/>
            </w:pPr>
            <w:r>
              <w:rPr>
                <w:sz w:val="18"/>
              </w:rPr>
              <w:t>UK/Wales focus; 2018– 2025</w:t>
            </w:r>
            <w:r>
              <w:t xml:space="preserve"> </w:t>
            </w:r>
          </w:p>
        </w:tc>
        <w:tc>
          <w:tcPr>
            <w:tcW w:w="1999" w:type="dxa"/>
            <w:tcBorders>
              <w:top w:val="single" w:sz="32" w:space="0" w:color="FFFFFF"/>
              <w:left w:val="single" w:sz="2" w:space="0" w:color="CCCCCC"/>
              <w:bottom w:val="single" w:sz="2" w:space="0" w:color="CCCCCC"/>
              <w:right w:val="single" w:sz="2" w:space="0" w:color="CCCCCC"/>
            </w:tcBorders>
            <w:vAlign w:val="center"/>
          </w:tcPr>
          <w:p w14:paraId="6DAC9BFD" w14:textId="77777777" w:rsidR="00F91C3A" w:rsidRDefault="00754C95" w:rsidP="00571EB8">
            <w:pPr>
              <w:spacing w:after="0" w:line="360" w:lineRule="auto"/>
              <w:ind w:left="0" w:right="34" w:firstLine="0"/>
              <w:jc w:val="center"/>
            </w:pPr>
            <w:r>
              <w:rPr>
                <w:sz w:val="18"/>
              </w:rPr>
              <w:t>8 / 5 included</w:t>
            </w:r>
            <w:r>
              <w:t xml:space="preserve"> </w:t>
            </w:r>
          </w:p>
        </w:tc>
      </w:tr>
    </w:tbl>
    <w:p w14:paraId="39583545" w14:textId="77777777" w:rsidR="00F91C3A" w:rsidRDefault="00754C95" w:rsidP="00571EB8">
      <w:pPr>
        <w:spacing w:after="301" w:line="360" w:lineRule="auto"/>
        <w:ind w:left="-5" w:right="0"/>
        <w:jc w:val="left"/>
      </w:pPr>
      <w:r>
        <w:rPr>
          <w:i/>
          <w:sz w:val="18"/>
        </w:rPr>
        <w:t>Note: Titles and abstracts were screened independently; full texts retrieved where inclusion criteria were met.</w:t>
      </w:r>
      <w:r>
        <w:t xml:space="preserve"> </w:t>
      </w:r>
    </w:p>
    <w:p w14:paraId="08005C1B" w14:textId="77777777" w:rsidR="00F91C3A" w:rsidRDefault="00754C95" w:rsidP="00571EB8">
      <w:pPr>
        <w:pStyle w:val="Heading2"/>
        <w:spacing w:line="360" w:lineRule="auto"/>
        <w:ind w:left="-5"/>
      </w:pPr>
      <w:r>
        <w:lastRenderedPageBreak/>
        <w:t xml:space="preserve">2.2 Inclusion and Exclusion Criteria </w:t>
      </w:r>
    </w:p>
    <w:p w14:paraId="1C53E5D9" w14:textId="5C29CE43" w:rsidR="00F91C3A" w:rsidRDefault="00754C95" w:rsidP="00571EB8">
      <w:pPr>
        <w:spacing w:line="360" w:lineRule="auto"/>
        <w:ind w:left="-5" w:right="0"/>
      </w:pPr>
      <w:r>
        <w:t xml:space="preserve">Studies were included if they: (a) addressed microlearning or closely related concepts in professional or workplace contexts; (b) examined theoretical frameworks relevant to microlearning design; or (c) provided empirical evidence from healthcare, emergency services, aviation, or comparable high-risk domains. Studies examining microlearning solely in K-12 settings, or not available in English, were excluded. </w:t>
      </w:r>
    </w:p>
    <w:p w14:paraId="59A58A20" w14:textId="77777777" w:rsidR="00F91C3A" w:rsidRDefault="00754C95" w:rsidP="00571EB8">
      <w:pPr>
        <w:pStyle w:val="Heading2"/>
        <w:spacing w:line="360" w:lineRule="auto"/>
        <w:ind w:left="-5"/>
      </w:pPr>
      <w:r>
        <w:t xml:space="preserve">2.3 Quality Assessment: CRAAP Framework and Methodological Hierarchy </w:t>
      </w:r>
    </w:p>
    <w:p w14:paraId="3D58A88F" w14:textId="77777777" w:rsidR="006B6C88" w:rsidRPr="006B6C88" w:rsidRDefault="00754C95" w:rsidP="00571EB8">
      <w:pPr>
        <w:spacing w:line="360" w:lineRule="auto"/>
        <w:ind w:left="-5" w:right="0"/>
        <w:rPr>
          <w:lang w:val="en-GB"/>
        </w:rPr>
      </w:pPr>
      <w:r>
        <w:t xml:space="preserve">Source quality was assessed using the CRAAP framework (Blakeslee, 2004) for initial screening, supplemented by methodological hierarchy criteria (see Table 2). Studies were weighted according to design strength (RCTs and controlled quasi-experiments weighted more heavily than </w:t>
      </w:r>
      <w:r w:rsidR="00144453">
        <w:t>single group</w:t>
      </w:r>
      <w:r>
        <w:t xml:space="preserve"> pre-post designs); population relevance (studies involving experienced professionals in </w:t>
      </w:r>
      <w:r w:rsidR="00144453">
        <w:t>high-risk</w:t>
      </w:r>
      <w:r>
        <w:t xml:space="preserve"> domains weighted above student-based studies); and outcome validity (sustained operational performance outcomes weighted above satisfaction or immediate knowledge gain). </w:t>
      </w:r>
      <w:r w:rsidR="00144453">
        <w:t>Advocacy driven</w:t>
      </w:r>
      <w:r>
        <w:t xml:space="preserve"> or commercially sponsored sources were flagged and treated with explicit </w:t>
      </w:r>
      <w:r w:rsidR="00144453">
        <w:t>skepticism</w:t>
      </w:r>
      <w:r>
        <w:t xml:space="preserve">, reflecting the structural publication bias toward positive findings that </w:t>
      </w:r>
      <w:r w:rsidR="00144453">
        <w:t>characterizes</w:t>
      </w:r>
      <w:r>
        <w:t xml:space="preserve"> this literature. </w:t>
      </w:r>
      <w:r w:rsidR="006B6C88" w:rsidRPr="006B6C88">
        <w:rPr>
          <w:lang w:val="en-GB"/>
        </w:rPr>
        <w:t>This review has several limitations. It was restricted to English-language sources and focused primarily on databases relevant to education, psychology, and professional learning. In addition, because empirical studies on microlearning in fire and rescue settings are scarce, some conclusions rely on evidence from adjacent sectors such as healthcare. These limitations reinforce the need for context-specific qualitative research.</w:t>
      </w:r>
    </w:p>
    <w:p w14:paraId="755C3AF4" w14:textId="77777777" w:rsidR="00F91C3A" w:rsidRDefault="00754C95" w:rsidP="00571EB8">
      <w:pPr>
        <w:pStyle w:val="Heading3"/>
        <w:spacing w:line="360" w:lineRule="auto"/>
        <w:ind w:left="-5"/>
      </w:pPr>
      <w:r>
        <w:t>Table 2: Quality Appraisal Criteria</w:t>
      </w:r>
      <w:r>
        <w:rPr>
          <w:b w:val="0"/>
          <w:sz w:val="22"/>
        </w:rPr>
        <w:t xml:space="preserve"> </w:t>
      </w:r>
    </w:p>
    <w:tbl>
      <w:tblPr>
        <w:tblStyle w:val="TableGrid"/>
        <w:tblW w:w="8401" w:type="dxa"/>
        <w:tblInd w:w="-10" w:type="dxa"/>
        <w:tblCellMar>
          <w:top w:w="52" w:type="dxa"/>
          <w:left w:w="121" w:type="dxa"/>
          <w:right w:w="115" w:type="dxa"/>
        </w:tblCellMar>
        <w:tblLook w:val="04A0" w:firstRow="1" w:lastRow="0" w:firstColumn="1" w:lastColumn="0" w:noHBand="0" w:noVBand="1"/>
      </w:tblPr>
      <w:tblGrid>
        <w:gridCol w:w="2400"/>
        <w:gridCol w:w="6001"/>
      </w:tblGrid>
      <w:tr w:rsidR="00F91C3A" w14:paraId="12192490" w14:textId="77777777">
        <w:trPr>
          <w:trHeight w:val="357"/>
        </w:trPr>
        <w:tc>
          <w:tcPr>
            <w:tcW w:w="2400" w:type="dxa"/>
            <w:tcBorders>
              <w:top w:val="single" w:sz="2" w:space="0" w:color="CCCCCC"/>
              <w:left w:val="single" w:sz="2" w:space="0" w:color="CCCCCC"/>
              <w:bottom w:val="single" w:sz="32" w:space="0" w:color="FFFFFF"/>
              <w:right w:val="single" w:sz="2" w:space="0" w:color="CCCCCC"/>
            </w:tcBorders>
            <w:shd w:val="clear" w:color="auto" w:fill="2E75B6"/>
          </w:tcPr>
          <w:p w14:paraId="6E4E8CD0" w14:textId="77777777" w:rsidR="00F91C3A" w:rsidRDefault="00754C95" w:rsidP="00571EB8">
            <w:pPr>
              <w:spacing w:after="0" w:line="360" w:lineRule="auto"/>
              <w:ind w:left="0" w:right="0" w:firstLine="0"/>
              <w:jc w:val="left"/>
            </w:pPr>
            <w:r>
              <w:rPr>
                <w:b/>
                <w:color w:val="FFFFFF"/>
                <w:sz w:val="18"/>
              </w:rPr>
              <w:t>Criterion</w:t>
            </w:r>
            <w:r>
              <w:t xml:space="preserve"> </w:t>
            </w:r>
          </w:p>
        </w:tc>
        <w:tc>
          <w:tcPr>
            <w:tcW w:w="6001" w:type="dxa"/>
            <w:tcBorders>
              <w:top w:val="single" w:sz="2" w:space="0" w:color="CCCCCC"/>
              <w:left w:val="single" w:sz="2" w:space="0" w:color="CCCCCC"/>
              <w:bottom w:val="single" w:sz="32" w:space="0" w:color="FFFFFF"/>
              <w:right w:val="single" w:sz="2" w:space="0" w:color="CCCCCC"/>
            </w:tcBorders>
            <w:shd w:val="clear" w:color="auto" w:fill="2E75B6"/>
          </w:tcPr>
          <w:p w14:paraId="567CF03C" w14:textId="77777777" w:rsidR="00F91C3A" w:rsidRDefault="00754C95" w:rsidP="00571EB8">
            <w:pPr>
              <w:spacing w:after="0" w:line="360" w:lineRule="auto"/>
              <w:ind w:left="0" w:right="0" w:firstLine="0"/>
              <w:jc w:val="left"/>
            </w:pPr>
            <w:r>
              <w:rPr>
                <w:b/>
                <w:color w:val="FFFFFF"/>
                <w:sz w:val="18"/>
              </w:rPr>
              <w:t>Application in This Review</w:t>
            </w:r>
            <w:r>
              <w:t xml:space="preserve"> </w:t>
            </w:r>
          </w:p>
        </w:tc>
      </w:tr>
      <w:tr w:rsidR="00F91C3A" w14:paraId="270BA80E" w14:textId="77777777">
        <w:trPr>
          <w:trHeight w:val="616"/>
        </w:trPr>
        <w:tc>
          <w:tcPr>
            <w:tcW w:w="2400" w:type="dxa"/>
            <w:tcBorders>
              <w:top w:val="single" w:sz="32" w:space="0" w:color="FFFFFF"/>
              <w:left w:val="single" w:sz="2" w:space="0" w:color="CCCCCC"/>
              <w:bottom w:val="single" w:sz="32" w:space="0" w:color="FFFFFF"/>
              <w:right w:val="single" w:sz="2" w:space="0" w:color="CCCCCC"/>
            </w:tcBorders>
          </w:tcPr>
          <w:p w14:paraId="699C57F7" w14:textId="77777777" w:rsidR="00F91C3A" w:rsidRDefault="00754C95" w:rsidP="00571EB8">
            <w:pPr>
              <w:spacing w:after="0" w:line="360" w:lineRule="auto"/>
              <w:ind w:left="0" w:right="0" w:firstLine="0"/>
              <w:jc w:val="left"/>
            </w:pPr>
            <w:r>
              <w:rPr>
                <w:sz w:val="18"/>
              </w:rPr>
              <w:t>Currency (CRAAP)</w:t>
            </w:r>
            <w:r>
              <w:t xml:space="preserve"> </w:t>
            </w:r>
          </w:p>
        </w:tc>
        <w:tc>
          <w:tcPr>
            <w:tcW w:w="6001" w:type="dxa"/>
            <w:tcBorders>
              <w:top w:val="single" w:sz="32" w:space="0" w:color="FFFFFF"/>
              <w:left w:val="single" w:sz="2" w:space="0" w:color="CCCCCC"/>
              <w:bottom w:val="single" w:sz="32" w:space="0" w:color="FFFFFF"/>
              <w:right w:val="single" w:sz="2" w:space="0" w:color="CCCCCC"/>
            </w:tcBorders>
          </w:tcPr>
          <w:p w14:paraId="2DE78CA7" w14:textId="1687294E" w:rsidR="00F91C3A" w:rsidRDefault="00CB0615" w:rsidP="00571EB8">
            <w:pPr>
              <w:spacing w:after="0" w:line="360" w:lineRule="auto"/>
              <w:ind w:left="0" w:right="0" w:firstLine="0"/>
              <w:jc w:val="left"/>
            </w:pPr>
            <w:r>
              <w:rPr>
                <w:sz w:val="18"/>
              </w:rPr>
              <w:t>Prioritized</w:t>
            </w:r>
            <w:r w:rsidR="00754C95">
              <w:rPr>
                <w:sz w:val="18"/>
              </w:rPr>
              <w:t xml:space="preserve"> sources from 2010–2025; seminal works retained where foundational</w:t>
            </w:r>
            <w:r w:rsidR="00754C95">
              <w:t xml:space="preserve"> </w:t>
            </w:r>
          </w:p>
        </w:tc>
      </w:tr>
      <w:tr w:rsidR="00F91C3A" w14:paraId="3771F2C9" w14:textId="77777777">
        <w:trPr>
          <w:trHeight w:val="576"/>
        </w:trPr>
        <w:tc>
          <w:tcPr>
            <w:tcW w:w="2400" w:type="dxa"/>
            <w:tcBorders>
              <w:top w:val="single" w:sz="32" w:space="0" w:color="FFFFFF"/>
              <w:left w:val="single" w:sz="2" w:space="0" w:color="CCCCCC"/>
              <w:bottom w:val="single" w:sz="32" w:space="0" w:color="FFFFFF"/>
              <w:right w:val="single" w:sz="2" w:space="0" w:color="CCCCCC"/>
            </w:tcBorders>
          </w:tcPr>
          <w:p w14:paraId="053ADC35" w14:textId="77777777" w:rsidR="00F91C3A" w:rsidRDefault="00754C95" w:rsidP="00571EB8">
            <w:pPr>
              <w:spacing w:after="0" w:line="360" w:lineRule="auto"/>
              <w:ind w:left="0" w:right="0" w:firstLine="0"/>
              <w:jc w:val="left"/>
            </w:pPr>
            <w:r>
              <w:rPr>
                <w:sz w:val="18"/>
              </w:rPr>
              <w:t>Relevance (CRAAP)</w:t>
            </w:r>
            <w:r>
              <w:t xml:space="preserve"> </w:t>
            </w:r>
          </w:p>
        </w:tc>
        <w:tc>
          <w:tcPr>
            <w:tcW w:w="6001" w:type="dxa"/>
            <w:tcBorders>
              <w:top w:val="single" w:sz="32" w:space="0" w:color="FFFFFF"/>
              <w:left w:val="single" w:sz="2" w:space="0" w:color="CCCCCC"/>
              <w:bottom w:val="single" w:sz="32" w:space="0" w:color="FFFFFF"/>
              <w:right w:val="single" w:sz="2" w:space="0" w:color="CCCCCC"/>
            </w:tcBorders>
          </w:tcPr>
          <w:p w14:paraId="3E1E9CCB" w14:textId="77777777" w:rsidR="00F91C3A" w:rsidRDefault="00754C95" w:rsidP="00571EB8">
            <w:pPr>
              <w:spacing w:after="0" w:line="360" w:lineRule="auto"/>
              <w:ind w:left="0" w:right="0" w:firstLine="0"/>
              <w:jc w:val="left"/>
            </w:pPr>
            <w:r>
              <w:rPr>
                <w:sz w:val="18"/>
              </w:rPr>
              <w:t>Sources must address microlearning in professional/high-risk contexts or provide directly applicable theoretical underpinning</w:t>
            </w:r>
            <w:r>
              <w:t xml:space="preserve"> </w:t>
            </w:r>
          </w:p>
        </w:tc>
      </w:tr>
      <w:tr w:rsidR="00F91C3A" w14:paraId="4B8B26C6" w14:textId="77777777">
        <w:trPr>
          <w:trHeight w:val="576"/>
        </w:trPr>
        <w:tc>
          <w:tcPr>
            <w:tcW w:w="2400" w:type="dxa"/>
            <w:tcBorders>
              <w:top w:val="single" w:sz="32" w:space="0" w:color="FFFFFF"/>
              <w:left w:val="single" w:sz="2" w:space="0" w:color="CCCCCC"/>
              <w:bottom w:val="single" w:sz="32" w:space="0" w:color="FFFFFF"/>
              <w:right w:val="single" w:sz="2" w:space="0" w:color="CCCCCC"/>
            </w:tcBorders>
          </w:tcPr>
          <w:p w14:paraId="297BD719" w14:textId="77777777" w:rsidR="00F91C3A" w:rsidRDefault="00754C95" w:rsidP="00571EB8">
            <w:pPr>
              <w:spacing w:after="0" w:line="360" w:lineRule="auto"/>
              <w:ind w:left="0" w:right="0" w:firstLine="0"/>
              <w:jc w:val="left"/>
            </w:pPr>
            <w:r>
              <w:rPr>
                <w:sz w:val="18"/>
              </w:rPr>
              <w:t>Authority (CRAAP)</w:t>
            </w:r>
            <w:r>
              <w:t xml:space="preserve"> </w:t>
            </w:r>
          </w:p>
        </w:tc>
        <w:tc>
          <w:tcPr>
            <w:tcW w:w="6001" w:type="dxa"/>
            <w:tcBorders>
              <w:top w:val="single" w:sz="32" w:space="0" w:color="FFFFFF"/>
              <w:left w:val="single" w:sz="2" w:space="0" w:color="CCCCCC"/>
              <w:bottom w:val="single" w:sz="32" w:space="0" w:color="FFFFFF"/>
              <w:right w:val="single" w:sz="2" w:space="0" w:color="CCCCCC"/>
            </w:tcBorders>
          </w:tcPr>
          <w:p w14:paraId="0EF797E7" w14:textId="77777777" w:rsidR="00F91C3A" w:rsidRDefault="00754C95" w:rsidP="00571EB8">
            <w:pPr>
              <w:spacing w:after="0" w:line="360" w:lineRule="auto"/>
              <w:ind w:left="0" w:right="0" w:firstLine="0"/>
            </w:pPr>
            <w:r>
              <w:rPr>
                <w:sz w:val="18"/>
              </w:rPr>
              <w:t>Preference given to peer-reviewed journals; grey literature cross-referenced with policy bodies</w:t>
            </w:r>
            <w:r>
              <w:t xml:space="preserve"> </w:t>
            </w:r>
          </w:p>
        </w:tc>
      </w:tr>
      <w:tr w:rsidR="00F91C3A" w14:paraId="6677825D" w14:textId="77777777">
        <w:trPr>
          <w:trHeight w:val="577"/>
        </w:trPr>
        <w:tc>
          <w:tcPr>
            <w:tcW w:w="2400" w:type="dxa"/>
            <w:tcBorders>
              <w:top w:val="single" w:sz="32" w:space="0" w:color="FFFFFF"/>
              <w:left w:val="single" w:sz="2" w:space="0" w:color="CCCCCC"/>
              <w:bottom w:val="single" w:sz="32" w:space="0" w:color="FFFFFF"/>
              <w:right w:val="single" w:sz="2" w:space="0" w:color="CCCCCC"/>
            </w:tcBorders>
          </w:tcPr>
          <w:p w14:paraId="345B5A10" w14:textId="77777777" w:rsidR="00F91C3A" w:rsidRDefault="00754C95" w:rsidP="00571EB8">
            <w:pPr>
              <w:spacing w:after="0" w:line="360" w:lineRule="auto"/>
              <w:ind w:left="0" w:right="0" w:firstLine="0"/>
              <w:jc w:val="left"/>
            </w:pPr>
            <w:r>
              <w:rPr>
                <w:sz w:val="18"/>
              </w:rPr>
              <w:t>Accuracy (CRAAP)</w:t>
            </w:r>
            <w:r>
              <w:t xml:space="preserve"> </w:t>
            </w:r>
          </w:p>
        </w:tc>
        <w:tc>
          <w:tcPr>
            <w:tcW w:w="6001" w:type="dxa"/>
            <w:tcBorders>
              <w:top w:val="single" w:sz="32" w:space="0" w:color="FFFFFF"/>
              <w:left w:val="single" w:sz="2" w:space="0" w:color="CCCCCC"/>
              <w:bottom w:val="single" w:sz="32" w:space="0" w:color="FFFFFF"/>
              <w:right w:val="single" w:sz="2" w:space="0" w:color="CCCCCC"/>
            </w:tcBorders>
          </w:tcPr>
          <w:p w14:paraId="2F9AF360" w14:textId="77777777" w:rsidR="00F91C3A" w:rsidRDefault="00754C95" w:rsidP="00571EB8">
            <w:pPr>
              <w:spacing w:after="0" w:line="360" w:lineRule="auto"/>
              <w:ind w:left="0" w:right="0" w:firstLine="0"/>
              <w:jc w:val="left"/>
            </w:pPr>
            <w:r>
              <w:rPr>
                <w:sz w:val="18"/>
              </w:rPr>
              <w:t>Systematic reviews and controlled trials weighted more heavily; methodological quality assessed explicitly</w:t>
            </w:r>
            <w:r>
              <w:t xml:space="preserve"> </w:t>
            </w:r>
          </w:p>
        </w:tc>
      </w:tr>
      <w:tr w:rsidR="00F91C3A" w14:paraId="1DE12287" w14:textId="77777777">
        <w:trPr>
          <w:trHeight w:val="576"/>
        </w:trPr>
        <w:tc>
          <w:tcPr>
            <w:tcW w:w="2400" w:type="dxa"/>
            <w:tcBorders>
              <w:top w:val="single" w:sz="32" w:space="0" w:color="FFFFFF"/>
              <w:left w:val="single" w:sz="2" w:space="0" w:color="CCCCCC"/>
              <w:bottom w:val="single" w:sz="32" w:space="0" w:color="FFFFFF"/>
              <w:right w:val="single" w:sz="2" w:space="0" w:color="CCCCCC"/>
            </w:tcBorders>
          </w:tcPr>
          <w:p w14:paraId="11D1177C" w14:textId="77777777" w:rsidR="00F91C3A" w:rsidRDefault="00754C95" w:rsidP="00571EB8">
            <w:pPr>
              <w:spacing w:after="0" w:line="360" w:lineRule="auto"/>
              <w:ind w:left="0" w:right="0" w:firstLine="0"/>
              <w:jc w:val="left"/>
            </w:pPr>
            <w:r>
              <w:rPr>
                <w:sz w:val="18"/>
              </w:rPr>
              <w:t>Purpose (CRAAP)</w:t>
            </w:r>
            <w:r>
              <w:t xml:space="preserve"> </w:t>
            </w:r>
          </w:p>
        </w:tc>
        <w:tc>
          <w:tcPr>
            <w:tcW w:w="6001" w:type="dxa"/>
            <w:tcBorders>
              <w:top w:val="single" w:sz="32" w:space="0" w:color="FFFFFF"/>
              <w:left w:val="single" w:sz="2" w:space="0" w:color="CCCCCC"/>
              <w:bottom w:val="single" w:sz="32" w:space="0" w:color="FFFFFF"/>
              <w:right w:val="single" w:sz="2" w:space="0" w:color="CCCCCC"/>
            </w:tcBorders>
          </w:tcPr>
          <w:p w14:paraId="1D7EA087" w14:textId="21662D83" w:rsidR="00F91C3A" w:rsidRDefault="00754C95" w:rsidP="00571EB8">
            <w:pPr>
              <w:spacing w:after="0" w:line="360" w:lineRule="auto"/>
              <w:ind w:left="0" w:right="0" w:firstLine="0"/>
              <w:jc w:val="left"/>
            </w:pPr>
            <w:r>
              <w:rPr>
                <w:sz w:val="18"/>
              </w:rPr>
              <w:t xml:space="preserve">Advocacy-driven or commercially sponsored sources flagged with appropriate </w:t>
            </w:r>
            <w:r w:rsidR="00CB0615">
              <w:rPr>
                <w:sz w:val="18"/>
              </w:rPr>
              <w:t>skepticism</w:t>
            </w:r>
            <w:r>
              <w:t xml:space="preserve"> </w:t>
            </w:r>
          </w:p>
        </w:tc>
      </w:tr>
      <w:tr w:rsidR="00F91C3A" w14:paraId="63211256" w14:textId="77777777">
        <w:trPr>
          <w:trHeight w:val="546"/>
        </w:trPr>
        <w:tc>
          <w:tcPr>
            <w:tcW w:w="2400" w:type="dxa"/>
            <w:tcBorders>
              <w:top w:val="single" w:sz="32" w:space="0" w:color="FFFFFF"/>
              <w:left w:val="single" w:sz="2" w:space="0" w:color="CCCCCC"/>
              <w:bottom w:val="single" w:sz="2" w:space="0" w:color="CCCCCC"/>
              <w:right w:val="single" w:sz="2" w:space="0" w:color="CCCCCC"/>
            </w:tcBorders>
          </w:tcPr>
          <w:p w14:paraId="60F65375" w14:textId="77777777" w:rsidR="00F91C3A" w:rsidRDefault="00754C95" w:rsidP="00571EB8">
            <w:pPr>
              <w:spacing w:after="0" w:line="360" w:lineRule="auto"/>
              <w:ind w:left="0" w:right="0" w:firstLine="0"/>
              <w:jc w:val="left"/>
            </w:pPr>
            <w:r>
              <w:rPr>
                <w:sz w:val="18"/>
              </w:rPr>
              <w:t>Design robustness (supplementary)</w:t>
            </w:r>
            <w:r>
              <w:t xml:space="preserve"> </w:t>
            </w:r>
          </w:p>
        </w:tc>
        <w:tc>
          <w:tcPr>
            <w:tcW w:w="6001" w:type="dxa"/>
            <w:tcBorders>
              <w:top w:val="single" w:sz="32" w:space="0" w:color="FFFFFF"/>
              <w:left w:val="single" w:sz="2" w:space="0" w:color="CCCCCC"/>
              <w:bottom w:val="single" w:sz="2" w:space="0" w:color="CCCCCC"/>
              <w:right w:val="single" w:sz="2" w:space="0" w:color="CCCCCC"/>
            </w:tcBorders>
          </w:tcPr>
          <w:p w14:paraId="64EC951B" w14:textId="77777777" w:rsidR="00F91C3A" w:rsidRDefault="00754C95" w:rsidP="00571EB8">
            <w:pPr>
              <w:spacing w:after="0" w:line="360" w:lineRule="auto"/>
              <w:ind w:left="0" w:right="0" w:firstLine="0"/>
              <w:jc w:val="left"/>
            </w:pPr>
            <w:r>
              <w:rPr>
                <w:sz w:val="18"/>
              </w:rPr>
              <w:t>RCTs and quasi-experiments rated higher; pre-post designs flagged for limited causal inference</w:t>
            </w:r>
            <w:r>
              <w:t xml:space="preserve"> </w:t>
            </w:r>
          </w:p>
        </w:tc>
      </w:tr>
      <w:tr w:rsidR="00F91C3A" w14:paraId="5856EC79" w14:textId="77777777">
        <w:trPr>
          <w:trHeight w:val="576"/>
        </w:trPr>
        <w:tc>
          <w:tcPr>
            <w:tcW w:w="2400" w:type="dxa"/>
            <w:tcBorders>
              <w:top w:val="single" w:sz="2" w:space="0" w:color="CCCCCC"/>
              <w:left w:val="single" w:sz="2" w:space="0" w:color="CCCCCC"/>
              <w:bottom w:val="single" w:sz="32" w:space="0" w:color="FFFFFF"/>
              <w:right w:val="single" w:sz="2" w:space="0" w:color="CCCCCC"/>
            </w:tcBorders>
          </w:tcPr>
          <w:p w14:paraId="06C94BCE" w14:textId="77777777" w:rsidR="00F91C3A" w:rsidRDefault="00754C95" w:rsidP="00571EB8">
            <w:pPr>
              <w:spacing w:after="0" w:line="360" w:lineRule="auto"/>
              <w:ind w:left="0" w:right="0" w:firstLine="0"/>
              <w:jc w:val="left"/>
            </w:pPr>
            <w:r>
              <w:rPr>
                <w:sz w:val="18"/>
              </w:rPr>
              <w:lastRenderedPageBreak/>
              <w:t>Population relevance (supplementary)</w:t>
            </w:r>
            <w:r>
              <w:t xml:space="preserve"> </w:t>
            </w:r>
          </w:p>
        </w:tc>
        <w:tc>
          <w:tcPr>
            <w:tcW w:w="6001" w:type="dxa"/>
            <w:tcBorders>
              <w:top w:val="single" w:sz="2" w:space="0" w:color="CCCCCC"/>
              <w:left w:val="single" w:sz="2" w:space="0" w:color="CCCCCC"/>
              <w:bottom w:val="single" w:sz="32" w:space="0" w:color="FFFFFF"/>
              <w:right w:val="single" w:sz="2" w:space="0" w:color="CCCCCC"/>
            </w:tcBorders>
          </w:tcPr>
          <w:p w14:paraId="736DDA27" w14:textId="77777777" w:rsidR="00F91C3A" w:rsidRDefault="00754C95" w:rsidP="00571EB8">
            <w:pPr>
              <w:spacing w:after="0" w:line="360" w:lineRule="auto"/>
              <w:ind w:left="0" w:right="0" w:firstLine="0"/>
              <w:jc w:val="left"/>
            </w:pPr>
            <w:r>
              <w:rPr>
                <w:sz w:val="18"/>
              </w:rPr>
              <w:t>Studies with experienced professional populations rated above student-based studies</w:t>
            </w:r>
            <w:r>
              <w:t xml:space="preserve"> </w:t>
            </w:r>
          </w:p>
        </w:tc>
      </w:tr>
      <w:tr w:rsidR="00F91C3A" w14:paraId="6C56A68D" w14:textId="77777777">
        <w:trPr>
          <w:trHeight w:val="546"/>
        </w:trPr>
        <w:tc>
          <w:tcPr>
            <w:tcW w:w="2400" w:type="dxa"/>
            <w:tcBorders>
              <w:top w:val="single" w:sz="32" w:space="0" w:color="FFFFFF"/>
              <w:left w:val="single" w:sz="2" w:space="0" w:color="CCCCCC"/>
              <w:bottom w:val="single" w:sz="2" w:space="0" w:color="CCCCCC"/>
              <w:right w:val="single" w:sz="2" w:space="0" w:color="CCCCCC"/>
            </w:tcBorders>
          </w:tcPr>
          <w:p w14:paraId="19BAC3CA" w14:textId="77777777" w:rsidR="00F91C3A" w:rsidRDefault="00754C95" w:rsidP="00571EB8">
            <w:pPr>
              <w:spacing w:after="0" w:line="360" w:lineRule="auto"/>
              <w:ind w:left="0" w:right="0" w:firstLine="0"/>
              <w:jc w:val="left"/>
            </w:pPr>
            <w:r>
              <w:rPr>
                <w:sz w:val="18"/>
              </w:rPr>
              <w:t>Outcome validity (supplementary)</w:t>
            </w:r>
            <w:r>
              <w:t xml:space="preserve"> </w:t>
            </w:r>
          </w:p>
        </w:tc>
        <w:tc>
          <w:tcPr>
            <w:tcW w:w="6001" w:type="dxa"/>
            <w:tcBorders>
              <w:top w:val="single" w:sz="32" w:space="0" w:color="FFFFFF"/>
              <w:left w:val="single" w:sz="2" w:space="0" w:color="CCCCCC"/>
              <w:bottom w:val="single" w:sz="2" w:space="0" w:color="CCCCCC"/>
              <w:right w:val="single" w:sz="2" w:space="0" w:color="CCCCCC"/>
            </w:tcBorders>
          </w:tcPr>
          <w:p w14:paraId="2CF5CA17" w14:textId="77777777" w:rsidR="00F91C3A" w:rsidRDefault="00754C95" w:rsidP="00571EB8">
            <w:pPr>
              <w:spacing w:after="0" w:line="360" w:lineRule="auto"/>
              <w:ind w:left="0" w:right="6" w:firstLine="0"/>
              <w:jc w:val="left"/>
            </w:pPr>
            <w:r>
              <w:rPr>
                <w:sz w:val="18"/>
              </w:rPr>
              <w:t>Performance-based and delayed retention outcomes weighted above satisfaction and immediate knowledge measures</w:t>
            </w:r>
            <w:r>
              <w:t xml:space="preserve"> </w:t>
            </w:r>
          </w:p>
        </w:tc>
      </w:tr>
    </w:tbl>
    <w:p w14:paraId="53405307" w14:textId="77777777" w:rsidR="00F91C3A" w:rsidRDefault="00754C95" w:rsidP="00571EB8">
      <w:pPr>
        <w:spacing w:after="316" w:line="360" w:lineRule="auto"/>
        <w:ind w:left="-5" w:right="0"/>
        <w:jc w:val="left"/>
      </w:pPr>
      <w:r>
        <w:rPr>
          <w:i/>
          <w:sz w:val="18"/>
        </w:rPr>
        <w:t>Source: CRAAP criteria adapted from Blakeslee (2004); supplementary criteria adapted from systematic review quality assessment standards.</w:t>
      </w:r>
      <w:r>
        <w:t xml:space="preserve"> </w:t>
      </w:r>
    </w:p>
    <w:p w14:paraId="022E4B63" w14:textId="77777777" w:rsidR="009A2F64" w:rsidRPr="009A2F64" w:rsidRDefault="00754C95" w:rsidP="00571EB8">
      <w:pPr>
        <w:pStyle w:val="Heading1"/>
        <w:spacing w:line="360" w:lineRule="auto"/>
        <w:ind w:left="-5"/>
        <w:rPr>
          <w:bCs/>
        </w:rPr>
      </w:pPr>
      <w:r>
        <w:t xml:space="preserve">3. </w:t>
      </w:r>
      <w:r w:rsidR="009A2F64" w:rsidRPr="009A2F64">
        <w:rPr>
          <w:bCs/>
        </w:rPr>
        <w:t>Theme 1: Definitional Ambiguity in Microlearning</w:t>
      </w:r>
    </w:p>
    <w:p w14:paraId="23FEABB2" w14:textId="450ED6C0" w:rsidR="00F91C3A" w:rsidRDefault="00754C95" w:rsidP="00571EB8">
      <w:pPr>
        <w:pStyle w:val="Heading1"/>
        <w:spacing w:line="360" w:lineRule="auto"/>
        <w:ind w:left="-5" w:right="0"/>
      </w:pPr>
      <w:r>
        <w:t xml:space="preserve">3.1 The Problem of Definition </w:t>
      </w:r>
    </w:p>
    <w:p w14:paraId="7C0D8235" w14:textId="5A77989C" w:rsidR="00F91C3A" w:rsidRDefault="00754C95" w:rsidP="00571EB8">
      <w:pPr>
        <w:spacing w:line="360" w:lineRule="auto"/>
        <w:ind w:left="-5" w:right="0"/>
      </w:pPr>
      <w:r>
        <w:t xml:space="preserve">The microlearning literature demonstrates remarkable inconsistency in conceptual definition. Cronin and Durham's (2024) concept analysis found substantial variation across 75 studies, with microlearning variously described as brief instructional content, bite-sized learning chunks, </w:t>
      </w:r>
      <w:r w:rsidR="00CB0615">
        <w:t>mobile delivered</w:t>
      </w:r>
      <w:r>
        <w:t xml:space="preserve"> modules, and learner-controlled just-in-time resources. Duration-based definitions are particularly problematic: studies </w:t>
      </w:r>
      <w:r w:rsidR="00CB0615">
        <w:t>categories</w:t>
      </w:r>
      <w:r>
        <w:t xml:space="preserve"> content as microlearning when ranging from 30 seconds (Skalka and </w:t>
      </w:r>
      <w:proofErr w:type="spellStart"/>
      <w:r>
        <w:t>Drlík</w:t>
      </w:r>
      <w:proofErr w:type="spellEnd"/>
      <w:r>
        <w:t>, 2021) to 30 minutes or longer (</w:t>
      </w:r>
      <w:proofErr w:type="spellStart"/>
      <w:r>
        <w:t>Buchem</w:t>
      </w:r>
      <w:proofErr w:type="spellEnd"/>
      <w:r>
        <w:t xml:space="preserve"> and Hamelmann, 2010). As Hug (2005) observed, micro-dimensions can be understood at multiple levels — temporal, content, curricular, activity, and </w:t>
      </w:r>
      <w:r w:rsidR="00CB0615">
        <w:t>modality</w:t>
      </w:r>
      <w:r>
        <w:t xml:space="preserve"> — yet most applications reduce microlearning to arbitrary time limits without theoretical justification. Leong et al.'s (2021) systematic review found that 64% of included studies failed to provide explicit definitions. This renders cross-study comparisons methodologically unreliable and makes claims of aggregate effectiveness essentially uninterpretable. </w:t>
      </w:r>
    </w:p>
    <w:p w14:paraId="2D493473" w14:textId="7EEEB223" w:rsidR="00F91C3A" w:rsidRDefault="00754C95" w:rsidP="00571EB8">
      <w:pPr>
        <w:spacing w:line="360" w:lineRule="auto"/>
        <w:ind w:left="-5" w:right="0"/>
      </w:pPr>
      <w:r>
        <w:rPr>
          <w:b/>
        </w:rPr>
        <w:t xml:space="preserve">Connection to the proposed study: </w:t>
      </w:r>
      <w:r>
        <w:t xml:space="preserve">This definitional ambiguity makes it essential to establish how Welsh firefighters themselves </w:t>
      </w:r>
      <w:r w:rsidR="00CB0615">
        <w:t>conceptualize</w:t>
      </w:r>
      <w:r>
        <w:t xml:space="preserve"> 'microlearning' before assuming shared meaning. The proposed interviews will probe participants' prior understanding rather than imposing a </w:t>
      </w:r>
      <w:r w:rsidR="00CB0615">
        <w:t>researcher defined</w:t>
      </w:r>
      <w:r>
        <w:t xml:space="preserve"> definition, treating divergent </w:t>
      </w:r>
      <w:r w:rsidR="00CB0615">
        <w:t>conceptualizations</w:t>
      </w:r>
      <w:r>
        <w:t xml:space="preserve"> as a substantive empirical finding in their own right. </w:t>
      </w:r>
    </w:p>
    <w:p w14:paraId="6C6DE9BB" w14:textId="77777777" w:rsidR="00F91C3A" w:rsidRDefault="00754C95" w:rsidP="00571EB8">
      <w:pPr>
        <w:spacing w:after="301" w:line="360" w:lineRule="auto"/>
        <w:ind w:left="0" w:right="0" w:firstLine="0"/>
        <w:jc w:val="left"/>
      </w:pPr>
      <w:r>
        <w:t xml:space="preserve"> </w:t>
      </w:r>
    </w:p>
    <w:p w14:paraId="4FAC8F7D" w14:textId="77777777" w:rsidR="00F91C3A" w:rsidRDefault="00754C95" w:rsidP="00571EB8">
      <w:pPr>
        <w:pStyle w:val="Heading2"/>
        <w:spacing w:line="360" w:lineRule="auto"/>
        <w:ind w:left="-5"/>
      </w:pPr>
      <w:r>
        <w:t xml:space="preserve">3.2 Microlearning versus Fragmentation </w:t>
      </w:r>
    </w:p>
    <w:p w14:paraId="2A097F1C" w14:textId="57AFE77E" w:rsidR="00F91C3A" w:rsidRDefault="00754C95" w:rsidP="00571EB8">
      <w:pPr>
        <w:spacing w:line="360" w:lineRule="auto"/>
        <w:ind w:left="-5" w:right="0"/>
      </w:pPr>
      <w:r>
        <w:t xml:space="preserve">A critical distinction concerns whether microlearning represents principled pedagogy or arbitrary content fragmentation. Giurgiu (2017) argues that authentic microlearning requires pedagogical intentionality, conceptual coherence, structural integration, and context sensitivity. Empirical studies frequently fail to demonstrate these characteristics, with content described as microlearning often resulting from subdividing existing materials — what </w:t>
      </w:r>
      <w:proofErr w:type="spellStart"/>
      <w:r>
        <w:t>Jomah</w:t>
      </w:r>
      <w:proofErr w:type="spellEnd"/>
      <w:r>
        <w:t xml:space="preserve"> et al. (2016) term the 'chunking fallacy'. Emerson and Berge (2018) observe that workplace microlearning is frequently adopted for </w:t>
      </w:r>
      <w:r w:rsidR="00CB0615">
        <w:lastRenderedPageBreak/>
        <w:t>organizational</w:t>
      </w:r>
      <w:r>
        <w:t xml:space="preserve"> convenience rather than pedagogical reasons, raising questions about whether effectiveness claims reflect genuine learning benefit or cost-reduction rhetoric. </w:t>
      </w:r>
    </w:p>
    <w:p w14:paraId="500F926B" w14:textId="77777777" w:rsidR="00987038" w:rsidRPr="00987038" w:rsidRDefault="00754C95" w:rsidP="00987038">
      <w:pPr>
        <w:spacing w:line="360" w:lineRule="auto"/>
        <w:ind w:left="-5" w:right="0"/>
        <w:rPr>
          <w:lang w:val="en-GB"/>
        </w:rPr>
      </w:pPr>
      <w:r>
        <w:t xml:space="preserve">For Welsh FRS, fire and rescue competence involves integrated capabilities — declarative knowledge, procedural knowledge, psychomotor skills, situational awareness, and team coordination — that resist fragmentation into discrete units. Zainuddin et al. (2020) </w:t>
      </w:r>
      <w:r w:rsidR="00CB0615">
        <w:t>emphasize</w:t>
      </w:r>
      <w:r>
        <w:t xml:space="preserve"> that microlearning design must account for learning objectives' complexity and integration requirements, yet most implementations target lower-order knowledge recall rather than complex integrated performance. The Welsh Government's (2022) thematic review identified deficiencies in flexible training provision, particularly for RDS personnel, but did not examine microlearning specifically — the precise empirical gap the proposed study addresses. </w:t>
      </w:r>
      <w:r w:rsidR="00987038" w:rsidRPr="00987038">
        <w:rPr>
          <w:lang w:val="en-GB"/>
        </w:rPr>
        <w:t>This conceptual ambiguity highlights the need for the present study, which explores how Welsh firefighters themselves understand and interpret microlearning in practice.</w:t>
      </w:r>
    </w:p>
    <w:p w14:paraId="3B195077" w14:textId="0070F09C" w:rsidR="00F91C3A" w:rsidRDefault="00754C95" w:rsidP="00987038">
      <w:pPr>
        <w:spacing w:line="360" w:lineRule="auto"/>
        <w:ind w:left="-5" w:right="0"/>
      </w:pPr>
      <w:r>
        <w:t xml:space="preserve"> </w:t>
      </w:r>
    </w:p>
    <w:p w14:paraId="5530AC1D" w14:textId="56C8A05D" w:rsidR="00F91C3A" w:rsidRPr="0098237B" w:rsidRDefault="00754C95" w:rsidP="00571EB8">
      <w:pPr>
        <w:spacing w:after="251" w:line="360" w:lineRule="auto"/>
        <w:ind w:left="-5"/>
        <w:rPr>
          <w:b/>
          <w:bCs/>
          <w:color w:val="1F3864"/>
          <w:sz w:val="28"/>
          <w:lang w:val="en-GB"/>
        </w:rPr>
      </w:pPr>
      <w:r>
        <w:rPr>
          <w:b/>
          <w:color w:val="1F3864"/>
          <w:sz w:val="28"/>
        </w:rPr>
        <w:t>4.</w:t>
      </w:r>
      <w:r w:rsidR="0098237B" w:rsidRPr="0098237B">
        <w:rPr>
          <w:rFonts w:ascii="Arial" w:hAnsi="Arial" w:cs="Arial"/>
          <w:bCs/>
          <w:color w:val="222222"/>
          <w:kern w:val="0"/>
          <w:sz w:val="36"/>
          <w:szCs w:val="36"/>
          <w14:ligatures w14:val="none"/>
        </w:rPr>
        <w:t xml:space="preserve"> </w:t>
      </w:r>
      <w:r w:rsidR="0098237B" w:rsidRPr="0098237B">
        <w:rPr>
          <w:b/>
          <w:bCs/>
          <w:color w:val="1F3864"/>
          <w:sz w:val="28"/>
          <w:lang w:val="en-GB"/>
        </w:rPr>
        <w:t>Theme 2: Theoretical Foundations and Tensions</w:t>
      </w:r>
    </w:p>
    <w:p w14:paraId="4747A7EE" w14:textId="77777777" w:rsidR="00F91C3A" w:rsidRDefault="00754C95" w:rsidP="00571EB8">
      <w:pPr>
        <w:pStyle w:val="Heading2"/>
        <w:spacing w:line="360" w:lineRule="auto"/>
        <w:ind w:left="-5"/>
      </w:pPr>
      <w:r>
        <w:t xml:space="preserve">4.1 Cognitive Load Theory: Application and Misapplication </w:t>
      </w:r>
    </w:p>
    <w:p w14:paraId="230235AC" w14:textId="77777777" w:rsidR="00F91C3A" w:rsidRDefault="00754C95" w:rsidP="00571EB8">
      <w:pPr>
        <w:spacing w:line="360" w:lineRule="auto"/>
        <w:ind w:left="-5" w:right="0"/>
      </w:pPr>
      <w:r>
        <w:t>Cognitive Load Theory (CLT) is the most frequently cited theoretical framework supporting microlearning (</w:t>
      </w:r>
      <w:proofErr w:type="spellStart"/>
      <w:r>
        <w:t>Sweller</w:t>
      </w:r>
      <w:proofErr w:type="spellEnd"/>
      <w:r>
        <w:t xml:space="preserve">, 2011; </w:t>
      </w:r>
      <w:proofErr w:type="spellStart"/>
      <w:r>
        <w:t>Sweller</w:t>
      </w:r>
      <w:proofErr w:type="spellEnd"/>
      <w:r>
        <w:t xml:space="preserve"> et al., 2019), arguing that brief learning units reduce extraneous cognitive load by limiting simultaneously presented information. This reasoning has merit for novice learners, where instructional segmentation can prevent cognitive overload and enable progressive knowledge construction. However, </w:t>
      </w:r>
      <w:proofErr w:type="spellStart"/>
      <w:r>
        <w:t>Kalyuga's</w:t>
      </w:r>
      <w:proofErr w:type="spellEnd"/>
      <w:r>
        <w:t xml:space="preserve"> (2007) expertise reversal effect demonstrates that designs benefiting novices may hinder expert learners by creating redundancy effects; for experienced firefighters, micro-segmentation may increase rather than reduce germane cognitive load by distributing related information across disconnected units (Kang, 2016). </w:t>
      </w:r>
    </w:p>
    <w:p w14:paraId="26D1C3A7" w14:textId="77777777" w:rsidR="00F91C3A" w:rsidRDefault="00754C95" w:rsidP="00571EB8">
      <w:pPr>
        <w:spacing w:line="360" w:lineRule="auto"/>
        <w:ind w:left="-5" w:right="0"/>
      </w:pPr>
      <w:r>
        <w:t xml:space="preserve">Furthermore, Bjork and Bjork's (2011) desirable difficulties framework suggests that conditions more challenging during learning — sustained engagement with complex material, interleaved practice, delayed feedback — enhance long-term retention and transfer, directly challenging microlearning's implicit assumption that ease of engagement promotes learning. </w:t>
      </w:r>
    </w:p>
    <w:p w14:paraId="584BB209" w14:textId="77777777" w:rsidR="00F91C3A" w:rsidRDefault="00754C95" w:rsidP="00571EB8">
      <w:pPr>
        <w:spacing w:line="360" w:lineRule="auto"/>
        <w:ind w:left="-5" w:right="0"/>
      </w:pPr>
      <w:r>
        <w:rPr>
          <w:b/>
        </w:rPr>
        <w:t xml:space="preserve">Connection to the proposed study: </w:t>
      </w:r>
      <w:r>
        <w:t xml:space="preserve">CLT informs the interview design by prompting questions about whether firefighters perceive short-format content as cognitively manageable or insufficient for complex operational knowledge. If participants report that brief formats feel superficial or disconnected, this would constitute empirical evidence of the integration costs identified by Kang (2016) and the expertise reversal effect identified by </w:t>
      </w:r>
      <w:proofErr w:type="spellStart"/>
      <w:r>
        <w:t>Kalyuga</w:t>
      </w:r>
      <w:proofErr w:type="spellEnd"/>
      <w:r>
        <w:t xml:space="preserve"> (2007). </w:t>
      </w:r>
    </w:p>
    <w:p w14:paraId="6AF9F156" w14:textId="77777777" w:rsidR="00F91C3A" w:rsidRDefault="00754C95" w:rsidP="00571EB8">
      <w:pPr>
        <w:spacing w:after="301" w:line="360" w:lineRule="auto"/>
        <w:ind w:left="0" w:right="0" w:firstLine="0"/>
        <w:jc w:val="left"/>
      </w:pPr>
      <w:r>
        <w:t xml:space="preserve"> </w:t>
      </w:r>
    </w:p>
    <w:p w14:paraId="11AC69EE" w14:textId="77777777" w:rsidR="00F91C3A" w:rsidRDefault="00754C95" w:rsidP="00571EB8">
      <w:pPr>
        <w:pStyle w:val="Heading2"/>
        <w:spacing w:line="360" w:lineRule="auto"/>
        <w:ind w:left="-5"/>
      </w:pPr>
      <w:r>
        <w:lastRenderedPageBreak/>
        <w:t xml:space="preserve">4.2 Adult Learning Theories: Superficial Invocation </w:t>
      </w:r>
    </w:p>
    <w:p w14:paraId="1E688257" w14:textId="0E561773" w:rsidR="00F91C3A" w:rsidRDefault="00754C95" w:rsidP="00571EB8">
      <w:pPr>
        <w:spacing w:line="360" w:lineRule="auto"/>
        <w:ind w:left="-5" w:right="0"/>
      </w:pPr>
      <w:r>
        <w:t xml:space="preserve">Microlearning advocates frequently reference Knowles' (1984) andragogy, arguing that brevity and just-in-time availability align with adult learners' preferences for autonomous, </w:t>
      </w:r>
      <w:r w:rsidR="007F2BFC">
        <w:t>contextualized</w:t>
      </w:r>
      <w:r>
        <w:t xml:space="preserve"> learning. However, andragogy's empirical status is contested; critics argue it represents aspirational pedagogical principles rather than established principles of adult cognition (Rachal, 2002; Taylor and Hamdy, 2013). The conflation of learning preferences with optimal learning conditions is theoretically unsound: what learners prefer and what produces durable, transferable learning are not necessarily the same. Furthermore, many microlearning platforms deliver pre-packaged, </w:t>
      </w:r>
      <w:r w:rsidR="007F2BFC">
        <w:t>instructor determined</w:t>
      </w:r>
      <w:r>
        <w:t xml:space="preserve"> content with limited learner control — contradicting andragogical principles of </w:t>
      </w:r>
      <w:r w:rsidR="007F2BFC">
        <w:t>self-direction</w:t>
      </w:r>
      <w:r>
        <w:t xml:space="preserve"> (Alias et al., 2023) — while adult learning theory </w:t>
      </w:r>
      <w:r w:rsidR="007F2BFC">
        <w:t>emphasizes</w:t>
      </w:r>
      <w:r>
        <w:t xml:space="preserve"> experiential, problem</w:t>
      </w:r>
      <w:r w:rsidR="007F2BFC">
        <w:t xml:space="preserve"> centered</w:t>
      </w:r>
      <w:r>
        <w:t xml:space="preserve"> learning rooted in authentic practice (Kolb, 2014), not </w:t>
      </w:r>
      <w:r w:rsidR="007F2BFC">
        <w:t>decontextualized</w:t>
      </w:r>
      <w:r>
        <w:t xml:space="preserve"> fragments (Eraut, 2000). </w:t>
      </w:r>
    </w:p>
    <w:p w14:paraId="2A5D03E5" w14:textId="77777777" w:rsidR="00F91C3A" w:rsidRDefault="00754C95" w:rsidP="00571EB8">
      <w:pPr>
        <w:spacing w:line="360" w:lineRule="auto"/>
        <w:ind w:left="-5" w:right="0"/>
      </w:pPr>
      <w:r>
        <w:rPr>
          <w:b/>
        </w:rPr>
        <w:t xml:space="preserve">Connection to the proposed study: </w:t>
      </w:r>
      <w:r>
        <w:t xml:space="preserve">The andragogical framework informs exploration of firefighters' preferences for learning autonomy and professional ownership of training. In the hierarchical, station-based culture of Welsh FRS, where learning is embedded in operational practice and peer mentorship (Billett, 2020), the assumption of adult learner self-direction cannot be taken for granted and requires empirical investigation. </w:t>
      </w:r>
    </w:p>
    <w:p w14:paraId="4D6B3C2F" w14:textId="77777777" w:rsidR="00F91C3A" w:rsidRDefault="00754C95" w:rsidP="00571EB8">
      <w:pPr>
        <w:spacing w:after="302" w:line="360" w:lineRule="auto"/>
        <w:ind w:left="0" w:right="0" w:firstLine="0"/>
        <w:jc w:val="left"/>
      </w:pPr>
      <w:r>
        <w:t xml:space="preserve"> </w:t>
      </w:r>
    </w:p>
    <w:p w14:paraId="25F0C8AB" w14:textId="77777777" w:rsidR="00F91C3A" w:rsidRDefault="00754C95" w:rsidP="00571EB8">
      <w:pPr>
        <w:pStyle w:val="Heading2"/>
        <w:spacing w:line="360" w:lineRule="auto"/>
        <w:ind w:left="-5"/>
      </w:pPr>
      <w:r>
        <w:t xml:space="preserve">4.3 Spacing and Retrieval Effects: Promising but Under-Exploited </w:t>
      </w:r>
    </w:p>
    <w:p w14:paraId="214F09B0" w14:textId="52F02B57" w:rsidR="00F91C3A" w:rsidRDefault="00754C95" w:rsidP="00571EB8">
      <w:pPr>
        <w:spacing w:line="360" w:lineRule="auto"/>
        <w:ind w:left="-5" w:right="0"/>
      </w:pPr>
      <w:r>
        <w:t xml:space="preserve">More promising theoretical grounding emerges from spacing effects and retrieval practice research. Distributed practice consistently demonstrates superior long-term retention compared to massed study (Cepeda et al., 2006; </w:t>
      </w:r>
      <w:proofErr w:type="spellStart"/>
      <w:r>
        <w:t>Dunlosky</w:t>
      </w:r>
      <w:proofErr w:type="spellEnd"/>
      <w:r>
        <w:t xml:space="preserve"> et al., 2013), while retrieval practice enhances memory consolidation significantly (Roediger and Butler, 2011; Larsen et al., 2009). However, existing microlearning research frequently claims to leverage spacing effects without implementing evidence-based scheduling protocols (Kang, 2016), and retrieval practice effects depend on difficulty calibration and timely corrective feedback (Karpicke and Roediger, 2008) — conditions absent from most commercial platforms, which </w:t>
      </w:r>
      <w:r w:rsidR="007F2BFC">
        <w:t>priorities</w:t>
      </w:r>
      <w:r>
        <w:t xml:space="preserve"> engagement metrics over learning science. </w:t>
      </w:r>
    </w:p>
    <w:p w14:paraId="703355F0" w14:textId="77777777" w:rsidR="00F91C3A" w:rsidRDefault="00754C95" w:rsidP="00571EB8">
      <w:pPr>
        <w:spacing w:after="303" w:line="360" w:lineRule="auto"/>
        <w:ind w:left="0" w:right="0" w:firstLine="0"/>
        <w:jc w:val="left"/>
      </w:pPr>
      <w:r>
        <w:t xml:space="preserve"> </w:t>
      </w:r>
    </w:p>
    <w:p w14:paraId="7C74D072" w14:textId="77777777" w:rsidR="00F91C3A" w:rsidRDefault="00754C95" w:rsidP="00571EB8">
      <w:pPr>
        <w:pStyle w:val="Heading2"/>
        <w:spacing w:line="360" w:lineRule="auto"/>
        <w:ind w:left="-5"/>
      </w:pPr>
      <w:r>
        <w:t xml:space="preserve">4.4 The Ontological Incompatibility Thesis </w:t>
      </w:r>
    </w:p>
    <w:p w14:paraId="286D93C9" w14:textId="158911D1" w:rsidR="00F91C3A" w:rsidRDefault="00754C95" w:rsidP="00571EB8">
      <w:pPr>
        <w:spacing w:line="360" w:lineRule="auto"/>
        <w:ind w:left="-5" w:right="0"/>
      </w:pPr>
      <w:r>
        <w:t xml:space="preserve">The preceding sections have identified methodological limitations in how microlearning is theoretically justified. However, the argument advanced here goes further: the problem is not simply that evidence is thin or theories have been misapplied. At a more fundamental level, microlearning is premised upon a cognition-as-modular-information model — an architecture in which knowledge </w:t>
      </w:r>
      <w:r>
        <w:lastRenderedPageBreak/>
        <w:t xml:space="preserve">can be </w:t>
      </w:r>
      <w:r w:rsidR="007F2BFC">
        <w:t>discretized</w:t>
      </w:r>
      <w:r>
        <w:t xml:space="preserve"> into separable units, stored as propositional representations, and retrieved independently of the conditions in which it was acquired. This model has genuine explanatory value for certain kinds of declarative knowledge acquisition. It is, however, ontologically incompatible with the nature of expertise in high-reliability professional environments. </w:t>
      </w:r>
    </w:p>
    <w:p w14:paraId="0ECB4EEE" w14:textId="28469C26" w:rsidR="00F91C3A" w:rsidRDefault="00754C95" w:rsidP="00571EB8">
      <w:pPr>
        <w:spacing w:line="360" w:lineRule="auto"/>
        <w:ind w:left="-5" w:right="0"/>
      </w:pPr>
      <w:r>
        <w:t xml:space="preserve">Firefighting expertise is not reducible to a collection of propositional units awaiting recall. As Dreyfus and Dreyfus (1986) demonstrated, expert performance is </w:t>
      </w:r>
      <w:r w:rsidR="007F2BFC">
        <w:t>characterized</w:t>
      </w:r>
      <w:r>
        <w:t xml:space="preserve"> by holistic situational recognition that resists decomposition into rule-governed sub-routines. Expert firefighters do not consciously retrieve procedural rules under incident conditions; they enact embodied, situationally attuned responses developed through extensive practice (Cohen-Hatton et al., 2015). Lave and Wenger's (1991) situated cognition framework holds that knowledge is not a possession of the individual mind but a property of the relationship between persons, activities, and contexts. Learning, on this account, is not the transfer of content into a storage system but the progressive development of competent participation in communities of practice. Microlearning — individually consumed, digitally mediated, </w:t>
      </w:r>
      <w:r w:rsidR="007F2BFC">
        <w:t>decontextualized</w:t>
      </w:r>
      <w:r>
        <w:t xml:space="preserve"> — is structurally at odds with this model. The implication is not simply that microlearning evidence is insufficient, but that its underlying architecture cannot reach the most critical dimensions of operational competence. </w:t>
      </w:r>
    </w:p>
    <w:p w14:paraId="289FA9D3" w14:textId="77777777" w:rsidR="00F91C3A" w:rsidRDefault="00754C95" w:rsidP="00571EB8">
      <w:pPr>
        <w:spacing w:line="360" w:lineRule="auto"/>
        <w:ind w:left="-5" w:right="0"/>
      </w:pPr>
      <w:r>
        <w:rPr>
          <w:b/>
        </w:rPr>
        <w:t xml:space="preserve">Connection to the proposed study: </w:t>
      </w:r>
      <w:r>
        <w:t xml:space="preserve">This ontological framing shapes the interview design in a specific way. Rather than asking simply whether firefighters find microlearning useful, the interviews will probe how participants </w:t>
      </w:r>
      <w:proofErr w:type="spellStart"/>
      <w:r>
        <w:t>characterise</w:t>
      </w:r>
      <w:proofErr w:type="spellEnd"/>
      <w:r>
        <w:t xml:space="preserve"> the nature of their own learning — whether they understand operational competence as acquired through content consumption or through embodied practice, social learning, and situational immersion. If participants articulate an understanding of professional learning fundamentally incompatible with the premises of microlearning design, this would confirm the ontological incompatibility thesis at the level of practitioner experience. </w:t>
      </w:r>
    </w:p>
    <w:p w14:paraId="1042C152" w14:textId="77777777" w:rsidR="00F91C3A" w:rsidRDefault="00754C95" w:rsidP="00571EB8">
      <w:pPr>
        <w:spacing w:after="59" w:line="360" w:lineRule="auto"/>
        <w:ind w:left="0" w:right="0" w:firstLine="0"/>
        <w:jc w:val="left"/>
      </w:pPr>
      <w:r>
        <w:t xml:space="preserve"> </w:t>
      </w:r>
    </w:p>
    <w:p w14:paraId="6BFF2D12" w14:textId="77777777" w:rsidR="00F91C3A" w:rsidRDefault="00754C95" w:rsidP="00571EB8">
      <w:pPr>
        <w:pStyle w:val="Heading2"/>
        <w:spacing w:line="360" w:lineRule="auto"/>
        <w:ind w:left="-5"/>
      </w:pPr>
      <w:r>
        <w:t xml:space="preserve">4.5 Competing Paradigms in Professional Training: An Unacknowledged Fault Line </w:t>
      </w:r>
    </w:p>
    <w:p w14:paraId="3770F3EA" w14:textId="77777777" w:rsidR="00F91C3A" w:rsidRDefault="00754C95" w:rsidP="00571EB8">
      <w:pPr>
        <w:spacing w:after="59" w:line="360" w:lineRule="auto"/>
        <w:ind w:left="-5" w:right="0"/>
      </w:pPr>
      <w:r>
        <w:t xml:space="preserve">The theoretical analysis points toward a more fundamental tension in the professional training literature that microlearning research rarely makes explicit. Three paradigms compete for explanatory authority, yet their mutual incompatibilities are almost never confronted directly. </w:t>
      </w:r>
    </w:p>
    <w:p w14:paraId="034A32E6" w14:textId="374CA356" w:rsidR="00F91C3A" w:rsidRDefault="00754C95" w:rsidP="00571EB8">
      <w:pPr>
        <w:spacing w:after="63" w:line="360" w:lineRule="auto"/>
        <w:ind w:left="-5" w:right="0"/>
      </w:pPr>
      <w:r>
        <w:t xml:space="preserve">The efficiency-driven digital training discourse treats training primarily as a problem of knowledge delivery: how can content be transferred to the maximum number of learners at minimum cost? It measures success through completion rates, satisfaction scores, and short-term knowledge gains, and finds natural institutional allies in technology vendors and cost-constrained </w:t>
      </w:r>
      <w:r w:rsidR="007F2BFC">
        <w:t>organizations</w:t>
      </w:r>
      <w:r>
        <w:t xml:space="preserve">. Its epistemological roots lie in information-processing psychology and instructional systems design, which, as noted in Section 4.4, carry ontological assumptions that may be inappropriate for </w:t>
      </w:r>
      <w:r w:rsidR="007F2BFC">
        <w:t>high reliability</w:t>
      </w:r>
      <w:r>
        <w:t xml:space="preserve"> contexts. Yet this discourse is not merely ideological: it addresses a genuine </w:t>
      </w:r>
      <w:r w:rsidR="007F2BFC">
        <w:lastRenderedPageBreak/>
        <w:t>organizational</w:t>
      </w:r>
      <w:r>
        <w:t xml:space="preserve"> problem — the need to reach geographically dispersed, time-constrained learners such as RDS personnel — and dismissing it entirely would be intellectually dishonest. </w:t>
      </w:r>
    </w:p>
    <w:p w14:paraId="508F61B1" w14:textId="3FD9992A" w:rsidR="00F91C3A" w:rsidRDefault="00754C95" w:rsidP="00571EB8">
      <w:pPr>
        <w:spacing w:after="63" w:line="360" w:lineRule="auto"/>
        <w:ind w:left="-5" w:right="0"/>
      </w:pPr>
      <w:r>
        <w:t xml:space="preserve">The high-reliability </w:t>
      </w:r>
      <w:r w:rsidR="007F2BFC">
        <w:t>organization</w:t>
      </w:r>
      <w:r>
        <w:t xml:space="preserve"> (HRO) training paradigm (Weick and Sutcliffe, 2007; Salas et al., 2006) operates from fundamentally different premises: training is understood as the cultivation of collective capacity for adaptive performance under uncertainty, evaluated against operational outcomes rather than completion metrics. This paradigm has strong empirical credentials in aviation, nuclear power, and military contexts. However, it is not without internal tensions. The HRO literature tends to treat high-fidelity simulation and team-based scenario training as </w:t>
      </w:r>
      <w:r w:rsidR="007F2BFC">
        <w:t>self-evidently</w:t>
      </w:r>
      <w:r>
        <w:t xml:space="preserve"> superior, yet simulation fidelity is costly, access is unequal, and the transfer from even high-fidelity training to real incident performance is less straightforward than the paradigm typically acknowledges (Salas et al., 2012). Uncritical deference to the HRO paradigm risks replacing one form of overconfidence with another. </w:t>
      </w:r>
    </w:p>
    <w:p w14:paraId="27A3AFBA" w14:textId="3631AFB0" w:rsidR="00F91C3A" w:rsidRDefault="00754C95" w:rsidP="00571EB8">
      <w:pPr>
        <w:spacing w:after="59" w:line="360" w:lineRule="auto"/>
        <w:ind w:left="-5" w:right="0"/>
      </w:pPr>
      <w:r>
        <w:t xml:space="preserve">The situated learning perspective (Lave and Wenger, 1991; Billett, 2020) goes furthest in its challenge to both preceding paradigms, arguing that competence develops through progressive participation in communities of practice rather than through designed instructional episodes of any kind. This is an intellectually powerful position, but it too carries limitations that its proponents do not always acknowledge. If legitimate peripheral participation is the primary mechanism of professional development, it offers limited guidance for </w:t>
      </w:r>
      <w:r w:rsidR="007F2BFC">
        <w:t>organizations</w:t>
      </w:r>
      <w:r>
        <w:t xml:space="preserve"> that need to ensure consistent competence standards across geographically dispersed and variable practice communities — precisely the challenge Welsh FRS faces with its RDS workforce. Furthermore, Billett (2020) himself acknowledges that workplace learning environments vary significantly in their affordances, and that some practitioners in some settings are systematically excluded from the rich participatory experiences through which expertise genuinely develops. The situated learning framework, taken to its logical conclusion, may inadvertently </w:t>
      </w:r>
      <w:r w:rsidR="008E5C6E">
        <w:t>naturalize</w:t>
      </w:r>
      <w:r>
        <w:t xml:space="preserve"> existing inequalities in training access rather than challenging them. </w:t>
      </w:r>
    </w:p>
    <w:p w14:paraId="72BD773C" w14:textId="2E134939" w:rsidR="00724E3E" w:rsidRPr="00724E3E" w:rsidRDefault="00754C95" w:rsidP="00571EB8">
      <w:pPr>
        <w:spacing w:after="59" w:line="360" w:lineRule="auto"/>
        <w:ind w:left="-5" w:right="0"/>
        <w:rPr>
          <w:lang w:val="en-GB"/>
        </w:rPr>
      </w:pPr>
      <w:r>
        <w:t xml:space="preserve">What emerges from this triangulation is not a winner but a productive aporia: each paradigm illuminates something the others cannot see, and each carries blind spots the others expose. The microlearning literature, operating almost exclusively within the efficiency-driven discourse, has not engaged with the challenges posed by the HRO paradigm or situated learning perspective. For Welsh FRS — an </w:t>
      </w:r>
      <w:r w:rsidR="008E5C6E">
        <w:t>organization</w:t>
      </w:r>
      <w:r>
        <w:t xml:space="preserve"> that sits squarely within the HRO paradigm by virtue of the </w:t>
      </w:r>
      <w:r w:rsidR="008E5C6E">
        <w:t>life safety</w:t>
      </w:r>
      <w:r>
        <w:t xml:space="preserve"> stakes of its work, yet faces the access and distribution challenges that make </w:t>
      </w:r>
      <w:r w:rsidR="008E5C6E">
        <w:t>efficiency driven</w:t>
      </w:r>
      <w:r>
        <w:t xml:space="preserve"> solutions appealing — this absence of inter-paradigm dialogue is not merely a gap to be filled by further empirical study. It is a theoretical failure that generates misdirected research questions, misleading outcome measures, and implementation decisions that cannot be adequately evaluated because the criteria for success have never been properly contested. </w:t>
      </w:r>
      <w:r w:rsidR="00FB3103" w:rsidRPr="00FB3103">
        <w:rPr>
          <w:lang w:val="en-GB"/>
        </w:rPr>
        <w:t xml:space="preserve">the literature suggests a possible tension, and in some respects a deeper incompatibility, between microlearning’s modular </w:t>
      </w:r>
      <w:r w:rsidR="00FB3103" w:rsidRPr="00FB3103">
        <w:rPr>
          <w:lang w:val="en-GB"/>
        </w:rPr>
        <w:lastRenderedPageBreak/>
        <w:t>assumptions and the embodied, collective nature of high-reliability professional expertise.</w:t>
      </w:r>
      <w:r w:rsidR="00724E3E" w:rsidRPr="00724E3E">
        <w:rPr>
          <w:rFonts w:ascii="Arial" w:hAnsi="Arial" w:cs="Arial"/>
          <w:color w:val="111111"/>
          <w:kern w:val="0"/>
          <w:sz w:val="24"/>
          <w:lang w:val="en-GB" w:eastAsia="en-GB" w:bidi="ar-SA"/>
          <w14:ligatures w14:val="none"/>
        </w:rPr>
        <w:t xml:space="preserve"> </w:t>
      </w:r>
      <w:r w:rsidR="00724E3E" w:rsidRPr="00724E3E">
        <w:rPr>
          <w:lang w:val="en-GB"/>
        </w:rPr>
        <w:t>These theoretical tensions strengthen the rationale for exploring whether firefighters themselves perceive microlearning as compatible with the realities of professional learning in Welsh FRS.</w:t>
      </w:r>
    </w:p>
    <w:p w14:paraId="3444135F" w14:textId="69943A45" w:rsidR="00FB3103" w:rsidRPr="00FB3103" w:rsidRDefault="00FB3103" w:rsidP="00571EB8">
      <w:pPr>
        <w:spacing w:after="59" w:line="360" w:lineRule="auto"/>
        <w:ind w:left="0" w:right="0" w:firstLine="0"/>
        <w:rPr>
          <w:lang w:val="en-GB"/>
        </w:rPr>
      </w:pPr>
    </w:p>
    <w:p w14:paraId="045C928E" w14:textId="77777777" w:rsidR="00FB3103" w:rsidRDefault="00FB3103" w:rsidP="00571EB8">
      <w:pPr>
        <w:pStyle w:val="Heading1"/>
        <w:spacing w:line="360" w:lineRule="auto"/>
        <w:ind w:left="-5"/>
      </w:pPr>
    </w:p>
    <w:p w14:paraId="62961EFE" w14:textId="5131F3A3" w:rsidR="004C3452" w:rsidRPr="004C3452" w:rsidRDefault="00754C95" w:rsidP="00571EB8">
      <w:pPr>
        <w:pStyle w:val="Heading1"/>
        <w:spacing w:line="360" w:lineRule="auto"/>
        <w:ind w:left="-5"/>
        <w:rPr>
          <w:bCs/>
        </w:rPr>
      </w:pPr>
      <w:r>
        <w:t xml:space="preserve">5. </w:t>
      </w:r>
      <w:r w:rsidR="004C3452" w:rsidRPr="004C3452">
        <w:rPr>
          <w:bCs/>
        </w:rPr>
        <w:t>Theme 3: Empirical Evidence and Methodological Limitations</w:t>
      </w:r>
    </w:p>
    <w:p w14:paraId="47F5E6D9" w14:textId="342FEE62" w:rsidR="00F91C3A" w:rsidRDefault="00754C95" w:rsidP="00571EB8">
      <w:pPr>
        <w:pStyle w:val="Heading1"/>
        <w:spacing w:line="360" w:lineRule="auto"/>
        <w:ind w:left="-5" w:right="0"/>
      </w:pPr>
      <w:r>
        <w:t xml:space="preserve">5.1 Scope and Methodological Quality </w:t>
      </w:r>
    </w:p>
    <w:p w14:paraId="3FA5F669" w14:textId="4D4995A8" w:rsidR="00F91C3A" w:rsidRDefault="00754C95" w:rsidP="00571EB8">
      <w:pPr>
        <w:spacing w:line="360" w:lineRule="auto"/>
        <w:ind w:left="-5" w:right="0"/>
      </w:pPr>
      <w:r>
        <w:t xml:space="preserve">Systematic reviews reveal both the scope and quality of the microlearning evidence base. De Gagne et al.'s (2019) scoping review identified 91 studies predominantly from nursing and medical education; Leong et al.'s (2021) systematic review </w:t>
      </w:r>
      <w:r w:rsidR="008E5C6E">
        <w:t>analyzed</w:t>
      </w:r>
      <w:r>
        <w:t xml:space="preserve"> 51 quantitative studies across disciplines. Both identified consistent methodological limitations. Study populations overwhelmingly comprise undergraduate students rather than experienced professionals (73% in de Gagne et al., 2019). Research designs predominantly employ weak methodologies: single-group pre-post designs (42%), cross-sectional surveys (28%), and qualitative descriptive studies (18%), with only 12% using controlled experimental designs (Leong et al., 2021). Follow-up periods are typically brief — immediately post-intervention or within one week — providing insufficient evidence regarding long-term retention or sustained </w:t>
      </w:r>
      <w:r w:rsidR="008E5C6E">
        <w:t>behavior</w:t>
      </w:r>
      <w:r>
        <w:t xml:space="preserve"> change. Risk of bias is pervasive across selection, performance, attrition, and detection dimensions, reflecting not merely the challenges of educational research but the dominance of vendor-friendly research designs. </w:t>
      </w:r>
    </w:p>
    <w:p w14:paraId="5CEB0358" w14:textId="77777777" w:rsidR="00F91C3A" w:rsidRDefault="00754C95" w:rsidP="00571EB8">
      <w:pPr>
        <w:spacing w:after="302" w:line="360" w:lineRule="auto"/>
        <w:ind w:left="0" w:right="0" w:firstLine="0"/>
        <w:jc w:val="left"/>
      </w:pPr>
      <w:r>
        <w:t xml:space="preserve"> </w:t>
      </w:r>
    </w:p>
    <w:p w14:paraId="3EEC21B5" w14:textId="77777777" w:rsidR="00F91C3A" w:rsidRDefault="00754C95" w:rsidP="00571EB8">
      <w:pPr>
        <w:pStyle w:val="Heading2"/>
        <w:spacing w:line="360" w:lineRule="auto"/>
        <w:ind w:left="-5"/>
      </w:pPr>
      <w:r>
        <w:t xml:space="preserve">5.2 Outcome Measurement: Proxy Indicators versus Professional Performance </w:t>
      </w:r>
    </w:p>
    <w:p w14:paraId="03D5F553" w14:textId="77777777" w:rsidR="00F91C3A" w:rsidRDefault="00754C95" w:rsidP="00571EB8">
      <w:pPr>
        <w:spacing w:line="360" w:lineRule="auto"/>
        <w:ind w:left="-5" w:right="0"/>
      </w:pPr>
      <w:r>
        <w:t xml:space="preserve">The predominant outcome measures constitute proxy indicators rather than demonstrations of improved professional performance. Leong et al. (2021) found that 64% of studies measured learner satisfaction, 48% assessed declarative knowledge gain, 12% examined skill performance through simulation, and only 3% addressed operational outcomes in real-world contexts. Learner satisfaction correlates weakly with actual learning gains and does not reliably predict subsequent performance (Sitzmann et al., 2008). Virtually no research examines microlearning's effects on adaptive problem-solving, critical incident decision-making, or performance under physiological and psychological stress — precisely the capabilities most critical in high-risk domains. </w:t>
      </w:r>
      <w:proofErr w:type="spellStart"/>
      <w:r>
        <w:t>CohenHatton</w:t>
      </w:r>
      <w:proofErr w:type="spellEnd"/>
      <w:r>
        <w:t xml:space="preserve"> et al.'s (2015) research on firefighter decision-making demonstrates that expert firefighters employ sophisticated cognitive strategies developed through extensive situated practice, not declarative knowledge acquisition alone. </w:t>
      </w:r>
    </w:p>
    <w:p w14:paraId="42311917" w14:textId="77777777" w:rsidR="00F91C3A" w:rsidRDefault="00754C95" w:rsidP="00571EB8">
      <w:pPr>
        <w:spacing w:after="300" w:line="360" w:lineRule="auto"/>
        <w:ind w:left="0" w:right="0" w:firstLine="0"/>
        <w:jc w:val="left"/>
      </w:pPr>
      <w:r>
        <w:lastRenderedPageBreak/>
        <w:t xml:space="preserve"> </w:t>
      </w:r>
    </w:p>
    <w:p w14:paraId="709C5A13" w14:textId="77777777" w:rsidR="00F91C3A" w:rsidRDefault="00754C95" w:rsidP="00571EB8">
      <w:pPr>
        <w:pStyle w:val="Heading2"/>
        <w:spacing w:line="360" w:lineRule="auto"/>
        <w:ind w:left="-5"/>
      </w:pPr>
      <w:r>
        <w:t xml:space="preserve">5.3 Evidence from Healthcare and Other High-Risk Domains </w:t>
      </w:r>
    </w:p>
    <w:p w14:paraId="3938791F" w14:textId="73213CDC" w:rsidR="00F91C3A" w:rsidRDefault="00754C95" w:rsidP="00571EB8">
      <w:pPr>
        <w:spacing w:line="360" w:lineRule="auto"/>
        <w:ind w:left="-5" w:right="0"/>
      </w:pPr>
      <w:r>
        <w:t xml:space="preserve">Healthcare provides the most substantial relevant evidence base. Kerfoot et al.'s (2012) </w:t>
      </w:r>
      <w:r w:rsidR="008E5C6E">
        <w:t>randomized</w:t>
      </w:r>
      <w:r>
        <w:t xml:space="preserve"> controlled trial demonstrated that spaced, internet-based microlearning improved long-term knowledge retention at two-year follow-up — rare evidence of sustained benefits using rigorous methodology. However, even the strongest healthcare studies measure knowledge retention or </w:t>
      </w:r>
      <w:proofErr w:type="spellStart"/>
      <w:r w:rsidR="008E5C6E">
        <w:t>self efficacy</w:t>
      </w:r>
      <w:proofErr w:type="spellEnd"/>
      <w:r>
        <w:t xml:space="preserve"> rather than operational performance, and direct translation to Welsh FRS requires explicit qualification. Fire and Rescue operations involve greater radical uncertainty, more pronounced embodied psychomotor demands, and more irreducibly collective performance contexts than most healthcare interventions (Wolbers and Boersma, 2013). Welsh FRS also lacks the established digital learning infrastructure present in NHS settings (Welsh Government, 2022). </w:t>
      </w:r>
    </w:p>
    <w:p w14:paraId="1AD48784" w14:textId="5098573F" w:rsidR="00EC5A08" w:rsidRPr="00EC5A08" w:rsidRDefault="00754C95" w:rsidP="00571EB8">
      <w:pPr>
        <w:spacing w:line="360" w:lineRule="auto"/>
        <w:ind w:left="-5" w:right="0"/>
        <w:rPr>
          <w:lang w:val="en-GB"/>
        </w:rPr>
      </w:pPr>
      <w:r>
        <w:t xml:space="preserve">Published peer-reviewed research on microlearning in aviation, nuclear power, emergency services, or military operations is virtually absent — striking given these sectors' substantial training investments and acute awareness of training failure consequences. </w:t>
      </w:r>
      <w:proofErr w:type="spellStart"/>
      <w:r>
        <w:t>Praslova</w:t>
      </w:r>
      <w:proofErr w:type="spellEnd"/>
      <w:r>
        <w:t xml:space="preserve"> (2010) found that effective HRO training </w:t>
      </w:r>
      <w:r w:rsidR="008E5C6E">
        <w:t>emphasizes</w:t>
      </w:r>
      <w:r>
        <w:t xml:space="preserve"> high-fidelity simulation, team-based scenarios, and extensive deliberate practice — approaches poorly aligned with brief, </w:t>
      </w:r>
      <w:r w:rsidR="008E5C6E">
        <w:t>decontextualized</w:t>
      </w:r>
      <w:r>
        <w:t xml:space="preserve"> microlearning formats. Salas et al. (2006) demonstrate that Crew Resource Management training requires extended scenarios enabling teams to develop shared mental models and </w:t>
      </w:r>
      <w:r w:rsidR="008E5C6E">
        <w:t>practice</w:t>
      </w:r>
      <w:r>
        <w:t xml:space="preserve"> adaptive coordination under pressure — characteristics that cannot be achieved through fragmented microunits consumed individually. </w:t>
      </w:r>
      <w:r w:rsidR="00EC5A08" w:rsidRPr="00EC5A08">
        <w:rPr>
          <w:lang w:val="en-GB"/>
        </w:rPr>
        <w:t>Taken together, the evidence base remains too weak and indirect to support strong claims about the value of microlearning in Welsh Fire and Rescue contexts.</w:t>
      </w:r>
    </w:p>
    <w:p w14:paraId="0872F46B" w14:textId="77777777" w:rsidR="00EC5A08" w:rsidRPr="00EC5A08" w:rsidRDefault="00EC5A08" w:rsidP="00571EB8">
      <w:pPr>
        <w:spacing w:line="360" w:lineRule="auto"/>
        <w:ind w:left="-5" w:right="0"/>
        <w:rPr>
          <w:lang w:val="en-GB"/>
        </w:rPr>
      </w:pPr>
      <w:r w:rsidRPr="00EC5A08">
        <w:rPr>
          <w:lang w:val="en-GB"/>
        </w:rPr>
        <w:t>This gap justifies the present study’s focus on firefighters’ perspectives in a specific Welsh context.</w:t>
      </w:r>
    </w:p>
    <w:p w14:paraId="468B7B98" w14:textId="3D175E79" w:rsidR="00F91C3A" w:rsidRDefault="00F91C3A" w:rsidP="00571EB8">
      <w:pPr>
        <w:spacing w:line="360" w:lineRule="auto"/>
        <w:ind w:left="-5" w:right="0"/>
      </w:pPr>
    </w:p>
    <w:p w14:paraId="70114E2F" w14:textId="77777777" w:rsidR="00F91C3A" w:rsidRDefault="00754C95" w:rsidP="00571EB8">
      <w:pPr>
        <w:spacing w:after="399" w:line="360" w:lineRule="auto"/>
        <w:ind w:left="0" w:right="0" w:firstLine="0"/>
        <w:jc w:val="left"/>
      </w:pPr>
      <w:r>
        <w:t xml:space="preserve"> </w:t>
      </w:r>
    </w:p>
    <w:p w14:paraId="3ADCBB5E" w14:textId="77777777" w:rsidR="004C3452" w:rsidRPr="004C3452" w:rsidRDefault="00754C95" w:rsidP="00571EB8">
      <w:pPr>
        <w:pStyle w:val="Heading1"/>
        <w:spacing w:line="360" w:lineRule="auto"/>
        <w:ind w:left="-5"/>
        <w:rPr>
          <w:bCs/>
        </w:rPr>
      </w:pPr>
      <w:r>
        <w:t xml:space="preserve">6. </w:t>
      </w:r>
      <w:r w:rsidR="004C3452" w:rsidRPr="004C3452">
        <w:rPr>
          <w:bCs/>
        </w:rPr>
        <w:t>Theme 4: Contextual Challenges in Welsh Fire and Rescue Services</w:t>
      </w:r>
    </w:p>
    <w:p w14:paraId="5CD82475" w14:textId="410CEAAD" w:rsidR="00F91C3A" w:rsidRDefault="00754C95" w:rsidP="00571EB8">
      <w:pPr>
        <w:pStyle w:val="Heading1"/>
        <w:spacing w:line="360" w:lineRule="auto"/>
        <w:ind w:left="-5" w:right="0"/>
      </w:pPr>
      <w:r>
        <w:t xml:space="preserve">6.1 Distinctive Characteristics of Welsh FRS Competence </w:t>
      </w:r>
    </w:p>
    <w:p w14:paraId="6AFB8EB1" w14:textId="77777777" w:rsidR="00F91C3A" w:rsidRDefault="00754C95" w:rsidP="00571EB8">
      <w:pPr>
        <w:spacing w:line="360" w:lineRule="auto"/>
        <w:ind w:left="-5" w:right="0"/>
      </w:pPr>
      <w:r>
        <w:t xml:space="preserve">Welsh FRS competence is fundamentally embodied and situated (Suchman, 1987): effective performance requires perceptual expertise developed through repeated exposure to real-world conditions, psychomotor skills under physiological stress, and spatial reasoning in disorienting environments (Crego and Harris, 2017). These capabilities require extensive physical practice in realistic conditions — a constraint no digital innovation can circumvent. Fire and Rescue operations </w:t>
      </w:r>
      <w:r>
        <w:lastRenderedPageBreak/>
        <w:t xml:space="preserve">involve radical uncertainty requiring adaptive expertise (Carbonell et al., 2014): the adaptive tacit knowledge firefighters develop through accumulated experiential practice (Eraut, 2000) cannot be delivered in discrete propositional units. Performance is irreducibly collective, depending on shared situational awareness, adaptive teamwork, and mutual familiarity developed through joint practice (Wolbers and Boersma, 2013) — relational dimensions wholly absent from individual microlearning consumption. </w:t>
      </w:r>
    </w:p>
    <w:p w14:paraId="4F9E159C" w14:textId="77777777" w:rsidR="00F91C3A" w:rsidRDefault="00754C95" w:rsidP="00571EB8">
      <w:pPr>
        <w:spacing w:after="302" w:line="360" w:lineRule="auto"/>
        <w:ind w:left="0" w:right="0" w:firstLine="0"/>
        <w:jc w:val="left"/>
      </w:pPr>
      <w:r>
        <w:t xml:space="preserve"> </w:t>
      </w:r>
    </w:p>
    <w:p w14:paraId="7EAFDE81" w14:textId="77777777" w:rsidR="00F91C3A" w:rsidRDefault="00754C95" w:rsidP="00571EB8">
      <w:pPr>
        <w:pStyle w:val="Heading2"/>
        <w:spacing w:line="360" w:lineRule="auto"/>
        <w:ind w:left="-5"/>
      </w:pPr>
      <w:r>
        <w:t xml:space="preserve">6.2 Welsh Policy Context, Structural Inequalities, and Political Economy </w:t>
      </w:r>
    </w:p>
    <w:p w14:paraId="3BF7FD17" w14:textId="398E7FF1" w:rsidR="00F91C3A" w:rsidRDefault="00754C95" w:rsidP="00571EB8">
      <w:pPr>
        <w:spacing w:line="360" w:lineRule="auto"/>
        <w:ind w:left="-5" w:right="0"/>
      </w:pPr>
      <w:r>
        <w:t xml:space="preserve">The Welsh Government's (2022) thematic review provides critical empirical context: RDS firefighters receive substantially less operational training than </w:t>
      </w:r>
      <w:r w:rsidR="008E5C6E">
        <w:t>whole time</w:t>
      </w:r>
      <w:r>
        <w:t xml:space="preserve"> colleagues despite responding to comparable incidents, with time availability constrained by primary employment obligations. While microlearning is frequently advocated as a solution enabling RDS personnel to access training flexibly (Jahnke et al., 2014), this argument requires scrutiny it rarely receives. Microlearning cannot substitute for practical skills development requiring physical infrastructure and qualified supervision. Digital infrastructure and connectivity inequalities may limit feasibility in rural Welsh areas where many RDS stations operate, and HMICFRS (2023) has noted that underfunded digital initiatives risk creating a false sense of training completion without genuine competence development. </w:t>
      </w:r>
    </w:p>
    <w:p w14:paraId="33B5295B" w14:textId="5BAF526B" w:rsidR="00F91C3A" w:rsidRDefault="00754C95" w:rsidP="00571EB8">
      <w:pPr>
        <w:spacing w:line="360" w:lineRule="auto"/>
        <w:ind w:left="-5" w:right="0"/>
      </w:pPr>
      <w:r>
        <w:t xml:space="preserve">A dimension conspicuously absent from most academic treatments is the political economy within which microlearning is produced and promoted. The microlearning market is dominated by commercial vendors whose revenue depends on </w:t>
      </w:r>
      <w:r w:rsidR="008E5C6E">
        <w:t>organizational</w:t>
      </w:r>
      <w:r>
        <w:t xml:space="preserve"> adoption, creating structural conditions for systematic promotional bias. Industry white papers and vendor case studies constitute a substantial portion of the 'evidence' cited in </w:t>
      </w:r>
      <w:r w:rsidR="008E5C6E">
        <w:t>favor</w:t>
      </w:r>
      <w:r>
        <w:t xml:space="preserve"> of microlearning yet are rarely subjected to the </w:t>
      </w:r>
      <w:r w:rsidR="008E5C6E">
        <w:t>skeptical</w:t>
      </w:r>
      <w:r>
        <w:t xml:space="preserve"> scrutiny applied to peer-reviewed research. The commodification of workplace learning has accelerated these tendencies: </w:t>
      </w:r>
      <w:r w:rsidR="008E5C6E">
        <w:t>organizations</w:t>
      </w:r>
      <w:r>
        <w:t xml:space="preserve"> seeking cost-effective solutions are receptive to narratives aligning cost reduction with pedagogical innovation. For Welsh FRS, budget-constrained fire services are precisely the target market, and the critical task for researchers, practitioners, and policymakers is to distinguish genuine pedagogical innovation from technological solutionism that redirects limited training investment away from the high-fidelity, collective practice that FRS competence actually requires. </w:t>
      </w:r>
    </w:p>
    <w:p w14:paraId="48006545" w14:textId="77777777" w:rsidR="00F91C3A" w:rsidRDefault="00754C95" w:rsidP="00571EB8">
      <w:pPr>
        <w:spacing w:after="301" w:line="360" w:lineRule="auto"/>
        <w:ind w:left="0" w:right="0" w:firstLine="0"/>
        <w:jc w:val="left"/>
      </w:pPr>
      <w:r>
        <w:t xml:space="preserve"> </w:t>
      </w:r>
    </w:p>
    <w:p w14:paraId="5239E068" w14:textId="77777777" w:rsidR="00F91C3A" w:rsidRDefault="00754C95" w:rsidP="00571EB8">
      <w:pPr>
        <w:pStyle w:val="Heading2"/>
        <w:spacing w:line="360" w:lineRule="auto"/>
        <w:ind w:left="-5"/>
      </w:pPr>
      <w:r>
        <w:t xml:space="preserve">6.3 Potential Appropriate Applications </w:t>
      </w:r>
    </w:p>
    <w:p w14:paraId="33D2D11F" w14:textId="64AC9877" w:rsidR="00B72DF7" w:rsidRPr="00B72DF7" w:rsidRDefault="00754C95" w:rsidP="00571EB8">
      <w:pPr>
        <w:spacing w:line="360" w:lineRule="auto"/>
        <w:ind w:left="-5" w:right="0"/>
        <w:rPr>
          <w:lang w:val="en-GB"/>
        </w:rPr>
      </w:pPr>
      <w:r>
        <w:t xml:space="preserve">Critical analysis should identify conditions under which microlearning may be appropriate. Knowledge reinforcement — spaced review of Standard Operating Procedures, legislative </w:t>
      </w:r>
      <w:r>
        <w:lastRenderedPageBreak/>
        <w:t xml:space="preserve">requirements, and regulatory updates — represents a plausible application if designed with evidence-based spacing schedules and meaningful retrieval practice (Kerfoot et al., 2012). Nontechnical topics including equality and diversity, mental health awareness, or </w:t>
      </w:r>
      <w:r w:rsidR="008E5C6E">
        <w:t>organizational</w:t>
      </w:r>
      <w:r>
        <w:t xml:space="preserve"> policies may be appropriately delivered through microlearning without the fidelity requirements of operational training. Any such applications must be explicitly integrated within comprehensive training systems that maintain high-fidelity simulation and practical skills development (Salas et al., 2012), and must be subjected to rigorous evaluation against operational performance and safety metrics rather than learner satisfaction alone. </w:t>
      </w:r>
      <w:r w:rsidR="00B72DF7" w:rsidRPr="00B72DF7">
        <w:rPr>
          <w:lang w:val="en-GB"/>
        </w:rPr>
        <w:t>For these reasons, Welsh FRS provides a particularly important context in which to examine whether microlearning is perceived as useful, feasible, and educationally appropriate.</w:t>
      </w:r>
    </w:p>
    <w:p w14:paraId="17A6EE38" w14:textId="0AA96FBD" w:rsidR="00F91C3A" w:rsidRDefault="00F91C3A" w:rsidP="00571EB8">
      <w:pPr>
        <w:spacing w:after="400" w:line="360" w:lineRule="auto"/>
        <w:ind w:left="0" w:right="0" w:firstLine="0"/>
        <w:jc w:val="left"/>
      </w:pPr>
    </w:p>
    <w:p w14:paraId="7A0DA113" w14:textId="77777777" w:rsidR="00F91C3A" w:rsidRDefault="00754C95" w:rsidP="00571EB8">
      <w:pPr>
        <w:pStyle w:val="Heading1"/>
        <w:spacing w:after="104" w:line="360" w:lineRule="auto"/>
        <w:ind w:left="-5" w:right="0"/>
      </w:pPr>
      <w:r>
        <w:t xml:space="preserve">7. Critical Synthesis: Connecting the Literature to the Proposed Study </w:t>
      </w:r>
    </w:p>
    <w:p w14:paraId="77E941B9" w14:textId="77777777" w:rsidR="00F91C3A" w:rsidRDefault="00754C95" w:rsidP="00571EB8">
      <w:pPr>
        <w:spacing w:line="360" w:lineRule="auto"/>
        <w:ind w:left="-5" w:right="0"/>
      </w:pPr>
      <w:r>
        <w:t xml:space="preserve">This review has identified interconnected gaps operating at three distinct levels — conceptual, theoretical, and empirical — whose layered character means that resolving the empirical gap in isolation would be insufficient without addressing the conceptual instability and theoretical misalignment that precede it. </w:t>
      </w:r>
    </w:p>
    <w:p w14:paraId="4A8B3EBB" w14:textId="5D691E36" w:rsidR="00F91C3A" w:rsidRDefault="00754C95" w:rsidP="00571EB8">
      <w:pPr>
        <w:spacing w:line="360" w:lineRule="auto"/>
        <w:ind w:left="-5" w:right="0"/>
      </w:pPr>
      <w:r>
        <w:t xml:space="preserve">At the conceptual level, persistent definitional instability means the term 'microlearning' may carry incommensurable meanings for different stakeholders within Welsh FRS. Without establishing what the concept means to practitioners — not as a problem to be resolved before research begins, but as a substantive empirical question — </w:t>
      </w:r>
      <w:proofErr w:type="spellStart"/>
      <w:r>
        <w:t>any</w:t>
      </w:r>
      <w:proofErr w:type="spellEnd"/>
      <w:r>
        <w:t xml:space="preserve"> implementation strategy rests on an unstable foundation. At the theoretical level, the review has identified not merely insufficient evidence but a deeper misalignment between the cognitive architecture implicit in microlearning design and the nature of high-reliability professional expertise. The mechanism assumptions through which microlearning claims to work have not been tested within expert professional populations in </w:t>
      </w:r>
      <w:r w:rsidR="008E5C6E">
        <w:t>high-risk</w:t>
      </w:r>
      <w:r>
        <w:t xml:space="preserve"> domains, and the ontological incompatibility thesis advanced in Section 4.4 suggests that some mechanisms may be structurally inappropriate for the kind of knowledge emergency service competence actually involves. This cannot be resolved by adding more empirical studies; it requires engagement with competing paradigms at the level of theoretical assumption. At the empirical level, the evidence base suffers from student-based samples, short follow-up periods, proxy outcome measures, and the structural absence of any research on firefighters or comparable emergency service professionals. </w:t>
      </w:r>
    </w:p>
    <w:p w14:paraId="5AF274C2" w14:textId="77777777" w:rsidR="00F91C3A" w:rsidRDefault="00754C95" w:rsidP="00571EB8">
      <w:pPr>
        <w:spacing w:line="360" w:lineRule="auto"/>
        <w:ind w:left="-5" w:right="0"/>
      </w:pPr>
      <w:r>
        <w:t xml:space="preserve">Without resolving the conceptual and theoretical layers, empirical accumulation — however methodologically improved — remains epistemologically fragile. The proposed qualitative study addresses the most immediate gap: what do Welsh firefighters think about microlearning, and does the concept make sense within their professional context? In doing so, it also generates the </w:t>
      </w:r>
      <w:r>
        <w:lastRenderedPageBreak/>
        <w:t xml:space="preserve">conceptual and theoretical grounding without which larger-scale implementation or experimental evaluation would be premature. </w:t>
      </w:r>
    </w:p>
    <w:p w14:paraId="227614BD" w14:textId="77777777" w:rsidR="00F91C3A" w:rsidRDefault="00754C95" w:rsidP="00571EB8">
      <w:pPr>
        <w:spacing w:after="400" w:line="360" w:lineRule="auto"/>
        <w:ind w:left="0" w:right="0" w:firstLine="0"/>
        <w:jc w:val="left"/>
      </w:pPr>
      <w:r>
        <w:t xml:space="preserve"> </w:t>
      </w:r>
    </w:p>
    <w:p w14:paraId="27065D78" w14:textId="77777777" w:rsidR="00F91C3A" w:rsidRDefault="00754C95" w:rsidP="00571EB8">
      <w:pPr>
        <w:pStyle w:val="Heading1"/>
        <w:spacing w:line="360" w:lineRule="auto"/>
        <w:ind w:left="-5" w:right="0"/>
      </w:pPr>
      <w:r>
        <w:t xml:space="preserve">8. Implications for Research and Practice </w:t>
      </w:r>
    </w:p>
    <w:p w14:paraId="3A3C9105" w14:textId="77777777" w:rsidR="00F91C3A" w:rsidRDefault="00754C95" w:rsidP="00571EB8">
      <w:pPr>
        <w:pStyle w:val="Heading2"/>
        <w:spacing w:line="360" w:lineRule="auto"/>
        <w:ind w:left="-5"/>
      </w:pPr>
      <w:r>
        <w:t xml:space="preserve">8.1 Research Directions </w:t>
      </w:r>
    </w:p>
    <w:p w14:paraId="40945125" w14:textId="77777777" w:rsidR="00F91C3A" w:rsidRDefault="00754C95" w:rsidP="00571EB8">
      <w:pPr>
        <w:spacing w:line="360" w:lineRule="auto"/>
        <w:ind w:left="-5" w:right="0"/>
      </w:pPr>
      <w:r>
        <w:t xml:space="preserve">The gaps identified have implications for a cumulative research agenda. Conceptual research employing systematic concept analysis (Walker and Avant, 2005) is needed to establish definitional boundaries for microlearning in professional contexts. Design-based research (McKenney and Reeves, 2018) should iteratively develop theoretically grounded microlearning interventions within authentic professional contexts. Longitudinal studies using performance-based outcomes and extended follow-up are critically needed to move beyond proxy indicators. For Welsh FRS, the proposed qualitative study represents the most immediate priority, providing the foundational understanding required before any experimental evaluation could be responsibly designed. Research explicitly engaging with competing paradigms — HRO training, situated learning, and efficiency-driven digital training — would advance the field beyond its current methodological preoccupations toward the theoretical clarity the evidence base requires. </w:t>
      </w:r>
    </w:p>
    <w:p w14:paraId="14F9DA9A" w14:textId="77777777" w:rsidR="00F91C3A" w:rsidRDefault="00754C95" w:rsidP="00571EB8">
      <w:pPr>
        <w:spacing w:after="301" w:line="360" w:lineRule="auto"/>
        <w:ind w:left="0" w:right="0" w:firstLine="0"/>
        <w:jc w:val="left"/>
      </w:pPr>
      <w:r>
        <w:t xml:space="preserve"> </w:t>
      </w:r>
    </w:p>
    <w:p w14:paraId="5043F779" w14:textId="77777777" w:rsidR="00F91C3A" w:rsidRDefault="00754C95" w:rsidP="00571EB8">
      <w:pPr>
        <w:pStyle w:val="Heading2"/>
        <w:spacing w:line="360" w:lineRule="auto"/>
        <w:ind w:left="-5"/>
      </w:pPr>
      <w:r>
        <w:t xml:space="preserve">8.2 Implications for Welsh FRS Practice and Policy </w:t>
      </w:r>
    </w:p>
    <w:p w14:paraId="5A79B944" w14:textId="6D709183" w:rsidR="00F91C3A" w:rsidRDefault="00754C95" w:rsidP="00571EB8">
      <w:pPr>
        <w:spacing w:line="360" w:lineRule="auto"/>
        <w:ind w:left="-5" w:right="0"/>
      </w:pPr>
      <w:r>
        <w:t xml:space="preserve">For Welsh FRS </w:t>
      </w:r>
      <w:r w:rsidR="008E5C6E">
        <w:t>organizations</w:t>
      </w:r>
      <w:r>
        <w:t xml:space="preserve"> and the Welsh Government, this review supports several </w:t>
      </w:r>
      <w:proofErr w:type="gramStart"/>
      <w:r w:rsidR="008E5C6E">
        <w:t>evidence based</w:t>
      </w:r>
      <w:proofErr w:type="gramEnd"/>
      <w:r>
        <w:t xml:space="preserve"> recommendations. Decision-makers should resist advocacy-driven microlearning promotion lacking rigorous evidence for safety-critical applications: commercial interests do not align with the evidence requirements appropriate for high-risk professional contexts. Any consideration of adoption should specify clearly appropriate applications (knowledge reinforcement, regulatory awareness) versus inappropriate ones (initial skills acquisition, psychomotor training, team coordination development). Where implementation is considered, it must reflect evidence-based design principles: principled spaced repetition, embedded retrieval practice with corrective feedback, and </w:t>
      </w:r>
      <w:r w:rsidR="008E5C6E">
        <w:t>contextualization</w:t>
      </w:r>
      <w:r>
        <w:t xml:space="preserve"> to FRS operational scenarios. Microlearning must be positioned as supplementary within comprehensive training systems, not as a cost-saving substitute for investment in simulation and practical skills development. Particular attention should be paid to equity: if microlearning is inaccessible to those with limited connectivity or digital literacy, it risks deepening rather than addressing the structural training disparities between </w:t>
      </w:r>
      <w:r w:rsidR="008E5C6E">
        <w:t>whole time</w:t>
      </w:r>
      <w:r>
        <w:t xml:space="preserve"> and RDS personnel documented by Welsh Government (2022) and HMICFRS (2023). </w:t>
      </w:r>
    </w:p>
    <w:p w14:paraId="0AC55D84" w14:textId="77777777" w:rsidR="00F91C3A" w:rsidRDefault="00754C95" w:rsidP="00571EB8">
      <w:pPr>
        <w:spacing w:after="401" w:line="360" w:lineRule="auto"/>
        <w:ind w:left="0" w:right="0" w:firstLine="0"/>
        <w:jc w:val="left"/>
      </w:pPr>
      <w:r>
        <w:lastRenderedPageBreak/>
        <w:t xml:space="preserve"> </w:t>
      </w:r>
    </w:p>
    <w:p w14:paraId="50A15570" w14:textId="77777777" w:rsidR="00F91C3A" w:rsidRDefault="00754C95" w:rsidP="00571EB8">
      <w:pPr>
        <w:pStyle w:val="Heading1"/>
        <w:spacing w:after="106" w:line="360" w:lineRule="auto"/>
        <w:ind w:left="-5" w:right="0"/>
      </w:pPr>
      <w:r>
        <w:t xml:space="preserve">9. Conclusion </w:t>
      </w:r>
    </w:p>
    <w:p w14:paraId="58578446" w14:textId="77777777" w:rsidR="00F91C3A" w:rsidRDefault="00754C95" w:rsidP="00571EB8">
      <w:pPr>
        <w:spacing w:line="360" w:lineRule="auto"/>
        <w:ind w:left="-5" w:right="0"/>
      </w:pPr>
      <w:r>
        <w:t xml:space="preserve">This critical literature review has examined microlearning within high-risk professional training, with Welsh FRS as the primary contextual focus. Using systematic searches across five academic databases, CRAAP-based screening supplemented by methodological hierarchy criteria, the review reveals substantial grounds for concern regarding microlearning's conceptual coherence, theoretical foundations, empirical support, and contextual appropriateness in Wales specifically. </w:t>
      </w:r>
    </w:p>
    <w:p w14:paraId="307A626C" w14:textId="580A5C77" w:rsidR="00F91C3A" w:rsidRDefault="00754C95" w:rsidP="00571EB8">
      <w:pPr>
        <w:spacing w:line="360" w:lineRule="auto"/>
        <w:ind w:left="-5" w:right="0"/>
      </w:pPr>
      <w:r>
        <w:t xml:space="preserve">The review advances two interconnected arguments. The first is methodological: microlearning suffers from persistent definitional ambiguity, superficially invoked theoretical frameworks, and an evidence base dominated by student populations, proxy outcome measures, and weak research designs. The second is ontological: microlearning is premised upon a modular-information model of cognition that is incompatible with the distributed, embodied, and collectively enacted expertise that </w:t>
      </w:r>
      <w:r w:rsidR="008E5C6E">
        <w:t>characterizes</w:t>
      </w:r>
      <w:r>
        <w:t xml:space="preserve"> high-reliability professional practice. Welsh FRS competence involves embodied skills, adaptive expertise, collective performance under irreducible uncertainty, and severe consequences of error — characteristics poorly aligned with brief, individually consumed, </w:t>
      </w:r>
      <w:r w:rsidR="008E5C6E">
        <w:t>decontextualized</w:t>
      </w:r>
      <w:r>
        <w:t xml:space="preserve"> learning units not at the margins but at their core. The competing paradigms structuring the professional training literature — efficiency-driven digital training, HRO training, and situated learning — are not reconcilable by improved microlearning design; they reflect genuinely different views of what professional competence is and how it develops. </w:t>
      </w:r>
    </w:p>
    <w:p w14:paraId="3E4123EC" w14:textId="35DE10D4" w:rsidR="00F34DB7" w:rsidRPr="00F34DB7" w:rsidRDefault="00754C95" w:rsidP="00F34DB7">
      <w:pPr>
        <w:spacing w:line="360" w:lineRule="auto"/>
        <w:ind w:left="-5" w:right="0"/>
        <w:rPr>
          <w:lang w:val="en-GB"/>
        </w:rPr>
      </w:pPr>
      <w:r>
        <w:t>While microlearning might appropriately support knowledge reinforcement or regulatory awareness within carefully designed, comprehensive training systems, claims of broader effectiveness reflect not merely technological optimism but a mismatch between the learning model and the professional domain it is asked to serve. Welsh firefighters' own perceptions of microlearning's usefulness, relevance, and feasibility — the focus of the proposed qualitative inquiry — represent the most immediate research priority, without which any implementation decision would be empirically unjustified, theoretically premature, and potentially counterproductive to the safety and professional development outcomes that training ultimately must serve.</w:t>
      </w:r>
      <w:r w:rsidR="00F34DB7" w:rsidRPr="00F34DB7">
        <w:rPr>
          <w:color w:val="auto"/>
          <w:kern w:val="0"/>
          <w:sz w:val="24"/>
          <w:lang w:val="en-GB" w:eastAsia="en-GB" w:bidi="ar-SA"/>
          <w14:ligatures w14:val="none"/>
        </w:rPr>
        <w:t xml:space="preserve"> </w:t>
      </w:r>
      <w:r w:rsidR="00F34DB7" w:rsidRPr="00F34DB7">
        <w:rPr>
          <w:lang w:val="en-GB"/>
        </w:rPr>
        <w:t>This review has highlighted four key issues: definitional ambiguity, theoretical inconsistency, limited and methodologically weak empirical evidence, and significant contextual challenges in Welsh Fire and Rescue Services.</w:t>
      </w:r>
    </w:p>
    <w:p w14:paraId="3C64827F" w14:textId="0C8C946E" w:rsidR="00304DB7" w:rsidRPr="00304DB7" w:rsidRDefault="00754C95" w:rsidP="00571EB8">
      <w:pPr>
        <w:spacing w:line="360" w:lineRule="auto"/>
        <w:ind w:left="-5" w:right="0"/>
        <w:rPr>
          <w:lang w:val="en-GB"/>
        </w:rPr>
      </w:pPr>
      <w:r>
        <w:t xml:space="preserve"> </w:t>
      </w:r>
      <w:r w:rsidR="00304DB7" w:rsidRPr="00304DB7">
        <w:rPr>
          <w:lang w:val="en-GB"/>
        </w:rPr>
        <w:t>Refined Research Question</w:t>
      </w:r>
    </w:p>
    <w:p w14:paraId="76EF0FAF" w14:textId="77777777" w:rsidR="00304DB7" w:rsidRPr="00304DB7" w:rsidRDefault="00304DB7" w:rsidP="00571EB8">
      <w:pPr>
        <w:spacing w:line="360" w:lineRule="auto"/>
        <w:ind w:left="-5" w:right="0"/>
        <w:rPr>
          <w:lang w:val="en-GB"/>
        </w:rPr>
      </w:pPr>
      <w:r w:rsidRPr="00304DB7">
        <w:rPr>
          <w:lang w:val="en-GB"/>
        </w:rPr>
        <w:t>How do firefighters in Welsh Fire and Rescue Services understand and evaluate microlearning as a training approach in relation to their professional learning and operational practice?</w:t>
      </w:r>
    </w:p>
    <w:p w14:paraId="145A6A9B" w14:textId="77777777" w:rsidR="00F91C3A" w:rsidRDefault="00754C95" w:rsidP="00571EB8">
      <w:pPr>
        <w:pStyle w:val="Heading1"/>
        <w:spacing w:after="108" w:line="360" w:lineRule="auto"/>
        <w:ind w:left="-5" w:right="0"/>
      </w:pPr>
      <w:r>
        <w:lastRenderedPageBreak/>
        <w:t xml:space="preserve">References </w:t>
      </w:r>
    </w:p>
    <w:p w14:paraId="6BB87A0C" w14:textId="77777777" w:rsidR="00F91C3A" w:rsidRDefault="00754C95" w:rsidP="00571EB8">
      <w:pPr>
        <w:spacing w:after="225" w:line="360" w:lineRule="auto"/>
        <w:ind w:left="-5" w:right="0"/>
      </w:pPr>
      <w:r>
        <w:t xml:space="preserve">Billett, S. (2020) Learning in the workplace: Strategies for effective practice. London: Routledge. </w:t>
      </w:r>
    </w:p>
    <w:p w14:paraId="1F2F11FA" w14:textId="77777777" w:rsidR="00F91C3A" w:rsidRDefault="00754C95" w:rsidP="00571EB8">
      <w:pPr>
        <w:spacing w:line="360" w:lineRule="auto"/>
        <w:ind w:left="-5" w:right="0"/>
      </w:pPr>
      <w:r>
        <w:t xml:space="preserve">Bjork, E. L. and Bjork, R. A. (2011) 'Making things hard on yourself, but in a good way: Creating desirable difficulties to enhance learning', in </w:t>
      </w:r>
      <w:proofErr w:type="spellStart"/>
      <w:r>
        <w:t>Gernsbacher</w:t>
      </w:r>
      <w:proofErr w:type="spellEnd"/>
      <w:r>
        <w:t xml:space="preserve">, M. A. et al. (eds.) Psychology and the real world. New York: Worth Publishers, pp. 56–64. </w:t>
      </w:r>
    </w:p>
    <w:p w14:paraId="6BD161C9" w14:textId="77777777" w:rsidR="00F91C3A" w:rsidRDefault="00754C95" w:rsidP="00571EB8">
      <w:pPr>
        <w:spacing w:after="225" w:line="360" w:lineRule="auto"/>
        <w:ind w:left="-5" w:right="0"/>
      </w:pPr>
      <w:r>
        <w:t xml:space="preserve">Blakeslee, S. (2004) 'The CRAAP test', LOEX Quarterly, 31(3), pp. 6–7. </w:t>
      </w:r>
    </w:p>
    <w:p w14:paraId="5AA13E2D" w14:textId="77777777" w:rsidR="00F91C3A" w:rsidRDefault="00754C95" w:rsidP="00571EB8">
      <w:pPr>
        <w:spacing w:line="360" w:lineRule="auto"/>
        <w:ind w:left="-5" w:right="0"/>
      </w:pPr>
      <w:r>
        <w:t xml:space="preserve">Boote, D. N. and Beile, P. (2005) 'Scholars before researchers: On the centrality of the dissertation literature review in research preparation', Educational Researcher, 34(6), pp. 3–15. </w:t>
      </w:r>
    </w:p>
    <w:p w14:paraId="76DB1C3C" w14:textId="77777777" w:rsidR="00F91C3A" w:rsidRDefault="00754C95" w:rsidP="00571EB8">
      <w:pPr>
        <w:spacing w:line="360" w:lineRule="auto"/>
        <w:ind w:left="-5" w:right="0"/>
      </w:pPr>
      <w:proofErr w:type="spellStart"/>
      <w:r>
        <w:t>Buchem</w:t>
      </w:r>
      <w:proofErr w:type="spellEnd"/>
      <w:r>
        <w:t xml:space="preserve">, I. and Hamelmann, H. (2010) 'Microlearning: A strategy for ongoing professional development', eLearning Papers, 21, pp. 1–15. </w:t>
      </w:r>
    </w:p>
    <w:p w14:paraId="4ED72C79" w14:textId="77777777" w:rsidR="00F91C3A" w:rsidRDefault="00754C95" w:rsidP="00571EB8">
      <w:pPr>
        <w:spacing w:line="360" w:lineRule="auto"/>
        <w:ind w:left="-5" w:right="0"/>
      </w:pPr>
      <w:r>
        <w:t xml:space="preserve">Carbonell, K. B., </w:t>
      </w:r>
      <w:proofErr w:type="spellStart"/>
      <w:r>
        <w:t>Stalmeijer</w:t>
      </w:r>
      <w:proofErr w:type="spellEnd"/>
      <w:r>
        <w:t xml:space="preserve">, R. E., </w:t>
      </w:r>
      <w:proofErr w:type="spellStart"/>
      <w:r>
        <w:t>Könings</w:t>
      </w:r>
      <w:proofErr w:type="spellEnd"/>
      <w:r>
        <w:t xml:space="preserve">, K. D., Segers, M. and van </w:t>
      </w:r>
      <w:proofErr w:type="spellStart"/>
      <w:r>
        <w:t>Merriënboer</w:t>
      </w:r>
      <w:proofErr w:type="spellEnd"/>
      <w:r>
        <w:t xml:space="preserve">, J. J. (2014) 'How experts deal with novel situations: A review of adaptive expertise', Educational Research Review, 12, pp. 14–29. </w:t>
      </w:r>
    </w:p>
    <w:p w14:paraId="2FD1EF68" w14:textId="77777777" w:rsidR="00F91C3A" w:rsidRDefault="00754C95" w:rsidP="00571EB8">
      <w:pPr>
        <w:spacing w:line="360" w:lineRule="auto"/>
        <w:ind w:left="-5" w:right="0"/>
      </w:pPr>
      <w:r>
        <w:t xml:space="preserve">Cepeda, N. J., </w:t>
      </w:r>
      <w:proofErr w:type="spellStart"/>
      <w:r>
        <w:t>Pashler</w:t>
      </w:r>
      <w:proofErr w:type="spellEnd"/>
      <w:r>
        <w:t xml:space="preserve">, H., </w:t>
      </w:r>
      <w:proofErr w:type="spellStart"/>
      <w:r>
        <w:t>Vul</w:t>
      </w:r>
      <w:proofErr w:type="spellEnd"/>
      <w:r>
        <w:t xml:space="preserve">, E., Wixted, J. T. and Rohrer, D. (2006) 'Distributed practice in verbal recall tasks: A review and quantitative synthesis', Psychological Bulletin, 132(3), pp. 354– 380. </w:t>
      </w:r>
    </w:p>
    <w:p w14:paraId="23DA2D45" w14:textId="77777777" w:rsidR="00F91C3A" w:rsidRDefault="00754C95" w:rsidP="00571EB8">
      <w:pPr>
        <w:spacing w:after="29" w:line="360" w:lineRule="auto"/>
        <w:ind w:left="-5" w:right="0"/>
      </w:pPr>
      <w:r>
        <w:t xml:space="preserve">Cohen-Hatton, S. R., Butler, P. C. and Honey, R. C. (2015) 'An investigation of operational decision making in situ: Incident command in the UK Fire and Rescue Service', Human Factors, 57(5), pp. </w:t>
      </w:r>
    </w:p>
    <w:p w14:paraId="0407644C" w14:textId="77777777" w:rsidR="00F91C3A" w:rsidRDefault="00754C95" w:rsidP="00571EB8">
      <w:pPr>
        <w:spacing w:after="228" w:line="360" w:lineRule="auto"/>
        <w:ind w:left="-5" w:right="0"/>
      </w:pPr>
      <w:r>
        <w:t xml:space="preserve">793–804. </w:t>
      </w:r>
    </w:p>
    <w:p w14:paraId="2A9F5BE0" w14:textId="77777777" w:rsidR="00F91C3A" w:rsidRDefault="00754C95" w:rsidP="00571EB8">
      <w:pPr>
        <w:spacing w:line="360" w:lineRule="auto"/>
        <w:ind w:left="-5" w:right="0"/>
      </w:pPr>
      <w:r>
        <w:t xml:space="preserve">Crego, J., &amp; Harris, C. (2017). Training decision-making by </w:t>
      </w:r>
      <w:proofErr w:type="gramStart"/>
      <w:r>
        <w:t>team based</w:t>
      </w:r>
      <w:proofErr w:type="gramEnd"/>
      <w:r>
        <w:t xml:space="preserve"> simulation. In </w:t>
      </w:r>
      <w:r>
        <w:rPr>
          <w:i/>
        </w:rPr>
        <w:t>Incident command: tales from the hot seat</w:t>
      </w:r>
      <w:r>
        <w:t xml:space="preserve"> (pp. 258-269). Routledge. </w:t>
      </w:r>
    </w:p>
    <w:p w14:paraId="3E9476EB" w14:textId="77777777" w:rsidR="00F91C3A" w:rsidRDefault="00754C95" w:rsidP="00571EB8">
      <w:pPr>
        <w:spacing w:line="360" w:lineRule="auto"/>
        <w:ind w:left="-5" w:right="0"/>
      </w:pPr>
      <w:r>
        <w:t xml:space="preserve">Cronin, J. and Durham, M. L. (2024) 'Microlearning: A concept analysis', CIN: Computers, Informatics, Nursing, 42(6), pp. 413–420. </w:t>
      </w:r>
    </w:p>
    <w:p w14:paraId="60A2E757" w14:textId="77777777" w:rsidR="00F91C3A" w:rsidRDefault="00754C95" w:rsidP="00571EB8">
      <w:pPr>
        <w:spacing w:line="360" w:lineRule="auto"/>
        <w:ind w:left="-5" w:right="0"/>
      </w:pPr>
      <w:r>
        <w:t xml:space="preserve">de Gagne, J. C., Park, H. K., Hall, K., Woodward, A., Yamane, S. and Kim, S. S. (2019) 'Microlearning in health professions education: A scoping review', JMIR Medical Education, 5(2), e13997. </w:t>
      </w:r>
    </w:p>
    <w:p w14:paraId="6491E9DE" w14:textId="77777777" w:rsidR="00F91C3A" w:rsidRDefault="00754C95" w:rsidP="00571EB8">
      <w:pPr>
        <w:spacing w:line="360" w:lineRule="auto"/>
        <w:ind w:left="-5" w:right="0"/>
      </w:pPr>
      <w:r>
        <w:t xml:space="preserve">Dreyfus, H. L. and Dreyfus, S. E. (1986) Mind over machine: The power of human intuition and expertise in the era of the computer. New York: Free Press. </w:t>
      </w:r>
    </w:p>
    <w:p w14:paraId="4CC5CDC1" w14:textId="77777777" w:rsidR="00F91C3A" w:rsidRDefault="00754C95" w:rsidP="00571EB8">
      <w:pPr>
        <w:spacing w:line="360" w:lineRule="auto"/>
        <w:ind w:left="-5" w:right="0"/>
      </w:pPr>
      <w:r>
        <w:t xml:space="preserve">Dunlosky, J., Rawson, K. A., Marsh, E. J., Nathan, M. J. and Willingham, D. T. (2013) 'Improving students' learning with effective learning techniques', Psychological Science in the Public Interest, 14(1), pp. 4–58. </w:t>
      </w:r>
    </w:p>
    <w:p w14:paraId="5B73325D" w14:textId="77777777" w:rsidR="00F91C3A" w:rsidRDefault="00754C95" w:rsidP="00571EB8">
      <w:pPr>
        <w:spacing w:after="29" w:line="360" w:lineRule="auto"/>
        <w:ind w:left="-5" w:right="0"/>
      </w:pPr>
      <w:r>
        <w:lastRenderedPageBreak/>
        <w:t xml:space="preserve">Emerson, L. C. and Berge, Z. L. (2018) 'Microlearning: Knowledge management applications and competency-based training in the workplace', Knowledge Management &amp; E-Learning, 10(2), pp. </w:t>
      </w:r>
    </w:p>
    <w:p w14:paraId="6D5FFE09" w14:textId="77777777" w:rsidR="00F91C3A" w:rsidRDefault="00754C95" w:rsidP="00571EB8">
      <w:pPr>
        <w:spacing w:after="225" w:line="360" w:lineRule="auto"/>
        <w:ind w:left="-5" w:right="0"/>
      </w:pPr>
      <w:r>
        <w:t xml:space="preserve">125–132. </w:t>
      </w:r>
    </w:p>
    <w:p w14:paraId="16A1A0D3" w14:textId="77777777" w:rsidR="00F91C3A" w:rsidRDefault="00754C95" w:rsidP="00571EB8">
      <w:pPr>
        <w:spacing w:line="360" w:lineRule="auto"/>
        <w:ind w:left="-5" w:right="0"/>
      </w:pPr>
      <w:r>
        <w:t>Eraut, M. (2000) '</w:t>
      </w:r>
      <w:proofErr w:type="gramStart"/>
      <w:r>
        <w:t>Non-formal</w:t>
      </w:r>
      <w:proofErr w:type="gramEnd"/>
      <w:r>
        <w:t xml:space="preserve"> learning and tacit knowledge in professional work', British Journal of Educational Psychology, 70(1), pp. 113–136. </w:t>
      </w:r>
    </w:p>
    <w:p w14:paraId="51A37460" w14:textId="77777777" w:rsidR="00F91C3A" w:rsidRDefault="00754C95" w:rsidP="00571EB8">
      <w:pPr>
        <w:spacing w:after="231" w:line="360" w:lineRule="auto"/>
        <w:ind w:left="-5" w:right="-11"/>
        <w:jc w:val="left"/>
      </w:pPr>
      <w:proofErr w:type="spellStart"/>
      <w:r>
        <w:t>Flin</w:t>
      </w:r>
      <w:proofErr w:type="spellEnd"/>
      <w:r>
        <w:t xml:space="preserve">, R., &amp; O'Connor, P. (2017). </w:t>
      </w:r>
      <w:r>
        <w:rPr>
          <w:i/>
        </w:rPr>
        <w:t>Safety at the sharp end: a guide to non-technical skills</w:t>
      </w:r>
      <w:r>
        <w:t xml:space="preserve">. CRC Press. </w:t>
      </w:r>
    </w:p>
    <w:p w14:paraId="06B469C9" w14:textId="77777777" w:rsidR="00F91C3A" w:rsidRDefault="00754C95" w:rsidP="00571EB8">
      <w:pPr>
        <w:spacing w:line="360" w:lineRule="auto"/>
        <w:ind w:left="-5" w:right="0"/>
      </w:pPr>
      <w:r>
        <w:t xml:space="preserve">Giurgiu, L. (2017) 'Microlearning an evolving </w:t>
      </w:r>
      <w:proofErr w:type="spellStart"/>
      <w:r>
        <w:t>elearning</w:t>
      </w:r>
      <w:proofErr w:type="spellEnd"/>
      <w:r>
        <w:t xml:space="preserve"> trend', Scientific Bulletin, 22(1), pp. 18–</w:t>
      </w:r>
    </w:p>
    <w:p w14:paraId="524AEE81" w14:textId="77777777" w:rsidR="00F91C3A" w:rsidRDefault="00754C95" w:rsidP="00571EB8">
      <w:pPr>
        <w:spacing w:after="225" w:line="360" w:lineRule="auto"/>
        <w:ind w:left="-5" w:right="0"/>
      </w:pPr>
      <w:r>
        <w:t xml:space="preserve">23. </w:t>
      </w:r>
    </w:p>
    <w:p w14:paraId="1FACA454" w14:textId="77777777" w:rsidR="00F91C3A" w:rsidRDefault="00754C95" w:rsidP="00571EB8">
      <w:pPr>
        <w:spacing w:after="0" w:line="360" w:lineRule="auto"/>
        <w:ind w:left="-5" w:right="0"/>
      </w:pPr>
      <w:r>
        <w:t xml:space="preserve">His Majesty's Inspectorate of Constabulary and Fire &amp; Rescue Services (HMICFRS) (2023) State of fire and rescue: The annual assessment of fire and rescue services in England 2022. London: </w:t>
      </w:r>
    </w:p>
    <w:p w14:paraId="3D28FFB6" w14:textId="77777777" w:rsidR="00F91C3A" w:rsidRDefault="00754C95" w:rsidP="00571EB8">
      <w:pPr>
        <w:spacing w:after="226" w:line="360" w:lineRule="auto"/>
        <w:ind w:left="-5" w:right="0"/>
      </w:pPr>
      <w:r>
        <w:t xml:space="preserve">Home Office. </w:t>
      </w:r>
    </w:p>
    <w:p w14:paraId="68E6B0BF" w14:textId="77777777" w:rsidR="00F91C3A" w:rsidRDefault="00754C95" w:rsidP="00571EB8">
      <w:pPr>
        <w:spacing w:line="360" w:lineRule="auto"/>
        <w:ind w:left="-5" w:right="0"/>
      </w:pPr>
      <w:r>
        <w:t xml:space="preserve">Hug, T. (2005, May). Micro Learning and Narration. Exploring possibilities of utilization of narrations and storytelling for the designing of “micro units” and didactical micro-learning arrangements. In </w:t>
      </w:r>
      <w:r>
        <w:rPr>
          <w:i/>
        </w:rPr>
        <w:t>fourth Media in Transition conference</w:t>
      </w:r>
      <w:r>
        <w:t xml:space="preserve"> (Vol. 6, No. 8). MiT4. </w:t>
      </w:r>
    </w:p>
    <w:p w14:paraId="75178219" w14:textId="77777777" w:rsidR="00F91C3A" w:rsidRDefault="00754C95" w:rsidP="00571EB8">
      <w:pPr>
        <w:spacing w:after="0" w:line="360" w:lineRule="auto"/>
        <w:ind w:left="-5" w:right="0"/>
      </w:pPr>
      <w:r>
        <w:t xml:space="preserve">Jahnke, I., </w:t>
      </w:r>
      <w:proofErr w:type="spellStart"/>
      <w:r>
        <w:t>Norqvist</w:t>
      </w:r>
      <w:proofErr w:type="spellEnd"/>
      <w:r>
        <w:t xml:space="preserve">, L., &amp; Olsson, A. (2014, September). Digital didactical designs of learning expeditions. In </w:t>
      </w:r>
      <w:r>
        <w:rPr>
          <w:i/>
        </w:rPr>
        <w:t>European Conference on Technology Enhanced Learning</w:t>
      </w:r>
      <w:r>
        <w:t xml:space="preserve"> (pp. 165-178). Cham: </w:t>
      </w:r>
    </w:p>
    <w:p w14:paraId="21E6FCCF" w14:textId="77777777" w:rsidR="00F91C3A" w:rsidRDefault="00754C95" w:rsidP="00571EB8">
      <w:pPr>
        <w:spacing w:after="225" w:line="360" w:lineRule="auto"/>
        <w:ind w:left="-5" w:right="0"/>
      </w:pPr>
      <w:r>
        <w:t xml:space="preserve">Springer International Publishing. </w:t>
      </w:r>
    </w:p>
    <w:p w14:paraId="357D511D" w14:textId="77777777" w:rsidR="00F91C3A" w:rsidRDefault="00754C95" w:rsidP="00571EB8">
      <w:pPr>
        <w:spacing w:line="360" w:lineRule="auto"/>
        <w:ind w:left="-5" w:right="0"/>
      </w:pPr>
      <w:proofErr w:type="spellStart"/>
      <w:r>
        <w:t>Kalyuga</w:t>
      </w:r>
      <w:proofErr w:type="spellEnd"/>
      <w:r>
        <w:t xml:space="preserve">, S. (2007) 'Expertise reversal effect and its implications for learner-tailored instruction', Educational Psychology Review, 19(4), pp. 509–539. </w:t>
      </w:r>
    </w:p>
    <w:p w14:paraId="239D9D0E" w14:textId="77777777" w:rsidR="00F91C3A" w:rsidRDefault="00754C95" w:rsidP="00571EB8">
      <w:pPr>
        <w:spacing w:line="360" w:lineRule="auto"/>
        <w:ind w:left="-5" w:right="0"/>
      </w:pPr>
      <w:r>
        <w:t xml:space="preserve">Kang, S. H. (2016) 'Spaced repetition promotes efficient and effective learning', Policy Insights from the Behavioral and Brain Sciences, 3(1), pp. 12–19. </w:t>
      </w:r>
    </w:p>
    <w:p w14:paraId="709EDB8E" w14:textId="77777777" w:rsidR="00F91C3A" w:rsidRDefault="00754C95" w:rsidP="00571EB8">
      <w:pPr>
        <w:spacing w:line="360" w:lineRule="auto"/>
        <w:ind w:left="-5" w:right="0"/>
      </w:pPr>
      <w:r>
        <w:t xml:space="preserve">Karpicke, J. D. and Roediger, H. L. (2008) 'The critical importance of retrieval for learning', Science, 319(5865), pp. 966–968. </w:t>
      </w:r>
    </w:p>
    <w:p w14:paraId="1959BCA4" w14:textId="77777777" w:rsidR="00F91C3A" w:rsidRDefault="00754C95" w:rsidP="00571EB8">
      <w:pPr>
        <w:spacing w:line="360" w:lineRule="auto"/>
        <w:ind w:left="-5" w:right="0"/>
      </w:pPr>
      <w:r>
        <w:t xml:space="preserve">Kerfoot, B. P., &amp; Baker, H. (2012). An online spaced-education game for global continuing medical education: a randomized trial. </w:t>
      </w:r>
      <w:r>
        <w:rPr>
          <w:i/>
        </w:rPr>
        <w:t>Annals of surgery</w:t>
      </w:r>
      <w:r>
        <w:t xml:space="preserve">, </w:t>
      </w:r>
      <w:r>
        <w:rPr>
          <w:i/>
        </w:rPr>
        <w:t>256</w:t>
      </w:r>
      <w:r>
        <w:t xml:space="preserve">(1), 33-38. </w:t>
      </w:r>
    </w:p>
    <w:p w14:paraId="22A6A231" w14:textId="77777777" w:rsidR="00F91C3A" w:rsidRDefault="00754C95" w:rsidP="00571EB8">
      <w:pPr>
        <w:spacing w:after="226" w:line="360" w:lineRule="auto"/>
        <w:ind w:left="-5" w:right="0"/>
      </w:pPr>
      <w:r>
        <w:t xml:space="preserve">Klein, G. (2017) Sources of power: How people make decisions. Cambridge, MA: MIT Press. </w:t>
      </w:r>
    </w:p>
    <w:p w14:paraId="6DA8F7A2" w14:textId="77777777" w:rsidR="00F91C3A" w:rsidRDefault="00754C95" w:rsidP="00571EB8">
      <w:pPr>
        <w:spacing w:after="225" w:line="360" w:lineRule="auto"/>
        <w:ind w:left="-5" w:right="0"/>
      </w:pPr>
      <w:r>
        <w:t xml:space="preserve">Knowles, M. S. (1984) Andragogy in action. San Francisco: Jossey-Bass. </w:t>
      </w:r>
    </w:p>
    <w:p w14:paraId="0630E6C9" w14:textId="77777777" w:rsidR="00F91C3A" w:rsidRDefault="00754C95" w:rsidP="00571EB8">
      <w:pPr>
        <w:spacing w:line="360" w:lineRule="auto"/>
        <w:ind w:left="-5" w:right="0"/>
      </w:pPr>
      <w:r>
        <w:t xml:space="preserve">Kolb, D. A. (2014) Experiential learning: Experience as the source of learning and development. 2nd </w:t>
      </w:r>
      <w:proofErr w:type="spellStart"/>
      <w:r>
        <w:t>edn</w:t>
      </w:r>
      <w:proofErr w:type="spellEnd"/>
      <w:r>
        <w:t xml:space="preserve">. Upper Saddle River, NJ: Pearson Education. </w:t>
      </w:r>
    </w:p>
    <w:p w14:paraId="1D1253E9" w14:textId="77777777" w:rsidR="00F91C3A" w:rsidRDefault="00754C95" w:rsidP="00571EB8">
      <w:pPr>
        <w:spacing w:line="360" w:lineRule="auto"/>
        <w:ind w:left="-5" w:right="0"/>
      </w:pPr>
      <w:r>
        <w:lastRenderedPageBreak/>
        <w:t xml:space="preserve">Larsen, D. P., Butler, A. C. and Roediger, H. L. (2009) 'Repeated testing improves long-term retention relative to repeated study', Medical Education, 43(12), pp. 1174–1181. </w:t>
      </w:r>
    </w:p>
    <w:p w14:paraId="6329CF89" w14:textId="77777777" w:rsidR="00F91C3A" w:rsidRDefault="00754C95" w:rsidP="00571EB8">
      <w:pPr>
        <w:spacing w:line="360" w:lineRule="auto"/>
        <w:ind w:left="-5" w:right="0"/>
      </w:pPr>
      <w:r>
        <w:t xml:space="preserve">Lave, J., &amp; Wenger, E. (1991). </w:t>
      </w:r>
      <w:r>
        <w:rPr>
          <w:i/>
        </w:rPr>
        <w:t>Situated learning: Legitimate peripheral participation</w:t>
      </w:r>
      <w:r>
        <w:t xml:space="preserve">. Cambridge university press. </w:t>
      </w:r>
    </w:p>
    <w:p w14:paraId="560B95F5" w14:textId="77777777" w:rsidR="00F91C3A" w:rsidRDefault="00754C95" w:rsidP="00571EB8">
      <w:pPr>
        <w:spacing w:line="360" w:lineRule="auto"/>
        <w:ind w:left="-5" w:right="0"/>
      </w:pPr>
      <w:r>
        <w:t xml:space="preserve">Leong, K., Sung, A., Au, D., &amp; Blanchard, C. (2021). A review of the trend of microlearning. </w:t>
      </w:r>
      <w:r>
        <w:rPr>
          <w:i/>
        </w:rPr>
        <w:t>Journal of Work-Applied Management</w:t>
      </w:r>
      <w:r>
        <w:t xml:space="preserve">, </w:t>
      </w:r>
      <w:r>
        <w:rPr>
          <w:i/>
        </w:rPr>
        <w:t>13</w:t>
      </w:r>
      <w:r>
        <w:t xml:space="preserve">(1), 88-102. </w:t>
      </w:r>
    </w:p>
    <w:p w14:paraId="1584B405" w14:textId="77777777" w:rsidR="00F91C3A" w:rsidRDefault="00754C95" w:rsidP="00571EB8">
      <w:pPr>
        <w:spacing w:after="225" w:line="360" w:lineRule="auto"/>
        <w:ind w:left="-5" w:right="0"/>
      </w:pPr>
      <w:r>
        <w:t xml:space="preserve">McKenney, S., &amp; Reeves, T. (2018). </w:t>
      </w:r>
      <w:r>
        <w:rPr>
          <w:i/>
        </w:rPr>
        <w:t>Conducting educational design research</w:t>
      </w:r>
      <w:r>
        <w:t xml:space="preserve">. Routledge. </w:t>
      </w:r>
    </w:p>
    <w:p w14:paraId="1EFAD964" w14:textId="77777777" w:rsidR="00F91C3A" w:rsidRDefault="00754C95" w:rsidP="00571EB8">
      <w:pPr>
        <w:spacing w:after="142" w:line="360" w:lineRule="auto"/>
        <w:ind w:left="0" w:right="0" w:firstLine="0"/>
        <w:jc w:val="left"/>
      </w:pPr>
      <w:proofErr w:type="spellStart"/>
      <w:r>
        <w:t>Jomah</w:t>
      </w:r>
      <w:proofErr w:type="spellEnd"/>
      <w:r>
        <w:t xml:space="preserve">, O., Masoud, A. K., Kishore, X. P., &amp; Aurelia, S. (2016). Micro learning: A modernized education system. </w:t>
      </w:r>
      <w:r>
        <w:rPr>
          <w:i/>
        </w:rPr>
        <w:t>BRAIN. Broad research in artificial intelligence and neuroscience</w:t>
      </w:r>
      <w:r>
        <w:t xml:space="preserve">, </w:t>
      </w:r>
      <w:r>
        <w:rPr>
          <w:i/>
        </w:rPr>
        <w:t>7</w:t>
      </w:r>
      <w:r>
        <w:t xml:space="preserve">(1), 103110. </w:t>
      </w:r>
    </w:p>
    <w:p w14:paraId="1872A64D" w14:textId="77777777" w:rsidR="00F91C3A" w:rsidRDefault="00754C95" w:rsidP="00571EB8">
      <w:pPr>
        <w:spacing w:after="147" w:line="360" w:lineRule="auto"/>
        <w:ind w:left="-5" w:right="0"/>
      </w:pPr>
      <w:proofErr w:type="spellStart"/>
      <w:r>
        <w:t>Praslova</w:t>
      </w:r>
      <w:proofErr w:type="spellEnd"/>
      <w:r>
        <w:t xml:space="preserve">, L. (2010). Adaptation of Kirkpatrick’s four level model of training criteria to assessment of learning outcomes and program evaluation in higher education. </w:t>
      </w:r>
      <w:r>
        <w:rPr>
          <w:i/>
        </w:rPr>
        <w:t>Educational assessment, evaluation and accountability</w:t>
      </w:r>
      <w:r>
        <w:t xml:space="preserve">, </w:t>
      </w:r>
      <w:r>
        <w:rPr>
          <w:i/>
        </w:rPr>
        <w:t>22</w:t>
      </w:r>
      <w:r>
        <w:t xml:space="preserve">(3), 215-225. </w:t>
      </w:r>
    </w:p>
    <w:p w14:paraId="01628AB4" w14:textId="77777777" w:rsidR="00F91C3A" w:rsidRDefault="00754C95" w:rsidP="00571EB8">
      <w:pPr>
        <w:spacing w:line="360" w:lineRule="auto"/>
        <w:ind w:left="-5" w:right="0"/>
      </w:pPr>
      <w:r>
        <w:t xml:space="preserve">Rachal, J. R. (2002). Andragogy’s detectives: A critique of the present and a proposal for the future. </w:t>
      </w:r>
      <w:r>
        <w:rPr>
          <w:i/>
        </w:rPr>
        <w:t>Adult education quarterly</w:t>
      </w:r>
      <w:r>
        <w:t xml:space="preserve">, </w:t>
      </w:r>
      <w:r>
        <w:rPr>
          <w:i/>
        </w:rPr>
        <w:t>52</w:t>
      </w:r>
      <w:r>
        <w:t xml:space="preserve">(3), 210-227. </w:t>
      </w:r>
    </w:p>
    <w:p w14:paraId="3C6FCDBE" w14:textId="77777777" w:rsidR="00F91C3A" w:rsidRDefault="00754C95" w:rsidP="00571EB8">
      <w:pPr>
        <w:spacing w:line="360" w:lineRule="auto"/>
        <w:ind w:left="-5" w:right="0"/>
      </w:pPr>
      <w:r>
        <w:t xml:space="preserve">Roediger, H. L., &amp; Butler, A. C. (2011). The critical role of retrieval practice in long-term retention. </w:t>
      </w:r>
      <w:r>
        <w:rPr>
          <w:i/>
        </w:rPr>
        <w:t>Trends in cognitive sciences</w:t>
      </w:r>
      <w:r>
        <w:t xml:space="preserve">, </w:t>
      </w:r>
      <w:r>
        <w:rPr>
          <w:i/>
        </w:rPr>
        <w:t>15</w:t>
      </w:r>
      <w:r>
        <w:t xml:space="preserve">(1), 20-27. </w:t>
      </w:r>
    </w:p>
    <w:p w14:paraId="2834CE43" w14:textId="77777777" w:rsidR="00F91C3A" w:rsidRDefault="00754C95" w:rsidP="00571EB8">
      <w:pPr>
        <w:spacing w:after="225" w:line="360" w:lineRule="auto"/>
        <w:ind w:left="-5" w:right="0"/>
      </w:pPr>
      <w:r>
        <w:t xml:space="preserve">Salas, E. R. (2022). Does crew resource management training </w:t>
      </w:r>
      <w:proofErr w:type="gramStart"/>
      <w:r>
        <w:t>work?.</w:t>
      </w:r>
      <w:proofErr w:type="gramEnd"/>
      <w:r>
        <w:t xml:space="preserve"> </w:t>
      </w:r>
      <w:r>
        <w:rPr>
          <w:i/>
        </w:rPr>
        <w:t>Air Medical Journal</w:t>
      </w:r>
      <w:r>
        <w:t xml:space="preserve">. </w:t>
      </w:r>
    </w:p>
    <w:p w14:paraId="0CD9B649" w14:textId="77777777" w:rsidR="00F91C3A" w:rsidRDefault="00754C95" w:rsidP="00571EB8">
      <w:pPr>
        <w:spacing w:line="360" w:lineRule="auto"/>
        <w:ind w:left="-5" w:right="0"/>
      </w:pPr>
      <w:r>
        <w:t xml:space="preserve">Salas, E., Tannenbaum, S. I., </w:t>
      </w:r>
      <w:proofErr w:type="spellStart"/>
      <w:r>
        <w:t>Kraiger</w:t>
      </w:r>
      <w:proofErr w:type="spellEnd"/>
      <w:r>
        <w:t xml:space="preserve">, K. and Smith-Jentsch, K. A. (2012) 'The science of training and development in organizations', Psychological Science in the Public Interest, 13(2), pp. 74–101. </w:t>
      </w:r>
    </w:p>
    <w:p w14:paraId="1732CF1C" w14:textId="77777777" w:rsidR="00F91C3A" w:rsidRDefault="00754C95" w:rsidP="00571EB8">
      <w:pPr>
        <w:spacing w:line="360" w:lineRule="auto"/>
        <w:ind w:left="-5" w:right="0"/>
      </w:pPr>
      <w:r>
        <w:t xml:space="preserve">Sitzmann, T., Bell, B. S., </w:t>
      </w:r>
      <w:proofErr w:type="spellStart"/>
      <w:r>
        <w:t>Kraiger</w:t>
      </w:r>
      <w:proofErr w:type="spellEnd"/>
      <w:r>
        <w:t xml:space="preserve">, K., &amp; Kanar, A. M. (2009). A multilevel analysis of the effect of prompting </w:t>
      </w:r>
      <w:proofErr w:type="spellStart"/>
      <w:r>
        <w:t>self</w:t>
      </w:r>
      <w:r>
        <w:rPr>
          <w:noProof/>
        </w:rPr>
        <w:drawing>
          <wp:inline distT="0" distB="0" distL="0" distR="0" wp14:anchorId="77268BAE" wp14:editId="1CC98E38">
            <wp:extent cx="36576" cy="15240"/>
            <wp:effectExtent l="0" t="0" r="0" b="0"/>
            <wp:docPr id="26852" name="Picture 26852"/>
            <wp:cNvGraphicFramePr/>
            <a:graphic xmlns:a="http://schemas.openxmlformats.org/drawingml/2006/main">
              <a:graphicData uri="http://schemas.openxmlformats.org/drawingml/2006/picture">
                <pic:pic xmlns:pic="http://schemas.openxmlformats.org/drawingml/2006/picture">
                  <pic:nvPicPr>
                    <pic:cNvPr id="26852" name="Picture 26852"/>
                    <pic:cNvPicPr/>
                  </pic:nvPicPr>
                  <pic:blipFill>
                    <a:blip r:embed="rId4"/>
                    <a:stretch>
                      <a:fillRect/>
                    </a:stretch>
                  </pic:blipFill>
                  <pic:spPr>
                    <a:xfrm>
                      <a:off x="0" y="0"/>
                      <a:ext cx="36576" cy="15240"/>
                    </a:xfrm>
                    <a:prstGeom prst="rect">
                      <a:avLst/>
                    </a:prstGeom>
                  </pic:spPr>
                </pic:pic>
              </a:graphicData>
            </a:graphic>
          </wp:inline>
        </w:drawing>
      </w:r>
      <w:r>
        <w:t>regulation</w:t>
      </w:r>
      <w:proofErr w:type="spellEnd"/>
      <w:r>
        <w:t xml:space="preserve"> in technology</w:t>
      </w:r>
      <w:r>
        <w:rPr>
          <w:noProof/>
        </w:rPr>
        <w:drawing>
          <wp:inline distT="0" distB="0" distL="0" distR="0" wp14:anchorId="7B61C57E" wp14:editId="70E27A17">
            <wp:extent cx="36576" cy="15240"/>
            <wp:effectExtent l="0" t="0" r="0" b="0"/>
            <wp:docPr id="26853" name="Picture 26853"/>
            <wp:cNvGraphicFramePr/>
            <a:graphic xmlns:a="http://schemas.openxmlformats.org/drawingml/2006/main">
              <a:graphicData uri="http://schemas.openxmlformats.org/drawingml/2006/picture">
                <pic:pic xmlns:pic="http://schemas.openxmlformats.org/drawingml/2006/picture">
                  <pic:nvPicPr>
                    <pic:cNvPr id="26853" name="Picture 26853"/>
                    <pic:cNvPicPr/>
                  </pic:nvPicPr>
                  <pic:blipFill>
                    <a:blip r:embed="rId5"/>
                    <a:stretch>
                      <a:fillRect/>
                    </a:stretch>
                  </pic:blipFill>
                  <pic:spPr>
                    <a:xfrm>
                      <a:off x="0" y="0"/>
                      <a:ext cx="36576" cy="15240"/>
                    </a:xfrm>
                    <a:prstGeom prst="rect">
                      <a:avLst/>
                    </a:prstGeom>
                  </pic:spPr>
                </pic:pic>
              </a:graphicData>
            </a:graphic>
          </wp:inline>
        </w:drawing>
      </w:r>
      <w:r>
        <w:t xml:space="preserve">delivered instruction. </w:t>
      </w:r>
      <w:r>
        <w:rPr>
          <w:i/>
        </w:rPr>
        <w:t>Personnel psychology</w:t>
      </w:r>
      <w:r>
        <w:t xml:space="preserve">, </w:t>
      </w:r>
      <w:r>
        <w:rPr>
          <w:i/>
        </w:rPr>
        <w:t>62</w:t>
      </w:r>
      <w:r>
        <w:t xml:space="preserve">(4), 697734. </w:t>
      </w:r>
    </w:p>
    <w:p w14:paraId="13402EAE" w14:textId="77777777" w:rsidR="00F91C3A" w:rsidRDefault="00754C95" w:rsidP="00571EB8">
      <w:pPr>
        <w:spacing w:line="360" w:lineRule="auto"/>
        <w:ind w:left="-5" w:right="0"/>
      </w:pPr>
      <w:r>
        <w:t>Skalka, J., Drlik, M., Benko, L., Kapusta, J., Rodriguez del Pino, J. C., Smyrnova-</w:t>
      </w:r>
      <w:proofErr w:type="spellStart"/>
      <w:r>
        <w:t>Trybulska</w:t>
      </w:r>
      <w:proofErr w:type="spellEnd"/>
      <w:r>
        <w:t xml:space="preserve">, E., ... &amp; </w:t>
      </w:r>
      <w:proofErr w:type="spellStart"/>
      <w:r>
        <w:t>Turcinek</w:t>
      </w:r>
      <w:proofErr w:type="spellEnd"/>
      <w:r>
        <w:t xml:space="preserve">, P. (2021). Conceptual framework for programming skills development based on microlearning and automated source code evaluation in virtual learning environment. </w:t>
      </w:r>
      <w:r>
        <w:rPr>
          <w:i/>
        </w:rPr>
        <w:t>Sustainability</w:t>
      </w:r>
      <w:r>
        <w:t xml:space="preserve">, </w:t>
      </w:r>
      <w:r>
        <w:rPr>
          <w:i/>
        </w:rPr>
        <w:t>13</w:t>
      </w:r>
      <w:r>
        <w:t xml:space="preserve">(6), 3293. </w:t>
      </w:r>
    </w:p>
    <w:p w14:paraId="204B83F5" w14:textId="77777777" w:rsidR="00F91C3A" w:rsidRDefault="00754C95" w:rsidP="00571EB8">
      <w:pPr>
        <w:spacing w:after="124" w:line="360" w:lineRule="auto"/>
        <w:ind w:left="-5" w:right="-11"/>
        <w:jc w:val="left"/>
      </w:pPr>
      <w:r>
        <w:t xml:space="preserve">Suchman, L. A. (1987). </w:t>
      </w:r>
      <w:r>
        <w:rPr>
          <w:i/>
        </w:rPr>
        <w:t>Plans and situated actions: The problem of human-machine communication</w:t>
      </w:r>
      <w:r>
        <w:t xml:space="preserve">. Cambridge university press. </w:t>
      </w:r>
    </w:p>
    <w:p w14:paraId="0C121111" w14:textId="77777777" w:rsidR="00F91C3A" w:rsidRDefault="00754C95" w:rsidP="00571EB8">
      <w:pPr>
        <w:spacing w:line="360" w:lineRule="auto"/>
        <w:ind w:left="-5" w:right="0"/>
      </w:pPr>
      <w:proofErr w:type="spellStart"/>
      <w:r>
        <w:t>Sweller</w:t>
      </w:r>
      <w:proofErr w:type="spellEnd"/>
      <w:r>
        <w:t xml:space="preserve">, J. (2011). Cognitive load theory. In </w:t>
      </w:r>
      <w:r>
        <w:rPr>
          <w:i/>
        </w:rPr>
        <w:t>Psychology of learning and motivation</w:t>
      </w:r>
      <w:r>
        <w:t xml:space="preserve"> (Vol. 55, pp. 37-76). Academic Press. </w:t>
      </w:r>
    </w:p>
    <w:p w14:paraId="2C258275" w14:textId="77777777" w:rsidR="00F91C3A" w:rsidRDefault="00754C95" w:rsidP="00571EB8">
      <w:pPr>
        <w:spacing w:line="360" w:lineRule="auto"/>
        <w:ind w:left="-5" w:right="0"/>
      </w:pPr>
      <w:proofErr w:type="spellStart"/>
      <w:r>
        <w:lastRenderedPageBreak/>
        <w:t>Sweller</w:t>
      </w:r>
      <w:proofErr w:type="spellEnd"/>
      <w:r>
        <w:t xml:space="preserve">, J., Van Merriënboer, J. J., &amp; Paas, F. (2019). Cognitive architecture and instructional design: 20 years later. </w:t>
      </w:r>
      <w:r>
        <w:rPr>
          <w:i/>
        </w:rPr>
        <w:t>Educational psychology review</w:t>
      </w:r>
      <w:r>
        <w:t xml:space="preserve">, </w:t>
      </w:r>
      <w:r>
        <w:rPr>
          <w:i/>
        </w:rPr>
        <w:t>31</w:t>
      </w:r>
      <w:r>
        <w:t xml:space="preserve">(2), 261-292. </w:t>
      </w:r>
    </w:p>
    <w:p w14:paraId="360A8EB5" w14:textId="77777777" w:rsidR="00F91C3A" w:rsidRDefault="00754C95" w:rsidP="00571EB8">
      <w:pPr>
        <w:spacing w:line="360" w:lineRule="auto"/>
        <w:ind w:left="-5" w:right="0"/>
      </w:pPr>
      <w:r>
        <w:t xml:space="preserve">Taylor, D. C., &amp; Hamdy, H. (2013). Adult learning theories: implications for learning and teaching in medical education: AMEE Guide No. 83. </w:t>
      </w:r>
      <w:r>
        <w:rPr>
          <w:i/>
        </w:rPr>
        <w:t>Medical teacher</w:t>
      </w:r>
      <w:r>
        <w:t xml:space="preserve">, </w:t>
      </w:r>
      <w:r>
        <w:rPr>
          <w:i/>
        </w:rPr>
        <w:t>35</w:t>
      </w:r>
      <w:r>
        <w:t xml:space="preserve">(11), e1561-e1572. </w:t>
      </w:r>
    </w:p>
    <w:p w14:paraId="4E11852D" w14:textId="77777777" w:rsidR="00F91C3A" w:rsidRDefault="00754C95" w:rsidP="00571EB8">
      <w:pPr>
        <w:spacing w:line="360" w:lineRule="auto"/>
        <w:ind w:left="-5" w:right="0"/>
      </w:pPr>
      <w:r>
        <w:t xml:space="preserve">Van Merriënboer, J. J., &amp; </w:t>
      </w:r>
      <w:proofErr w:type="spellStart"/>
      <w:r>
        <w:t>Sweller</w:t>
      </w:r>
      <w:proofErr w:type="spellEnd"/>
      <w:r>
        <w:t xml:space="preserve">, J. (2010). Cognitive load theory in health professional education: design principles and strategies. </w:t>
      </w:r>
      <w:r>
        <w:rPr>
          <w:i/>
        </w:rPr>
        <w:t>Medical education</w:t>
      </w:r>
      <w:r>
        <w:t xml:space="preserve">, </w:t>
      </w:r>
      <w:r>
        <w:rPr>
          <w:i/>
        </w:rPr>
        <w:t>44</w:t>
      </w:r>
      <w:r>
        <w:t xml:space="preserve">(1), 85-93. </w:t>
      </w:r>
    </w:p>
    <w:p w14:paraId="112EFDDF" w14:textId="77777777" w:rsidR="00F91C3A" w:rsidRDefault="00754C95" w:rsidP="00571EB8">
      <w:pPr>
        <w:spacing w:line="360" w:lineRule="auto"/>
        <w:ind w:left="-5" w:right="0"/>
      </w:pPr>
      <w:r>
        <w:t xml:space="preserve">Walker, L. O., &amp; Avant, K. C. (2005). </w:t>
      </w:r>
      <w:r>
        <w:rPr>
          <w:i/>
        </w:rPr>
        <w:t>Strategies for theory construction in nursing</w:t>
      </w:r>
      <w:r>
        <w:t xml:space="preserve"> (Vol. 4). Upper Saddle River, NJ: Pearson/Prentice Hall. </w:t>
      </w:r>
    </w:p>
    <w:p w14:paraId="52CE046A" w14:textId="77777777" w:rsidR="00F91C3A" w:rsidRDefault="00754C95" w:rsidP="00571EB8">
      <w:pPr>
        <w:spacing w:after="124" w:line="360" w:lineRule="auto"/>
        <w:ind w:left="-5" w:right="-11"/>
        <w:jc w:val="left"/>
      </w:pPr>
      <w:r>
        <w:t xml:space="preserve">Weick, K. E., &amp; Sutcliffe, K. M. (2011). </w:t>
      </w:r>
      <w:r>
        <w:rPr>
          <w:i/>
        </w:rPr>
        <w:t>Managing the unexpected: Resilient performance in an age of uncertainty</w:t>
      </w:r>
      <w:r>
        <w:t xml:space="preserve">. John Wiley &amp; Sons. </w:t>
      </w:r>
    </w:p>
    <w:p w14:paraId="448C3D62" w14:textId="77777777" w:rsidR="00F91C3A" w:rsidRDefault="00754C95" w:rsidP="00571EB8">
      <w:pPr>
        <w:spacing w:line="360" w:lineRule="auto"/>
        <w:ind w:left="-5" w:right="0"/>
      </w:pPr>
      <w:r>
        <w:t xml:space="preserve">Alias, N. F., &amp; Abdul Razak, R. (2023). Exploring the pedagogical aspects of microlearning in educational settings: A systematic literature review. </w:t>
      </w:r>
      <w:r>
        <w:rPr>
          <w:i/>
        </w:rPr>
        <w:t>Malaysian Journal of Learning and Instruction (MJLI)</w:t>
      </w:r>
      <w:r>
        <w:t xml:space="preserve">, </w:t>
      </w:r>
      <w:r>
        <w:rPr>
          <w:i/>
        </w:rPr>
        <w:t>20</w:t>
      </w:r>
      <w:r>
        <w:t xml:space="preserve">(2), 267-294. </w:t>
      </w:r>
    </w:p>
    <w:p w14:paraId="531BC180" w14:textId="77777777" w:rsidR="00F91C3A" w:rsidRDefault="00754C95" w:rsidP="00571EB8">
      <w:pPr>
        <w:spacing w:line="360" w:lineRule="auto"/>
        <w:ind w:left="-5" w:right="0"/>
      </w:pPr>
      <w:r>
        <w:t xml:space="preserve">Welsh Government (2022) Fire and rescue service operational training: Thematic review. Cardiff: Welsh Government. </w:t>
      </w:r>
    </w:p>
    <w:p w14:paraId="6ADB30BA" w14:textId="77777777" w:rsidR="00F91C3A" w:rsidRDefault="00754C95" w:rsidP="00571EB8">
      <w:pPr>
        <w:spacing w:line="360" w:lineRule="auto"/>
        <w:ind w:left="-5" w:right="0"/>
      </w:pPr>
      <w:r>
        <w:t xml:space="preserve">Welsh Government (2023) Fire and rescue national framework for Wales. Cardiff: Welsh Government. </w:t>
      </w:r>
    </w:p>
    <w:p w14:paraId="75E9389E" w14:textId="77777777" w:rsidR="00F91C3A" w:rsidRDefault="00754C95" w:rsidP="00571EB8">
      <w:pPr>
        <w:spacing w:line="360" w:lineRule="auto"/>
        <w:ind w:left="-5" w:right="0"/>
      </w:pPr>
      <w:r>
        <w:t xml:space="preserve">Wolbers, J., &amp; Boersma, K. (2013). The common operational picture as collective sensemaking. </w:t>
      </w:r>
      <w:r>
        <w:rPr>
          <w:i/>
        </w:rPr>
        <w:t>Journal of Contingencies and Crisis management</w:t>
      </w:r>
      <w:r>
        <w:t xml:space="preserve">, </w:t>
      </w:r>
      <w:r>
        <w:rPr>
          <w:i/>
        </w:rPr>
        <w:t>21</w:t>
      </w:r>
      <w:r>
        <w:t xml:space="preserve">(4), 186-199. </w:t>
      </w:r>
    </w:p>
    <w:p w14:paraId="0F2DF891" w14:textId="77777777" w:rsidR="00F91C3A" w:rsidRDefault="00754C95" w:rsidP="00571EB8">
      <w:pPr>
        <w:spacing w:line="360" w:lineRule="auto"/>
        <w:ind w:left="-5" w:right="0"/>
      </w:pPr>
      <w:r>
        <w:t xml:space="preserve">Zainuddin, Z., Chu, S. K. W., </w:t>
      </w:r>
      <w:proofErr w:type="spellStart"/>
      <w:r>
        <w:t>Shujahat</w:t>
      </w:r>
      <w:proofErr w:type="spellEnd"/>
      <w:r>
        <w:t xml:space="preserve">, M., &amp; Perera, C. J. (2020). The impact of gamification on learning and instruction: A systematic review of empirical evidence. </w:t>
      </w:r>
      <w:r>
        <w:rPr>
          <w:i/>
        </w:rPr>
        <w:t>Educational research review</w:t>
      </w:r>
      <w:r>
        <w:t xml:space="preserve">, </w:t>
      </w:r>
      <w:r>
        <w:rPr>
          <w:i/>
        </w:rPr>
        <w:t>30</w:t>
      </w:r>
      <w:r>
        <w:t xml:space="preserve">, 100326. </w:t>
      </w:r>
    </w:p>
    <w:p w14:paraId="71A58D31" w14:textId="77777777" w:rsidR="00F91C3A" w:rsidRDefault="00754C95" w:rsidP="00571EB8">
      <w:pPr>
        <w:spacing w:line="360" w:lineRule="auto"/>
        <w:ind w:left="-5" w:right="0"/>
      </w:pPr>
      <w:proofErr w:type="spellStart"/>
      <w:r>
        <w:t>Zarshenas</w:t>
      </w:r>
      <w:proofErr w:type="spellEnd"/>
      <w:r>
        <w:t xml:space="preserve">, L., Mehrabi, M., </w:t>
      </w:r>
      <w:proofErr w:type="spellStart"/>
      <w:r>
        <w:t>Karamdar</w:t>
      </w:r>
      <w:proofErr w:type="spellEnd"/>
      <w:r>
        <w:t xml:space="preserve">, L., Keshavarzi, M. H., &amp; Keshtkaran, Z. (2022). The effect of micro-learning on learning and self-efficacy of nursing students: an interventional study. </w:t>
      </w:r>
      <w:r>
        <w:rPr>
          <w:i/>
        </w:rPr>
        <w:t>BMC Medical Education</w:t>
      </w:r>
      <w:r>
        <w:t xml:space="preserve">, </w:t>
      </w:r>
      <w:r>
        <w:rPr>
          <w:i/>
        </w:rPr>
        <w:t>22</w:t>
      </w:r>
      <w:r>
        <w:t xml:space="preserve">(1), 664. </w:t>
      </w:r>
    </w:p>
    <w:p w14:paraId="57A0BC6F" w14:textId="77777777" w:rsidR="000E13C0" w:rsidRDefault="000E13C0" w:rsidP="00571EB8">
      <w:pPr>
        <w:spacing w:line="360" w:lineRule="auto"/>
        <w:ind w:left="-5" w:right="0"/>
      </w:pPr>
    </w:p>
    <w:p w14:paraId="1078CD36" w14:textId="77777777" w:rsidR="000E13C0" w:rsidRDefault="000E13C0" w:rsidP="00571EB8">
      <w:pPr>
        <w:spacing w:line="360" w:lineRule="auto"/>
        <w:ind w:left="-5" w:right="0"/>
      </w:pPr>
    </w:p>
    <w:p w14:paraId="1828E772" w14:textId="77777777" w:rsidR="000E13C0" w:rsidRDefault="000E13C0" w:rsidP="00571EB8">
      <w:pPr>
        <w:spacing w:line="360" w:lineRule="auto"/>
        <w:ind w:left="-5" w:right="0"/>
      </w:pPr>
    </w:p>
    <w:p w14:paraId="674461E0" w14:textId="77777777" w:rsidR="000E13C0" w:rsidRDefault="000E13C0" w:rsidP="00571EB8">
      <w:pPr>
        <w:spacing w:line="360" w:lineRule="auto"/>
        <w:ind w:left="-5" w:right="0"/>
      </w:pPr>
    </w:p>
    <w:p w14:paraId="4E7D1383" w14:textId="77777777" w:rsidR="000E13C0" w:rsidRDefault="000E13C0" w:rsidP="00571EB8">
      <w:pPr>
        <w:spacing w:line="360" w:lineRule="auto"/>
        <w:ind w:left="-5" w:right="0"/>
      </w:pPr>
    </w:p>
    <w:p w14:paraId="6F918329" w14:textId="77777777" w:rsidR="000E13C0" w:rsidRDefault="000E13C0" w:rsidP="00571EB8">
      <w:pPr>
        <w:spacing w:line="360" w:lineRule="auto"/>
        <w:ind w:left="-5" w:right="0"/>
      </w:pPr>
    </w:p>
    <w:p w14:paraId="0AB97102" w14:textId="77777777" w:rsidR="000E13C0" w:rsidRDefault="000E13C0" w:rsidP="00571EB8">
      <w:pPr>
        <w:spacing w:line="360" w:lineRule="auto"/>
        <w:ind w:left="-5" w:right="0"/>
      </w:pPr>
    </w:p>
    <w:p w14:paraId="1FB600C0" w14:textId="77777777" w:rsidR="000E13C0" w:rsidRPr="00804E0A" w:rsidRDefault="000E13C0" w:rsidP="000E13C0">
      <w:pPr>
        <w:rPr>
          <w:b/>
          <w:bCs/>
        </w:rPr>
      </w:pPr>
      <w:r w:rsidRPr="00804E0A">
        <w:rPr>
          <w:b/>
          <w:bCs/>
        </w:rPr>
        <w:lastRenderedPageBreak/>
        <w:t>AI Use Statement</w:t>
      </w:r>
    </w:p>
    <w:p w14:paraId="2447861E" w14:textId="77777777" w:rsidR="000E13C0" w:rsidRPr="00804E0A" w:rsidRDefault="000E13C0" w:rsidP="000E13C0"/>
    <w:p w14:paraId="66F0E17F" w14:textId="77777777" w:rsidR="000E13C0" w:rsidRPr="00804E0A" w:rsidRDefault="000E13C0" w:rsidP="000E13C0">
      <w:r w:rsidRPr="00804E0A">
        <w:t>This assignment has been prepared with the support of AI tools (e.g., ChatGPT) to assist with language refinement, structuring, and clarity of expression.</w:t>
      </w:r>
    </w:p>
    <w:p w14:paraId="3C5BCC9C" w14:textId="77777777" w:rsidR="000E13C0" w:rsidRPr="00804E0A" w:rsidRDefault="000E13C0" w:rsidP="000E13C0">
      <w:r w:rsidRPr="00804E0A">
        <w:t xml:space="preserve">All ideas, critical analysis, and academic arguments presented in this work are my own. AI was used only as a supportive tool to improve readability and </w:t>
      </w:r>
      <w:proofErr w:type="spellStart"/>
      <w:r w:rsidRPr="00804E0A">
        <w:t>organisation</w:t>
      </w:r>
      <w:proofErr w:type="spellEnd"/>
      <w:r w:rsidRPr="00804E0A">
        <w:t>, and not to generate original academic content or replace independent thinking.</w:t>
      </w:r>
    </w:p>
    <w:p w14:paraId="34AEBB9C" w14:textId="77777777" w:rsidR="000E13C0" w:rsidRPr="00804E0A" w:rsidRDefault="000E13C0" w:rsidP="000E13C0">
      <w:r w:rsidRPr="00804E0A">
        <w:t>All sources have been appropriately cited, and this work reflects my own understanding and engagement with the literature.</w:t>
      </w:r>
    </w:p>
    <w:p w14:paraId="2E60197A" w14:textId="77777777" w:rsidR="000E13C0" w:rsidRDefault="000E13C0" w:rsidP="000E13C0"/>
    <w:p w14:paraId="7F69FA58" w14:textId="77777777" w:rsidR="000E13C0" w:rsidRDefault="000E13C0" w:rsidP="00571EB8">
      <w:pPr>
        <w:spacing w:line="360" w:lineRule="auto"/>
        <w:ind w:left="-5" w:right="0"/>
      </w:pPr>
    </w:p>
    <w:sectPr w:rsidR="000E13C0">
      <w:pgSz w:w="11906" w:h="16838"/>
      <w:pgMar w:top="1442" w:right="1432" w:bottom="1446"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C3A"/>
    <w:rsid w:val="000E13C0"/>
    <w:rsid w:val="000F630C"/>
    <w:rsid w:val="00144453"/>
    <w:rsid w:val="00304DB7"/>
    <w:rsid w:val="003E0733"/>
    <w:rsid w:val="00404B5A"/>
    <w:rsid w:val="00474B41"/>
    <w:rsid w:val="004C3452"/>
    <w:rsid w:val="00571EB8"/>
    <w:rsid w:val="005721CD"/>
    <w:rsid w:val="00692908"/>
    <w:rsid w:val="006959C3"/>
    <w:rsid w:val="006B6C88"/>
    <w:rsid w:val="00724E3E"/>
    <w:rsid w:val="00734377"/>
    <w:rsid w:val="00754C95"/>
    <w:rsid w:val="007F2BFC"/>
    <w:rsid w:val="008E5C6E"/>
    <w:rsid w:val="0098237B"/>
    <w:rsid w:val="00987038"/>
    <w:rsid w:val="009A2F64"/>
    <w:rsid w:val="00B56E1E"/>
    <w:rsid w:val="00B72DF7"/>
    <w:rsid w:val="00CB0615"/>
    <w:rsid w:val="00E72A3E"/>
    <w:rsid w:val="00EC5A08"/>
    <w:rsid w:val="00F10162"/>
    <w:rsid w:val="00F34DB7"/>
    <w:rsid w:val="00F91C3A"/>
    <w:rsid w:val="00FB31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63084"/>
  <w15:docId w15:val="{882C4994-15D4-0944-BC30-6A534EAC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line="366" w:lineRule="auto"/>
      <w:ind w:left="10" w:right="5" w:hanging="10"/>
      <w:jc w:val="both"/>
    </w:pPr>
    <w:rPr>
      <w:rFonts w:ascii="Times New Roman" w:eastAsia="Times New Roman" w:hAnsi="Times New Roman" w:cs="Times New Roman"/>
      <w:color w:val="000000"/>
      <w:sz w:val="22"/>
      <w:lang w:val="en-US" w:eastAsia="en-US" w:bidi="en-US"/>
    </w:rPr>
  </w:style>
  <w:style w:type="paragraph" w:styleId="Heading1">
    <w:name w:val="heading 1"/>
    <w:next w:val="Normal"/>
    <w:link w:val="Heading1Char"/>
    <w:uiPriority w:val="9"/>
    <w:qFormat/>
    <w:pPr>
      <w:keepNext/>
      <w:keepLines/>
      <w:spacing w:after="251" w:line="248" w:lineRule="auto"/>
      <w:ind w:left="10" w:right="8" w:hanging="10"/>
      <w:outlineLvl w:val="0"/>
    </w:pPr>
    <w:rPr>
      <w:rFonts w:ascii="Times New Roman" w:eastAsia="Times New Roman" w:hAnsi="Times New Roman" w:cs="Times New Roman"/>
      <w:b/>
      <w:color w:val="1F3864"/>
      <w:sz w:val="28"/>
    </w:rPr>
  </w:style>
  <w:style w:type="paragraph" w:styleId="Heading2">
    <w:name w:val="heading 2"/>
    <w:next w:val="Normal"/>
    <w:link w:val="Heading2Char"/>
    <w:uiPriority w:val="9"/>
    <w:unhideWhenUsed/>
    <w:qFormat/>
    <w:pPr>
      <w:keepNext/>
      <w:keepLines/>
      <w:spacing w:after="76" w:line="259" w:lineRule="auto"/>
      <w:ind w:left="10" w:hanging="10"/>
      <w:outlineLvl w:val="1"/>
    </w:pPr>
    <w:rPr>
      <w:rFonts w:ascii="Times New Roman" w:eastAsia="Times New Roman" w:hAnsi="Times New Roman" w:cs="Times New Roman"/>
      <w:b/>
      <w:color w:val="2E75B6"/>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Times New Roman" w:eastAsia="Times New Roman" w:hAnsi="Times New Roman" w:cs="Times New Roman"/>
      <w:b/>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0"/>
    </w:rPr>
  </w:style>
  <w:style w:type="character" w:customStyle="1" w:styleId="Heading2Char">
    <w:name w:val="Heading 2 Char"/>
    <w:link w:val="Heading2"/>
    <w:rPr>
      <w:rFonts w:ascii="Times New Roman" w:eastAsia="Times New Roman" w:hAnsi="Times New Roman" w:cs="Times New Roman"/>
      <w:b/>
      <w:color w:val="2E75B6"/>
      <w:sz w:val="24"/>
    </w:rPr>
  </w:style>
  <w:style w:type="character" w:customStyle="1" w:styleId="Heading1Char">
    <w:name w:val="Heading 1 Char"/>
    <w:link w:val="Heading1"/>
    <w:rPr>
      <w:rFonts w:ascii="Times New Roman" w:eastAsia="Times New Roman" w:hAnsi="Times New Roman" w:cs="Times New Roman"/>
      <w:b/>
      <w:color w:val="1F3864"/>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304D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19</Pages>
  <Words>7016</Words>
  <Characters>39994</Characters>
  <Application>Microsoft Office Word</Application>
  <DocSecurity>0</DocSecurity>
  <Lines>333</Lines>
  <Paragraphs>93</Paragraphs>
  <ScaleCrop>false</ScaleCrop>
  <Company/>
  <LinksUpToDate>false</LinksUpToDate>
  <CharactersWithSpaces>46917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roya barati</cp:lastModifiedBy>
  <cp:revision>25</cp:revision>
  <dcterms:created xsi:type="dcterms:W3CDTF">2026-03-24T10:15:00Z</dcterms:created>
  <dcterms:modified xsi:type="dcterms:W3CDTF">2026-03-25T11:02:00Z</dcterms:modified>
</cp:coreProperties>
</file>