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2081512320"/>
        <w:docPartObj>
          <w:docPartGallery w:val="Cover Pages"/>
          <w:docPartUnique/>
        </w:docPartObj>
      </w:sdtPr>
      <w:sdtEndPr/>
      <w:sdtContent>
        <w:p w14:paraId="0B70F12F" w14:textId="72B26C74" w:rsidR="007310D5" w:rsidRDefault="007310D5"/>
        <w:p w14:paraId="0EFC5818" w14:textId="31D340F5" w:rsidR="007310D5" w:rsidRDefault="007310D5">
          <w:r>
            <w:rPr>
              <w:noProof/>
            </w:rPr>
            <mc:AlternateContent>
              <mc:Choice Requires="wps">
                <w:drawing>
                  <wp:anchor distT="0" distB="0" distL="182880" distR="182880" simplePos="0" relativeHeight="251660288" behindDoc="0" locked="0" layoutInCell="1" allowOverlap="1" wp14:anchorId="0CA90B90" wp14:editId="4C2D3C39">
                    <wp:simplePos x="0" y="0"/>
                    <mc:AlternateContent>
                      <mc:Choice Requires="wp14">
                        <wp:positionH relativeFrom="margin">
                          <wp14:pctPosHOffset>7700</wp14:pctPosHOffset>
                        </wp:positionH>
                      </mc:Choice>
                      <mc:Fallback>
                        <wp:positionH relativeFrom="page">
                          <wp:posOffset>1355725</wp:posOffset>
                        </wp:positionH>
                      </mc:Fallback>
                    </mc:AlternateContent>
                    <mc:AlternateContent>
                      <mc:Choice Requires="wp14">
                        <wp:positionV relativeFrom="page">
                          <wp14:pctPosVOffset>54000</wp14:pctPosVOffset>
                        </wp:positionV>
                      </mc:Choice>
                      <mc:Fallback>
                        <wp:positionV relativeFrom="page">
                          <wp:posOffset>5773420</wp:posOffset>
                        </wp:positionV>
                      </mc:Fallback>
                    </mc:AlternateContent>
                    <wp:extent cx="4686300" cy="6720840"/>
                    <wp:effectExtent l="0" t="0" r="10160" b="3810"/>
                    <wp:wrapSquare wrapText="bothSides"/>
                    <wp:docPr id="131" name="Text Box 131"/>
                    <wp:cNvGraphicFramePr/>
                    <a:graphic xmlns:a="http://schemas.openxmlformats.org/drawingml/2006/main">
                      <a:graphicData uri="http://schemas.microsoft.com/office/word/2010/wordprocessingShape">
                        <wps:wsp>
                          <wps:cNvSpPr txBox="1"/>
                          <wps:spPr>
                            <a:xfrm>
                              <a:off x="0" y="0"/>
                              <a:ext cx="4686300" cy="67208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718A48B" w14:textId="32A958B3" w:rsidR="007310D5" w:rsidRDefault="00A00A43">
                                <w:pPr>
                                  <w:pStyle w:val="NoSpacing"/>
                                  <w:spacing w:before="40" w:after="560" w:line="216" w:lineRule="auto"/>
                                  <w:rPr>
                                    <w:color w:val="4472C4" w:themeColor="accent1"/>
                                    <w:sz w:val="72"/>
                                    <w:szCs w:val="72"/>
                                  </w:rPr>
                                </w:pPr>
                                <w:sdt>
                                  <w:sdtPr>
                                    <w:rPr>
                                      <w:color w:val="4472C4"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EndPr/>
                                  <w:sdtContent>
                                    <w:r w:rsidR="007310D5">
                                      <w:rPr>
                                        <w:color w:val="4472C4" w:themeColor="accent1"/>
                                        <w:sz w:val="72"/>
                                        <w:szCs w:val="72"/>
                                      </w:rPr>
                                      <w:t>Forensic Recovery &amp; Examination</w:t>
                                    </w:r>
                                  </w:sdtContent>
                                </w:sdt>
                              </w:p>
                              <w:sdt>
                                <w:sdtPr>
                                  <w:rPr>
                                    <w:caps/>
                                    <w:color w:val="1F4E79" w:themeColor="accent5" w:themeShade="80"/>
                                    <w:sz w:val="28"/>
                                    <w:szCs w:val="28"/>
                                  </w:rPr>
                                  <w:alias w:val="Subtitle"/>
                                  <w:tag w:val=""/>
                                  <w:id w:val="-2090151685"/>
                                  <w:showingPlcHdr/>
                                  <w:dataBinding w:prefixMappings="xmlns:ns0='http://purl.org/dc/elements/1.1/' xmlns:ns1='http://schemas.openxmlformats.org/package/2006/metadata/core-properties' " w:xpath="/ns1:coreProperties[1]/ns0:subject[1]" w:storeItemID="{6C3C8BC8-F283-45AE-878A-BAB7291924A1}"/>
                                  <w:text/>
                                </w:sdtPr>
                                <w:sdtEndPr/>
                                <w:sdtContent>
                                  <w:p w14:paraId="276D1BAD" w14:textId="0BA2020F" w:rsidR="007310D5" w:rsidRDefault="009761B1">
                                    <w:pPr>
                                      <w:pStyle w:val="NoSpacing"/>
                                      <w:spacing w:before="40" w:after="40"/>
                                      <w:rPr>
                                        <w:caps/>
                                        <w:color w:val="1F4E79" w:themeColor="accent5" w:themeShade="80"/>
                                        <w:sz w:val="28"/>
                                        <w:szCs w:val="28"/>
                                      </w:rPr>
                                    </w:pPr>
                                    <w:r>
                                      <w:rPr>
                                        <w:caps/>
                                        <w:color w:val="1F4E79" w:themeColor="accent5" w:themeShade="80"/>
                                        <w:sz w:val="28"/>
                                        <w:szCs w:val="28"/>
                                      </w:rPr>
                                      <w:t xml:space="preserve">     </w:t>
                                    </w:r>
                                  </w:p>
                                </w:sdtContent>
                              </w:sdt>
                              <w:sdt>
                                <w:sdtPr>
                                  <w:rPr>
                                    <w:caps/>
                                    <w:color w:val="5B9BD5"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EndPr/>
                                <w:sdtContent>
                                  <w:p w14:paraId="1FCB88A7" w14:textId="3D6BFFEE" w:rsidR="007310D5" w:rsidRDefault="007310D5">
                                    <w:pPr>
                                      <w:pStyle w:val="NoSpacing"/>
                                      <w:spacing w:before="80" w:after="40"/>
                                      <w:rPr>
                                        <w:caps/>
                                        <w:color w:val="5B9BD5" w:themeColor="accent5"/>
                                        <w:sz w:val="24"/>
                                        <w:szCs w:val="24"/>
                                      </w:rPr>
                                    </w:pPr>
                                    <w:r>
                                      <w:rPr>
                                        <w:caps/>
                                        <w:color w:val="5B9BD5" w:themeColor="accent5"/>
                                        <w:sz w:val="24"/>
                                        <w:szCs w:val="24"/>
                                      </w:rPr>
                                      <w:t>lewis guy 1801602</w:t>
                                    </w:r>
                                  </w:p>
                                </w:sdtContent>
                              </w:sdt>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79000</wp14:pctWidth>
                    </wp14:sizeRelH>
                    <wp14:sizeRelV relativeFrom="page">
                      <wp14:pctHeight>35000</wp14:pctHeight>
                    </wp14:sizeRelV>
                  </wp:anchor>
                </w:drawing>
              </mc:Choice>
              <mc:Fallback>
                <w:pict>
                  <v:shapetype w14:anchorId="0CA90B90" id="_x0000_t202" coordsize="21600,21600" o:spt="202" path="m,l,21600r21600,l21600,xe">
                    <v:stroke joinstyle="miter"/>
                    <v:path gradientshapeok="t" o:connecttype="rect"/>
                  </v:shapetype>
                  <v:shape id="Text Box 131" o:spid="_x0000_s1026" type="#_x0000_t202" style="position:absolute;margin-left:0;margin-top:0;width:369pt;height:529.2pt;z-index:251660288;visibility:visible;mso-wrap-style:square;mso-width-percent:790;mso-height-percent:350;mso-left-percent:77;mso-top-percent:540;mso-wrap-distance-left:14.4pt;mso-wrap-distance-top:0;mso-wrap-distance-right:14.4pt;mso-wrap-distance-bottom:0;mso-position-horizontal-relative:margin;mso-position-vertical-relative:page;mso-width-percent:790;mso-height-percent:350;mso-left-percent:77;mso-top-percent:54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" filled="f" stroked="f" strokeweight=".5pt">
                    <v:textbox style="mso-fit-shape-to-text:t" inset="0,0,0,0">
                      <w:txbxContent>
                        <w:p w14:paraId="1718A48B" w14:textId="32A958B3" w:rsidR="007310D5" w:rsidRDefault="00A00A43">
                          <w:pPr>
                            <w:pStyle w:val="NoSpacing"/>
                            <w:spacing w:before="40" w:after="560" w:line="216" w:lineRule="auto"/>
                            <w:rPr>
                              <w:color w:val="4472C4" w:themeColor="accent1"/>
                              <w:sz w:val="72"/>
                              <w:szCs w:val="72"/>
                            </w:rPr>
                          </w:pPr>
                          <w:sdt>
                            <w:sdtPr>
                              <w:rPr>
                                <w:color w:val="4472C4"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EndPr/>
                            <w:sdtContent>
                              <w:r w:rsidR="007310D5">
                                <w:rPr>
                                  <w:color w:val="4472C4" w:themeColor="accent1"/>
                                  <w:sz w:val="72"/>
                                  <w:szCs w:val="72"/>
                                </w:rPr>
                                <w:t>Forensic Recovery &amp; Examination</w:t>
                              </w:r>
                            </w:sdtContent>
                          </w:sdt>
                        </w:p>
                        <w:sdt>
                          <w:sdtPr>
                            <w:rPr>
                              <w:caps/>
                              <w:color w:val="1F4E79" w:themeColor="accent5" w:themeShade="80"/>
                              <w:sz w:val="28"/>
                              <w:szCs w:val="28"/>
                            </w:rPr>
                            <w:alias w:val="Subtitle"/>
                            <w:tag w:val=""/>
                            <w:id w:val="-2090151685"/>
                            <w:showingPlcHdr/>
                            <w:dataBinding w:prefixMappings="xmlns:ns0='http://purl.org/dc/elements/1.1/' xmlns:ns1='http://schemas.openxmlformats.org/package/2006/metadata/core-properties' " w:xpath="/ns1:coreProperties[1]/ns0:subject[1]" w:storeItemID="{6C3C8BC8-F283-45AE-878A-BAB7291924A1}"/>
                            <w:text/>
                          </w:sdtPr>
                          <w:sdtEndPr/>
                          <w:sdtContent>
                            <w:p w14:paraId="276D1BAD" w14:textId="0BA2020F" w:rsidR="007310D5" w:rsidRDefault="009761B1">
                              <w:pPr>
                                <w:pStyle w:val="NoSpacing"/>
                                <w:spacing w:before="40" w:after="40"/>
                                <w:rPr>
                                  <w:caps/>
                                  <w:color w:val="1F4E79" w:themeColor="accent5" w:themeShade="80"/>
                                  <w:sz w:val="28"/>
                                  <w:szCs w:val="28"/>
                                </w:rPr>
                              </w:pPr>
                              <w:r>
                                <w:rPr>
                                  <w:caps/>
                                  <w:color w:val="1F4E79" w:themeColor="accent5" w:themeShade="80"/>
                                  <w:sz w:val="28"/>
                                  <w:szCs w:val="28"/>
                                </w:rPr>
                                <w:t xml:space="preserve">     </w:t>
                              </w:r>
                            </w:p>
                          </w:sdtContent>
                        </w:sdt>
                        <w:sdt>
                          <w:sdtPr>
                            <w:rPr>
                              <w:caps/>
                              <w:color w:val="5B9BD5"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EndPr/>
                          <w:sdtContent>
                            <w:p w14:paraId="1FCB88A7" w14:textId="3D6BFFEE" w:rsidR="007310D5" w:rsidRDefault="007310D5">
                              <w:pPr>
                                <w:pStyle w:val="NoSpacing"/>
                                <w:spacing w:before="80" w:after="40"/>
                                <w:rPr>
                                  <w:caps/>
                                  <w:color w:val="5B9BD5" w:themeColor="accent5"/>
                                  <w:sz w:val="24"/>
                                  <w:szCs w:val="24"/>
                                </w:rPr>
                              </w:pPr>
                              <w:r>
                                <w:rPr>
                                  <w:caps/>
                                  <w:color w:val="5B9BD5" w:themeColor="accent5"/>
                                  <w:sz w:val="24"/>
                                  <w:szCs w:val="24"/>
                                </w:rPr>
                                <w:t>lewis guy 1801602</w:t>
                              </w:r>
                            </w:p>
                          </w:sdtContent>
                        </w:sdt>
                      </w:txbxContent>
                    </v:textbox>
                    <w10:wrap type="square" anchorx="margin" anchory="page"/>
                  </v:shape>
                </w:pict>
              </mc:Fallback>
            </mc:AlternateContent>
          </w:r>
          <w:r>
            <w:rPr>
              <w:noProof/>
            </w:rPr>
            <mc:AlternateContent>
              <mc:Choice Requires="wps">
                <w:drawing>
                  <wp:anchor distT="0" distB="0" distL="114300" distR="114300" simplePos="0" relativeHeight="251659264" behindDoc="0" locked="0" layoutInCell="1" allowOverlap="1" wp14:anchorId="7E6C3749" wp14:editId="1891F0E5">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2" name="Rectangle 13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20-10-02T00:00:00Z">
                                    <w:dateFormat w:val="yyyy"/>
                                    <w:lid w:val="en-US"/>
                                    <w:storeMappedDataAs w:val="dateTime"/>
                                    <w:calendar w:val="gregorian"/>
                                  </w:date>
                                </w:sdtPr>
                                <w:sdtEndPr/>
                                <w:sdtContent>
                                  <w:p w14:paraId="44A40B16" w14:textId="7D52A665" w:rsidR="007310D5" w:rsidRDefault="007310D5">
                                    <w:pPr>
                                      <w:pStyle w:val="NoSpacing"/>
                                      <w:jc w:val="right"/>
                                      <w:rPr>
                                        <w:color w:val="FFFFFF" w:themeColor="background1"/>
                                        <w:sz w:val="24"/>
                                        <w:szCs w:val="24"/>
                                      </w:rPr>
                                    </w:pPr>
                                    <w:r>
                                      <w:rPr>
                                        <w:color w:val="FFFFFF" w:themeColor="background1"/>
                                        <w:sz w:val="24"/>
                                        <w:szCs w:val="24"/>
                                      </w:rPr>
                                      <w:t>2020</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7E6C3749" id="Rectangle 132" o:spid="_x0000_s1027" style="position:absolute;margin-left:-4.4pt;margin-top:0;width:46.8pt;height:77.75pt;z-index:251659264;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" fillcolor="#4472c4 [3204]" stroked="f" strokeweight="1pt">
                    <o:lock v:ext="edit" aspectratio="t"/>
                    <v:textbox inset="3.6pt,,3.6pt">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20-10-02T00:00:00Z">
                              <w:dateFormat w:val="yyyy"/>
                              <w:lid w:val="en-US"/>
                              <w:storeMappedDataAs w:val="dateTime"/>
                              <w:calendar w:val="gregorian"/>
                            </w:date>
                          </w:sdtPr>
                          <w:sdtEndPr/>
                          <w:sdtContent>
                            <w:p w14:paraId="44A40B16" w14:textId="7D52A665" w:rsidR="007310D5" w:rsidRDefault="007310D5">
                              <w:pPr>
                                <w:pStyle w:val="NoSpacing"/>
                                <w:jc w:val="right"/>
                                <w:rPr>
                                  <w:color w:val="FFFFFF" w:themeColor="background1"/>
                                  <w:sz w:val="24"/>
                                  <w:szCs w:val="24"/>
                                </w:rPr>
                              </w:pPr>
                              <w:r>
                                <w:rPr>
                                  <w:color w:val="FFFFFF" w:themeColor="background1"/>
                                  <w:sz w:val="24"/>
                                  <w:szCs w:val="24"/>
                                </w:rPr>
                                <w:t>2020</w:t>
                              </w:r>
                            </w:p>
                          </w:sdtContent>
                        </w:sdt>
                      </w:txbxContent>
                    </v:textbox>
                    <w10:wrap anchorx="margin" anchory="page"/>
                  </v:rect>
                </w:pict>
              </mc:Fallback>
            </mc:AlternateContent>
          </w:r>
          <w:r>
            <w:br w:type="page"/>
          </w:r>
        </w:p>
      </w:sdtContent>
    </w:sdt>
    <w:p w14:paraId="25B759EF" w14:textId="00349F75" w:rsidR="00035065" w:rsidRPr="007310D5" w:rsidRDefault="009D5AAB" w:rsidP="00794FF4">
      <w:pPr>
        <w:spacing w:line="480" w:lineRule="auto"/>
        <w:jc w:val="center"/>
        <w:rPr>
          <w:rFonts w:ascii="Arial" w:hAnsi="Arial" w:cs="Arial"/>
          <w:b/>
          <w:bCs/>
          <w:sz w:val="32"/>
          <w:szCs w:val="32"/>
          <w:u w:val="single"/>
        </w:rPr>
      </w:pPr>
      <w:r>
        <w:rPr>
          <w:rFonts w:ascii="Arial" w:hAnsi="Arial" w:cs="Arial"/>
          <w:b/>
          <w:bCs/>
          <w:sz w:val="32"/>
          <w:szCs w:val="32"/>
          <w:u w:val="single"/>
        </w:rPr>
        <w:lastRenderedPageBreak/>
        <w:t>Forensic Recovery &amp; Examination</w:t>
      </w:r>
    </w:p>
    <w:p w14:paraId="7097B5CE" w14:textId="37B2A0B6" w:rsidR="000E7C9F" w:rsidRDefault="000E7C9F" w:rsidP="000E7C9F">
      <w:pPr>
        <w:spacing w:line="480" w:lineRule="auto"/>
        <w:rPr>
          <w:rFonts w:ascii="Arial" w:hAnsi="Arial" w:cs="Arial"/>
          <w:sz w:val="24"/>
          <w:szCs w:val="24"/>
        </w:rPr>
      </w:pPr>
      <w:r w:rsidRPr="006E3CF5">
        <w:rPr>
          <w:rFonts w:ascii="Arial" w:hAnsi="Arial" w:cs="Arial"/>
          <w:sz w:val="24"/>
          <w:szCs w:val="24"/>
        </w:rPr>
        <w:t xml:space="preserve">This essay will assess what the First Attending Officer </w:t>
      </w:r>
      <w:r w:rsidRPr="004B16C4">
        <w:rPr>
          <w:rFonts w:ascii="Arial" w:hAnsi="Arial" w:cs="Arial"/>
          <w:i/>
          <w:iCs/>
          <w:sz w:val="24"/>
          <w:szCs w:val="24"/>
        </w:rPr>
        <w:t>(FAO)</w:t>
      </w:r>
      <w:r w:rsidRPr="006E3CF5">
        <w:rPr>
          <w:rFonts w:ascii="Arial" w:hAnsi="Arial" w:cs="Arial"/>
          <w:sz w:val="24"/>
          <w:szCs w:val="24"/>
        </w:rPr>
        <w:t xml:space="preserve"> should do when he/she arrives at a crime scene and why they must preserve the scene and any pieces of evidence in and around the scene. This essay will also analyse how forensic evidence is recovered and evaluated to ensure that miscarriages of justice do not occur, or are kept to a minimum.</w:t>
      </w:r>
    </w:p>
    <w:p w14:paraId="5ACC3730" w14:textId="77777777" w:rsidR="00FF608D" w:rsidRPr="006E3CF5" w:rsidRDefault="00FF608D" w:rsidP="000E7C9F">
      <w:pPr>
        <w:spacing w:line="480" w:lineRule="auto"/>
        <w:rPr>
          <w:rFonts w:ascii="Arial" w:hAnsi="Arial" w:cs="Arial"/>
          <w:sz w:val="24"/>
          <w:szCs w:val="24"/>
        </w:rPr>
      </w:pPr>
    </w:p>
    <w:p w14:paraId="07269BD9" w14:textId="05054EF4" w:rsidR="000E7C9F" w:rsidRPr="00FF608D" w:rsidRDefault="00FF608D" w:rsidP="000E7C9F">
      <w:pPr>
        <w:spacing w:line="480" w:lineRule="auto"/>
        <w:rPr>
          <w:rFonts w:ascii="Arial" w:hAnsi="Arial" w:cs="Arial"/>
          <w:b/>
          <w:bCs/>
          <w:sz w:val="28"/>
          <w:szCs w:val="28"/>
          <w:u w:val="single"/>
        </w:rPr>
      </w:pPr>
      <w:r w:rsidRPr="00FF608D">
        <w:rPr>
          <w:rFonts w:ascii="Arial" w:hAnsi="Arial" w:cs="Arial"/>
          <w:b/>
          <w:bCs/>
          <w:color w:val="212121"/>
          <w:sz w:val="24"/>
          <w:szCs w:val="24"/>
          <w:u w:val="single"/>
          <w:shd w:val="clear" w:color="auto" w:fill="FFFFFF"/>
        </w:rPr>
        <w:t>Critically evaluate the processes and procedures adopted by the First Attending Officer (FAO) at a crime scene in order to reduce the possibilities of cross contamination</w:t>
      </w:r>
    </w:p>
    <w:p w14:paraId="6F35789F" w14:textId="77777777" w:rsidR="000E7C9F" w:rsidRPr="006E3CF5" w:rsidRDefault="000E7C9F" w:rsidP="000E7C9F">
      <w:pPr>
        <w:spacing w:line="480" w:lineRule="auto"/>
        <w:rPr>
          <w:rFonts w:ascii="Arial" w:hAnsi="Arial" w:cs="Arial"/>
          <w:sz w:val="24"/>
          <w:szCs w:val="24"/>
        </w:rPr>
      </w:pPr>
      <w:r w:rsidRPr="006E3CF5">
        <w:rPr>
          <w:rFonts w:ascii="Arial" w:hAnsi="Arial" w:cs="Arial"/>
          <w:sz w:val="24"/>
          <w:szCs w:val="24"/>
        </w:rPr>
        <w:t xml:space="preserve">One of the most important elements of any investigation is the crime scene as from there physical evidence can be found, which in turn establishes guilt and innocence, recognizes suspects, and authenticates or opposes witness statements. As a result, adequate protection of the crime scene must come into effect as soon as possible as it guarantees that investigators have the highest amount of possible evidence available for recovery and examination </w:t>
      </w:r>
      <w:r w:rsidRPr="004B16C4">
        <w:rPr>
          <w:rFonts w:ascii="Arial" w:hAnsi="Arial" w:cs="Arial"/>
          <w:i/>
          <w:iCs/>
          <w:sz w:val="24"/>
          <w:szCs w:val="24"/>
        </w:rPr>
        <w:t>(Graca, Lawton-Barrett, O'Neil, Tong &amp; Underwood, 2012: p232)</w:t>
      </w:r>
      <w:r w:rsidRPr="006E3CF5">
        <w:rPr>
          <w:rFonts w:ascii="Arial" w:hAnsi="Arial" w:cs="Arial"/>
          <w:sz w:val="24"/>
          <w:szCs w:val="24"/>
        </w:rPr>
        <w:t>, which would result in the highest chances of arresting the correct people.</w:t>
      </w:r>
    </w:p>
    <w:p w14:paraId="71614CB7" w14:textId="77777777" w:rsidR="000E7C9F" w:rsidRPr="006E3CF5" w:rsidRDefault="000E7C9F" w:rsidP="000E7C9F">
      <w:pPr>
        <w:spacing w:line="480" w:lineRule="auto"/>
        <w:rPr>
          <w:rFonts w:ascii="Arial" w:hAnsi="Arial" w:cs="Arial"/>
          <w:sz w:val="24"/>
          <w:szCs w:val="24"/>
        </w:rPr>
      </w:pPr>
    </w:p>
    <w:p w14:paraId="3CC90A7B" w14:textId="39857DEE" w:rsidR="000E7C9F" w:rsidRPr="006E3CF5" w:rsidRDefault="000E7C9F" w:rsidP="000E7C9F">
      <w:pPr>
        <w:spacing w:line="480" w:lineRule="auto"/>
        <w:rPr>
          <w:rFonts w:ascii="Arial" w:hAnsi="Arial" w:cs="Arial"/>
          <w:sz w:val="24"/>
          <w:szCs w:val="24"/>
        </w:rPr>
      </w:pPr>
      <w:r w:rsidRPr="006E3CF5">
        <w:rPr>
          <w:rFonts w:ascii="Arial" w:hAnsi="Arial" w:cs="Arial"/>
          <w:sz w:val="24"/>
          <w:szCs w:val="24"/>
        </w:rPr>
        <w:t>When the FAO arrives at a crime scene, they must establish a perimeter, also known as a cordon, where members of the public onlooking the scene should stay behind so they do not enter the scene. If they do not stay behind the cordon or a cordon is not set up correctly or quick enough, that would result in the scene becoming cross-</w:t>
      </w:r>
      <w:r w:rsidRPr="006E3CF5">
        <w:rPr>
          <w:rFonts w:ascii="Arial" w:hAnsi="Arial" w:cs="Arial"/>
          <w:sz w:val="24"/>
          <w:szCs w:val="24"/>
        </w:rPr>
        <w:lastRenderedPageBreak/>
        <w:t xml:space="preserve">contaminated and valuable evidence being lost or destroyed </w:t>
      </w:r>
      <w:r w:rsidRPr="004B16C4">
        <w:rPr>
          <w:rFonts w:ascii="Arial" w:hAnsi="Arial" w:cs="Arial"/>
          <w:i/>
          <w:iCs/>
          <w:sz w:val="24"/>
          <w:szCs w:val="24"/>
        </w:rPr>
        <w:t>(Langford, 2005: p133)</w:t>
      </w:r>
      <w:r w:rsidRPr="006E3CF5">
        <w:rPr>
          <w:rFonts w:ascii="Arial" w:hAnsi="Arial" w:cs="Arial"/>
          <w:sz w:val="24"/>
          <w:szCs w:val="24"/>
        </w:rPr>
        <w:t xml:space="preserve">. Also, the FAO must only allow access to those who are authorized and keep the movement of those in and around the crime scene to a minimum as that can cause cross-contamination if they have not taken the necessary precautions </w:t>
      </w:r>
      <w:r w:rsidRPr="004B16C4">
        <w:rPr>
          <w:rFonts w:ascii="Arial" w:hAnsi="Arial" w:cs="Arial"/>
          <w:i/>
          <w:iCs/>
          <w:sz w:val="24"/>
          <w:szCs w:val="24"/>
        </w:rPr>
        <w:t>(College of Policing, 2020)</w:t>
      </w:r>
      <w:r w:rsidRPr="006E3CF5">
        <w:rPr>
          <w:rFonts w:ascii="Arial" w:hAnsi="Arial" w:cs="Arial"/>
          <w:sz w:val="24"/>
          <w:szCs w:val="24"/>
        </w:rPr>
        <w:t xml:space="preserve">. Cross-contamination refers to the undesired transmission of material among two or more origins of physical evidence </w:t>
      </w:r>
      <w:r w:rsidRPr="004B16C4">
        <w:rPr>
          <w:rFonts w:ascii="Arial" w:hAnsi="Arial" w:cs="Arial"/>
          <w:i/>
          <w:iCs/>
          <w:sz w:val="24"/>
          <w:szCs w:val="24"/>
        </w:rPr>
        <w:t>(Fish, Miller, Braswell &amp; Wallace, 2013: p399)</w:t>
      </w:r>
      <w:r w:rsidRPr="006E3CF5">
        <w:rPr>
          <w:rFonts w:ascii="Arial" w:hAnsi="Arial" w:cs="Arial"/>
          <w:sz w:val="24"/>
          <w:szCs w:val="24"/>
        </w:rPr>
        <w:t xml:space="preserve">. The transfer of material will always happen no matter how precautious the FAO is or how many preventative measures are in place, this is because every time an object comes into contact with another, there will be a trace of the first object on the second. This is referred to as the </w:t>
      </w:r>
      <w:r w:rsidR="00AA4F50" w:rsidRPr="006E3CF5">
        <w:rPr>
          <w:rFonts w:ascii="Arial" w:hAnsi="Arial" w:cs="Arial"/>
          <w:sz w:val="24"/>
          <w:szCs w:val="24"/>
        </w:rPr>
        <w:t>Locard’s</w:t>
      </w:r>
      <w:r w:rsidRPr="006E3CF5">
        <w:rPr>
          <w:rFonts w:ascii="Arial" w:hAnsi="Arial" w:cs="Arial"/>
          <w:sz w:val="24"/>
          <w:szCs w:val="24"/>
        </w:rPr>
        <w:t xml:space="preserve"> principle of exchange which states that </w:t>
      </w:r>
      <w:r w:rsidRPr="004B16C4">
        <w:rPr>
          <w:rFonts w:ascii="Arial" w:hAnsi="Arial" w:cs="Arial"/>
          <w:i/>
          <w:iCs/>
          <w:sz w:val="24"/>
          <w:szCs w:val="24"/>
        </w:rPr>
        <w:t>'every contact leaves a trace'</w:t>
      </w:r>
      <w:r w:rsidRPr="006E3CF5">
        <w:rPr>
          <w:rFonts w:ascii="Arial" w:hAnsi="Arial" w:cs="Arial"/>
          <w:sz w:val="24"/>
          <w:szCs w:val="24"/>
        </w:rPr>
        <w:t xml:space="preserve">, this equates to everything no matter how small the object is, an example of this would be fibres from pieces of clothing on surfaces like chairs or tables, another would be fingerprints from people on surfaces such as door handles or kitchen counters </w:t>
      </w:r>
      <w:r w:rsidRPr="004B16C4">
        <w:rPr>
          <w:rFonts w:ascii="Arial" w:hAnsi="Arial" w:cs="Arial"/>
          <w:i/>
          <w:iCs/>
          <w:sz w:val="24"/>
          <w:szCs w:val="24"/>
        </w:rPr>
        <w:t>(College of Policing, 2020)</w:t>
      </w:r>
      <w:r w:rsidRPr="006E3CF5">
        <w:rPr>
          <w:rFonts w:ascii="Arial" w:hAnsi="Arial" w:cs="Arial"/>
          <w:sz w:val="24"/>
          <w:szCs w:val="24"/>
        </w:rPr>
        <w:t xml:space="preserve">. The reason why cross-contamination is such a sizeable problem is it could lead the investigation down the wrong direction and could lead to an incorrect arrest, also known as a miscarriage of justice, or it may lead to the crime to taking longer to solve than it should </w:t>
      </w:r>
      <w:r w:rsidRPr="00AA4F50">
        <w:rPr>
          <w:rFonts w:ascii="Arial" w:hAnsi="Arial" w:cs="Arial"/>
          <w:i/>
          <w:iCs/>
          <w:sz w:val="24"/>
          <w:szCs w:val="24"/>
        </w:rPr>
        <w:t>(College of Policing, 2020)</w:t>
      </w:r>
      <w:r w:rsidRPr="006E3CF5">
        <w:rPr>
          <w:rFonts w:ascii="Arial" w:hAnsi="Arial" w:cs="Arial"/>
          <w:sz w:val="24"/>
          <w:szCs w:val="24"/>
        </w:rPr>
        <w:t xml:space="preserve">. To reduce the chances of crime scenes becoming contaminated and losing valuable pieces of evidence, the FAO must wear two sets of gloves, either latex or nitrile, and they must switch the exterior pair of gloves regularly to protect themselves from any dangerous sections of the crime scene </w:t>
      </w:r>
      <w:r w:rsidRPr="00AA4F50">
        <w:rPr>
          <w:rFonts w:ascii="Arial" w:hAnsi="Arial" w:cs="Arial"/>
          <w:i/>
          <w:iCs/>
          <w:sz w:val="24"/>
          <w:szCs w:val="24"/>
        </w:rPr>
        <w:t>(Fish, Miller, Braswell &amp; Wallace, 2013: p399)</w:t>
      </w:r>
      <w:r w:rsidRPr="006E3CF5">
        <w:rPr>
          <w:rFonts w:ascii="Arial" w:hAnsi="Arial" w:cs="Arial"/>
          <w:sz w:val="24"/>
          <w:szCs w:val="24"/>
        </w:rPr>
        <w:t>, like for example to protect themselves from any sexual diseases that the victim may have if they have been sexually assaulted, which is a very valuable piece of evidence and needs to be preserved.</w:t>
      </w:r>
    </w:p>
    <w:p w14:paraId="07A3F039" w14:textId="77777777" w:rsidR="000E7C9F" w:rsidRPr="006E3CF5" w:rsidRDefault="000E7C9F" w:rsidP="000E7C9F">
      <w:pPr>
        <w:spacing w:line="480" w:lineRule="auto"/>
        <w:rPr>
          <w:rFonts w:ascii="Arial" w:hAnsi="Arial" w:cs="Arial"/>
          <w:sz w:val="24"/>
          <w:szCs w:val="24"/>
        </w:rPr>
      </w:pPr>
    </w:p>
    <w:p w14:paraId="37435E86" w14:textId="77777777" w:rsidR="000E7C9F" w:rsidRPr="006E3CF5" w:rsidRDefault="000E7C9F" w:rsidP="000E7C9F">
      <w:pPr>
        <w:spacing w:line="480" w:lineRule="auto"/>
        <w:rPr>
          <w:rFonts w:ascii="Arial" w:hAnsi="Arial" w:cs="Arial"/>
          <w:sz w:val="24"/>
          <w:szCs w:val="24"/>
        </w:rPr>
      </w:pPr>
      <w:r w:rsidRPr="006E3CF5">
        <w:rPr>
          <w:rFonts w:ascii="Arial" w:hAnsi="Arial" w:cs="Arial"/>
          <w:sz w:val="24"/>
          <w:szCs w:val="24"/>
        </w:rPr>
        <w:lastRenderedPageBreak/>
        <w:t xml:space="preserve">Whilst the FAO is in and processing the crime scene they must make sure to never use a phone, whether that be a mobile or landline, as the possible chances of contamination are extensive, not to mention that they could lose their mobile phone if it came into contact with any possible hazardous substances that could be in the crime scene. The same applies to actions such as smoking, eating, or drinking for both the FAO and anyone inside the cordon as it creates justifiable concern that the evidence inside the crime scene may lose its authenticity </w:t>
      </w:r>
      <w:r w:rsidRPr="00AA4F50">
        <w:rPr>
          <w:rFonts w:ascii="Arial" w:hAnsi="Arial" w:cs="Arial"/>
          <w:i/>
          <w:iCs/>
          <w:sz w:val="24"/>
          <w:szCs w:val="24"/>
        </w:rPr>
        <w:t>(Fish, Miller, Braswell &amp; Wallace, 2013: p399)</w:t>
      </w:r>
      <w:r w:rsidRPr="006E3CF5">
        <w:rPr>
          <w:rFonts w:ascii="Arial" w:hAnsi="Arial" w:cs="Arial"/>
          <w:sz w:val="24"/>
          <w:szCs w:val="24"/>
        </w:rPr>
        <w:t xml:space="preserve">. When it comes to preserving vital pieces of evidence such as the victims of sexual assault, it can be very difficult to manage them as they could come into contact with many different people, which would devalue the evidence. The FAO should inform the victim that they cannot smoke, drink, eat, wash, or go to the toilet until they have been forensically inspected, however, the victim can go to the toilet before the forensic inspection if unavoidable </w:t>
      </w:r>
      <w:r w:rsidRPr="00AA4F50">
        <w:rPr>
          <w:rFonts w:ascii="Arial" w:hAnsi="Arial" w:cs="Arial"/>
          <w:i/>
          <w:iCs/>
          <w:sz w:val="24"/>
          <w:szCs w:val="24"/>
        </w:rPr>
        <w:t>(Graca, Lawton-Barrett, O'Neil, Tong &amp; Underwood, 2012: p232)</w:t>
      </w:r>
      <w:r w:rsidRPr="006E3CF5">
        <w:rPr>
          <w:rFonts w:ascii="Arial" w:hAnsi="Arial" w:cs="Arial"/>
          <w:sz w:val="24"/>
          <w:szCs w:val="24"/>
        </w:rPr>
        <w:t>. The FAO must also make comprehensive notes about the crime scene without moving any pieces of evidence unless necessary, examples of what the FAO should be writing about could be if any noticeable pieces of evidence show a forced entry through either the door</w:t>
      </w:r>
      <w:r w:rsidRPr="00AA4F50">
        <w:rPr>
          <w:rFonts w:ascii="Arial" w:hAnsi="Arial" w:cs="Arial"/>
          <w:i/>
          <w:iCs/>
          <w:sz w:val="24"/>
          <w:szCs w:val="24"/>
        </w:rPr>
        <w:t>(s)</w:t>
      </w:r>
      <w:r w:rsidRPr="006E3CF5">
        <w:rPr>
          <w:rFonts w:ascii="Arial" w:hAnsi="Arial" w:cs="Arial"/>
          <w:sz w:val="24"/>
          <w:szCs w:val="24"/>
        </w:rPr>
        <w:t xml:space="preserve"> or window</w:t>
      </w:r>
      <w:r w:rsidRPr="00AA4F50">
        <w:rPr>
          <w:rFonts w:ascii="Arial" w:hAnsi="Arial" w:cs="Arial"/>
          <w:i/>
          <w:iCs/>
          <w:sz w:val="24"/>
          <w:szCs w:val="24"/>
        </w:rPr>
        <w:t>(s)</w:t>
      </w:r>
      <w:r w:rsidRPr="006E3CF5">
        <w:rPr>
          <w:rFonts w:ascii="Arial" w:hAnsi="Arial" w:cs="Arial"/>
          <w:sz w:val="24"/>
          <w:szCs w:val="24"/>
        </w:rPr>
        <w:t>, any clear existence of weapons or drugs which could lead to a breakthrough in the case as detectives could link weapons or drugs found with the cause of death for the victim</w:t>
      </w:r>
      <w:r w:rsidRPr="00AA4F50">
        <w:rPr>
          <w:rFonts w:ascii="Arial" w:hAnsi="Arial" w:cs="Arial"/>
          <w:i/>
          <w:iCs/>
          <w:sz w:val="24"/>
          <w:szCs w:val="24"/>
        </w:rPr>
        <w:t>(s) (Langford, 2005: p134)</w:t>
      </w:r>
      <w:r w:rsidRPr="006E3CF5">
        <w:rPr>
          <w:rFonts w:ascii="Arial" w:hAnsi="Arial" w:cs="Arial"/>
          <w:sz w:val="24"/>
          <w:szCs w:val="24"/>
        </w:rPr>
        <w:t>. The FAO should also make notes of who was present at the time of the crime and the positions that the body</w:t>
      </w:r>
      <w:r w:rsidRPr="00C439BA">
        <w:rPr>
          <w:rFonts w:ascii="Arial" w:hAnsi="Arial" w:cs="Arial"/>
          <w:i/>
          <w:iCs/>
          <w:sz w:val="24"/>
          <w:szCs w:val="24"/>
        </w:rPr>
        <w:t>(ies)</w:t>
      </w:r>
      <w:r w:rsidRPr="006E3CF5">
        <w:rPr>
          <w:rFonts w:ascii="Arial" w:hAnsi="Arial" w:cs="Arial"/>
          <w:sz w:val="24"/>
          <w:szCs w:val="24"/>
        </w:rPr>
        <w:t xml:space="preserve"> are in when he/she arrived, these would lead to those present at the time of crime being instructed to give both fingerprints and footprints to help eliminate, or at least reduce, the chances of any miscarriages of justice from occurring. When he/she is finished making these notes they should be delivered to the senior investigating officer who </w:t>
      </w:r>
      <w:r w:rsidRPr="006E3CF5">
        <w:rPr>
          <w:rFonts w:ascii="Arial" w:hAnsi="Arial" w:cs="Arial"/>
          <w:sz w:val="24"/>
          <w:szCs w:val="24"/>
        </w:rPr>
        <w:lastRenderedPageBreak/>
        <w:t xml:space="preserve">leads the investigation of the crime scene </w:t>
      </w:r>
      <w:r w:rsidRPr="00AA4F50">
        <w:rPr>
          <w:rFonts w:ascii="Arial" w:hAnsi="Arial" w:cs="Arial"/>
          <w:i/>
          <w:iCs/>
          <w:sz w:val="24"/>
          <w:szCs w:val="24"/>
        </w:rPr>
        <w:t>(Langford, 2005: p134)</w:t>
      </w:r>
      <w:r w:rsidRPr="006E3CF5">
        <w:rPr>
          <w:rFonts w:ascii="Arial" w:hAnsi="Arial" w:cs="Arial"/>
          <w:sz w:val="24"/>
          <w:szCs w:val="24"/>
        </w:rPr>
        <w:t>. Another form of preserving the crime scene includes using Body Cameras to give a visual representation of the scene, this can effective when trying to reconstruct the crime scene to establish what happened as the cameras can visually show where pieces of evidence, weapons, body</w:t>
      </w:r>
      <w:r w:rsidRPr="00C439BA">
        <w:rPr>
          <w:rFonts w:ascii="Arial" w:hAnsi="Arial" w:cs="Arial"/>
          <w:i/>
          <w:iCs/>
          <w:sz w:val="24"/>
          <w:szCs w:val="24"/>
        </w:rPr>
        <w:t>(ies)</w:t>
      </w:r>
      <w:r w:rsidRPr="006E3CF5">
        <w:rPr>
          <w:rFonts w:ascii="Arial" w:hAnsi="Arial" w:cs="Arial"/>
          <w:sz w:val="24"/>
          <w:szCs w:val="24"/>
        </w:rPr>
        <w:t xml:space="preserve">, pieces of debris or vehicles are, as well as recording statements from eyewitnesses or victims at the scene </w:t>
      </w:r>
      <w:r w:rsidRPr="00AA4F50">
        <w:rPr>
          <w:rFonts w:ascii="Arial" w:hAnsi="Arial" w:cs="Arial"/>
          <w:i/>
          <w:iCs/>
          <w:sz w:val="24"/>
          <w:szCs w:val="24"/>
        </w:rPr>
        <w:t>(College of Policing, 2014: p17/18)</w:t>
      </w:r>
      <w:r w:rsidRPr="006E3CF5">
        <w:rPr>
          <w:rFonts w:ascii="Arial" w:hAnsi="Arial" w:cs="Arial"/>
          <w:sz w:val="24"/>
          <w:szCs w:val="24"/>
        </w:rPr>
        <w:t>. This will help the investigators to reconstruct the scene and increase their chances of arresting the correct person, which again will reduce the chances of any miscarriages of justice from occurring.</w:t>
      </w:r>
    </w:p>
    <w:p w14:paraId="2E8E0DC7" w14:textId="77777777" w:rsidR="000E7C9F" w:rsidRPr="006E3CF5" w:rsidRDefault="000E7C9F" w:rsidP="000E7C9F">
      <w:pPr>
        <w:spacing w:line="480" w:lineRule="auto"/>
        <w:rPr>
          <w:rFonts w:ascii="Arial" w:hAnsi="Arial" w:cs="Arial"/>
          <w:sz w:val="24"/>
          <w:szCs w:val="24"/>
        </w:rPr>
      </w:pPr>
    </w:p>
    <w:p w14:paraId="1AB34FA1" w14:textId="77777777" w:rsidR="000E7C9F" w:rsidRPr="006E3CF5" w:rsidRDefault="000E7C9F" w:rsidP="000E7C9F">
      <w:pPr>
        <w:spacing w:line="480" w:lineRule="auto"/>
        <w:rPr>
          <w:rFonts w:ascii="Arial" w:hAnsi="Arial" w:cs="Arial"/>
          <w:sz w:val="24"/>
          <w:szCs w:val="24"/>
        </w:rPr>
      </w:pPr>
      <w:r w:rsidRPr="006E3CF5">
        <w:rPr>
          <w:rFonts w:ascii="Arial" w:hAnsi="Arial" w:cs="Arial"/>
          <w:sz w:val="24"/>
          <w:szCs w:val="24"/>
        </w:rPr>
        <w:t xml:space="preserve">When the FAO is finished examining the crime scene and has gathered as much information and evidence as they can, they then must preserve the scene as best they can to do this they must first evaluate the risks present that can contaminate and hinder the authenticity of the scene, some of the risks include possible damages caused to the evidence by weather conditions such as rain or cold temperatures, any movement of items as a result of other FAO's like Paramedics or Firefighters, or any disturbances caused by items being taken into and from the scene. If the crime scene is not properly preserved it can hinder the initial findings, which in turn will delay the endeavour of identifying possible offenders. if the FAO does not know what preservative measures they should put in place, then they should contact a Crime Scene Investigator </w:t>
      </w:r>
      <w:r w:rsidRPr="00AA4F50">
        <w:rPr>
          <w:rFonts w:ascii="Arial" w:hAnsi="Arial" w:cs="Arial"/>
          <w:i/>
          <w:iCs/>
          <w:sz w:val="24"/>
          <w:szCs w:val="24"/>
        </w:rPr>
        <w:t>(CSI)</w:t>
      </w:r>
      <w:r w:rsidRPr="006E3CF5">
        <w:rPr>
          <w:rFonts w:ascii="Arial" w:hAnsi="Arial" w:cs="Arial"/>
          <w:sz w:val="24"/>
          <w:szCs w:val="24"/>
        </w:rPr>
        <w:t xml:space="preserve"> to establish the suitable level and method</w:t>
      </w:r>
      <w:r w:rsidRPr="00AA4F50">
        <w:rPr>
          <w:rFonts w:ascii="Arial" w:hAnsi="Arial" w:cs="Arial"/>
          <w:i/>
          <w:iCs/>
          <w:sz w:val="24"/>
          <w:szCs w:val="24"/>
        </w:rPr>
        <w:t>(s)</w:t>
      </w:r>
      <w:r w:rsidRPr="006E3CF5">
        <w:rPr>
          <w:rFonts w:ascii="Arial" w:hAnsi="Arial" w:cs="Arial"/>
          <w:sz w:val="24"/>
          <w:szCs w:val="24"/>
        </w:rPr>
        <w:t xml:space="preserve"> of protection and preservation, some of the preservative measures could be covering pieces of evidence or dead bodies, making sure that the scene has an appropriate level of lighting, or maybe establishing and protecting the access routes into and out of the crime scene </w:t>
      </w:r>
      <w:r w:rsidRPr="00AA4F50">
        <w:rPr>
          <w:rFonts w:ascii="Arial" w:hAnsi="Arial" w:cs="Arial"/>
          <w:i/>
          <w:iCs/>
          <w:sz w:val="24"/>
          <w:szCs w:val="24"/>
        </w:rPr>
        <w:t>(College of Policing, 2020)</w:t>
      </w:r>
      <w:r w:rsidRPr="006E3CF5">
        <w:rPr>
          <w:rFonts w:ascii="Arial" w:hAnsi="Arial" w:cs="Arial"/>
          <w:sz w:val="24"/>
          <w:szCs w:val="24"/>
        </w:rPr>
        <w:t xml:space="preserve">. The CSI, or Senior Investigation Officer </w:t>
      </w:r>
      <w:r w:rsidRPr="00AA4F50">
        <w:rPr>
          <w:rFonts w:ascii="Arial" w:hAnsi="Arial" w:cs="Arial"/>
          <w:i/>
          <w:iCs/>
          <w:sz w:val="24"/>
          <w:szCs w:val="24"/>
        </w:rPr>
        <w:lastRenderedPageBreak/>
        <w:t>(SIO)</w:t>
      </w:r>
      <w:r w:rsidRPr="006E3CF5">
        <w:rPr>
          <w:rFonts w:ascii="Arial" w:hAnsi="Arial" w:cs="Arial"/>
          <w:sz w:val="24"/>
          <w:szCs w:val="24"/>
        </w:rPr>
        <w:t xml:space="preserve">, is ultimately the one who is responsible for everything that happens in and around the crime scene until the examination is finished </w:t>
      </w:r>
      <w:r w:rsidRPr="00AA4F50">
        <w:rPr>
          <w:rFonts w:ascii="Arial" w:hAnsi="Arial" w:cs="Arial"/>
          <w:i/>
          <w:iCs/>
          <w:sz w:val="24"/>
          <w:szCs w:val="24"/>
        </w:rPr>
        <w:t>(Langford, 2005: p134)</w:t>
      </w:r>
      <w:r w:rsidRPr="006E3CF5">
        <w:rPr>
          <w:rFonts w:ascii="Arial" w:hAnsi="Arial" w:cs="Arial"/>
          <w:sz w:val="24"/>
          <w:szCs w:val="24"/>
        </w:rPr>
        <w:t xml:space="preserve">. Then they must make sure to decontaminate every equipment they used before anyone can use them again, every piece of equipment is different and so requires different products and techniques to decontaminate it. The FAO should therefore read the decontamination information on the product to guarantee that the approved actions are adhered to </w:t>
      </w:r>
      <w:r w:rsidRPr="00AA4F50">
        <w:rPr>
          <w:rFonts w:ascii="Arial" w:hAnsi="Arial" w:cs="Arial"/>
          <w:i/>
          <w:iCs/>
          <w:sz w:val="24"/>
          <w:szCs w:val="24"/>
        </w:rPr>
        <w:t>(Baxter Jr, 2015: p217)</w:t>
      </w:r>
      <w:r w:rsidRPr="006E3CF5">
        <w:rPr>
          <w:rFonts w:ascii="Arial" w:hAnsi="Arial" w:cs="Arial"/>
          <w:sz w:val="24"/>
          <w:szCs w:val="24"/>
        </w:rPr>
        <w:t xml:space="preserve">.  If the FAO has used non-disposable tools to acquire evidence from the scene then they should use a metal one, however, they must make sure to clean them between when they finished using them to when they are used again. When it comes to cleaning tools a bleach mixture is acceptable, and for cleaning them a sterile cloth is sufficient, doing this between each use reduces the risk of contamination at the next crime scene they are used at. If there are bodily fluids in the crime scene, then they must be treated as biological hazards and must be managed with caution and labelled accordingly to protect those who have to pick it up or examine it, like the CSI's or laboratory staff, respectively. To make sure that this is handled with care the FAO must attach </w:t>
      </w:r>
      <w:r w:rsidRPr="00C439BA">
        <w:rPr>
          <w:rFonts w:ascii="Arial" w:hAnsi="Arial" w:cs="Arial"/>
          <w:i/>
          <w:iCs/>
          <w:sz w:val="24"/>
          <w:szCs w:val="24"/>
        </w:rPr>
        <w:t>'Biohazard'</w:t>
      </w:r>
      <w:r w:rsidRPr="006E3CF5">
        <w:rPr>
          <w:rFonts w:ascii="Arial" w:hAnsi="Arial" w:cs="Arial"/>
          <w:sz w:val="24"/>
          <w:szCs w:val="24"/>
        </w:rPr>
        <w:t xml:space="preserve"> labels to the outside of the packaging of the bodily fluids and they must make sure only authorized people handle them </w:t>
      </w:r>
      <w:r w:rsidRPr="00AA4F50">
        <w:rPr>
          <w:rFonts w:ascii="Arial" w:hAnsi="Arial" w:cs="Arial"/>
          <w:i/>
          <w:iCs/>
          <w:sz w:val="24"/>
          <w:szCs w:val="24"/>
        </w:rPr>
        <w:t>(Fish, Miller, Braswell &amp; Wallace, 2013: p399)</w:t>
      </w:r>
      <w:r w:rsidRPr="006E3CF5">
        <w:rPr>
          <w:rFonts w:ascii="Arial" w:hAnsi="Arial" w:cs="Arial"/>
          <w:sz w:val="24"/>
          <w:szCs w:val="24"/>
        </w:rPr>
        <w:t>.</w:t>
      </w:r>
    </w:p>
    <w:p w14:paraId="6C02A023" w14:textId="6D6BF098" w:rsidR="000E7C9F" w:rsidRDefault="000E7C9F" w:rsidP="000E7C9F">
      <w:pPr>
        <w:spacing w:line="480" w:lineRule="auto"/>
        <w:rPr>
          <w:rFonts w:ascii="Arial" w:hAnsi="Arial" w:cs="Arial"/>
          <w:sz w:val="24"/>
          <w:szCs w:val="24"/>
        </w:rPr>
      </w:pPr>
    </w:p>
    <w:p w14:paraId="60F9FB17" w14:textId="5F0D953C" w:rsidR="00A00A43" w:rsidRPr="00A00A43" w:rsidRDefault="00A00A43" w:rsidP="000E7C9F">
      <w:pPr>
        <w:spacing w:line="480" w:lineRule="auto"/>
        <w:rPr>
          <w:rFonts w:ascii="Arial" w:hAnsi="Arial" w:cs="Arial"/>
          <w:b/>
          <w:bCs/>
          <w:sz w:val="28"/>
          <w:szCs w:val="28"/>
          <w:u w:val="single"/>
        </w:rPr>
      </w:pPr>
      <w:r w:rsidRPr="00A00A43">
        <w:rPr>
          <w:rFonts w:ascii="Arial" w:hAnsi="Arial" w:cs="Arial"/>
          <w:b/>
          <w:bCs/>
          <w:color w:val="212121"/>
          <w:sz w:val="24"/>
          <w:szCs w:val="24"/>
          <w:u w:val="single"/>
          <w:shd w:val="clear" w:color="auto" w:fill="FFFFFF"/>
        </w:rPr>
        <w:t>Critically analyse the methods in practice for the recovery and examination of forensic evidence at crime scenes evaluating the legislation, strategies, policies and procedures with regard to forensic recovery and examination</w:t>
      </w:r>
    </w:p>
    <w:p w14:paraId="3BC657F3" w14:textId="513CE9A1" w:rsidR="000E7C9F" w:rsidRDefault="000E7C9F" w:rsidP="000E7C9F">
      <w:pPr>
        <w:spacing w:line="480" w:lineRule="auto"/>
        <w:rPr>
          <w:rFonts w:ascii="Arial" w:hAnsi="Arial" w:cs="Arial"/>
          <w:sz w:val="24"/>
          <w:szCs w:val="24"/>
        </w:rPr>
      </w:pPr>
      <w:r w:rsidRPr="006E3CF5">
        <w:rPr>
          <w:rFonts w:ascii="Arial" w:hAnsi="Arial" w:cs="Arial"/>
          <w:sz w:val="24"/>
          <w:szCs w:val="24"/>
        </w:rPr>
        <w:t xml:space="preserve">Forensic Evidence involves both facts and opinions that are supported by the use of one, or commonly more than one, type of forensic science that are frequently used in </w:t>
      </w:r>
      <w:r w:rsidRPr="006E3CF5">
        <w:rPr>
          <w:rFonts w:ascii="Arial" w:hAnsi="Arial" w:cs="Arial"/>
          <w:sz w:val="24"/>
          <w:szCs w:val="24"/>
        </w:rPr>
        <w:lastRenderedPageBreak/>
        <w:t xml:space="preserve">criminal prosecutions. A few examples of the types of forensic sciences used in identifying different types of forensic evidence include hair analysis, soil analysis, fingerprints, and forensic archaeology </w:t>
      </w:r>
      <w:r w:rsidRPr="00AA4F50">
        <w:rPr>
          <w:rFonts w:ascii="Arial" w:hAnsi="Arial" w:cs="Arial"/>
          <w:i/>
          <w:iCs/>
          <w:sz w:val="24"/>
          <w:szCs w:val="24"/>
        </w:rPr>
        <w:t>(Kiely, 2005: p50)</w:t>
      </w:r>
      <w:r w:rsidRPr="006E3CF5">
        <w:rPr>
          <w:rFonts w:ascii="Arial" w:hAnsi="Arial" w:cs="Arial"/>
          <w:sz w:val="24"/>
          <w:szCs w:val="24"/>
        </w:rPr>
        <w:t xml:space="preserve">. The benefit that forensic evidence has to the police and prosecutors comes from its capability to clarify numerous physiological aspects of a crime scene and also links those aspects to a specific suspect. The information generated from crime scenes through the different techniques and methods are priceless and can determine whether the investigation of the crime takes a short time or a long time, with that being said it is therefore crucial that the FAO protects and preserves the scene correctly or as best they can otherwise the analysis of the forensic evidence is restricted </w:t>
      </w:r>
      <w:r w:rsidRPr="00AA4F50">
        <w:rPr>
          <w:rFonts w:ascii="Arial" w:hAnsi="Arial" w:cs="Arial"/>
          <w:i/>
          <w:iCs/>
          <w:sz w:val="24"/>
          <w:szCs w:val="24"/>
        </w:rPr>
        <w:t>(Kiely, 2005: p53/54)</w:t>
      </w:r>
      <w:r w:rsidRPr="006E3CF5">
        <w:rPr>
          <w:rFonts w:ascii="Arial" w:hAnsi="Arial" w:cs="Arial"/>
          <w:sz w:val="24"/>
          <w:szCs w:val="24"/>
        </w:rPr>
        <w:t xml:space="preserve">. One instance where the preservation and protection of a crime scene were done incorrectly was in the O.J. Simpson trial, as in that case there was an alleged failure to oversee a tolerable examination of the crime scene, along with samples being contaminated and a defective testing procedure, all of these contributed to the current revived focus on the right and wrongs on crime scene investigation. So much so that Law schools and post-graduate legal training have made it a priority to emphasize the significance of preserving and protecting forensic evidence, along with becoming more familiar with the tools used to recover and store pieces of evidence </w:t>
      </w:r>
      <w:r w:rsidRPr="00AA4F50">
        <w:rPr>
          <w:rFonts w:ascii="Arial" w:hAnsi="Arial" w:cs="Arial"/>
          <w:i/>
          <w:iCs/>
          <w:sz w:val="24"/>
          <w:szCs w:val="24"/>
        </w:rPr>
        <w:t>(Kiely, 2005: p54)</w:t>
      </w:r>
      <w:r w:rsidRPr="006E3CF5">
        <w:rPr>
          <w:rFonts w:ascii="Arial" w:hAnsi="Arial" w:cs="Arial"/>
          <w:sz w:val="24"/>
          <w:szCs w:val="24"/>
        </w:rPr>
        <w:t>.</w:t>
      </w:r>
    </w:p>
    <w:p w14:paraId="4328DB38" w14:textId="77777777" w:rsidR="000E7C9F" w:rsidRPr="006E3CF5" w:rsidRDefault="000E7C9F" w:rsidP="000E7C9F">
      <w:pPr>
        <w:spacing w:line="480" w:lineRule="auto"/>
        <w:rPr>
          <w:rFonts w:ascii="Arial" w:hAnsi="Arial" w:cs="Arial"/>
          <w:sz w:val="24"/>
          <w:szCs w:val="24"/>
        </w:rPr>
      </w:pPr>
    </w:p>
    <w:p w14:paraId="116EDA4C" w14:textId="6E27F7C1" w:rsidR="000E7C9F" w:rsidRPr="006E3CF5" w:rsidRDefault="000E7C9F" w:rsidP="000E7C9F">
      <w:pPr>
        <w:spacing w:line="480" w:lineRule="auto"/>
        <w:rPr>
          <w:rFonts w:ascii="Arial" w:hAnsi="Arial" w:cs="Arial"/>
          <w:sz w:val="24"/>
          <w:szCs w:val="24"/>
        </w:rPr>
      </w:pPr>
      <w:r w:rsidRPr="006E3CF5">
        <w:rPr>
          <w:rFonts w:ascii="Arial" w:hAnsi="Arial" w:cs="Arial"/>
          <w:sz w:val="24"/>
          <w:szCs w:val="24"/>
        </w:rPr>
        <w:t xml:space="preserve">There are many different types of forensic evidence, with some such as footprint impressions to fingerprints are the most commonly found in and around crime scenes, however, there are some which are easily the most likely to get lost or are invisible to the naked eye, an example of this type of evidence would be hairs and fibres and this type of evidence is quite similar to footprint impressions and </w:t>
      </w:r>
      <w:r w:rsidRPr="006E3CF5">
        <w:rPr>
          <w:rFonts w:ascii="Arial" w:hAnsi="Arial" w:cs="Arial"/>
          <w:sz w:val="24"/>
          <w:szCs w:val="24"/>
        </w:rPr>
        <w:lastRenderedPageBreak/>
        <w:t xml:space="preserve">fingerprints as they can be found at almost every type of crime scene and could be an influential factor in determining the criminal, therefore it is imperative that this type of evidence should be treated with the utmost care and should be securely packaged and store safely to avoid them being lost or destroyed </w:t>
      </w:r>
      <w:r w:rsidRPr="00BF73C9">
        <w:rPr>
          <w:rFonts w:ascii="Arial" w:hAnsi="Arial" w:cs="Arial"/>
          <w:i/>
          <w:iCs/>
          <w:sz w:val="24"/>
          <w:szCs w:val="24"/>
        </w:rPr>
        <w:t>(Langford, 2005: p140)</w:t>
      </w:r>
      <w:r w:rsidR="00BF73C9">
        <w:rPr>
          <w:rFonts w:ascii="Arial" w:hAnsi="Arial" w:cs="Arial"/>
          <w:sz w:val="24"/>
          <w:szCs w:val="24"/>
        </w:rPr>
        <w:t xml:space="preserve">. </w:t>
      </w:r>
      <w:r w:rsidRPr="006E3CF5">
        <w:rPr>
          <w:rFonts w:ascii="Arial" w:hAnsi="Arial" w:cs="Arial"/>
          <w:sz w:val="24"/>
          <w:szCs w:val="24"/>
        </w:rPr>
        <w:t xml:space="preserve">Another type of forensic evidence is biological fluids and this type of evidence is again similar to the types mentioned previously as it is found in almost every type of crime scene, some types of biological fluids are saliva, semen, and blood. If found at a crime scene then before being recovered, the FAO should first decipher any visible bloodstain patterns to help rebuild the events that led to their emergence, after deciphering what happened they should then retrieve representative bloodstains for further examinations </w:t>
      </w:r>
      <w:r w:rsidRPr="00B320B8">
        <w:rPr>
          <w:rFonts w:ascii="Arial" w:hAnsi="Arial" w:cs="Arial"/>
          <w:i/>
          <w:iCs/>
          <w:sz w:val="24"/>
          <w:szCs w:val="24"/>
        </w:rPr>
        <w:t>(Langford, 2005: p140)</w:t>
      </w:r>
      <w:r w:rsidRPr="006E3CF5">
        <w:rPr>
          <w:rFonts w:ascii="Arial" w:hAnsi="Arial" w:cs="Arial"/>
          <w:sz w:val="24"/>
          <w:szCs w:val="24"/>
        </w:rPr>
        <w:t>.</w:t>
      </w:r>
    </w:p>
    <w:p w14:paraId="64B95F1D" w14:textId="77777777" w:rsidR="000E7C9F" w:rsidRPr="006E3CF5" w:rsidRDefault="000E7C9F" w:rsidP="000E7C9F">
      <w:pPr>
        <w:spacing w:line="480" w:lineRule="auto"/>
        <w:rPr>
          <w:rFonts w:ascii="Arial" w:hAnsi="Arial" w:cs="Arial"/>
          <w:sz w:val="24"/>
          <w:szCs w:val="24"/>
        </w:rPr>
      </w:pPr>
    </w:p>
    <w:p w14:paraId="3682BCA5" w14:textId="3AEA49B2" w:rsidR="000E7C9F" w:rsidRPr="006E3CF5" w:rsidRDefault="000E7C9F" w:rsidP="000E7C9F">
      <w:pPr>
        <w:spacing w:line="480" w:lineRule="auto"/>
        <w:rPr>
          <w:rFonts w:ascii="Arial" w:hAnsi="Arial" w:cs="Arial"/>
          <w:sz w:val="24"/>
          <w:szCs w:val="24"/>
        </w:rPr>
      </w:pPr>
      <w:r w:rsidRPr="006E3CF5">
        <w:rPr>
          <w:rFonts w:ascii="Arial" w:hAnsi="Arial" w:cs="Arial"/>
          <w:sz w:val="24"/>
          <w:szCs w:val="24"/>
        </w:rPr>
        <w:t xml:space="preserve">When collecting forensic evidence from the crime scene, it is important to have thorough thought and planning as it can be an influential part of the investigation and can lead to arrests being made. With that being said, certain types of forensic evidence must be identified, recovered and stored away first to prevent them from being lost or destroyed, an example would be nonfixed trace evidence like fibres caught on broken window panes. After all the vulnerable pieces of forensic evidence have been recovered, the next priority should be recovering those that can cause contamination of other pieces of evidence, with blood and saliva being examples. After those are collected, it is typical that latent fingerprints be collected last unless the fingerprints would be lost if the evidence where the fingerprints are on have to be moved to recover other pieces of evidence </w:t>
      </w:r>
      <w:r w:rsidRPr="00B320B8">
        <w:rPr>
          <w:rFonts w:ascii="Arial" w:hAnsi="Arial" w:cs="Arial"/>
          <w:i/>
          <w:iCs/>
          <w:sz w:val="24"/>
          <w:szCs w:val="24"/>
        </w:rPr>
        <w:t>(Langford, 2005: p141)</w:t>
      </w:r>
      <w:r w:rsidRPr="006E3CF5">
        <w:rPr>
          <w:rFonts w:ascii="Arial" w:hAnsi="Arial" w:cs="Arial"/>
          <w:sz w:val="24"/>
          <w:szCs w:val="24"/>
        </w:rPr>
        <w:t xml:space="preserve">. Another point to make when collecting any piece of evidence from a crime scene is to make sure to not do it in a manner that will increase the chances of contamination and will also not </w:t>
      </w:r>
      <w:r w:rsidRPr="006E3CF5">
        <w:rPr>
          <w:rFonts w:ascii="Arial" w:hAnsi="Arial" w:cs="Arial"/>
          <w:sz w:val="24"/>
          <w:szCs w:val="24"/>
        </w:rPr>
        <w:lastRenderedPageBreak/>
        <w:t xml:space="preserve">ruin or devalue any other pieces of evidence in both the collection and processing sections. This generally means beginning with the least obtrusive collection procedures and then moving onto the more obtrusive ones, a good starting to decide which pieces of evidence should be collected first if by using the information gathered by the FAO as they have more of an understanding of which pieces of evidence are the most valuable and should be collected first, however, the information given by the FAO should not be taken as a certainty as they may not have the same knowledge as a forensic scientist. Care should always be taken to only share relevant information to those recovering the pieces of evidence as irrelevant information could lead to pieces of evidence being recovered that have no relation to the crime or the suspect and could lead to a miscarriage of justice to occur </w:t>
      </w:r>
      <w:r w:rsidRPr="00B320B8">
        <w:rPr>
          <w:rFonts w:ascii="Arial" w:hAnsi="Arial" w:cs="Arial"/>
          <w:i/>
          <w:iCs/>
          <w:sz w:val="24"/>
          <w:szCs w:val="24"/>
        </w:rPr>
        <w:t>(Robertson, Roux &amp; Wiggins, 2017: p103/104)</w:t>
      </w:r>
      <w:r w:rsidRPr="006E3CF5">
        <w:rPr>
          <w:rFonts w:ascii="Arial" w:hAnsi="Arial" w:cs="Arial"/>
          <w:sz w:val="24"/>
          <w:szCs w:val="24"/>
        </w:rPr>
        <w:t xml:space="preserve">. In an example of recovering forensic evidence from a sexual assault case. The forensic healthcare practitioner will have to consider the </w:t>
      </w:r>
      <w:r w:rsidR="00B320B8" w:rsidRPr="006E3CF5">
        <w:rPr>
          <w:rFonts w:ascii="Arial" w:hAnsi="Arial" w:cs="Arial"/>
          <w:sz w:val="24"/>
          <w:szCs w:val="24"/>
        </w:rPr>
        <w:t>wellbeing</w:t>
      </w:r>
      <w:r w:rsidRPr="006E3CF5">
        <w:rPr>
          <w:rFonts w:ascii="Arial" w:hAnsi="Arial" w:cs="Arial"/>
          <w:sz w:val="24"/>
          <w:szCs w:val="24"/>
        </w:rPr>
        <w:t xml:space="preserve"> of the victim both psychologically and medically, whilst at the same time trying to collect any such information which could likely be used to aid the investigation and the ensuing court case. Any information gathered by the forensic healthcare practitioner should be completed methodically to guarantee that the information relating to the sexual assault case is found </w:t>
      </w:r>
      <w:r w:rsidRPr="00B320B8">
        <w:rPr>
          <w:rFonts w:ascii="Arial" w:hAnsi="Arial" w:cs="Arial"/>
          <w:i/>
          <w:iCs/>
          <w:sz w:val="24"/>
          <w:szCs w:val="24"/>
        </w:rPr>
        <w:t>(Forensic Science Regulator, 2020: p37)</w:t>
      </w:r>
      <w:r w:rsidRPr="006E3CF5">
        <w:rPr>
          <w:rFonts w:ascii="Arial" w:hAnsi="Arial" w:cs="Arial"/>
          <w:sz w:val="24"/>
          <w:szCs w:val="24"/>
        </w:rPr>
        <w:t xml:space="preserve">. The forensic healthcare practitioner should aim to gather as much evidence and information as possible from the victim, whether that be from samples, injuries or forensic evidence such as biological fluids, the forensic healthcare practitioner should do this by examining the victim from head to toe and make comprehensive notes of any medial signs that may affect any contrasting diagnosis, either positive or negative. After the practitioner has made his notes, he/she should check with the victim to find out if they can identify where these injuries or areas of </w:t>
      </w:r>
      <w:r w:rsidRPr="006E3CF5">
        <w:rPr>
          <w:rFonts w:ascii="Arial" w:hAnsi="Arial" w:cs="Arial"/>
          <w:sz w:val="24"/>
          <w:szCs w:val="24"/>
        </w:rPr>
        <w:lastRenderedPageBreak/>
        <w:t xml:space="preserve">pain could have come from, and all information gathered from the victim should be documented. After all the possible information has been gathered from the victim, the injuries should be captured with photos and if applicable, a body diagram should be drawn to display the connections between injuries </w:t>
      </w:r>
      <w:r w:rsidRPr="00B320B8">
        <w:rPr>
          <w:rFonts w:ascii="Arial" w:hAnsi="Arial" w:cs="Arial"/>
          <w:i/>
          <w:iCs/>
          <w:sz w:val="24"/>
          <w:szCs w:val="24"/>
        </w:rPr>
        <w:t>(Forensic Science Regulator, 2020: p38)</w:t>
      </w:r>
      <w:r w:rsidRPr="006E3CF5">
        <w:rPr>
          <w:rFonts w:ascii="Arial" w:hAnsi="Arial" w:cs="Arial"/>
          <w:sz w:val="24"/>
          <w:szCs w:val="24"/>
        </w:rPr>
        <w:t>.</w:t>
      </w:r>
    </w:p>
    <w:p w14:paraId="508BC900" w14:textId="77777777" w:rsidR="000E7C9F" w:rsidRPr="006E3CF5" w:rsidRDefault="000E7C9F" w:rsidP="000E7C9F">
      <w:pPr>
        <w:spacing w:line="480" w:lineRule="auto"/>
        <w:rPr>
          <w:rFonts w:ascii="Arial" w:hAnsi="Arial" w:cs="Arial"/>
          <w:sz w:val="24"/>
          <w:szCs w:val="24"/>
        </w:rPr>
      </w:pPr>
    </w:p>
    <w:p w14:paraId="1DAAF4A5" w14:textId="491A17CB" w:rsidR="000E7C9F" w:rsidRPr="006E3CF5" w:rsidRDefault="000E7C9F" w:rsidP="000E7C9F">
      <w:pPr>
        <w:spacing w:line="480" w:lineRule="auto"/>
        <w:rPr>
          <w:rFonts w:ascii="Arial" w:hAnsi="Arial" w:cs="Arial"/>
          <w:sz w:val="24"/>
          <w:szCs w:val="24"/>
        </w:rPr>
      </w:pPr>
      <w:r w:rsidRPr="006E3CF5">
        <w:rPr>
          <w:rFonts w:ascii="Arial" w:hAnsi="Arial" w:cs="Arial"/>
          <w:sz w:val="24"/>
          <w:szCs w:val="24"/>
        </w:rPr>
        <w:t xml:space="preserve">When it comes examining and comparing forensic pieces of evidence at crime scenes especially fibres, microscopy is vital and should be used to compare pieces of fibres to identify the correct suspect. Microscopes are needed to see fibrous evidence no matter what assessments or investigations are happening in the crime scene, as a result of this microscopical observations, whether they be done by humans or by machines, are often used to identify fibres, define them and usually to compare and contrast them to a suspect source. There are three crucial aspects to forensic fibre investigations and those being sample, analytical instrument, and specimen preparation, of these only the instrument and the techniques of the sample preparation, are usually controlled by the analyst, as typically a sample used for observations will only consist of a single fibre or a single fragment of fibre </w:t>
      </w:r>
      <w:r w:rsidRPr="00B320B8">
        <w:rPr>
          <w:rFonts w:ascii="Arial" w:hAnsi="Arial" w:cs="Arial"/>
          <w:i/>
          <w:iCs/>
          <w:sz w:val="24"/>
          <w:szCs w:val="24"/>
        </w:rPr>
        <w:t>(Robertson, Roux &amp; Wiggins, 2017: p146)</w:t>
      </w:r>
      <w:r w:rsidRPr="006E3CF5">
        <w:rPr>
          <w:rFonts w:ascii="Arial" w:hAnsi="Arial" w:cs="Arial"/>
          <w:sz w:val="24"/>
          <w:szCs w:val="24"/>
        </w:rPr>
        <w:t xml:space="preserve">. Another way in which forensic evidence can be evaluated at the crime scene is to photography where the evidence is at the crime scene before it is taken away, this will help reconstruct the crime scene as well as provide a high level of precision and certainty which will be essential when later examinations happen </w:t>
      </w:r>
      <w:r w:rsidRPr="00B320B8">
        <w:rPr>
          <w:rFonts w:ascii="Arial" w:hAnsi="Arial" w:cs="Arial"/>
          <w:i/>
          <w:iCs/>
          <w:sz w:val="24"/>
          <w:szCs w:val="24"/>
        </w:rPr>
        <w:t>(Bodziak, 2017: p27)</w:t>
      </w:r>
      <w:r w:rsidRPr="006E3CF5">
        <w:rPr>
          <w:rFonts w:ascii="Arial" w:hAnsi="Arial" w:cs="Arial"/>
          <w:sz w:val="24"/>
          <w:szCs w:val="24"/>
        </w:rPr>
        <w:t xml:space="preserve">. Photography can be used to document many different types of forensic evidence, with footwear impressions being one of the most common found in crime scenes when it comes to photographing footwear impressions, the photograph should be taken from directly above where the </w:t>
      </w:r>
      <w:r w:rsidRPr="006E3CF5">
        <w:rPr>
          <w:rFonts w:ascii="Arial" w:hAnsi="Arial" w:cs="Arial"/>
          <w:sz w:val="24"/>
          <w:szCs w:val="24"/>
        </w:rPr>
        <w:lastRenderedPageBreak/>
        <w:t xml:space="preserve">impression is to get the highest amount of detail and accuracy. Photography can also be used to document other pieces of forensic, with examples including tire impressions, barefoot impressions, fingerprints, tool marks, blunt force pattern injuries, and bite marks, and is required to be photographed in that order to guarantee the highest amount of detail and truthfulness can be achieved, and failing to follow the order given before will result in those photographs losing their value in any following examination. Despite some of the footwear examiners' present at the crime scene duties do not incorporate the recovery of pieces of evidence from the crime scene, they have to be trained and have experience in photography of impression evidence to be able to give appropriate evaluations of photographs presented in examinations, as well as being able to understand and identify a photographers limits, and to give advice and training to CSI's to help them preserve and protect different pieces of evidence found in a crime scene </w:t>
      </w:r>
      <w:r w:rsidRPr="00B320B8">
        <w:rPr>
          <w:rFonts w:ascii="Arial" w:hAnsi="Arial" w:cs="Arial"/>
          <w:i/>
          <w:iCs/>
          <w:sz w:val="24"/>
          <w:szCs w:val="24"/>
        </w:rPr>
        <w:t>(Bodziak, 2017: p35/36)</w:t>
      </w:r>
      <w:r w:rsidRPr="006E3CF5">
        <w:rPr>
          <w:rFonts w:ascii="Arial" w:hAnsi="Arial" w:cs="Arial"/>
          <w:sz w:val="24"/>
          <w:szCs w:val="24"/>
        </w:rPr>
        <w:t>.</w:t>
      </w:r>
    </w:p>
    <w:p w14:paraId="42782A25" w14:textId="77777777" w:rsidR="000E7C9F" w:rsidRPr="006E3CF5" w:rsidRDefault="000E7C9F" w:rsidP="000E7C9F">
      <w:pPr>
        <w:spacing w:line="480" w:lineRule="auto"/>
        <w:rPr>
          <w:rFonts w:ascii="Arial" w:hAnsi="Arial" w:cs="Arial"/>
          <w:sz w:val="24"/>
          <w:szCs w:val="24"/>
        </w:rPr>
      </w:pPr>
    </w:p>
    <w:p w14:paraId="16F59CDE" w14:textId="77777777" w:rsidR="000E7C9F" w:rsidRPr="007310D5" w:rsidRDefault="000E7C9F" w:rsidP="000E7C9F">
      <w:pPr>
        <w:spacing w:line="480" w:lineRule="auto"/>
        <w:rPr>
          <w:rFonts w:ascii="Arial" w:hAnsi="Arial" w:cs="Arial"/>
          <w:sz w:val="24"/>
          <w:szCs w:val="24"/>
        </w:rPr>
      </w:pPr>
      <w:r w:rsidRPr="006E3CF5">
        <w:rPr>
          <w:rFonts w:ascii="Arial" w:hAnsi="Arial" w:cs="Arial"/>
          <w:sz w:val="24"/>
          <w:szCs w:val="24"/>
        </w:rPr>
        <w:t>In conclusion, the protection and preservation of a crime scene are invaluable and should be one of the FAO's top priorities when they arrive at the scene, whether that be protecting the scene from the elements or reducing the risk of contamination. As well as this the recovery and examination of forensic evidence is essential to helping to identify the suspect and avoiding miscarriages of justice, this includes using microscopes to identify individual fibres or using photography to document any pieces of evidence at the scene or any injuries sustained by the victim</w:t>
      </w:r>
      <w:r>
        <w:rPr>
          <w:rFonts w:ascii="Arial" w:hAnsi="Arial" w:cs="Arial"/>
          <w:sz w:val="24"/>
          <w:szCs w:val="24"/>
        </w:rPr>
        <w:t>.</w:t>
      </w:r>
    </w:p>
    <w:p w14:paraId="7C1C9BF3" w14:textId="77777777" w:rsidR="000E7C9F" w:rsidRDefault="000E7C9F" w:rsidP="007310D5">
      <w:pPr>
        <w:spacing w:line="480" w:lineRule="auto"/>
        <w:rPr>
          <w:rFonts w:ascii="Arial" w:hAnsi="Arial" w:cs="Arial"/>
          <w:sz w:val="24"/>
          <w:szCs w:val="24"/>
        </w:rPr>
      </w:pPr>
    </w:p>
    <w:p w14:paraId="44228DB1" w14:textId="3BED6F4A" w:rsidR="008B665C" w:rsidRDefault="008B665C" w:rsidP="007310D5">
      <w:pPr>
        <w:spacing w:line="480" w:lineRule="auto"/>
        <w:rPr>
          <w:rFonts w:ascii="Arial" w:hAnsi="Arial" w:cs="Arial"/>
          <w:sz w:val="24"/>
          <w:szCs w:val="24"/>
        </w:rPr>
      </w:pPr>
      <w:r>
        <w:rPr>
          <w:rFonts w:ascii="Arial" w:hAnsi="Arial" w:cs="Arial"/>
          <w:sz w:val="24"/>
          <w:szCs w:val="24"/>
        </w:rPr>
        <w:t>Bibliography:</w:t>
      </w:r>
    </w:p>
    <w:p w14:paraId="76719C9D" w14:textId="77777777" w:rsidR="00303F19" w:rsidRPr="00B153CF" w:rsidRDefault="00303F19" w:rsidP="00303F19">
      <w:pPr>
        <w:rPr>
          <w:rFonts w:ascii="Arial" w:hAnsi="Arial" w:cs="Arial"/>
          <w:sz w:val="24"/>
          <w:szCs w:val="24"/>
        </w:rPr>
      </w:pPr>
      <w:r w:rsidRPr="00B153CF">
        <w:rPr>
          <w:rFonts w:ascii="Arial" w:hAnsi="Arial" w:cs="Arial"/>
          <w:sz w:val="24"/>
          <w:szCs w:val="24"/>
        </w:rPr>
        <w:lastRenderedPageBreak/>
        <w:t xml:space="preserve">Bodziak W, J. (2017) </w:t>
      </w:r>
      <w:r w:rsidRPr="00B153CF">
        <w:rPr>
          <w:rFonts w:ascii="Arial" w:hAnsi="Arial" w:cs="Arial"/>
          <w:i/>
          <w:iCs/>
          <w:sz w:val="24"/>
          <w:szCs w:val="24"/>
        </w:rPr>
        <w:t>‘Forensic Footwear Evidence’</w:t>
      </w:r>
      <w:r w:rsidRPr="00B153CF">
        <w:rPr>
          <w:rFonts w:ascii="Arial" w:hAnsi="Arial" w:cs="Arial"/>
          <w:sz w:val="24"/>
          <w:szCs w:val="24"/>
        </w:rPr>
        <w:t xml:space="preserve"> Florida, CRC Press. Available at: </w:t>
      </w:r>
      <w:hyperlink r:id="rId6" w:anchor="v=onepage&amp;q=examination%20of%20forensic%20evidence%20at%20crime%20scene&amp;f=true" w:history="1">
        <w:r w:rsidRPr="00B153CF">
          <w:rPr>
            <w:rStyle w:val="Hyperlink"/>
            <w:rFonts w:ascii="Arial" w:hAnsi="Arial" w:cs="Arial"/>
            <w:color w:val="auto"/>
            <w:sz w:val="24"/>
            <w:szCs w:val="24"/>
            <w:u w:val="none"/>
          </w:rPr>
          <w:t>https://books.google.co.uk/books?hl=en&amp;lr=&amp;id=7RVjDAAAQBAJ&amp;oi=fnd&amp;pg=PP1&amp;dq=examination+of+forensic+evidence+at+crime+scene&amp;ots=DWeH-7EhBb&amp;sig=Lqarp0ATFajYQa1zAqPiuAawu3c#v=onepage&amp;q=examination%20of%20forensic%20evidence%20at%20crime%20scene&amp;f=true</w:t>
        </w:r>
      </w:hyperlink>
      <w:r w:rsidRPr="00B153CF">
        <w:rPr>
          <w:rFonts w:ascii="Arial" w:hAnsi="Arial" w:cs="Arial"/>
          <w:sz w:val="24"/>
          <w:szCs w:val="24"/>
        </w:rPr>
        <w:t xml:space="preserve"> (Accessed: 12/10/20).</w:t>
      </w:r>
    </w:p>
    <w:p w14:paraId="7F922B97" w14:textId="77777777" w:rsidR="00303F19" w:rsidRPr="00B153CF" w:rsidRDefault="00303F19" w:rsidP="00303F19">
      <w:pPr>
        <w:rPr>
          <w:rFonts w:ascii="Arial" w:hAnsi="Arial" w:cs="Arial"/>
          <w:sz w:val="24"/>
          <w:szCs w:val="24"/>
        </w:rPr>
      </w:pPr>
      <w:r w:rsidRPr="00B153CF">
        <w:rPr>
          <w:rFonts w:ascii="Arial" w:hAnsi="Arial" w:cs="Arial"/>
          <w:sz w:val="24"/>
          <w:szCs w:val="24"/>
        </w:rPr>
        <w:t xml:space="preserve">College of Policing (2014) </w:t>
      </w:r>
      <w:r w:rsidRPr="00B153CF">
        <w:rPr>
          <w:rFonts w:ascii="Arial" w:hAnsi="Arial" w:cs="Arial"/>
          <w:i/>
          <w:iCs/>
          <w:sz w:val="24"/>
          <w:szCs w:val="24"/>
        </w:rPr>
        <w:t>‘Body-Worn Video’</w:t>
      </w:r>
      <w:r w:rsidRPr="00B153CF">
        <w:rPr>
          <w:rFonts w:ascii="Arial" w:hAnsi="Arial" w:cs="Arial"/>
          <w:sz w:val="24"/>
          <w:szCs w:val="24"/>
        </w:rPr>
        <w:t xml:space="preserve"> Available at: </w:t>
      </w:r>
      <w:hyperlink r:id="rId7" w:history="1">
        <w:r w:rsidRPr="00B153CF">
          <w:rPr>
            <w:rStyle w:val="Hyperlink"/>
            <w:rFonts w:ascii="Arial" w:hAnsi="Arial" w:cs="Arial"/>
            <w:color w:val="auto"/>
            <w:sz w:val="24"/>
            <w:szCs w:val="24"/>
            <w:u w:val="none"/>
          </w:rPr>
          <w:t>http://library.college.police.uk/docs/college-of-policing/Body-worn-video-guidance-2014.pdf</w:t>
        </w:r>
      </w:hyperlink>
      <w:r w:rsidRPr="00B153CF">
        <w:rPr>
          <w:rFonts w:ascii="Arial" w:hAnsi="Arial" w:cs="Arial"/>
          <w:sz w:val="24"/>
          <w:szCs w:val="24"/>
        </w:rPr>
        <w:t xml:space="preserve"> (Accessed: 08/10/20).</w:t>
      </w:r>
    </w:p>
    <w:p w14:paraId="259F4A1A" w14:textId="77777777" w:rsidR="00303F19" w:rsidRPr="00B153CF" w:rsidRDefault="00303F19" w:rsidP="00303F19">
      <w:pPr>
        <w:rPr>
          <w:rFonts w:ascii="Arial" w:hAnsi="Arial" w:cs="Arial"/>
          <w:sz w:val="24"/>
          <w:szCs w:val="24"/>
        </w:rPr>
      </w:pPr>
      <w:r w:rsidRPr="00B153CF">
        <w:rPr>
          <w:rFonts w:ascii="Arial" w:hAnsi="Arial" w:cs="Arial"/>
          <w:sz w:val="24"/>
          <w:szCs w:val="24"/>
        </w:rPr>
        <w:t xml:space="preserve">College of Policing (2020) </w:t>
      </w:r>
      <w:r w:rsidRPr="00B153CF">
        <w:rPr>
          <w:rFonts w:ascii="Arial" w:hAnsi="Arial" w:cs="Arial"/>
          <w:i/>
          <w:iCs/>
          <w:sz w:val="24"/>
          <w:szCs w:val="24"/>
        </w:rPr>
        <w:t>‘Investigation – Managing Investigations’</w:t>
      </w:r>
      <w:r w:rsidRPr="00B153CF">
        <w:rPr>
          <w:rFonts w:ascii="Arial" w:hAnsi="Arial" w:cs="Arial"/>
          <w:sz w:val="24"/>
          <w:szCs w:val="24"/>
        </w:rPr>
        <w:t xml:space="preserve"> Available at: </w:t>
      </w:r>
      <w:hyperlink r:id="rId8" w:anchor="cross-contamination" w:history="1">
        <w:r w:rsidRPr="00B153CF">
          <w:rPr>
            <w:rStyle w:val="Hyperlink"/>
            <w:rFonts w:ascii="Arial" w:hAnsi="Arial" w:cs="Arial"/>
            <w:color w:val="auto"/>
            <w:sz w:val="24"/>
            <w:szCs w:val="24"/>
            <w:u w:val="none"/>
          </w:rPr>
          <w:t>https://www.app.college.police.uk/app-content/investigations/managing-investigations/#cross-contamination</w:t>
        </w:r>
      </w:hyperlink>
      <w:r w:rsidRPr="00B153CF">
        <w:rPr>
          <w:rFonts w:ascii="Arial" w:hAnsi="Arial" w:cs="Arial"/>
          <w:sz w:val="24"/>
          <w:szCs w:val="24"/>
        </w:rPr>
        <w:t xml:space="preserve"> (Accessed: 08/10/20).</w:t>
      </w:r>
    </w:p>
    <w:p w14:paraId="6AEA7FDD" w14:textId="77777777" w:rsidR="00303F19" w:rsidRPr="00B153CF" w:rsidRDefault="00303F19" w:rsidP="00303F19">
      <w:pPr>
        <w:rPr>
          <w:rFonts w:ascii="Arial" w:hAnsi="Arial" w:cs="Arial"/>
          <w:sz w:val="24"/>
          <w:szCs w:val="24"/>
        </w:rPr>
      </w:pPr>
      <w:r w:rsidRPr="00B153CF">
        <w:rPr>
          <w:rFonts w:ascii="Arial" w:hAnsi="Arial" w:cs="Arial"/>
          <w:sz w:val="24"/>
          <w:szCs w:val="24"/>
        </w:rPr>
        <w:t xml:space="preserve">Fish J, T., Miller L,S., Braswell M, C. &amp; Wallace E, W. (2013) </w:t>
      </w:r>
      <w:r w:rsidRPr="00B153CF">
        <w:rPr>
          <w:rFonts w:ascii="Arial" w:hAnsi="Arial" w:cs="Arial"/>
          <w:i/>
          <w:iCs/>
          <w:sz w:val="24"/>
          <w:szCs w:val="24"/>
        </w:rPr>
        <w:t>‘Crime Scene Investigation’</w:t>
      </w:r>
      <w:r w:rsidRPr="00B153CF">
        <w:rPr>
          <w:rFonts w:ascii="Arial" w:hAnsi="Arial" w:cs="Arial"/>
          <w:sz w:val="24"/>
          <w:szCs w:val="24"/>
        </w:rPr>
        <w:t xml:space="preserve"> 3</w:t>
      </w:r>
      <w:r w:rsidRPr="00B153CF">
        <w:rPr>
          <w:rFonts w:ascii="Arial" w:hAnsi="Arial" w:cs="Arial"/>
          <w:sz w:val="24"/>
          <w:szCs w:val="24"/>
          <w:vertAlign w:val="superscript"/>
        </w:rPr>
        <w:t>rd</w:t>
      </w:r>
      <w:r w:rsidRPr="00B153CF">
        <w:rPr>
          <w:rFonts w:ascii="Arial" w:hAnsi="Arial" w:cs="Arial"/>
          <w:sz w:val="24"/>
          <w:szCs w:val="24"/>
        </w:rPr>
        <w:t xml:space="preserve"> Ed. Oxford. Anderson Publishing. Available at: </w:t>
      </w:r>
      <w:hyperlink r:id="rId9" w:anchor="v=onepage&amp;q=cross%20contamination%20in%20a%20crime%20scene&amp;f=false" w:history="1">
        <w:r w:rsidRPr="00B153CF">
          <w:rPr>
            <w:rStyle w:val="Hyperlink"/>
            <w:rFonts w:ascii="Arial" w:hAnsi="Arial" w:cs="Arial"/>
            <w:color w:val="auto"/>
            <w:sz w:val="24"/>
            <w:szCs w:val="24"/>
            <w:u w:val="none"/>
          </w:rPr>
          <w:t>https://books.google.co.uk/books?hl=en&amp;lr=&amp;id=7fck5My-k64C&amp;oi=fnd&amp;pg=PP1&amp;dq=cross+contamination+in+a+crime+scene&amp;ots=qV0hpGbOfa&amp;sig=yAC979JrbBR0_zu-FGYjB8UlH3U#v=onepage&amp;q=cross%20contamination%20in%20a%20crime%20scene&amp;f=false</w:t>
        </w:r>
      </w:hyperlink>
      <w:r w:rsidRPr="00B153CF">
        <w:rPr>
          <w:rStyle w:val="Hyperlink"/>
          <w:rFonts w:ascii="Arial" w:hAnsi="Arial" w:cs="Arial"/>
          <w:color w:val="auto"/>
          <w:sz w:val="24"/>
          <w:szCs w:val="24"/>
          <w:u w:val="none"/>
        </w:rPr>
        <w:t xml:space="preserve"> (Accessed: 2/10/20).</w:t>
      </w:r>
    </w:p>
    <w:p w14:paraId="413838DF" w14:textId="77777777" w:rsidR="00303F19" w:rsidRPr="00B153CF" w:rsidRDefault="00303F19" w:rsidP="00303F19">
      <w:pPr>
        <w:rPr>
          <w:rFonts w:ascii="Arial" w:hAnsi="Arial" w:cs="Arial"/>
          <w:sz w:val="24"/>
          <w:szCs w:val="24"/>
        </w:rPr>
      </w:pPr>
      <w:r w:rsidRPr="00B153CF">
        <w:rPr>
          <w:rFonts w:ascii="Arial" w:hAnsi="Arial" w:cs="Arial"/>
          <w:sz w:val="24"/>
          <w:szCs w:val="24"/>
        </w:rPr>
        <w:t xml:space="preserve">Forensic Science Regulator (2020) </w:t>
      </w:r>
      <w:r w:rsidRPr="00B153CF">
        <w:rPr>
          <w:rFonts w:ascii="Arial" w:hAnsi="Arial" w:cs="Arial"/>
          <w:i/>
          <w:iCs/>
          <w:sz w:val="24"/>
          <w:szCs w:val="24"/>
        </w:rPr>
        <w:t xml:space="preserve">‘Guidance Science Regulator Guidance’ </w:t>
      </w:r>
      <w:r w:rsidRPr="00B153CF">
        <w:rPr>
          <w:rFonts w:ascii="Arial" w:hAnsi="Arial" w:cs="Arial"/>
          <w:sz w:val="24"/>
          <w:szCs w:val="24"/>
        </w:rPr>
        <w:t xml:space="preserve">Available at: </w:t>
      </w:r>
      <w:hyperlink r:id="rId10" w:history="1">
        <w:r w:rsidRPr="00B153CF">
          <w:rPr>
            <w:rStyle w:val="Hyperlink"/>
            <w:rFonts w:ascii="Arial" w:hAnsi="Arial" w:cs="Arial"/>
            <w:color w:val="auto"/>
            <w:sz w:val="24"/>
            <w:szCs w:val="24"/>
            <w:u w:val="none"/>
          </w:rPr>
          <w:t>https://assets.publishing.service.gov.uk/government/uploads/system/uploads/attachment_data/file/886647/212_Guidance_Sexual_Assault_Examination.pdf</w:t>
        </w:r>
      </w:hyperlink>
      <w:r w:rsidRPr="00B153CF">
        <w:rPr>
          <w:rFonts w:ascii="Arial" w:hAnsi="Arial" w:cs="Arial"/>
          <w:sz w:val="24"/>
          <w:szCs w:val="24"/>
        </w:rPr>
        <w:t xml:space="preserve"> (Accessed: 13/10/20).</w:t>
      </w:r>
    </w:p>
    <w:p w14:paraId="6A9656C6" w14:textId="77777777" w:rsidR="00AB2A45" w:rsidRDefault="00303F19" w:rsidP="00AB2A45">
      <w:pPr>
        <w:widowControl w:val="0"/>
        <w:spacing w:after="0"/>
        <w:rPr>
          <w:rFonts w:ascii="Arial" w:hAnsi="Arial" w:cs="Arial"/>
          <w:sz w:val="24"/>
          <w:szCs w:val="24"/>
        </w:rPr>
      </w:pPr>
      <w:r w:rsidRPr="00B153CF">
        <w:rPr>
          <w:rFonts w:ascii="Arial" w:eastAsia="Arial" w:hAnsi="Arial" w:cs="Arial"/>
          <w:sz w:val="24"/>
          <w:szCs w:val="24"/>
          <w:lang w:val="en" w:eastAsia="en-GB"/>
        </w:rPr>
        <w:t xml:space="preserve">Graca S., Lawton-Barrett K., O’Neil M., Tong S. &amp; Underwood R. (2012). </w:t>
      </w:r>
      <w:r w:rsidRPr="00B153CF">
        <w:rPr>
          <w:rFonts w:ascii="Arial" w:eastAsia="Arial" w:hAnsi="Arial" w:cs="Arial"/>
          <w:i/>
          <w:iCs/>
          <w:sz w:val="24"/>
          <w:szCs w:val="24"/>
          <w:lang w:val="en" w:eastAsia="en-GB"/>
        </w:rPr>
        <w:t>‘Blackstone’s Handbook for policing student’</w:t>
      </w:r>
      <w:r w:rsidRPr="00B153CF">
        <w:rPr>
          <w:rFonts w:ascii="Arial" w:eastAsia="Arial" w:hAnsi="Arial" w:cs="Arial"/>
          <w:sz w:val="24"/>
          <w:szCs w:val="24"/>
          <w:lang w:val="en" w:eastAsia="en-GB"/>
        </w:rPr>
        <w:t xml:space="preserve">. Oxford University Press. Oxford. Available at: </w:t>
      </w:r>
      <w:hyperlink r:id="rId11" w:anchor="v=onepage&amp;q=blackstones%20handbook%20for%20policing%20student&amp;f=true" w:history="1">
        <w:r w:rsidRPr="00B153CF">
          <w:rPr>
            <w:rStyle w:val="Hyperlink"/>
            <w:rFonts w:ascii="Arial" w:hAnsi="Arial" w:cs="Arial"/>
            <w:color w:val="auto"/>
            <w:sz w:val="24"/>
            <w:szCs w:val="24"/>
            <w:u w:val="none"/>
          </w:rPr>
          <w:t>https://books.google.co.uk/books?hl=en&amp;lr=&amp;id=T79V6puGw2wC&amp;oi=fnd&amp;pg=PT4&amp;dq=blackstones+handbook+for+policing+student&amp;ots=phBoM1fl9a&amp;sig=mHxylLgynZpmgs-HmWxtnyfzKxc#v=onepage&amp;q=blackstones%20handbook%20for%20policing%20student&amp;f=true</w:t>
        </w:r>
      </w:hyperlink>
      <w:r w:rsidRPr="00B153CF">
        <w:rPr>
          <w:rFonts w:ascii="Arial" w:hAnsi="Arial" w:cs="Arial"/>
          <w:sz w:val="24"/>
          <w:szCs w:val="24"/>
        </w:rPr>
        <w:t xml:space="preserve"> (Accessed: 04/10/20).</w:t>
      </w:r>
    </w:p>
    <w:p w14:paraId="21832700" w14:textId="77777777" w:rsidR="00AB2A45" w:rsidRDefault="00AB2A45" w:rsidP="00AB2A45">
      <w:pPr>
        <w:widowControl w:val="0"/>
        <w:spacing w:after="0"/>
        <w:rPr>
          <w:rFonts w:ascii="Arial" w:hAnsi="Arial" w:cs="Arial"/>
          <w:sz w:val="24"/>
          <w:szCs w:val="24"/>
        </w:rPr>
      </w:pPr>
    </w:p>
    <w:p w14:paraId="6A2F23B9" w14:textId="248BC7F7" w:rsidR="00303F19" w:rsidRPr="00B153CF" w:rsidRDefault="00303F19" w:rsidP="00AB2A45">
      <w:pPr>
        <w:widowControl w:val="0"/>
        <w:spacing w:after="0"/>
        <w:rPr>
          <w:rFonts w:ascii="Arial" w:hAnsi="Arial" w:cs="Arial"/>
          <w:sz w:val="24"/>
          <w:szCs w:val="24"/>
        </w:rPr>
      </w:pPr>
      <w:r w:rsidRPr="00B153CF">
        <w:rPr>
          <w:rFonts w:ascii="Arial" w:hAnsi="Arial" w:cs="Arial"/>
          <w:sz w:val="24"/>
          <w:szCs w:val="24"/>
        </w:rPr>
        <w:t xml:space="preserve">Kiely T, F. (2005) </w:t>
      </w:r>
      <w:r w:rsidRPr="00B153CF">
        <w:rPr>
          <w:rFonts w:ascii="Arial" w:hAnsi="Arial" w:cs="Arial"/>
          <w:i/>
          <w:iCs/>
          <w:sz w:val="24"/>
          <w:szCs w:val="24"/>
        </w:rPr>
        <w:t>‘Forensic Evidence: Science and the Criminal Law’</w:t>
      </w:r>
      <w:r w:rsidRPr="00B153CF">
        <w:rPr>
          <w:rFonts w:ascii="Arial" w:hAnsi="Arial" w:cs="Arial"/>
          <w:sz w:val="24"/>
          <w:szCs w:val="24"/>
        </w:rPr>
        <w:t xml:space="preserve"> 2</w:t>
      </w:r>
      <w:r w:rsidRPr="00B153CF">
        <w:rPr>
          <w:rFonts w:ascii="Arial" w:hAnsi="Arial" w:cs="Arial"/>
          <w:sz w:val="24"/>
          <w:szCs w:val="24"/>
          <w:vertAlign w:val="superscript"/>
        </w:rPr>
        <w:t>nd</w:t>
      </w:r>
      <w:r w:rsidRPr="00B153CF">
        <w:rPr>
          <w:rFonts w:ascii="Arial" w:hAnsi="Arial" w:cs="Arial"/>
          <w:sz w:val="24"/>
          <w:szCs w:val="24"/>
        </w:rPr>
        <w:t xml:space="preserve"> Ed. Florida. CRC Press. Available at: </w:t>
      </w:r>
      <w:hyperlink r:id="rId12" w:anchor="v=onepage&amp;q=examination%20of%20forensic%20evidence&amp;f=true" w:history="1">
        <w:r w:rsidRPr="00B153CF">
          <w:rPr>
            <w:rStyle w:val="Hyperlink"/>
            <w:rFonts w:ascii="Arial" w:hAnsi="Arial" w:cs="Arial"/>
            <w:color w:val="auto"/>
            <w:sz w:val="24"/>
            <w:szCs w:val="24"/>
            <w:u w:val="none"/>
          </w:rPr>
          <w:t>https://books.google.co.uk/books?hl=en&amp;lr=&amp;id=0u_LBQAAQBAJ&amp;oi=fnd&amp;pg=PP1&amp;dq=examination+of+forensic+evidence&amp;ots=oKC5aVxZzS&amp;sig=oZoONWLLW5Lr1HQ-GY8-a1EUOIk#v=onepage&amp;q=examination%20of%20forensic%20evidence&amp;f=true</w:t>
        </w:r>
      </w:hyperlink>
      <w:r w:rsidRPr="00B153CF">
        <w:rPr>
          <w:rFonts w:ascii="Arial" w:hAnsi="Arial" w:cs="Arial"/>
          <w:sz w:val="24"/>
          <w:szCs w:val="24"/>
        </w:rPr>
        <w:t xml:space="preserve"> (Accessed: 3/10/20).</w:t>
      </w:r>
    </w:p>
    <w:p w14:paraId="2D7A5151" w14:textId="77777777" w:rsidR="00303F19" w:rsidRPr="00B153CF" w:rsidRDefault="00303F19" w:rsidP="00303F19">
      <w:pPr>
        <w:rPr>
          <w:rFonts w:ascii="Arial" w:hAnsi="Arial" w:cs="Arial"/>
          <w:sz w:val="24"/>
          <w:szCs w:val="24"/>
        </w:rPr>
      </w:pPr>
      <w:r w:rsidRPr="00B153CF">
        <w:rPr>
          <w:rFonts w:ascii="Arial" w:eastAsia="Arial" w:hAnsi="Arial" w:cs="Arial"/>
          <w:sz w:val="24"/>
          <w:szCs w:val="24"/>
          <w:lang w:val="en" w:eastAsia="en-GB"/>
        </w:rPr>
        <w:t xml:space="preserve">Langford A. (2005) </w:t>
      </w:r>
      <w:r w:rsidRPr="00B153CF">
        <w:rPr>
          <w:rFonts w:ascii="Arial" w:eastAsia="Arial" w:hAnsi="Arial" w:cs="Arial"/>
          <w:i/>
          <w:iCs/>
          <w:sz w:val="24"/>
          <w:szCs w:val="24"/>
          <w:lang w:val="en" w:eastAsia="en-GB"/>
        </w:rPr>
        <w:t>‘Practical Skills in Forensic Science’</w:t>
      </w:r>
      <w:r w:rsidRPr="00B153CF">
        <w:rPr>
          <w:rFonts w:ascii="Arial" w:eastAsia="Arial" w:hAnsi="Arial" w:cs="Arial"/>
          <w:sz w:val="24"/>
          <w:szCs w:val="24"/>
          <w:lang w:val="en" w:eastAsia="en-GB"/>
        </w:rPr>
        <w:t xml:space="preserve">. Pearson. Harlow.  Available at: </w:t>
      </w:r>
      <w:hyperlink r:id="rId13" w:anchor="v=onepage&amp;q=Practical%20skills%20in%20forensic%20science&amp;f=true" w:history="1">
        <w:r w:rsidRPr="00B153CF">
          <w:rPr>
            <w:rStyle w:val="Hyperlink"/>
            <w:rFonts w:ascii="Arial" w:hAnsi="Arial" w:cs="Arial"/>
            <w:color w:val="auto"/>
            <w:sz w:val="24"/>
            <w:szCs w:val="24"/>
            <w:u w:val="none"/>
          </w:rPr>
          <w:t>https://books.google.co.uk/books?hl=en&amp;lr=&amp;id=qC98GVqrHm4C&amp;oi=fnd&amp;pg=PR9&amp;dq=Practical+skills+in+forensic+science&amp;ots=Kv2WU-</w:t>
        </w:r>
        <w:r w:rsidRPr="00B153CF">
          <w:rPr>
            <w:rStyle w:val="Hyperlink"/>
            <w:rFonts w:ascii="Arial" w:hAnsi="Arial" w:cs="Arial"/>
            <w:color w:val="auto"/>
            <w:sz w:val="24"/>
            <w:szCs w:val="24"/>
            <w:u w:val="none"/>
          </w:rPr>
          <w:lastRenderedPageBreak/>
          <w:t>708H&amp;sig=HgtIzyGBAel4z7M6yHjnxPafmYM#v=onepage&amp;q=Practical%20skills%20in%20forensic%20science&amp;f=true</w:t>
        </w:r>
      </w:hyperlink>
      <w:r w:rsidRPr="00B153CF">
        <w:rPr>
          <w:rFonts w:ascii="Arial" w:hAnsi="Arial" w:cs="Arial"/>
          <w:sz w:val="24"/>
          <w:szCs w:val="24"/>
        </w:rPr>
        <w:t xml:space="preserve"> (Accessed: 04/10/20).</w:t>
      </w:r>
    </w:p>
    <w:p w14:paraId="1ED3472C" w14:textId="4EAB979F" w:rsidR="008B665C" w:rsidRPr="007310D5" w:rsidRDefault="00303F19" w:rsidP="00256555">
      <w:pPr>
        <w:rPr>
          <w:rFonts w:ascii="Arial" w:hAnsi="Arial" w:cs="Arial"/>
          <w:sz w:val="24"/>
          <w:szCs w:val="24"/>
        </w:rPr>
      </w:pPr>
      <w:r w:rsidRPr="00B153CF">
        <w:rPr>
          <w:rFonts w:ascii="Arial" w:hAnsi="Arial" w:cs="Arial"/>
          <w:sz w:val="24"/>
          <w:szCs w:val="24"/>
        </w:rPr>
        <w:t xml:space="preserve">Robertson J, Roux C &amp; Wiggins K, G. (2017) </w:t>
      </w:r>
      <w:r w:rsidRPr="00B153CF">
        <w:rPr>
          <w:rFonts w:ascii="Arial" w:hAnsi="Arial" w:cs="Arial"/>
          <w:i/>
          <w:iCs/>
          <w:sz w:val="24"/>
          <w:szCs w:val="24"/>
        </w:rPr>
        <w:t>‘Forensic Examination of Fibres’</w:t>
      </w:r>
      <w:r w:rsidRPr="00B153CF">
        <w:rPr>
          <w:rFonts w:ascii="Arial" w:hAnsi="Arial" w:cs="Arial"/>
          <w:sz w:val="24"/>
          <w:szCs w:val="24"/>
        </w:rPr>
        <w:t xml:space="preserve"> 3</w:t>
      </w:r>
      <w:r w:rsidRPr="00B153CF">
        <w:rPr>
          <w:rFonts w:ascii="Arial" w:hAnsi="Arial" w:cs="Arial"/>
          <w:sz w:val="24"/>
          <w:szCs w:val="24"/>
          <w:vertAlign w:val="superscript"/>
        </w:rPr>
        <w:t>rd</w:t>
      </w:r>
      <w:r w:rsidRPr="00B153CF">
        <w:rPr>
          <w:rFonts w:ascii="Arial" w:hAnsi="Arial" w:cs="Arial"/>
          <w:sz w:val="24"/>
          <w:szCs w:val="24"/>
        </w:rPr>
        <w:t xml:space="preserve"> Ed. Florida. CRC Press. Available at: </w:t>
      </w:r>
      <w:hyperlink r:id="rId14" w:anchor="v=onepage&amp;q=examination%20of%20forensic%20evidence&amp;f=true" w:history="1">
        <w:r w:rsidRPr="00B153CF">
          <w:rPr>
            <w:rStyle w:val="Hyperlink"/>
            <w:rFonts w:ascii="Arial" w:hAnsi="Arial" w:cs="Arial"/>
            <w:color w:val="auto"/>
            <w:sz w:val="24"/>
            <w:szCs w:val="24"/>
            <w:u w:val="none"/>
          </w:rPr>
          <w:t>https://books.google.co.uk/books?hl=en&amp;lr=&amp;id=uGlQDwAAQBAJ&amp;oi=fnd&amp;pg=PP1&amp;dq=examination+of+forensic+evidence&amp;ots=enbmCmbAgG&amp;sig=v4y0dJA6HnpBDnmG8LRqKCtLzaE#v=onepage&amp;q=examination%20of%20forensic%20evidence&amp;f=true</w:t>
        </w:r>
      </w:hyperlink>
      <w:r w:rsidRPr="00B153CF">
        <w:rPr>
          <w:rFonts w:ascii="Arial" w:hAnsi="Arial" w:cs="Arial"/>
          <w:sz w:val="24"/>
          <w:szCs w:val="24"/>
        </w:rPr>
        <w:t xml:space="preserve"> (Accessed: 3/10/20).</w:t>
      </w:r>
    </w:p>
    <w:sectPr w:rsidR="008B665C" w:rsidRPr="007310D5" w:rsidSect="007310D5">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6004D72"/>
    <w:multiLevelType w:val="hybridMultilevel"/>
    <w:tmpl w:val="86389C0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 w15:restartNumberingAfterBreak="0">
    <w:nsid w:val="2D4608CA"/>
    <w:multiLevelType w:val="hybridMultilevel"/>
    <w:tmpl w:val="C4E0691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532D1"/>
    <w:rsid w:val="00000D4F"/>
    <w:rsid w:val="00000D97"/>
    <w:rsid w:val="000020C7"/>
    <w:rsid w:val="00002531"/>
    <w:rsid w:val="000047FA"/>
    <w:rsid w:val="0000678A"/>
    <w:rsid w:val="00006BA0"/>
    <w:rsid w:val="00013968"/>
    <w:rsid w:val="000175B5"/>
    <w:rsid w:val="00024C3A"/>
    <w:rsid w:val="000311EC"/>
    <w:rsid w:val="0003323F"/>
    <w:rsid w:val="00035065"/>
    <w:rsid w:val="00036831"/>
    <w:rsid w:val="00040390"/>
    <w:rsid w:val="000435F2"/>
    <w:rsid w:val="00054AEF"/>
    <w:rsid w:val="0005763B"/>
    <w:rsid w:val="0006311C"/>
    <w:rsid w:val="00064149"/>
    <w:rsid w:val="00065E7D"/>
    <w:rsid w:val="000737BA"/>
    <w:rsid w:val="00080D83"/>
    <w:rsid w:val="000851F7"/>
    <w:rsid w:val="00087E59"/>
    <w:rsid w:val="000928E3"/>
    <w:rsid w:val="00094157"/>
    <w:rsid w:val="00094F14"/>
    <w:rsid w:val="00094F47"/>
    <w:rsid w:val="000A2C54"/>
    <w:rsid w:val="000A34A0"/>
    <w:rsid w:val="000A558C"/>
    <w:rsid w:val="000B70C6"/>
    <w:rsid w:val="000B71F0"/>
    <w:rsid w:val="000C6A87"/>
    <w:rsid w:val="000D4566"/>
    <w:rsid w:val="000E0A9C"/>
    <w:rsid w:val="000E1DA5"/>
    <w:rsid w:val="000E2E7D"/>
    <w:rsid w:val="000E2EE5"/>
    <w:rsid w:val="000E6E5A"/>
    <w:rsid w:val="000E7C9F"/>
    <w:rsid w:val="000F0D26"/>
    <w:rsid w:val="000F313E"/>
    <w:rsid w:val="000F6191"/>
    <w:rsid w:val="00101342"/>
    <w:rsid w:val="00101BE1"/>
    <w:rsid w:val="00114BF7"/>
    <w:rsid w:val="00116593"/>
    <w:rsid w:val="00121D88"/>
    <w:rsid w:val="00124615"/>
    <w:rsid w:val="00130970"/>
    <w:rsid w:val="00130E13"/>
    <w:rsid w:val="00131888"/>
    <w:rsid w:val="001347C8"/>
    <w:rsid w:val="00137BDF"/>
    <w:rsid w:val="001418F6"/>
    <w:rsid w:val="001430DB"/>
    <w:rsid w:val="00152D63"/>
    <w:rsid w:val="001532D1"/>
    <w:rsid w:val="00155958"/>
    <w:rsid w:val="0015673D"/>
    <w:rsid w:val="0016228C"/>
    <w:rsid w:val="001657B4"/>
    <w:rsid w:val="00166CFF"/>
    <w:rsid w:val="001703B3"/>
    <w:rsid w:val="00180036"/>
    <w:rsid w:val="0019063B"/>
    <w:rsid w:val="001919CF"/>
    <w:rsid w:val="001975C3"/>
    <w:rsid w:val="001A2E1D"/>
    <w:rsid w:val="001A35A4"/>
    <w:rsid w:val="001A71CB"/>
    <w:rsid w:val="001B41C7"/>
    <w:rsid w:val="001B58D3"/>
    <w:rsid w:val="001B6734"/>
    <w:rsid w:val="001C3384"/>
    <w:rsid w:val="001C513B"/>
    <w:rsid w:val="001C63FF"/>
    <w:rsid w:val="001C662A"/>
    <w:rsid w:val="001C7614"/>
    <w:rsid w:val="001D0F3F"/>
    <w:rsid w:val="001E3180"/>
    <w:rsid w:val="001E7FB0"/>
    <w:rsid w:val="001F0ED4"/>
    <w:rsid w:val="001F3ECE"/>
    <w:rsid w:val="001F5677"/>
    <w:rsid w:val="001F6E9B"/>
    <w:rsid w:val="002019CF"/>
    <w:rsid w:val="00201D61"/>
    <w:rsid w:val="00203634"/>
    <w:rsid w:val="002037A7"/>
    <w:rsid w:val="00213281"/>
    <w:rsid w:val="002263BC"/>
    <w:rsid w:val="00227AD1"/>
    <w:rsid w:val="00244937"/>
    <w:rsid w:val="00246BA1"/>
    <w:rsid w:val="002479AB"/>
    <w:rsid w:val="00250CDF"/>
    <w:rsid w:val="002510C2"/>
    <w:rsid w:val="002562F7"/>
    <w:rsid w:val="00256555"/>
    <w:rsid w:val="00261F55"/>
    <w:rsid w:val="00263E4C"/>
    <w:rsid w:val="00267C18"/>
    <w:rsid w:val="00271483"/>
    <w:rsid w:val="00274191"/>
    <w:rsid w:val="00281D12"/>
    <w:rsid w:val="00296870"/>
    <w:rsid w:val="002B2134"/>
    <w:rsid w:val="002B6FE0"/>
    <w:rsid w:val="002C00D0"/>
    <w:rsid w:val="002C069E"/>
    <w:rsid w:val="002C231E"/>
    <w:rsid w:val="002D2C14"/>
    <w:rsid w:val="002D5A54"/>
    <w:rsid w:val="002E1A84"/>
    <w:rsid w:val="002F1184"/>
    <w:rsid w:val="0030082F"/>
    <w:rsid w:val="00301892"/>
    <w:rsid w:val="003028F2"/>
    <w:rsid w:val="00303F19"/>
    <w:rsid w:val="003048E5"/>
    <w:rsid w:val="00304D22"/>
    <w:rsid w:val="00312514"/>
    <w:rsid w:val="0031356D"/>
    <w:rsid w:val="00314A6C"/>
    <w:rsid w:val="00324009"/>
    <w:rsid w:val="003275CC"/>
    <w:rsid w:val="00327C39"/>
    <w:rsid w:val="0033176E"/>
    <w:rsid w:val="00340F3D"/>
    <w:rsid w:val="0034460F"/>
    <w:rsid w:val="00351FDF"/>
    <w:rsid w:val="00356B30"/>
    <w:rsid w:val="003666F8"/>
    <w:rsid w:val="00371E9E"/>
    <w:rsid w:val="00377DB9"/>
    <w:rsid w:val="003912EE"/>
    <w:rsid w:val="003916E6"/>
    <w:rsid w:val="00391D95"/>
    <w:rsid w:val="003A6433"/>
    <w:rsid w:val="003B21BE"/>
    <w:rsid w:val="003B2BB1"/>
    <w:rsid w:val="003B2C5C"/>
    <w:rsid w:val="003B655D"/>
    <w:rsid w:val="003C3FD1"/>
    <w:rsid w:val="003C62F4"/>
    <w:rsid w:val="003D1BE8"/>
    <w:rsid w:val="003D695C"/>
    <w:rsid w:val="003D7095"/>
    <w:rsid w:val="003F6936"/>
    <w:rsid w:val="00402BD5"/>
    <w:rsid w:val="004035E8"/>
    <w:rsid w:val="0041618A"/>
    <w:rsid w:val="00425E57"/>
    <w:rsid w:val="004270C9"/>
    <w:rsid w:val="0043012A"/>
    <w:rsid w:val="00434B7F"/>
    <w:rsid w:val="00434D3A"/>
    <w:rsid w:val="0044305B"/>
    <w:rsid w:val="00447A49"/>
    <w:rsid w:val="0046046F"/>
    <w:rsid w:val="00471104"/>
    <w:rsid w:val="00472F24"/>
    <w:rsid w:val="00476E04"/>
    <w:rsid w:val="004825FE"/>
    <w:rsid w:val="00487C04"/>
    <w:rsid w:val="00490FA3"/>
    <w:rsid w:val="00497B19"/>
    <w:rsid w:val="004B0B52"/>
    <w:rsid w:val="004B16C4"/>
    <w:rsid w:val="004B46F2"/>
    <w:rsid w:val="004C237C"/>
    <w:rsid w:val="004C5FD4"/>
    <w:rsid w:val="004D66FE"/>
    <w:rsid w:val="004E24C6"/>
    <w:rsid w:val="004E2BCA"/>
    <w:rsid w:val="004E2E2A"/>
    <w:rsid w:val="004E50FF"/>
    <w:rsid w:val="004E688F"/>
    <w:rsid w:val="004E6E16"/>
    <w:rsid w:val="004E71DD"/>
    <w:rsid w:val="004F3808"/>
    <w:rsid w:val="004F7F9C"/>
    <w:rsid w:val="005030E6"/>
    <w:rsid w:val="0050597C"/>
    <w:rsid w:val="00505B29"/>
    <w:rsid w:val="005073F7"/>
    <w:rsid w:val="00507D03"/>
    <w:rsid w:val="0051083E"/>
    <w:rsid w:val="00513B97"/>
    <w:rsid w:val="00517EB5"/>
    <w:rsid w:val="005206CC"/>
    <w:rsid w:val="00525248"/>
    <w:rsid w:val="00530E91"/>
    <w:rsid w:val="005352E4"/>
    <w:rsid w:val="005563D8"/>
    <w:rsid w:val="00561C80"/>
    <w:rsid w:val="00563D56"/>
    <w:rsid w:val="00566D56"/>
    <w:rsid w:val="0057623F"/>
    <w:rsid w:val="00576AEA"/>
    <w:rsid w:val="00587941"/>
    <w:rsid w:val="005919B2"/>
    <w:rsid w:val="005945F3"/>
    <w:rsid w:val="005A0EF3"/>
    <w:rsid w:val="005A211C"/>
    <w:rsid w:val="005B711F"/>
    <w:rsid w:val="005C3482"/>
    <w:rsid w:val="005D64E5"/>
    <w:rsid w:val="005E25C4"/>
    <w:rsid w:val="005E3757"/>
    <w:rsid w:val="005F0440"/>
    <w:rsid w:val="005F3251"/>
    <w:rsid w:val="005F42A0"/>
    <w:rsid w:val="00600668"/>
    <w:rsid w:val="00601008"/>
    <w:rsid w:val="006023C6"/>
    <w:rsid w:val="00603224"/>
    <w:rsid w:val="0060720A"/>
    <w:rsid w:val="00616463"/>
    <w:rsid w:val="00616DAA"/>
    <w:rsid w:val="00622485"/>
    <w:rsid w:val="00623F6E"/>
    <w:rsid w:val="00630CC2"/>
    <w:rsid w:val="006319A1"/>
    <w:rsid w:val="00632662"/>
    <w:rsid w:val="006332C7"/>
    <w:rsid w:val="00634478"/>
    <w:rsid w:val="00634CA7"/>
    <w:rsid w:val="00637444"/>
    <w:rsid w:val="00647BAB"/>
    <w:rsid w:val="00650A94"/>
    <w:rsid w:val="006516E0"/>
    <w:rsid w:val="006527D2"/>
    <w:rsid w:val="00652B5C"/>
    <w:rsid w:val="006544A9"/>
    <w:rsid w:val="006546ED"/>
    <w:rsid w:val="006557AA"/>
    <w:rsid w:val="00656F9B"/>
    <w:rsid w:val="00660DED"/>
    <w:rsid w:val="006660F6"/>
    <w:rsid w:val="00671400"/>
    <w:rsid w:val="00674477"/>
    <w:rsid w:val="0069149F"/>
    <w:rsid w:val="00691834"/>
    <w:rsid w:val="00696941"/>
    <w:rsid w:val="00696AFF"/>
    <w:rsid w:val="006A1466"/>
    <w:rsid w:val="006A50B6"/>
    <w:rsid w:val="006B4770"/>
    <w:rsid w:val="006C480F"/>
    <w:rsid w:val="006C4F16"/>
    <w:rsid w:val="006C77F8"/>
    <w:rsid w:val="006D02A2"/>
    <w:rsid w:val="006D0DF2"/>
    <w:rsid w:val="006D121B"/>
    <w:rsid w:val="006D25BC"/>
    <w:rsid w:val="006D268E"/>
    <w:rsid w:val="006D3010"/>
    <w:rsid w:val="006D6AB7"/>
    <w:rsid w:val="006F2054"/>
    <w:rsid w:val="006F76E7"/>
    <w:rsid w:val="0070368E"/>
    <w:rsid w:val="00707B5D"/>
    <w:rsid w:val="00711DFA"/>
    <w:rsid w:val="00712ED4"/>
    <w:rsid w:val="00714AAA"/>
    <w:rsid w:val="007178C6"/>
    <w:rsid w:val="00717C49"/>
    <w:rsid w:val="00723543"/>
    <w:rsid w:val="00723B38"/>
    <w:rsid w:val="00723C21"/>
    <w:rsid w:val="00727A9D"/>
    <w:rsid w:val="007310D5"/>
    <w:rsid w:val="00731AED"/>
    <w:rsid w:val="007400DA"/>
    <w:rsid w:val="007507DF"/>
    <w:rsid w:val="00754C16"/>
    <w:rsid w:val="0075589D"/>
    <w:rsid w:val="00756E33"/>
    <w:rsid w:val="00757058"/>
    <w:rsid w:val="0076132D"/>
    <w:rsid w:val="00766AA5"/>
    <w:rsid w:val="00770592"/>
    <w:rsid w:val="007731C9"/>
    <w:rsid w:val="0077428A"/>
    <w:rsid w:val="007756CE"/>
    <w:rsid w:val="00777FD5"/>
    <w:rsid w:val="0078454D"/>
    <w:rsid w:val="00792BF1"/>
    <w:rsid w:val="00794FF4"/>
    <w:rsid w:val="007A00CE"/>
    <w:rsid w:val="007A2356"/>
    <w:rsid w:val="007A34DE"/>
    <w:rsid w:val="007A70C4"/>
    <w:rsid w:val="007A78E1"/>
    <w:rsid w:val="007B29A1"/>
    <w:rsid w:val="007B4004"/>
    <w:rsid w:val="007B6879"/>
    <w:rsid w:val="007B7DEC"/>
    <w:rsid w:val="007C154B"/>
    <w:rsid w:val="007C17F5"/>
    <w:rsid w:val="007C4455"/>
    <w:rsid w:val="007C786B"/>
    <w:rsid w:val="007D08C2"/>
    <w:rsid w:val="007D20A3"/>
    <w:rsid w:val="007D4039"/>
    <w:rsid w:val="007D4083"/>
    <w:rsid w:val="007D45C8"/>
    <w:rsid w:val="007E0021"/>
    <w:rsid w:val="007E0A50"/>
    <w:rsid w:val="007E1C5F"/>
    <w:rsid w:val="007E36D1"/>
    <w:rsid w:val="007E371D"/>
    <w:rsid w:val="00804E75"/>
    <w:rsid w:val="008104D8"/>
    <w:rsid w:val="00813EF5"/>
    <w:rsid w:val="00814CAA"/>
    <w:rsid w:val="008205BA"/>
    <w:rsid w:val="0082278A"/>
    <w:rsid w:val="00826B9D"/>
    <w:rsid w:val="008369A4"/>
    <w:rsid w:val="00836ACD"/>
    <w:rsid w:val="00842CD0"/>
    <w:rsid w:val="00843783"/>
    <w:rsid w:val="00852A7F"/>
    <w:rsid w:val="008537DC"/>
    <w:rsid w:val="00857666"/>
    <w:rsid w:val="008625D4"/>
    <w:rsid w:val="00863AE5"/>
    <w:rsid w:val="00864323"/>
    <w:rsid w:val="008646E6"/>
    <w:rsid w:val="00886A25"/>
    <w:rsid w:val="008900D6"/>
    <w:rsid w:val="008911A2"/>
    <w:rsid w:val="00894352"/>
    <w:rsid w:val="008A0EE3"/>
    <w:rsid w:val="008A3850"/>
    <w:rsid w:val="008A4AAC"/>
    <w:rsid w:val="008A57EC"/>
    <w:rsid w:val="008B119A"/>
    <w:rsid w:val="008B6474"/>
    <w:rsid w:val="008B665C"/>
    <w:rsid w:val="008B6DCE"/>
    <w:rsid w:val="008D3169"/>
    <w:rsid w:val="008D5A6B"/>
    <w:rsid w:val="008D7C57"/>
    <w:rsid w:val="008E536D"/>
    <w:rsid w:val="008F4793"/>
    <w:rsid w:val="008F719C"/>
    <w:rsid w:val="008F75C8"/>
    <w:rsid w:val="0090432C"/>
    <w:rsid w:val="00904482"/>
    <w:rsid w:val="0090568A"/>
    <w:rsid w:val="0090652B"/>
    <w:rsid w:val="00923687"/>
    <w:rsid w:val="00930686"/>
    <w:rsid w:val="00933628"/>
    <w:rsid w:val="00933EBD"/>
    <w:rsid w:val="009358EA"/>
    <w:rsid w:val="00935CEF"/>
    <w:rsid w:val="00941FC5"/>
    <w:rsid w:val="00973CF5"/>
    <w:rsid w:val="00974B1C"/>
    <w:rsid w:val="009761B1"/>
    <w:rsid w:val="009813FF"/>
    <w:rsid w:val="00981B9D"/>
    <w:rsid w:val="009827C6"/>
    <w:rsid w:val="00996A12"/>
    <w:rsid w:val="009A6A28"/>
    <w:rsid w:val="009B11CB"/>
    <w:rsid w:val="009B5110"/>
    <w:rsid w:val="009B7251"/>
    <w:rsid w:val="009C11E2"/>
    <w:rsid w:val="009C3BF4"/>
    <w:rsid w:val="009C6BDA"/>
    <w:rsid w:val="009D0DD1"/>
    <w:rsid w:val="009D3D01"/>
    <w:rsid w:val="009D5AAB"/>
    <w:rsid w:val="009D625D"/>
    <w:rsid w:val="009F12B5"/>
    <w:rsid w:val="009F1CAB"/>
    <w:rsid w:val="009F388A"/>
    <w:rsid w:val="009F528C"/>
    <w:rsid w:val="009F5292"/>
    <w:rsid w:val="00A00A43"/>
    <w:rsid w:val="00A04390"/>
    <w:rsid w:val="00A06E63"/>
    <w:rsid w:val="00A0779E"/>
    <w:rsid w:val="00A12162"/>
    <w:rsid w:val="00A240CD"/>
    <w:rsid w:val="00A242D7"/>
    <w:rsid w:val="00A34359"/>
    <w:rsid w:val="00A37B2E"/>
    <w:rsid w:val="00A430F0"/>
    <w:rsid w:val="00A50E13"/>
    <w:rsid w:val="00A57440"/>
    <w:rsid w:val="00A63AF6"/>
    <w:rsid w:val="00A6537D"/>
    <w:rsid w:val="00A66706"/>
    <w:rsid w:val="00A7032D"/>
    <w:rsid w:val="00A77089"/>
    <w:rsid w:val="00A87550"/>
    <w:rsid w:val="00AA079B"/>
    <w:rsid w:val="00AA4F50"/>
    <w:rsid w:val="00AA5A37"/>
    <w:rsid w:val="00AA7EDA"/>
    <w:rsid w:val="00AB1FEB"/>
    <w:rsid w:val="00AB2818"/>
    <w:rsid w:val="00AB2A45"/>
    <w:rsid w:val="00AB4616"/>
    <w:rsid w:val="00AB7E8F"/>
    <w:rsid w:val="00AC062C"/>
    <w:rsid w:val="00AC4135"/>
    <w:rsid w:val="00AC720B"/>
    <w:rsid w:val="00AD3389"/>
    <w:rsid w:val="00AD50FC"/>
    <w:rsid w:val="00AD730D"/>
    <w:rsid w:val="00AE10DD"/>
    <w:rsid w:val="00AE4F07"/>
    <w:rsid w:val="00AF25EF"/>
    <w:rsid w:val="00AF4BAE"/>
    <w:rsid w:val="00B07130"/>
    <w:rsid w:val="00B07BCA"/>
    <w:rsid w:val="00B14062"/>
    <w:rsid w:val="00B1694E"/>
    <w:rsid w:val="00B1773C"/>
    <w:rsid w:val="00B206DF"/>
    <w:rsid w:val="00B31127"/>
    <w:rsid w:val="00B320B8"/>
    <w:rsid w:val="00B3216D"/>
    <w:rsid w:val="00B33F10"/>
    <w:rsid w:val="00B342E2"/>
    <w:rsid w:val="00B40E26"/>
    <w:rsid w:val="00B46EF2"/>
    <w:rsid w:val="00B47C91"/>
    <w:rsid w:val="00B50045"/>
    <w:rsid w:val="00B5340F"/>
    <w:rsid w:val="00B53857"/>
    <w:rsid w:val="00B64F16"/>
    <w:rsid w:val="00B73ADC"/>
    <w:rsid w:val="00B766F4"/>
    <w:rsid w:val="00B77AD4"/>
    <w:rsid w:val="00B82AA0"/>
    <w:rsid w:val="00B830F7"/>
    <w:rsid w:val="00B94E42"/>
    <w:rsid w:val="00B95D60"/>
    <w:rsid w:val="00B9774B"/>
    <w:rsid w:val="00BA5BDF"/>
    <w:rsid w:val="00BA7028"/>
    <w:rsid w:val="00BB1D29"/>
    <w:rsid w:val="00BB57F7"/>
    <w:rsid w:val="00BD3722"/>
    <w:rsid w:val="00BD54A9"/>
    <w:rsid w:val="00BE1E4D"/>
    <w:rsid w:val="00BE4777"/>
    <w:rsid w:val="00BE60DD"/>
    <w:rsid w:val="00BF73C9"/>
    <w:rsid w:val="00C00C9E"/>
    <w:rsid w:val="00C02F2C"/>
    <w:rsid w:val="00C03B9B"/>
    <w:rsid w:val="00C10C7A"/>
    <w:rsid w:val="00C21E37"/>
    <w:rsid w:val="00C25924"/>
    <w:rsid w:val="00C26291"/>
    <w:rsid w:val="00C3387B"/>
    <w:rsid w:val="00C36D87"/>
    <w:rsid w:val="00C439BA"/>
    <w:rsid w:val="00C451C6"/>
    <w:rsid w:val="00C47201"/>
    <w:rsid w:val="00C538C9"/>
    <w:rsid w:val="00C54B89"/>
    <w:rsid w:val="00C628F5"/>
    <w:rsid w:val="00C62996"/>
    <w:rsid w:val="00C65F39"/>
    <w:rsid w:val="00C70884"/>
    <w:rsid w:val="00C71257"/>
    <w:rsid w:val="00C7316D"/>
    <w:rsid w:val="00C811CD"/>
    <w:rsid w:val="00C8722B"/>
    <w:rsid w:val="00CA084D"/>
    <w:rsid w:val="00CA2EDE"/>
    <w:rsid w:val="00CA3E95"/>
    <w:rsid w:val="00CB1009"/>
    <w:rsid w:val="00CB4D62"/>
    <w:rsid w:val="00CC098C"/>
    <w:rsid w:val="00CC4432"/>
    <w:rsid w:val="00CD23EF"/>
    <w:rsid w:val="00CD3AC9"/>
    <w:rsid w:val="00CD54DF"/>
    <w:rsid w:val="00CE7D1E"/>
    <w:rsid w:val="00CF52A0"/>
    <w:rsid w:val="00D01B80"/>
    <w:rsid w:val="00D06B7D"/>
    <w:rsid w:val="00D12D58"/>
    <w:rsid w:val="00D147AE"/>
    <w:rsid w:val="00D14BAD"/>
    <w:rsid w:val="00D20D4A"/>
    <w:rsid w:val="00D21BB9"/>
    <w:rsid w:val="00D21D78"/>
    <w:rsid w:val="00D236CA"/>
    <w:rsid w:val="00D23FE7"/>
    <w:rsid w:val="00D24A34"/>
    <w:rsid w:val="00D2619F"/>
    <w:rsid w:val="00D32CDF"/>
    <w:rsid w:val="00D3746D"/>
    <w:rsid w:val="00D40FAA"/>
    <w:rsid w:val="00D43676"/>
    <w:rsid w:val="00D43C69"/>
    <w:rsid w:val="00D446E2"/>
    <w:rsid w:val="00D4501A"/>
    <w:rsid w:val="00D6310F"/>
    <w:rsid w:val="00D7493C"/>
    <w:rsid w:val="00D7529E"/>
    <w:rsid w:val="00D7552A"/>
    <w:rsid w:val="00D8480A"/>
    <w:rsid w:val="00D863C9"/>
    <w:rsid w:val="00D87973"/>
    <w:rsid w:val="00D90458"/>
    <w:rsid w:val="00D95405"/>
    <w:rsid w:val="00DA07AD"/>
    <w:rsid w:val="00DA1662"/>
    <w:rsid w:val="00DA1A34"/>
    <w:rsid w:val="00DA52F0"/>
    <w:rsid w:val="00DA5E18"/>
    <w:rsid w:val="00DA7666"/>
    <w:rsid w:val="00DB77DF"/>
    <w:rsid w:val="00DC30C2"/>
    <w:rsid w:val="00DC341B"/>
    <w:rsid w:val="00DE30F9"/>
    <w:rsid w:val="00DE405D"/>
    <w:rsid w:val="00DE71C6"/>
    <w:rsid w:val="00DF70A1"/>
    <w:rsid w:val="00E034F0"/>
    <w:rsid w:val="00E05698"/>
    <w:rsid w:val="00E11CDD"/>
    <w:rsid w:val="00E13CBE"/>
    <w:rsid w:val="00E16075"/>
    <w:rsid w:val="00E16093"/>
    <w:rsid w:val="00E25CDB"/>
    <w:rsid w:val="00E31FE5"/>
    <w:rsid w:val="00E35C7F"/>
    <w:rsid w:val="00E441B2"/>
    <w:rsid w:val="00E51337"/>
    <w:rsid w:val="00E51F1A"/>
    <w:rsid w:val="00E54DB7"/>
    <w:rsid w:val="00E60E36"/>
    <w:rsid w:val="00E6107A"/>
    <w:rsid w:val="00E6144B"/>
    <w:rsid w:val="00E6197C"/>
    <w:rsid w:val="00E62052"/>
    <w:rsid w:val="00E70C2A"/>
    <w:rsid w:val="00E77562"/>
    <w:rsid w:val="00E77B90"/>
    <w:rsid w:val="00E8426A"/>
    <w:rsid w:val="00E84B0E"/>
    <w:rsid w:val="00E87511"/>
    <w:rsid w:val="00E951DE"/>
    <w:rsid w:val="00E97BAE"/>
    <w:rsid w:val="00EA0DDD"/>
    <w:rsid w:val="00EA14B0"/>
    <w:rsid w:val="00EA70D6"/>
    <w:rsid w:val="00EB3968"/>
    <w:rsid w:val="00EC3A81"/>
    <w:rsid w:val="00EC54EA"/>
    <w:rsid w:val="00ED654F"/>
    <w:rsid w:val="00ED673B"/>
    <w:rsid w:val="00EE43DF"/>
    <w:rsid w:val="00EF071D"/>
    <w:rsid w:val="00EF1287"/>
    <w:rsid w:val="00EF2B02"/>
    <w:rsid w:val="00EF30DB"/>
    <w:rsid w:val="00EF342D"/>
    <w:rsid w:val="00F0051B"/>
    <w:rsid w:val="00F06848"/>
    <w:rsid w:val="00F1059E"/>
    <w:rsid w:val="00F11746"/>
    <w:rsid w:val="00F11A62"/>
    <w:rsid w:val="00F13D96"/>
    <w:rsid w:val="00F15B58"/>
    <w:rsid w:val="00F216D0"/>
    <w:rsid w:val="00F21FD1"/>
    <w:rsid w:val="00F33345"/>
    <w:rsid w:val="00F4335E"/>
    <w:rsid w:val="00F451E5"/>
    <w:rsid w:val="00F46A9A"/>
    <w:rsid w:val="00F46AD6"/>
    <w:rsid w:val="00F50C45"/>
    <w:rsid w:val="00F51B66"/>
    <w:rsid w:val="00F56914"/>
    <w:rsid w:val="00F62E39"/>
    <w:rsid w:val="00F67CB4"/>
    <w:rsid w:val="00F76DEA"/>
    <w:rsid w:val="00F82CD4"/>
    <w:rsid w:val="00F82FB2"/>
    <w:rsid w:val="00F84584"/>
    <w:rsid w:val="00F87B2C"/>
    <w:rsid w:val="00F87FD2"/>
    <w:rsid w:val="00F95C1E"/>
    <w:rsid w:val="00F97B99"/>
    <w:rsid w:val="00FA7D3C"/>
    <w:rsid w:val="00FB1A93"/>
    <w:rsid w:val="00FB2C85"/>
    <w:rsid w:val="00FC34A6"/>
    <w:rsid w:val="00FC7474"/>
    <w:rsid w:val="00FD2156"/>
    <w:rsid w:val="00FD660B"/>
    <w:rsid w:val="00FE4BAA"/>
    <w:rsid w:val="00FF02A7"/>
    <w:rsid w:val="00FF53F8"/>
    <w:rsid w:val="00FF608D"/>
    <w:rsid w:val="00FF752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115547"/>
  <w15:chartTrackingRefBased/>
  <w15:docId w15:val="{57A9C6E2-9351-494D-8427-DABF5E30D0F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310D5"/>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310D5"/>
    <w:rPr>
      <w:rFonts w:eastAsiaTheme="minorEastAsia"/>
      <w:lang w:val="en-US"/>
    </w:rPr>
  </w:style>
  <w:style w:type="paragraph" w:styleId="ListParagraph">
    <w:name w:val="List Paragraph"/>
    <w:basedOn w:val="Normal"/>
    <w:uiPriority w:val="34"/>
    <w:qFormat/>
    <w:rsid w:val="00EA0DDD"/>
    <w:pPr>
      <w:spacing w:line="256" w:lineRule="auto"/>
      <w:ind w:left="720"/>
      <w:contextualSpacing/>
    </w:pPr>
  </w:style>
  <w:style w:type="character" w:styleId="Hyperlink">
    <w:name w:val="Hyperlink"/>
    <w:basedOn w:val="DefaultParagraphFont"/>
    <w:uiPriority w:val="99"/>
    <w:unhideWhenUsed/>
    <w:rsid w:val="00303F19"/>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73737999">
      <w:bodyDiv w:val="1"/>
      <w:marLeft w:val="0"/>
      <w:marRight w:val="0"/>
      <w:marTop w:val="0"/>
      <w:marBottom w:val="0"/>
      <w:divBdr>
        <w:top w:val="none" w:sz="0" w:space="0" w:color="auto"/>
        <w:left w:val="none" w:sz="0" w:space="0" w:color="auto"/>
        <w:bottom w:val="none" w:sz="0" w:space="0" w:color="auto"/>
        <w:right w:val="none" w:sz="0" w:space="0" w:color="auto"/>
      </w:divBdr>
    </w:div>
    <w:div w:id="393892198">
      <w:bodyDiv w:val="1"/>
      <w:marLeft w:val="0"/>
      <w:marRight w:val="0"/>
      <w:marTop w:val="0"/>
      <w:marBottom w:val="0"/>
      <w:divBdr>
        <w:top w:val="none" w:sz="0" w:space="0" w:color="auto"/>
        <w:left w:val="none" w:sz="0" w:space="0" w:color="auto"/>
        <w:bottom w:val="none" w:sz="0" w:space="0" w:color="auto"/>
        <w:right w:val="none" w:sz="0" w:space="0" w:color="auto"/>
      </w:divBdr>
    </w:div>
    <w:div w:id="415979261">
      <w:bodyDiv w:val="1"/>
      <w:marLeft w:val="0"/>
      <w:marRight w:val="0"/>
      <w:marTop w:val="0"/>
      <w:marBottom w:val="0"/>
      <w:divBdr>
        <w:top w:val="none" w:sz="0" w:space="0" w:color="auto"/>
        <w:left w:val="none" w:sz="0" w:space="0" w:color="auto"/>
        <w:bottom w:val="none" w:sz="0" w:space="0" w:color="auto"/>
        <w:right w:val="none" w:sz="0" w:space="0" w:color="auto"/>
      </w:divBdr>
    </w:div>
    <w:div w:id="449126989">
      <w:bodyDiv w:val="1"/>
      <w:marLeft w:val="0"/>
      <w:marRight w:val="0"/>
      <w:marTop w:val="0"/>
      <w:marBottom w:val="0"/>
      <w:divBdr>
        <w:top w:val="none" w:sz="0" w:space="0" w:color="auto"/>
        <w:left w:val="none" w:sz="0" w:space="0" w:color="auto"/>
        <w:bottom w:val="none" w:sz="0" w:space="0" w:color="auto"/>
        <w:right w:val="none" w:sz="0" w:space="0" w:color="auto"/>
      </w:divBdr>
    </w:div>
    <w:div w:id="604651659">
      <w:bodyDiv w:val="1"/>
      <w:marLeft w:val="0"/>
      <w:marRight w:val="0"/>
      <w:marTop w:val="0"/>
      <w:marBottom w:val="0"/>
      <w:divBdr>
        <w:top w:val="none" w:sz="0" w:space="0" w:color="auto"/>
        <w:left w:val="none" w:sz="0" w:space="0" w:color="auto"/>
        <w:bottom w:val="none" w:sz="0" w:space="0" w:color="auto"/>
        <w:right w:val="none" w:sz="0" w:space="0" w:color="auto"/>
      </w:divBdr>
    </w:div>
    <w:div w:id="786192435">
      <w:bodyDiv w:val="1"/>
      <w:marLeft w:val="0"/>
      <w:marRight w:val="0"/>
      <w:marTop w:val="0"/>
      <w:marBottom w:val="0"/>
      <w:divBdr>
        <w:top w:val="none" w:sz="0" w:space="0" w:color="auto"/>
        <w:left w:val="none" w:sz="0" w:space="0" w:color="auto"/>
        <w:bottom w:val="none" w:sz="0" w:space="0" w:color="auto"/>
        <w:right w:val="none" w:sz="0" w:space="0" w:color="auto"/>
      </w:divBdr>
    </w:div>
    <w:div w:id="1061633810">
      <w:bodyDiv w:val="1"/>
      <w:marLeft w:val="0"/>
      <w:marRight w:val="0"/>
      <w:marTop w:val="0"/>
      <w:marBottom w:val="0"/>
      <w:divBdr>
        <w:top w:val="none" w:sz="0" w:space="0" w:color="auto"/>
        <w:left w:val="none" w:sz="0" w:space="0" w:color="auto"/>
        <w:bottom w:val="none" w:sz="0" w:space="0" w:color="auto"/>
        <w:right w:val="none" w:sz="0" w:space="0" w:color="auto"/>
      </w:divBdr>
    </w:div>
    <w:div w:id="1181041231">
      <w:bodyDiv w:val="1"/>
      <w:marLeft w:val="0"/>
      <w:marRight w:val="0"/>
      <w:marTop w:val="0"/>
      <w:marBottom w:val="0"/>
      <w:divBdr>
        <w:top w:val="none" w:sz="0" w:space="0" w:color="auto"/>
        <w:left w:val="none" w:sz="0" w:space="0" w:color="auto"/>
        <w:bottom w:val="none" w:sz="0" w:space="0" w:color="auto"/>
        <w:right w:val="none" w:sz="0" w:space="0" w:color="auto"/>
      </w:divBdr>
    </w:div>
    <w:div w:id="1297182518">
      <w:bodyDiv w:val="1"/>
      <w:marLeft w:val="0"/>
      <w:marRight w:val="0"/>
      <w:marTop w:val="0"/>
      <w:marBottom w:val="0"/>
      <w:divBdr>
        <w:top w:val="none" w:sz="0" w:space="0" w:color="auto"/>
        <w:left w:val="none" w:sz="0" w:space="0" w:color="auto"/>
        <w:bottom w:val="none" w:sz="0" w:space="0" w:color="auto"/>
        <w:right w:val="none" w:sz="0" w:space="0" w:color="auto"/>
      </w:divBdr>
    </w:div>
    <w:div w:id="1383671298">
      <w:bodyDiv w:val="1"/>
      <w:marLeft w:val="0"/>
      <w:marRight w:val="0"/>
      <w:marTop w:val="0"/>
      <w:marBottom w:val="0"/>
      <w:divBdr>
        <w:top w:val="none" w:sz="0" w:space="0" w:color="auto"/>
        <w:left w:val="none" w:sz="0" w:space="0" w:color="auto"/>
        <w:bottom w:val="none" w:sz="0" w:space="0" w:color="auto"/>
        <w:right w:val="none" w:sz="0" w:space="0" w:color="auto"/>
      </w:divBdr>
    </w:div>
    <w:div w:id="1420757442">
      <w:bodyDiv w:val="1"/>
      <w:marLeft w:val="0"/>
      <w:marRight w:val="0"/>
      <w:marTop w:val="0"/>
      <w:marBottom w:val="0"/>
      <w:divBdr>
        <w:top w:val="none" w:sz="0" w:space="0" w:color="auto"/>
        <w:left w:val="none" w:sz="0" w:space="0" w:color="auto"/>
        <w:bottom w:val="none" w:sz="0" w:space="0" w:color="auto"/>
        <w:right w:val="none" w:sz="0" w:space="0" w:color="auto"/>
      </w:divBdr>
    </w:div>
    <w:div w:id="1540780699">
      <w:bodyDiv w:val="1"/>
      <w:marLeft w:val="0"/>
      <w:marRight w:val="0"/>
      <w:marTop w:val="0"/>
      <w:marBottom w:val="0"/>
      <w:divBdr>
        <w:top w:val="none" w:sz="0" w:space="0" w:color="auto"/>
        <w:left w:val="none" w:sz="0" w:space="0" w:color="auto"/>
        <w:bottom w:val="none" w:sz="0" w:space="0" w:color="auto"/>
        <w:right w:val="none" w:sz="0" w:space="0" w:color="auto"/>
      </w:divBdr>
    </w:div>
    <w:div w:id="1574317375">
      <w:bodyDiv w:val="1"/>
      <w:marLeft w:val="0"/>
      <w:marRight w:val="0"/>
      <w:marTop w:val="0"/>
      <w:marBottom w:val="0"/>
      <w:divBdr>
        <w:top w:val="none" w:sz="0" w:space="0" w:color="auto"/>
        <w:left w:val="none" w:sz="0" w:space="0" w:color="auto"/>
        <w:bottom w:val="none" w:sz="0" w:space="0" w:color="auto"/>
        <w:right w:val="none" w:sz="0" w:space="0" w:color="auto"/>
      </w:divBdr>
    </w:div>
    <w:div w:id="1622572330">
      <w:bodyDiv w:val="1"/>
      <w:marLeft w:val="0"/>
      <w:marRight w:val="0"/>
      <w:marTop w:val="0"/>
      <w:marBottom w:val="0"/>
      <w:divBdr>
        <w:top w:val="none" w:sz="0" w:space="0" w:color="auto"/>
        <w:left w:val="none" w:sz="0" w:space="0" w:color="auto"/>
        <w:bottom w:val="none" w:sz="0" w:space="0" w:color="auto"/>
        <w:right w:val="none" w:sz="0" w:space="0" w:color="auto"/>
      </w:divBdr>
    </w:div>
    <w:div w:id="1627353949">
      <w:bodyDiv w:val="1"/>
      <w:marLeft w:val="0"/>
      <w:marRight w:val="0"/>
      <w:marTop w:val="0"/>
      <w:marBottom w:val="0"/>
      <w:divBdr>
        <w:top w:val="none" w:sz="0" w:space="0" w:color="auto"/>
        <w:left w:val="none" w:sz="0" w:space="0" w:color="auto"/>
        <w:bottom w:val="none" w:sz="0" w:space="0" w:color="auto"/>
        <w:right w:val="none" w:sz="0" w:space="0" w:color="auto"/>
      </w:divBdr>
    </w:div>
    <w:div w:id="1627391600">
      <w:bodyDiv w:val="1"/>
      <w:marLeft w:val="0"/>
      <w:marRight w:val="0"/>
      <w:marTop w:val="0"/>
      <w:marBottom w:val="0"/>
      <w:divBdr>
        <w:top w:val="none" w:sz="0" w:space="0" w:color="auto"/>
        <w:left w:val="none" w:sz="0" w:space="0" w:color="auto"/>
        <w:bottom w:val="none" w:sz="0" w:space="0" w:color="auto"/>
        <w:right w:val="none" w:sz="0" w:space="0" w:color="auto"/>
      </w:divBdr>
    </w:div>
    <w:div w:id="1841001754">
      <w:bodyDiv w:val="1"/>
      <w:marLeft w:val="0"/>
      <w:marRight w:val="0"/>
      <w:marTop w:val="0"/>
      <w:marBottom w:val="0"/>
      <w:divBdr>
        <w:top w:val="none" w:sz="0" w:space="0" w:color="auto"/>
        <w:left w:val="none" w:sz="0" w:space="0" w:color="auto"/>
        <w:bottom w:val="none" w:sz="0" w:space="0" w:color="auto"/>
        <w:right w:val="none" w:sz="0" w:space="0" w:color="auto"/>
      </w:divBdr>
    </w:div>
    <w:div w:id="21384478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pp.college.police.uk/app-content/investigations/managing-investigations/" TargetMode="External"/><Relationship Id="rId13" Type="http://schemas.openxmlformats.org/officeDocument/2006/relationships/hyperlink" Target="https://books.google.co.uk/books?hl=en&amp;lr=&amp;id=qC98GVqrHm4C&amp;oi=fnd&amp;pg=PR9&amp;dq=Practical+skills+in+forensic+science&amp;ots=Kv2WU-708H&amp;sig=HgtIzyGBAel4z7M6yHjnxPafmYM" TargetMode="External"/><Relationship Id="rId3" Type="http://schemas.openxmlformats.org/officeDocument/2006/relationships/styles" Target="styles.xml"/><Relationship Id="rId7" Type="http://schemas.openxmlformats.org/officeDocument/2006/relationships/hyperlink" Target="http://library.college.police.uk/docs/college-of-policing/Body-worn-video-guidance-2014.pdf" TargetMode="External"/><Relationship Id="rId12" Type="http://schemas.openxmlformats.org/officeDocument/2006/relationships/hyperlink" Target="https://books.google.co.uk/books?hl=en&amp;lr=&amp;id=0u_LBQAAQBAJ&amp;oi=fnd&amp;pg=PP1&amp;dq=examination+of+forensic+evidence&amp;ots=oKC5aVxZzS&amp;sig=oZoONWLLW5Lr1HQ-GY8-a1EUOIk"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hyperlink" Target="https://books.google.co.uk/books?hl=en&amp;lr=&amp;id=7RVjDAAAQBAJ&amp;oi=fnd&amp;pg=PP1&amp;dq=examination+of+forensic+evidence+at+crime+scene&amp;ots=DWeH-7EhBb&amp;sig=Lqarp0ATFajYQa1zAqPiuAawu3c" TargetMode="External"/><Relationship Id="rId11" Type="http://schemas.openxmlformats.org/officeDocument/2006/relationships/hyperlink" Target="https://books.google.co.uk/books?hl=en&amp;lr=&amp;id=T79V6puGw2wC&amp;oi=fnd&amp;pg=PT4&amp;dq=blackstones+handbook+for+policing+student&amp;ots=phBoM1fl9a&amp;sig=mHxylLgynZpmgs-HmWxtnyfzKxc"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assets.publishing.service.gov.uk/government/uploads/system/uploads/attachment_data/file/886647/212_Guidance_Sexual_Assault_Examination.pdf" TargetMode="External"/><Relationship Id="rId4" Type="http://schemas.openxmlformats.org/officeDocument/2006/relationships/settings" Target="settings.xml"/><Relationship Id="rId9" Type="http://schemas.openxmlformats.org/officeDocument/2006/relationships/hyperlink" Target="https://books.google.co.uk/books?hl=en&amp;lr=&amp;id=7fck5My-k64C&amp;oi=fnd&amp;pg=PP1&amp;dq=cross+contamination+in+a+crime+scene&amp;ots=qV0hpGbOfa&amp;sig=yAC979JrbBR0_zu-FGYjB8UlH3U" TargetMode="External"/><Relationship Id="rId14" Type="http://schemas.openxmlformats.org/officeDocument/2006/relationships/hyperlink" Target="https://books.google.co.uk/books?hl=en&amp;lr=&amp;id=uGlQDwAAQBAJ&amp;oi=fnd&amp;pg=PP1&amp;dq=examination+of+forensic+evidence&amp;ots=enbmCmbAgG&amp;sig=v4y0dJA6HnpBDnmG8LRqKCtLza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2020-10-02T00:00:00</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2258</TotalTime>
  <Pages>13</Pages>
  <Words>3514</Words>
  <Characters>20034</Characters>
  <Application>Microsoft Office Word</Application>
  <DocSecurity>0</DocSecurity>
  <Lines>166</Lines>
  <Paragraphs>47</Paragraphs>
  <ScaleCrop>false</ScaleCrop>
  <HeadingPairs>
    <vt:vector size="2" baseType="variant">
      <vt:variant>
        <vt:lpstr>Title</vt:lpstr>
      </vt:variant>
      <vt:variant>
        <vt:i4>1</vt:i4>
      </vt:variant>
    </vt:vector>
  </HeadingPairs>
  <TitlesOfParts>
    <vt:vector size="1" baseType="lpstr">
      <vt:lpstr>Forensic Recovery &amp; Examination</vt:lpstr>
    </vt:vector>
  </TitlesOfParts>
  <Company/>
  <LinksUpToDate>false</LinksUpToDate>
  <CharactersWithSpaces>23501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Forensic Recovery &amp; Examination</dc:title>
  <dc:subject/>
  <dc:creator>lewis guy 1801602</dc:creator>
  <cp:keywords/>
  <dc:description/>
  <cp:lastModifiedBy>lewis guy</cp:lastModifiedBy>
  <cp:revision>603</cp:revision>
  <dcterms:created xsi:type="dcterms:W3CDTF">2020-10-02T10:47:00Z</dcterms:created>
  <dcterms:modified xsi:type="dcterms:W3CDTF">2020-11-06T15:47:00Z</dcterms:modified>
</cp:coreProperties>
</file>