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C9F0B41" w:rsidP="676FA183" w:rsidRDefault="2C9F0B41" w14:paraId="5326C925" w14:textId="492F134C">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2D4DB630">
        <w:rPr/>
        <w:t xml:space="preserve">                                  </w:t>
      </w:r>
      <w:r w:rsidR="254023BE">
        <w:drawing>
          <wp:inline wp14:editId="00035978" wp14:anchorId="370671E7">
            <wp:extent cx="3071810" cy="1224272"/>
            <wp:effectExtent l="0" t="0" r="0" b="0"/>
            <wp:docPr id="9929768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2976850" name="Picture 992976850"/>
                    <pic:cNvPicPr/>
                  </pic:nvPicPr>
                  <pic:blipFill>
                    <a:blip xmlns:r="http://schemas.openxmlformats.org/officeDocument/2006/relationships" r:embed="rId615275888">
                      <a:extLst>
                        <a:ext uri="{28A0092B-C50C-407E-A947-70E740481C1C}">
                          <a14:useLocalDpi xmlns:a14="http://schemas.microsoft.com/office/drawing/2010/main"/>
                        </a:ext>
                      </a:extLst>
                    </a:blip>
                    <a:stretch>
                      <a:fillRect/>
                    </a:stretch>
                  </pic:blipFill>
                  <pic:spPr>
                    <a:xfrm rot="0">
                      <a:off x="0" y="0"/>
                      <a:ext cx="3071810" cy="1224272"/>
                    </a:xfrm>
                    <a:prstGeom prst="rect">
                      <a:avLst/>
                    </a:prstGeom>
                  </pic:spPr>
                </pic:pic>
              </a:graphicData>
            </a:graphic>
          </wp:inline>
        </w:drawing>
      </w:r>
    </w:p>
    <w:p w:rsidR="2C9F0B41" w:rsidP="676FA183" w:rsidRDefault="2C9F0B41" w14:paraId="6919699D" w14:textId="607C9308">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C9F0B41" w:rsidP="676FA183" w:rsidRDefault="2C9F0B41" w14:paraId="6B392ECA" w14:textId="034E2FC6">
      <w:p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C9F0B41" w:rsidP="676FA183" w:rsidRDefault="2C9F0B41" w14:paraId="00C5FF1F" w14:textId="30755352">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76FA183" w:rsidR="254023B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2C9F0B41" w:rsidP="676FA183" w:rsidRDefault="2C9F0B41" w14:paraId="251518E8" w14:textId="6CFC7942">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76FA183" w:rsidR="1550FF90">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254023BE">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65543537">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254023BE">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Student name: Hina Richard</w:t>
      </w:r>
    </w:p>
    <w:p w:rsidR="2C9F0B41" w:rsidP="676FA183" w:rsidRDefault="2C9F0B41" w14:paraId="6BB108CB" w14:textId="2D24042A">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76FA183" w:rsidR="254023BE">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4E97A461">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254023BE">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07B47BA4">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254023BE">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Student number: 2330393</w:t>
      </w:r>
    </w:p>
    <w:p w:rsidR="2C9F0B41" w:rsidP="676FA183" w:rsidRDefault="2C9F0B41" w14:paraId="089BFBD0" w14:textId="45954DC3">
      <w:pPr>
        <w:pStyle w:val="Normal"/>
      </w:pPr>
      <w:r w:rsidRPr="676FA183" w:rsidR="254023BE">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26B4A8E1">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254023BE">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33D49749">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254023BE">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254023BE">
        <w:rPr>
          <w:rFonts w:ascii="Arial Nova" w:hAnsi="Arial Nova" w:eastAsia="Arial Nova" w:cs="Arial Nova"/>
          <w:b w:val="1"/>
          <w:bCs w:val="1"/>
          <w:i w:val="0"/>
          <w:iCs w:val="0"/>
          <w:caps w:val="0"/>
          <w:smallCaps w:val="0"/>
          <w:noProof w:val="0"/>
          <w:color w:val="000000" w:themeColor="text1" w:themeTint="FF" w:themeShade="FF"/>
          <w:sz w:val="22"/>
          <w:szCs w:val="22"/>
          <w:lang w:val="en-GB"/>
        </w:rPr>
        <w:t>Module name and number</w:t>
      </w:r>
      <w:r w:rsidRPr="676FA183" w:rsidR="3C87FB32">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BMHP6029</w:t>
      </w:r>
      <w:r>
        <w:br/>
      </w:r>
      <w:r w:rsidRPr="676FA183" w:rsidR="0B05BE80">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7D355EFD">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6C2C3D58">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7D355EFD">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676FA183" w:rsidR="3C87FB32">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Psychopathological Classifications and </w:t>
      </w:r>
      <w:r w:rsidRPr="676FA183" w:rsidR="40727169">
        <w:rPr>
          <w:rFonts w:ascii="Arial Nova" w:hAnsi="Arial Nova" w:eastAsia="Arial Nova" w:cs="Arial Nova"/>
          <w:noProof w:val="0"/>
          <w:sz w:val="22"/>
          <w:szCs w:val="22"/>
          <w:lang w:val="en-GB"/>
        </w:rPr>
        <w:t xml:space="preserve">Provisions </w:t>
      </w:r>
    </w:p>
    <w:p w:rsidR="2C9F0B41" w:rsidP="676FA183" w:rsidRDefault="2C9F0B41" w14:paraId="0E478C3D" w14:textId="0D3C0122">
      <w:pPr>
        <w:pStyle w:val="Normal"/>
        <w:rPr>
          <w:rFonts w:ascii="Arial Nova" w:hAnsi="Arial Nova" w:eastAsia="Arial Nova" w:cs="Arial Nova"/>
          <w:b w:val="1"/>
          <w:bCs w:val="1"/>
          <w:noProof w:val="0"/>
          <w:sz w:val="22"/>
          <w:szCs w:val="22"/>
          <w:lang w:val="en-GB"/>
        </w:rPr>
      </w:pPr>
      <w:r w:rsidRPr="676FA183" w:rsidR="40727169">
        <w:rPr>
          <w:rFonts w:ascii="Segoe UI" w:hAnsi="Segoe UI" w:eastAsia="Segoe UI" w:cs="Segoe UI"/>
          <w:b w:val="1"/>
          <w:bCs w:val="1"/>
          <w:i w:val="0"/>
          <w:iCs w:val="0"/>
          <w:caps w:val="0"/>
          <w:smallCaps w:val="0"/>
          <w:noProof w:val="0"/>
          <w:color w:val="1D2125"/>
          <w:sz w:val="22"/>
          <w:szCs w:val="22"/>
          <w:lang w:val="en-GB"/>
        </w:rPr>
        <w:t xml:space="preserve">                                    </w:t>
      </w:r>
      <w:r w:rsidRPr="676FA183" w:rsidR="419FA639">
        <w:rPr>
          <w:rFonts w:ascii="Segoe UI" w:hAnsi="Segoe UI" w:eastAsia="Segoe UI" w:cs="Segoe UI"/>
          <w:b w:val="1"/>
          <w:bCs w:val="1"/>
          <w:i w:val="0"/>
          <w:iCs w:val="0"/>
          <w:caps w:val="0"/>
          <w:smallCaps w:val="0"/>
          <w:noProof w:val="0"/>
          <w:color w:val="1D2125"/>
          <w:sz w:val="22"/>
          <w:szCs w:val="22"/>
          <w:lang w:val="en-GB"/>
        </w:rPr>
        <w:t>Tutor name</w:t>
      </w:r>
      <w:r w:rsidRPr="676FA183" w:rsidR="7EF2D1D1">
        <w:rPr>
          <w:rFonts w:ascii="Segoe UI" w:hAnsi="Segoe UI" w:eastAsia="Segoe UI" w:cs="Segoe UI"/>
          <w:b w:val="1"/>
          <w:bCs w:val="1"/>
          <w:i w:val="0"/>
          <w:iCs w:val="0"/>
          <w:caps w:val="0"/>
          <w:smallCaps w:val="0"/>
          <w:noProof w:val="0"/>
          <w:color w:val="1D2125"/>
          <w:sz w:val="22"/>
          <w:szCs w:val="22"/>
          <w:lang w:val="en-GB"/>
        </w:rPr>
        <w:t>:</w:t>
      </w:r>
      <w:r w:rsidRPr="676FA183" w:rsidR="419FA639">
        <w:rPr>
          <w:rFonts w:ascii="Segoe UI" w:hAnsi="Segoe UI" w:eastAsia="Segoe UI" w:cs="Segoe UI"/>
          <w:b w:val="1"/>
          <w:bCs w:val="1"/>
          <w:i w:val="0"/>
          <w:iCs w:val="0"/>
          <w:caps w:val="0"/>
          <w:smallCaps w:val="0"/>
          <w:noProof w:val="0"/>
          <w:color w:val="1D2125"/>
          <w:sz w:val="22"/>
          <w:szCs w:val="22"/>
          <w:lang w:val="en-GB"/>
        </w:rPr>
        <w:t xml:space="preserve">      Neale Haddon </w:t>
      </w:r>
    </w:p>
    <w:p w:rsidR="2C9F0B41" w:rsidP="676FA183" w:rsidRDefault="2C9F0B41" w14:paraId="4C5FB853" w14:textId="7BFF828A">
      <w:pPr>
        <w:pStyle w:val="Normal"/>
        <w:rPr>
          <w:b w:val="1"/>
          <w:bCs w:val="1"/>
        </w:rPr>
      </w:pPr>
      <w:r w:rsidRPr="676FA183" w:rsidR="3BCA0708">
        <w:rPr>
          <w:b w:val="1"/>
          <w:bCs w:val="1"/>
        </w:rPr>
        <w:t xml:space="preserve">                                                          Component 2</w:t>
      </w:r>
      <w:r>
        <w:br/>
      </w:r>
    </w:p>
    <w:p w:rsidR="2C9F0B41" w:rsidP="676FA183" w:rsidRDefault="2C9F0B41" w14:paraId="1C932605" w14:textId="24A30ECB">
      <w:pPr>
        <w:pStyle w:val="Normal"/>
      </w:pPr>
    </w:p>
    <w:p w:rsidR="7EE60C8C" w:rsidRDefault="7EE60C8C" w14:paraId="6161D206" w14:textId="363C3ECC"/>
    <w:p w:rsidR="7EE60C8C" w:rsidRDefault="7EE60C8C" w14:paraId="28A5E48A" w14:textId="04216ADA"/>
    <w:p w:rsidR="7EE60C8C" w:rsidRDefault="7EE60C8C" w14:paraId="53880E09" w14:textId="72491A48"/>
    <w:p w:rsidR="7EE60C8C" w:rsidRDefault="7EE60C8C" w14:paraId="27E3B7BE" w14:textId="3E9C21E3"/>
    <w:p w:rsidR="7EE60C8C" w:rsidRDefault="7EE60C8C" w14:paraId="065A8DBC" w14:textId="63D79D5E"/>
    <w:p w:rsidR="7EE60C8C" w:rsidRDefault="7EE60C8C" w14:paraId="0C1841FE" w14:textId="76B59D0F"/>
    <w:p w:rsidR="7EE60C8C" w:rsidRDefault="7EE60C8C" w14:paraId="0293BF8C" w14:textId="534FF98B"/>
    <w:p w:rsidR="7EE60C8C" w:rsidRDefault="7EE60C8C" w14:paraId="54A4DD3A" w14:textId="4B9CECC4"/>
    <w:p w:rsidR="7EE60C8C" w:rsidRDefault="7EE60C8C" w14:paraId="1FB59D08" w14:textId="709E271B"/>
    <w:p w:rsidR="7EE60C8C" w:rsidRDefault="7EE60C8C" w14:paraId="4C327654" w14:textId="51FD8FDA"/>
    <w:p w:rsidR="7EE60C8C" w:rsidRDefault="7EE60C8C" w14:paraId="1BEA7586" w14:textId="2CD7A23A"/>
    <w:p w:rsidR="676FA183" w:rsidP="676FA183" w:rsidRDefault="676FA183" w14:paraId="01D05161" w14:textId="75452394">
      <w:pPr>
        <w:pStyle w:val="Normal"/>
        <w:rPr>
          <w:b w:val="1"/>
          <w:bCs w:val="1"/>
        </w:rPr>
      </w:pPr>
    </w:p>
    <w:p w:rsidR="21745672" w:rsidP="7EE60C8C" w:rsidRDefault="21745672" w14:paraId="4BF9E329" w14:textId="3EA10CEB">
      <w:pPr>
        <w:pStyle w:val="Normal"/>
      </w:pPr>
      <w:r w:rsidRPr="676FA183" w:rsidR="1AE8A488">
        <w:rPr>
          <w:b w:val="1"/>
          <w:bCs w:val="1"/>
        </w:rPr>
        <w:t>Diseases of the Musculoskeletal System and Connective Tissue:</w:t>
      </w:r>
    </w:p>
    <w:p w:rsidR="21745672" w:rsidP="7EE60C8C" w:rsidRDefault="21745672" w14:paraId="7E5587A9" w14:textId="1EEA4BCA">
      <w:pPr>
        <w:pStyle w:val="Normal"/>
      </w:pPr>
      <w:r w:rsidRPr="7EE60C8C" w:rsidR="21745672">
        <w:rPr>
          <w:b w:val="1"/>
          <w:bCs w:val="1"/>
        </w:rPr>
        <w:t xml:space="preserve"> A Critical Analysis </w:t>
      </w:r>
    </w:p>
    <w:p w:rsidR="21745672" w:rsidP="7EE60C8C" w:rsidRDefault="21745672" w14:paraId="15E04D1C" w14:textId="0167DB3A">
      <w:pPr>
        <w:pStyle w:val="Normal"/>
      </w:pPr>
      <w:r w:rsidR="21745672">
        <w:rPr/>
        <w:t xml:space="preserve"> </w:t>
      </w:r>
    </w:p>
    <w:p w:rsidR="21745672" w:rsidP="7EE60C8C" w:rsidRDefault="21745672" w14:paraId="6CFB9EC8" w14:textId="2FAD561E">
      <w:pPr>
        <w:pStyle w:val="Normal"/>
      </w:pPr>
      <w:r w:rsidR="21745672">
        <w:rPr/>
        <w:t xml:space="preserve"> </w:t>
      </w:r>
    </w:p>
    <w:p w:rsidR="21745672" w:rsidP="7EE60C8C" w:rsidRDefault="21745672" w14:paraId="48B3BA13" w14:textId="199CF64D">
      <w:pPr>
        <w:pStyle w:val="Normal"/>
      </w:pPr>
      <w:r w:rsidR="21745672">
        <w:rPr/>
        <w:t xml:space="preserve"> </w:t>
      </w:r>
    </w:p>
    <w:p w:rsidR="21745672" w:rsidP="7EE60C8C" w:rsidRDefault="21745672" w14:paraId="3463B9F5" w14:textId="0A4EE80F">
      <w:pPr>
        <w:pStyle w:val="Normal"/>
        <w:rPr>
          <w:b w:val="1"/>
          <w:bCs w:val="1"/>
        </w:rPr>
      </w:pPr>
      <w:r w:rsidRPr="7EE60C8C" w:rsidR="21745672">
        <w:rPr>
          <w:b w:val="1"/>
          <w:bCs w:val="1"/>
        </w:rPr>
        <w:t xml:space="preserve">Executive Summary </w:t>
      </w:r>
    </w:p>
    <w:p w:rsidR="21745672" w:rsidP="7EE60C8C" w:rsidRDefault="21745672" w14:paraId="5EB4F0A6" w14:textId="18D7F8DC">
      <w:pPr>
        <w:pStyle w:val="Normal"/>
      </w:pPr>
      <w:r w:rsidR="21745672">
        <w:rPr/>
        <w:t xml:space="preserve"> </w:t>
      </w:r>
      <w:r w:rsidR="21745672">
        <w:rPr/>
        <w:t xml:space="preserve">Diseases of the musculoskeletal system and connective tissue include </w:t>
      </w:r>
      <w:r w:rsidR="21745672">
        <w:rPr/>
        <w:t>nearly 150</w:t>
      </w:r>
      <w:r w:rsidR="21745672">
        <w:rPr/>
        <w:t xml:space="preserve"> illnesses affecting bones, joints, muscles, and connective tissues, accounting for the second highest cause of disability years worldwide (Choy et al., 2019; World Health Organization, 2003). This report examines rheumatoid arthritis (RA) as a clinically significant condition in ICD-11 Chapter 15, critically examining its classification, diagnosis, treatment, rehabilitation, and emerging debates before presenting evidence-based practice and policy recommendations (World Health Organization, 2022; findacode.com, 2026). </w:t>
      </w:r>
    </w:p>
    <w:p w:rsidR="21745672" w:rsidP="7EE60C8C" w:rsidRDefault="21745672" w14:paraId="4A24729D" w14:textId="13574AAA">
      <w:pPr>
        <w:pStyle w:val="Normal"/>
      </w:pPr>
      <w:r w:rsidR="1AE8A488">
        <w:rPr/>
        <w:t xml:space="preserve"> </w:t>
      </w:r>
    </w:p>
    <w:p w:rsidR="676FA183" w:rsidP="676FA183" w:rsidRDefault="676FA183" w14:paraId="19FC078C" w14:textId="3086C5A8">
      <w:pPr>
        <w:pStyle w:val="Normal"/>
        <w:rPr>
          <w:b w:val="1"/>
          <w:bCs w:val="1"/>
        </w:rPr>
      </w:pPr>
    </w:p>
    <w:p w:rsidR="21745672" w:rsidP="7EE60C8C" w:rsidRDefault="21745672" w14:paraId="6E72FBB2" w14:textId="73C6C57E">
      <w:pPr>
        <w:pStyle w:val="Normal"/>
        <w:rPr>
          <w:b w:val="1"/>
          <w:bCs w:val="1"/>
        </w:rPr>
      </w:pPr>
      <w:r w:rsidRPr="7EE60C8C" w:rsidR="21745672">
        <w:rPr>
          <w:b w:val="1"/>
          <w:bCs w:val="1"/>
        </w:rPr>
        <w:t xml:space="preserve">1. Introduction </w:t>
      </w:r>
    </w:p>
    <w:p w:rsidR="21745672" w:rsidP="7EE60C8C" w:rsidRDefault="21745672" w14:paraId="0071F548" w14:textId="178CD49F">
      <w:pPr>
        <w:pStyle w:val="Normal"/>
      </w:pPr>
      <w:r w:rsidR="1CEB2499">
        <w:rPr/>
        <w:t xml:space="preserve"> </w:t>
      </w:r>
      <w:r w:rsidR="1CEB2499">
        <w:rPr/>
        <w:t xml:space="preserve">Musculoskeletal (MSK) illnesses are among the most common and debilitating noncommunicable </w:t>
      </w:r>
      <w:r w:rsidR="55949E46">
        <w:rPr/>
        <w:t>conditions</w:t>
      </w:r>
      <w:r w:rsidR="1CEB2499">
        <w:rPr/>
        <w:t xml:space="preserve"> globally. Total disability-adjusted life years (DALYs) related to MSK illness increased dramatically from 80,225,634 in 2000 to 107,885,832 in 2015, with MSK diseases ranking as the second greatest cause of years lived with disability worldwide (Choy et al., 2019). In 2023, 18.4% of adults aged 16 and </w:t>
      </w:r>
      <w:r w:rsidR="1BA70742">
        <w:rPr/>
        <w:t>over</w:t>
      </w:r>
      <w:r w:rsidR="1CEB2499">
        <w:rPr/>
        <w:t xml:space="preserve"> in England reported a long-term MSK disease, with females having a higher prevalence (20.9%) than males (15.8%) (UK Government/OHID, 2024)</w:t>
      </w:r>
      <w:r w:rsidR="1CEB2499">
        <w:rPr/>
        <w:t xml:space="preserve">.  </w:t>
      </w:r>
    </w:p>
    <w:p w:rsidR="21745672" w:rsidP="7EE60C8C" w:rsidRDefault="21745672" w14:paraId="3615AEA8" w14:textId="3D77BE92">
      <w:pPr>
        <w:pStyle w:val="Normal"/>
      </w:pPr>
      <w:r w:rsidR="21745672">
        <w:rPr/>
        <w:t xml:space="preserve"> </w:t>
      </w:r>
    </w:p>
    <w:p w:rsidR="21745672" w:rsidP="7EE60C8C" w:rsidRDefault="21745672" w14:paraId="53062FE4" w14:textId="2B2DD89B">
      <w:pPr>
        <w:pStyle w:val="Normal"/>
      </w:pPr>
      <w:r w:rsidR="21745672">
        <w:rPr/>
        <w:t xml:space="preserve">Rheumatoid arthritis (RA) is a chronic autoimmune illness that affects between 0.2 and 1% of the worldwide population (Current Pharmaceutical Design, 2026; </w:t>
      </w:r>
      <w:r w:rsidR="21745672">
        <w:rPr/>
        <w:t>M</w:t>
      </w:r>
      <w:r w:rsidR="21745672">
        <w:rPr/>
        <w:t>edComm</w:t>
      </w:r>
      <w:r w:rsidR="21745672">
        <w:rPr/>
        <w:t>,</w:t>
      </w:r>
      <w:r w:rsidR="21745672">
        <w:rPr/>
        <w:t xml:space="preserve"> 2024). It results in considerable functional impairment, decreased quality of life, and increased healthcare costs (Best Practice and Research Clinical Rheumatology, 2025). This research examines RA critically using ICD-11 categorisation, evidence-based therapy, rehabilitation, contemporary clinical disputes, and policy suggestions applicable to UK practice. </w:t>
      </w:r>
    </w:p>
    <w:p w:rsidR="21745672" w:rsidP="7EE60C8C" w:rsidRDefault="21745672" w14:paraId="213ABAF1" w14:textId="22B1C650">
      <w:pPr>
        <w:pStyle w:val="Normal"/>
      </w:pPr>
      <w:r w:rsidR="21745672">
        <w:rPr/>
        <w:t xml:space="preserve"> </w:t>
      </w:r>
    </w:p>
    <w:p w:rsidR="21745672" w:rsidP="7EE60C8C" w:rsidRDefault="21745672" w14:paraId="380B0412" w14:textId="6BB7A788">
      <w:pPr>
        <w:pStyle w:val="Normal"/>
      </w:pPr>
      <w:r w:rsidR="21745672">
        <w:rPr/>
        <w:t xml:space="preserve"> </w:t>
      </w:r>
    </w:p>
    <w:p w:rsidR="21745672" w:rsidP="7EE60C8C" w:rsidRDefault="21745672" w14:paraId="4749D459" w14:textId="6CD2A73F">
      <w:pPr>
        <w:pStyle w:val="Normal"/>
      </w:pPr>
      <w:r w:rsidRPr="7EE60C8C" w:rsidR="21745672">
        <w:rPr>
          <w:b w:val="1"/>
          <w:bCs w:val="1"/>
        </w:rPr>
        <w:t xml:space="preserve">2. Classification and Diagnosis </w:t>
      </w:r>
    </w:p>
    <w:p w:rsidR="21745672" w:rsidP="7EE60C8C" w:rsidRDefault="21745672" w14:paraId="5DC83088" w14:textId="49DF33B4">
      <w:pPr>
        <w:pStyle w:val="Normal"/>
      </w:pPr>
      <w:r w:rsidR="21745672">
        <w:rPr/>
        <w:t xml:space="preserve"> </w:t>
      </w:r>
    </w:p>
    <w:p w:rsidR="21745672" w:rsidP="7EE60C8C" w:rsidRDefault="21745672" w14:paraId="5C9194A3" w14:textId="214C63BD">
      <w:pPr>
        <w:pStyle w:val="Normal"/>
        <w:rPr>
          <w:b w:val="1"/>
          <w:bCs w:val="1"/>
        </w:rPr>
      </w:pPr>
      <w:r w:rsidRPr="7EE60C8C" w:rsidR="21745672">
        <w:rPr>
          <w:b w:val="1"/>
          <w:bCs w:val="1"/>
        </w:rPr>
        <w:t xml:space="preserve">2.1 ICD-11 Classification </w:t>
      </w:r>
    </w:p>
    <w:p w:rsidR="21745672" w:rsidP="7EE60C8C" w:rsidRDefault="21745672" w14:paraId="7AE88983" w14:textId="0428CDDA">
      <w:pPr>
        <w:pStyle w:val="Normal"/>
      </w:pPr>
      <w:r w:rsidR="1CEB2499">
        <w:rPr/>
        <w:t>Diseases of the musculoskeletal system and connective tissue are classified in ICD-11 as Chapter 15 (codes FA00-FB9Z), which includes arthropathies, spinal problems, soft tissue disorders, and osteopath</w:t>
      </w:r>
      <w:r w:rsidR="463D8FB4">
        <w:rPr/>
        <w:t>ies</w:t>
      </w:r>
      <w:r w:rsidR="1CEB2499">
        <w:rPr/>
        <w:t>. Rheumatoid arthritis is categorised as ICD-11 code FA20, within the Inflammatory Arthropathies sub-section, and is further subdivided into seropositive RA (FA20.0), seronegative RA (FA20.1), and unexplained serology (FA20.Z) (findacode.com, 2025a). This serological stratification is clinically significant: seropositive patients — those with rheumatoid factor (RF) and/or anti-citrullinated protein antibodies (ACPAs) — have more aggressive disease and respond differently to biologics like rituximab</w:t>
      </w:r>
      <w:r w:rsidR="1CEB2499">
        <w:rPr/>
        <w:t xml:space="preserve">.  </w:t>
      </w:r>
    </w:p>
    <w:p w:rsidR="21745672" w:rsidP="7EE60C8C" w:rsidRDefault="21745672" w14:paraId="0A21AE39" w14:textId="1D138F97">
      <w:pPr>
        <w:pStyle w:val="Normal"/>
      </w:pPr>
      <w:r w:rsidR="21745672">
        <w:rPr/>
        <w:t xml:space="preserve"> </w:t>
      </w:r>
    </w:p>
    <w:p w:rsidR="21745672" w:rsidP="7EE60C8C" w:rsidRDefault="21745672" w14:paraId="149E03A4" w14:textId="6EA072C0">
      <w:pPr>
        <w:pStyle w:val="Normal"/>
      </w:pPr>
      <w:r w:rsidR="21745672">
        <w:rPr/>
        <w:t xml:space="preserve"> </w:t>
      </w:r>
      <w:r w:rsidR="21745672">
        <w:rPr/>
        <w:t xml:space="preserve">The ICD-11 refers to RA as a "disease" rather than a "disorder" or "condition," </w:t>
      </w:r>
      <w:r w:rsidR="21745672">
        <w:rPr/>
        <w:t>indicating</w:t>
      </w:r>
      <w:r w:rsidR="21745672">
        <w:rPr/>
        <w:t xml:space="preserve"> the presence of recognisable pathophysiological processes and biological markers (findacode.com, 2025a; World Health Organization, 2022). This language distinction has clinical implications since it influences clinical communication, insurance coding, and the perceived validity of the disease in both healthcare systems and public discourse (International Association for the Study of Pain, 2021). The ICD-11 reference book defines illness as quantifiable biological malfunction caused by a specified aetiology, as opposed to "disorder," which may lack obvious organic causation (World Health Organization, 2022). </w:t>
      </w:r>
    </w:p>
    <w:p w:rsidR="21745672" w:rsidP="7EE60C8C" w:rsidRDefault="21745672" w14:paraId="6090326C" w14:textId="78A398A0">
      <w:pPr>
        <w:pStyle w:val="Normal"/>
      </w:pPr>
      <w:r w:rsidR="21745672">
        <w:rPr/>
        <w:t xml:space="preserve"> </w:t>
      </w:r>
    </w:p>
    <w:p w:rsidR="21745672" w:rsidP="7EE60C8C" w:rsidRDefault="21745672" w14:paraId="5842135F" w14:textId="35440353">
      <w:pPr>
        <w:pStyle w:val="Normal"/>
      </w:pPr>
      <w:r w:rsidR="21745672">
        <w:rPr/>
        <w:t xml:space="preserve"> </w:t>
      </w:r>
      <w:r w:rsidRPr="7EE60C8C" w:rsidR="21745672">
        <w:rPr>
          <w:b w:val="1"/>
          <w:bCs w:val="1"/>
        </w:rPr>
        <w:t xml:space="preserve">2.2 Diagnostic Criteria </w:t>
      </w:r>
    </w:p>
    <w:p w:rsidR="21745672" w:rsidP="7EE60C8C" w:rsidRDefault="21745672" w14:paraId="2A9A2978" w14:textId="4681D6B6">
      <w:pPr>
        <w:pStyle w:val="Normal"/>
      </w:pPr>
      <w:r w:rsidR="1CEB2499">
        <w:rPr/>
        <w:t xml:space="preserve"> </w:t>
      </w:r>
      <w:r w:rsidR="1CEB2499">
        <w:rPr/>
        <w:t>The ACR/EULAR classification criteria from 2010 are the current gold standard for diagnosing RA (</w:t>
      </w:r>
      <w:r w:rsidR="4486CD8D">
        <w:rPr/>
        <w:t>Aletha</w:t>
      </w:r>
      <w:r w:rsidR="1CEB2499">
        <w:rPr/>
        <w:t xml:space="preserve"> and </w:t>
      </w:r>
      <w:r w:rsidR="1CEB2499">
        <w:rPr/>
        <w:t>Neogi</w:t>
      </w:r>
      <w:r w:rsidR="1CEB2499">
        <w:rPr/>
        <w:t xml:space="preserve">, 2010). These criteria address the shortcomings of the earlier 1987 ACR criteria, which lacked sensitivity in early-stage illness (Aletaha and </w:t>
      </w:r>
      <w:r w:rsidR="1CEB2499">
        <w:rPr/>
        <w:t>Neogi</w:t>
      </w:r>
      <w:r w:rsidR="1CEB2499">
        <w:rPr/>
        <w:t>, 2010). A score of 6 or more out of 10 across four domains — joint involvement (0-5), serology (0-3), acute-phase response (0-1), and symptom duration (0-1) — combined with confirmed synovitis and the absence of an alternative diagnosis classifies a patient as having definite RA (</w:t>
      </w:r>
      <w:r w:rsidR="48BCC0BA">
        <w:rPr/>
        <w:t>Aletha</w:t>
      </w:r>
      <w:r w:rsidR="1CEB2499">
        <w:rPr/>
        <w:t xml:space="preserve"> and </w:t>
      </w:r>
      <w:r w:rsidR="1CEB2499">
        <w:rPr/>
        <w:t>Neogi</w:t>
      </w:r>
      <w:r w:rsidR="1CEB2499">
        <w:rPr/>
        <w:t>, 2010; Cader et al., 2011)</w:t>
      </w:r>
      <w:r w:rsidR="1CEB2499">
        <w:rPr/>
        <w:t xml:space="preserve">. </w:t>
      </w:r>
    </w:p>
    <w:p w:rsidR="21745672" w:rsidP="7EE60C8C" w:rsidRDefault="21745672" w14:paraId="21486C86" w14:textId="6E20F788">
      <w:pPr>
        <w:pStyle w:val="Normal"/>
      </w:pPr>
      <w:r w:rsidR="21745672">
        <w:rPr/>
        <w:t xml:space="preserve">In early arthritis cohorts, studies confirming these criteria revealed a 96% specificity compared to 86% for the 1987 criteria (Cader et al., 2011). However, limitations persist: the criteria were initially established for research classification rather than clinical diagnosis, and seronegative individuals with early RA may not meet the threshold score at first presentation (Simons et al., 2013). In the United Kingdom, NICE guideline NG100 suggests that any patient with chronic undifferentiated synovitis be referred to a specialist rheumatologist immediately, based on RF, anti-CCP, CRP, ESR, and complete blood count tests. </w:t>
      </w:r>
    </w:p>
    <w:p w:rsidR="21745672" w:rsidP="7EE60C8C" w:rsidRDefault="21745672" w14:paraId="2D1D0B33" w14:textId="703A69C3">
      <w:pPr>
        <w:pStyle w:val="Normal"/>
      </w:pPr>
      <w:r w:rsidR="21745672">
        <w:rPr/>
        <w:t xml:space="preserve"> </w:t>
      </w:r>
    </w:p>
    <w:p w:rsidR="21745672" w:rsidP="7EE60C8C" w:rsidRDefault="21745672" w14:paraId="04522868" w14:textId="659E4E2E">
      <w:pPr>
        <w:pStyle w:val="Normal"/>
      </w:pPr>
      <w:r w:rsidR="21745672">
        <w:rPr/>
        <w:t xml:space="preserve"> </w:t>
      </w:r>
    </w:p>
    <w:p w:rsidR="21745672" w:rsidP="7EE60C8C" w:rsidRDefault="21745672" w14:paraId="74627102" w14:textId="74BC0D5C">
      <w:pPr>
        <w:pStyle w:val="Normal"/>
      </w:pPr>
      <w:r w:rsidR="21745672">
        <w:rPr/>
        <w:t xml:space="preserve"> </w:t>
      </w:r>
      <w:r w:rsidRPr="7EE60C8C" w:rsidR="21745672">
        <w:rPr>
          <w:b w:val="1"/>
          <w:bCs w:val="1"/>
        </w:rPr>
        <w:t xml:space="preserve">3. Treatment and Rehabilitation </w:t>
      </w:r>
    </w:p>
    <w:p w:rsidR="21745672" w:rsidP="7EE60C8C" w:rsidRDefault="21745672" w14:paraId="1806CB40" w14:textId="1A38B58F">
      <w:pPr>
        <w:pStyle w:val="Normal"/>
      </w:pPr>
      <w:r w:rsidR="21745672">
        <w:rPr/>
        <w:t xml:space="preserve"> </w:t>
      </w:r>
    </w:p>
    <w:p w:rsidR="21745672" w:rsidP="7EE60C8C" w:rsidRDefault="21745672" w14:paraId="1860181A" w14:textId="160BFDB0">
      <w:pPr>
        <w:pStyle w:val="Normal"/>
        <w:rPr>
          <w:b w:val="1"/>
          <w:bCs w:val="1"/>
        </w:rPr>
      </w:pPr>
      <w:r w:rsidRPr="7EE60C8C" w:rsidR="21745672">
        <w:rPr>
          <w:b w:val="1"/>
          <w:bCs w:val="1"/>
        </w:rPr>
        <w:t xml:space="preserve">3.1 Standard Treatment Approaches </w:t>
      </w:r>
    </w:p>
    <w:p w:rsidR="21745672" w:rsidP="7EE60C8C" w:rsidRDefault="21745672" w14:paraId="23C4E8C3" w14:textId="74FA14FD">
      <w:pPr>
        <w:pStyle w:val="Normal"/>
      </w:pPr>
      <w:r w:rsidRPr="7EE60C8C" w:rsidR="21745672">
        <w:rPr>
          <w:b w:val="1"/>
          <w:bCs w:val="1"/>
        </w:rPr>
        <w:t xml:space="preserve"> </w:t>
      </w:r>
      <w:r w:rsidR="21745672">
        <w:rPr/>
        <w:t>The pharmacological therapy of RA is a step-by-step process that begins with conventional synthetic disease-modifying antirheumatic medications (</w:t>
      </w:r>
      <w:r w:rsidR="21745672">
        <w:rPr/>
        <w:t>csDMARDs</w:t>
      </w:r>
      <w:r w:rsidR="21745672">
        <w:rPr/>
        <w:t xml:space="preserve">), with methotrexate being the established first-line agent. The NICE NG100 supports early combination </w:t>
      </w:r>
      <w:r w:rsidR="21745672">
        <w:rPr/>
        <w:t>csDMARD</w:t>
      </w:r>
      <w:r w:rsidR="21745672">
        <w:rPr/>
        <w:t xml:space="preserve"> treatment to reach the treat-to-target aim of remission or low disease activity, as defined by the DAS28 score. The evidence clearly supports initiating intensive DMARDs early to prevent radiographic progression and long-term impairment (Combe et al., 2025)</w:t>
      </w:r>
      <w:r w:rsidR="21745672">
        <w:rPr/>
        <w:t xml:space="preserve">.  </w:t>
      </w:r>
    </w:p>
    <w:p w:rsidR="21745672" w:rsidP="7EE60C8C" w:rsidRDefault="21745672" w14:paraId="4B93CA6B" w14:textId="0D10C9C8">
      <w:pPr>
        <w:pStyle w:val="Normal"/>
      </w:pPr>
      <w:r w:rsidR="21745672">
        <w:rPr/>
        <w:t xml:space="preserve"> </w:t>
      </w:r>
    </w:p>
    <w:p w:rsidR="21745672" w:rsidP="7EE60C8C" w:rsidRDefault="21745672" w14:paraId="589F2995" w14:textId="32FBF009">
      <w:pPr>
        <w:pStyle w:val="Normal"/>
      </w:pPr>
      <w:r w:rsidR="21745672">
        <w:rPr/>
        <w:t xml:space="preserve">Patients who fail two 6-month </w:t>
      </w:r>
      <w:r w:rsidR="21745672">
        <w:rPr/>
        <w:t>csDMARD</w:t>
      </w:r>
      <w:r w:rsidR="21745672">
        <w:rPr/>
        <w:t xml:space="preserve"> studies may be eligible for biological treatments such as TNF-α inhibitors (adalimumab, etanercept), IL-6 inhibitors (tocilizumab), B-cell </w:t>
      </w:r>
      <w:r w:rsidR="21745672">
        <w:rPr/>
        <w:t>depleters</w:t>
      </w:r>
      <w:r w:rsidR="21745672">
        <w:rPr/>
        <w:t xml:space="preserve"> (rituximab), and T-cell co-stimulation inhibitors (abatacept) (NICE, 2021). The development of biosimilars has enabled NICE to increase biologic prescribing to individuals with mild RA, helping </w:t>
      </w:r>
      <w:r w:rsidR="21745672">
        <w:rPr/>
        <w:t>an anticipated</w:t>
      </w:r>
      <w:r w:rsidR="21745672">
        <w:rPr/>
        <w:t xml:space="preserve"> 25,000 more patients in England (NICE, 2021). Janus kinase (JAK) inhibitors, which include baricitinib, tofacitinib, and upadacitinib, are the newest oral targeted class, albeit their safety is debated in Section 4 (Ballard et al., 2024). </w:t>
      </w:r>
    </w:p>
    <w:p w:rsidR="21745672" w:rsidP="7EE60C8C" w:rsidRDefault="21745672" w14:paraId="78DA6512" w14:textId="5F9D4271">
      <w:pPr>
        <w:pStyle w:val="Normal"/>
      </w:pPr>
      <w:r w:rsidR="21745672">
        <w:rPr/>
        <w:t xml:space="preserve"> </w:t>
      </w:r>
    </w:p>
    <w:p w:rsidR="21745672" w:rsidP="7EE60C8C" w:rsidRDefault="21745672" w14:paraId="147E6AF8" w14:textId="014EB309">
      <w:pPr>
        <w:pStyle w:val="Normal"/>
      </w:pPr>
      <w:r w:rsidR="21745672">
        <w:rPr/>
        <w:t xml:space="preserve"> </w:t>
      </w:r>
    </w:p>
    <w:p w:rsidR="21745672" w:rsidP="7EE60C8C" w:rsidRDefault="21745672" w14:paraId="14FD1A4A" w14:textId="3AF052E7">
      <w:pPr>
        <w:pStyle w:val="Normal"/>
      </w:pPr>
      <w:r w:rsidR="21745672">
        <w:rPr/>
        <w:t xml:space="preserve"> </w:t>
      </w:r>
    </w:p>
    <w:p w:rsidR="21745672" w:rsidP="7EE60C8C" w:rsidRDefault="21745672" w14:paraId="3BF3D1A5" w14:textId="74BD306D">
      <w:pPr>
        <w:pStyle w:val="Normal"/>
        <w:rPr>
          <w:b w:val="1"/>
          <w:bCs w:val="1"/>
        </w:rPr>
      </w:pPr>
      <w:r w:rsidRPr="7EE60C8C" w:rsidR="21745672">
        <w:rPr>
          <w:b w:val="1"/>
          <w:bCs w:val="1"/>
        </w:rPr>
        <w:t xml:space="preserve">3.2 Rehabilitation </w:t>
      </w:r>
    </w:p>
    <w:p w:rsidR="21745672" w:rsidP="7EE60C8C" w:rsidRDefault="21745672" w14:paraId="0752A10B" w14:textId="0375C2D4">
      <w:pPr>
        <w:pStyle w:val="Normal"/>
      </w:pPr>
      <w:r w:rsidR="1CEB2499">
        <w:rPr/>
        <w:t xml:space="preserve"> </w:t>
      </w:r>
      <w:r w:rsidR="1CEB2499">
        <w:rPr/>
        <w:t xml:space="preserve">Rehabilitation is an important but </w:t>
      </w:r>
      <w:r w:rsidR="1CEB2499">
        <w:rPr/>
        <w:t>generally underutilised</w:t>
      </w:r>
      <w:r w:rsidR="1CEB2499">
        <w:rPr/>
        <w:t xml:space="preserve"> aspect of RA treatment. A 2025 systematic review and meta-analysis of 17 RCTs (n = 1,362 participants) found physiotherapy interventions produced statistically significant pain reduction (SMD = -0.347; 95% CI: -0.571 to -0.124; p = 0.002). Aerobic exercise, resistance training, and hydrotherapy showed the strongest evidence (Musculoskeletal Care, 2025). Occupational therapy (OT) focuses on functional limits in everyday tasks, joint protection, and occupational engagement. A comprehensive evaluation of 51 Level I studies discovered good support for occupational therapy programs such as aerobic exercise, self-management, cognitive-</w:t>
      </w:r>
      <w:r w:rsidR="290873F3">
        <w:rPr/>
        <w:t>behavioural</w:t>
      </w:r>
      <w:r w:rsidR="1CEB2499">
        <w:rPr/>
        <w:t xml:space="preserve"> methods, and joint protection (Hammond et al., 2016). A secondary RCT found that client-</w:t>
      </w:r>
      <w:r w:rsidR="07C0510B">
        <w:rPr/>
        <w:t>cantered</w:t>
      </w:r>
      <w:r w:rsidR="1CEB2499">
        <w:rPr/>
        <w:t xml:space="preserve"> OT significantly decreased activity and participation limitations when compared to conventional treatment (Kallen et al., 2015)</w:t>
      </w:r>
      <w:r w:rsidR="1CEB2499">
        <w:rPr/>
        <w:t xml:space="preserve">.  </w:t>
      </w:r>
    </w:p>
    <w:p w:rsidR="21745672" w:rsidP="7EE60C8C" w:rsidRDefault="21745672" w14:paraId="311CF756" w14:textId="14090117">
      <w:pPr>
        <w:pStyle w:val="Normal"/>
      </w:pPr>
      <w:r w:rsidR="21745672">
        <w:rPr/>
        <w:t xml:space="preserve"> </w:t>
      </w:r>
    </w:p>
    <w:p w:rsidR="21745672" w:rsidP="7EE60C8C" w:rsidRDefault="21745672" w14:paraId="6E8E69BA" w14:textId="31D2596C">
      <w:pPr>
        <w:pStyle w:val="Normal"/>
      </w:pPr>
      <w:r w:rsidR="21745672">
        <w:rPr/>
        <w:t xml:space="preserve"> </w:t>
      </w:r>
      <w:r w:rsidR="21745672">
        <w:rPr/>
        <w:t xml:space="preserve">Despite this data, only around 26% of eligible patients are referred for RA rehabilitation, </w:t>
      </w:r>
      <w:r w:rsidR="21745672">
        <w:rPr/>
        <w:t>indicating</w:t>
      </w:r>
      <w:r w:rsidR="21745672">
        <w:rPr/>
        <w:t xml:space="preserve"> a significant unmet demand (Verhoef et al. 2005). NICE NG100 encourages multidisciplinary team engagement from the time of diagnosis, although this is not followed consistently across NHS trusts (NICE, 2024b). Access to rehabilitation differs </w:t>
      </w:r>
      <w:r w:rsidR="21745672">
        <w:rPr/>
        <w:t>greatly by</w:t>
      </w:r>
      <w:r w:rsidR="21745672">
        <w:rPr/>
        <w:t xml:space="preserve"> location and socioeconomic level, </w:t>
      </w:r>
      <w:r w:rsidR="21745672">
        <w:rPr/>
        <w:t>exacerbating</w:t>
      </w:r>
      <w:r w:rsidR="21745672">
        <w:rPr/>
        <w:t xml:space="preserve"> health disparities. </w:t>
      </w:r>
    </w:p>
    <w:p w:rsidR="21745672" w:rsidP="7EE60C8C" w:rsidRDefault="21745672" w14:paraId="49BDBA3F" w14:textId="29F300CA">
      <w:pPr>
        <w:pStyle w:val="Normal"/>
      </w:pPr>
      <w:r w:rsidR="21745672">
        <w:rPr/>
        <w:t xml:space="preserve"> </w:t>
      </w:r>
    </w:p>
    <w:p w:rsidR="21745672" w:rsidP="7EE60C8C" w:rsidRDefault="21745672" w14:paraId="733298C6" w14:textId="726E8700">
      <w:pPr>
        <w:pStyle w:val="Normal"/>
      </w:pPr>
      <w:r w:rsidR="21745672">
        <w:rPr/>
        <w:t xml:space="preserve"> </w:t>
      </w:r>
    </w:p>
    <w:p w:rsidR="21745672" w:rsidP="7EE60C8C" w:rsidRDefault="21745672" w14:paraId="6485827A" w14:textId="09765A0E">
      <w:pPr>
        <w:pStyle w:val="Normal"/>
        <w:rPr>
          <w:b w:val="1"/>
          <w:bCs w:val="1"/>
        </w:rPr>
      </w:pPr>
      <w:r w:rsidRPr="7EE60C8C" w:rsidR="21745672">
        <w:rPr>
          <w:b w:val="1"/>
          <w:bCs w:val="1"/>
        </w:rPr>
        <w:t xml:space="preserve">3.3 Treatment Limitations </w:t>
      </w:r>
    </w:p>
    <w:p w:rsidR="21745672" w:rsidP="7EE60C8C" w:rsidRDefault="21745672" w14:paraId="21166970" w14:textId="05165C9B">
      <w:pPr>
        <w:pStyle w:val="Normal"/>
      </w:pPr>
      <w:r w:rsidR="21745672">
        <w:rPr/>
        <w:t xml:space="preserve"> </w:t>
      </w:r>
      <w:r w:rsidR="21745672">
        <w:rPr/>
        <w:t>Approximately 50% of all RA patients do not respond adequately to methotrexate treatment, needing escalation (Combe et al., 2025). Because of the disease's complicated immune-mediated nature, many patients struggle to achieve long-term remission (</w:t>
      </w:r>
      <w:r w:rsidR="21745672">
        <w:rPr/>
        <w:t>MedComm</w:t>
      </w:r>
      <w:r w:rsidR="21745672">
        <w:rPr/>
        <w:t xml:space="preserve">, 2024). Biologics involve the risk of severe and opportunistic infections, and JAK inhibitors have been linked to cardiovascular and oncological side effects, which will be discussed in the next section. Short follow-up durations, diverse outcome measures, and small sample numbers also restrict the generalisability of rehabilitation studies' findings (Vliet Vlieland, 2006. </w:t>
      </w:r>
    </w:p>
    <w:p w:rsidR="21745672" w:rsidP="7EE60C8C" w:rsidRDefault="21745672" w14:paraId="261E8FD7" w14:textId="633BFB1E">
      <w:pPr>
        <w:pStyle w:val="Normal"/>
      </w:pPr>
      <w:r w:rsidR="21745672">
        <w:rPr/>
        <w:t xml:space="preserve"> </w:t>
      </w:r>
    </w:p>
    <w:p w:rsidR="21745672" w:rsidP="7EE60C8C" w:rsidRDefault="21745672" w14:paraId="67B03274" w14:textId="6941F3D1">
      <w:pPr>
        <w:pStyle w:val="Normal"/>
      </w:pPr>
      <w:r w:rsidR="21745672">
        <w:rPr/>
        <w:t xml:space="preserve"> </w:t>
      </w:r>
    </w:p>
    <w:p w:rsidR="21745672" w:rsidP="7EE60C8C" w:rsidRDefault="21745672" w14:paraId="15720160" w14:textId="69054A1E">
      <w:pPr>
        <w:pStyle w:val="Normal"/>
      </w:pPr>
      <w:r w:rsidR="21745672">
        <w:rPr/>
        <w:t xml:space="preserve"> </w:t>
      </w:r>
    </w:p>
    <w:p w:rsidR="21745672" w:rsidP="7EE60C8C" w:rsidRDefault="21745672" w14:paraId="23B84D40" w14:textId="41BFC484">
      <w:pPr>
        <w:pStyle w:val="Normal"/>
        <w:rPr>
          <w:b w:val="1"/>
          <w:bCs w:val="1"/>
        </w:rPr>
      </w:pPr>
      <w:r w:rsidRPr="7EE60C8C" w:rsidR="21745672">
        <w:rPr>
          <w:b w:val="1"/>
          <w:bCs w:val="1"/>
        </w:rPr>
        <w:t xml:space="preserve">4. Current Debates and Emerging Issues </w:t>
      </w:r>
    </w:p>
    <w:p w:rsidR="21745672" w:rsidP="7EE60C8C" w:rsidRDefault="21745672" w14:paraId="3FCD6A39" w14:textId="42CFAF13">
      <w:pPr>
        <w:pStyle w:val="Normal"/>
        <w:rPr>
          <w:b w:val="1"/>
          <w:bCs w:val="1"/>
        </w:rPr>
      </w:pPr>
      <w:r w:rsidRPr="7EE60C8C" w:rsidR="21745672">
        <w:rPr>
          <w:b w:val="1"/>
          <w:bCs w:val="1"/>
        </w:rPr>
        <w:t xml:space="preserve"> </w:t>
      </w:r>
    </w:p>
    <w:p w:rsidR="21745672" w:rsidP="7EE60C8C" w:rsidRDefault="21745672" w14:paraId="344FE13C" w14:textId="4F7C864D">
      <w:pPr>
        <w:pStyle w:val="Normal"/>
        <w:rPr>
          <w:b w:val="1"/>
          <w:bCs w:val="1"/>
        </w:rPr>
      </w:pPr>
      <w:r w:rsidRPr="7EE60C8C" w:rsidR="21745672">
        <w:rPr>
          <w:b w:val="1"/>
          <w:bCs w:val="1"/>
        </w:rPr>
        <w:t xml:space="preserve">4.1 JAK Inhibitor Safety </w:t>
      </w:r>
    </w:p>
    <w:p w:rsidR="21745672" w:rsidP="7EE60C8C" w:rsidRDefault="21745672" w14:paraId="62D06F29" w14:textId="25DC4A48">
      <w:pPr>
        <w:pStyle w:val="Normal"/>
      </w:pPr>
      <w:r w:rsidRPr="7EE60C8C" w:rsidR="21745672">
        <w:rPr>
          <w:b w:val="1"/>
          <w:bCs w:val="1"/>
        </w:rPr>
        <w:t xml:space="preserve"> </w:t>
      </w:r>
      <w:r w:rsidR="21745672">
        <w:rPr/>
        <w:t xml:space="preserve">The safety of JAK inhibitors is the most hotly debated pharmacological issue in RA today. The FDA-mandated ORAL Surveillance post-marketing study discovered increased rates of malignancies and major adverse cardiovascular events with tofacitinib versus TNF inhibitors in patients with cardiovascular risk factors, prompting expanded class warnings from both the FDA (2021) and the EMA (2022) (Ballard et al., 2024). A disproportionality analysis of the FAERS database (2012-2022) identified distinct risk profiles: baricitinib had the highest cardiovascular (ROR = 1.63) and cancer risk (ROR = 2.17); upadacitinib was associated with respiratory and gastrointestinal events; and tofacitinib had a lower overall cancer risk (Wiley et al., 2024). Despite these cautions, JAK inhibitor prescriptions in England quadrupled between January 2019 and August 2023 (Ballard et al., 2024). Notably, patient satisfaction with JAK inhibitors was greater (39%) than with biologics (25%), </w:t>
      </w:r>
      <w:r w:rsidR="21745672">
        <w:rPr/>
        <w:t>indicating</w:t>
      </w:r>
      <w:r w:rsidR="21745672">
        <w:rPr/>
        <w:t xml:space="preserve"> a conflict between clinical safety data and patient-reported quality of life outcomes (Ballard et al., 2024). </w:t>
      </w:r>
    </w:p>
    <w:p w:rsidR="21745672" w:rsidP="7EE60C8C" w:rsidRDefault="21745672" w14:paraId="1EB84FB1" w14:textId="38AE0028">
      <w:pPr>
        <w:pStyle w:val="Normal"/>
      </w:pPr>
      <w:r w:rsidR="21745672">
        <w:rPr/>
        <w:t xml:space="preserve"> </w:t>
      </w:r>
    </w:p>
    <w:p w:rsidR="7EE60C8C" w:rsidP="7EE60C8C" w:rsidRDefault="7EE60C8C" w14:paraId="0AF6FE80" w14:textId="0A65CC23">
      <w:pPr>
        <w:pStyle w:val="Normal"/>
        <w:rPr>
          <w:b w:val="1"/>
          <w:bCs w:val="1"/>
        </w:rPr>
      </w:pPr>
    </w:p>
    <w:p w:rsidR="7EE60C8C" w:rsidP="7EE60C8C" w:rsidRDefault="7EE60C8C" w14:paraId="48E02712" w14:textId="156197FB">
      <w:pPr>
        <w:pStyle w:val="Normal"/>
        <w:rPr>
          <w:b w:val="1"/>
          <w:bCs w:val="1"/>
        </w:rPr>
      </w:pPr>
    </w:p>
    <w:p w:rsidR="21745672" w:rsidP="7EE60C8C" w:rsidRDefault="21745672" w14:paraId="0C72F00A" w14:textId="33B36BBB">
      <w:pPr>
        <w:pStyle w:val="Normal"/>
      </w:pPr>
      <w:r w:rsidRPr="7EE60C8C" w:rsidR="21745672">
        <w:rPr>
          <w:b w:val="1"/>
          <w:bCs w:val="1"/>
        </w:rPr>
        <w:t xml:space="preserve">4.2 Classification Debates and Emerging Issues </w:t>
      </w:r>
    </w:p>
    <w:p w:rsidR="21745672" w:rsidP="7EE60C8C" w:rsidRDefault="21745672" w14:paraId="5FE52F73" w14:textId="74095008">
      <w:pPr>
        <w:pStyle w:val="Normal"/>
      </w:pPr>
      <w:r w:rsidR="21745672">
        <w:rPr/>
        <w:t xml:space="preserve"> </w:t>
      </w:r>
      <w:r w:rsidR="21745672">
        <w:rPr/>
        <w:t>The ICD-11 reclassification introduced new diagnostic categories for chronic secondary musculoskeletal pain, sparking debate over whether conditions like fibromyalgia and non-specific chronic MSK pain are "diseases," "disorders," or symptom clusters. The categorisation language has a direct impact on patient identity, insurance eligibility, and access to healthcare. Scholars contend that the ICD-11's usage of "disease" for biologically specified diseases (such as RA) and "disorder" for less-defined disorders implies a diagnostic legitimacy hierarchy that might marginalise persons suffering from chronic pain syndromes</w:t>
      </w:r>
      <w:r w:rsidR="21745672">
        <w:rPr/>
        <w:t xml:space="preserve">.  </w:t>
      </w:r>
    </w:p>
    <w:p w:rsidR="21745672" w:rsidP="7EE60C8C" w:rsidRDefault="21745672" w14:paraId="08217A57" w14:textId="4A0587D9">
      <w:pPr>
        <w:pStyle w:val="Normal"/>
      </w:pPr>
      <w:r w:rsidR="21745672">
        <w:rPr/>
        <w:t xml:space="preserve"> </w:t>
      </w:r>
    </w:p>
    <w:p w:rsidR="21745672" w:rsidP="7EE60C8C" w:rsidRDefault="21745672" w14:paraId="7CFAF2BA" w14:textId="0ACA868F">
      <w:pPr>
        <w:pStyle w:val="Normal"/>
      </w:pPr>
      <w:r w:rsidR="21745672">
        <w:rPr/>
        <w:t xml:space="preserve"> </w:t>
      </w:r>
    </w:p>
    <w:p w:rsidR="21745672" w:rsidP="7EE60C8C" w:rsidRDefault="21745672" w14:paraId="5DEED355" w14:textId="121EA812">
      <w:pPr>
        <w:pStyle w:val="Normal"/>
      </w:pPr>
      <w:r w:rsidR="21745672">
        <w:rPr/>
        <w:t xml:space="preserve"> </w:t>
      </w:r>
    </w:p>
    <w:p w:rsidR="21745672" w:rsidP="7EE60C8C" w:rsidRDefault="21745672" w14:paraId="472A71F7" w14:textId="7CBD7FC5">
      <w:pPr>
        <w:pStyle w:val="Normal"/>
      </w:pPr>
      <w:r w:rsidR="21745672">
        <w:rPr/>
        <w:t xml:space="preserve">Emerging precision medicine methods are a significant development in RA management. Researchers at Vienna's CeMM Institute created "Pharmacoscopy," a microscopy-based technology that assesses individual patient immune cell responses to medications ex vivo to enable tailored therapy selection (Kartnig et al., 2025). This technique, published in eBioMedicine (2025), is a positive step forward beyond trial-and-error prescription. Biomarker-driven therapy algorithms, multi-omics profiling, and machine learning models for predicting medication response are all being studied, with the potential to significantly minimise treatment failure and side effects (Combe et al., 2025; Open Access Rheumatology, 2024). </w:t>
      </w:r>
    </w:p>
    <w:p w:rsidR="21745672" w:rsidP="7EE60C8C" w:rsidRDefault="21745672" w14:paraId="06AA2B52" w14:textId="2107290B">
      <w:pPr>
        <w:pStyle w:val="Normal"/>
      </w:pPr>
      <w:r w:rsidR="21745672">
        <w:rPr/>
        <w:t xml:space="preserve"> </w:t>
      </w:r>
    </w:p>
    <w:p w:rsidR="7EE60C8C" w:rsidP="7EE60C8C" w:rsidRDefault="7EE60C8C" w14:paraId="0C394AC6" w14:textId="1A00909E">
      <w:pPr>
        <w:pStyle w:val="Normal"/>
        <w:rPr>
          <w:b w:val="1"/>
          <w:bCs w:val="1"/>
        </w:rPr>
      </w:pPr>
    </w:p>
    <w:p w:rsidR="21745672" w:rsidP="7EE60C8C" w:rsidRDefault="21745672" w14:paraId="5F305757" w14:textId="1F425AD8">
      <w:pPr>
        <w:pStyle w:val="Normal"/>
      </w:pPr>
      <w:r w:rsidRPr="7EE60C8C" w:rsidR="21745672">
        <w:rPr>
          <w:b w:val="1"/>
          <w:bCs w:val="1"/>
        </w:rPr>
        <w:t xml:space="preserve">4.3 Health Inequalities </w:t>
      </w:r>
    </w:p>
    <w:p w:rsidR="21745672" w:rsidP="7EE60C8C" w:rsidRDefault="21745672" w14:paraId="351FBAFF" w14:textId="7CB20967">
      <w:pPr>
        <w:pStyle w:val="Normal"/>
      </w:pPr>
      <w:r w:rsidR="21745672">
        <w:rPr/>
        <w:t xml:space="preserve"> </w:t>
      </w:r>
      <w:r w:rsidR="21745672">
        <w:rPr/>
        <w:t xml:space="preserve">The Arthritis and Musculoskeletal Alliance (ARMA) 2024 national inquiry, the first of its kind, discovered that poverty, educational disadvantage, unemployment, and environmental barriers to physical activity are key social determinants of poor MSK health in the UK (Arthritis and Musculoskeletal Alliance, 2024; Pain Concern, 2025). The study found that the NHS alone cannot eliminate MSK disparities and that intersectoral intervention spanning housing, employment, and public health is </w:t>
      </w:r>
      <w:r w:rsidR="21745672">
        <w:rPr/>
        <w:t>required</w:t>
      </w:r>
      <w:r w:rsidR="21745672">
        <w:rPr/>
        <w:t xml:space="preserve"> (Arthritis and Musculoskeletal Alliance, 2024). According to UK government statistics, persons with MSK disorders are 1.4 times more likely to have a mental health illness, with an odds ratio of 3.0 in the 35-44 age range (UK government/OHID, 2024). According to research, 47.1% of MSK rehabilitation inpatients satisfied the criteria for a present psychiatric condition (Muller et al., 2002), highlighting the limitations of solely physical approaches to MSK therapy. </w:t>
      </w:r>
    </w:p>
    <w:p w:rsidR="21745672" w:rsidP="7EE60C8C" w:rsidRDefault="21745672" w14:paraId="286D33E6" w14:textId="5A763480">
      <w:pPr>
        <w:pStyle w:val="Normal"/>
      </w:pPr>
      <w:r w:rsidR="21745672">
        <w:rPr/>
        <w:t xml:space="preserve"> </w:t>
      </w:r>
    </w:p>
    <w:p w:rsidR="21745672" w:rsidP="7EE60C8C" w:rsidRDefault="21745672" w14:paraId="6C31DF02" w14:textId="331368B8">
      <w:pPr>
        <w:pStyle w:val="Normal"/>
      </w:pPr>
      <w:r w:rsidR="21745672">
        <w:rPr/>
        <w:t xml:space="preserve"> </w:t>
      </w:r>
    </w:p>
    <w:p w:rsidR="21745672" w:rsidP="7EE60C8C" w:rsidRDefault="21745672" w14:paraId="25907A59" w14:textId="3A933DFD">
      <w:pPr>
        <w:pStyle w:val="Normal"/>
      </w:pPr>
      <w:r w:rsidRPr="7EE60C8C" w:rsidR="21745672">
        <w:rPr>
          <w:b w:val="1"/>
          <w:bCs w:val="1"/>
        </w:rPr>
        <w:t xml:space="preserve">5. Recommendations </w:t>
      </w:r>
    </w:p>
    <w:p w:rsidR="21745672" w:rsidP="7EE60C8C" w:rsidRDefault="21745672" w14:paraId="6A7468F1" w14:textId="228F662D">
      <w:pPr>
        <w:pStyle w:val="ListParagraph"/>
        <w:numPr>
          <w:ilvl w:val="0"/>
          <w:numId w:val="7"/>
        </w:numPr>
        <w:rPr/>
      </w:pPr>
      <w:r w:rsidR="21745672">
        <w:rPr/>
        <w:t xml:space="preserve"> </w:t>
      </w:r>
      <w:r w:rsidR="21745672">
        <w:rPr/>
        <w:t xml:space="preserve">Accelerate ICD-11 implementation in NHS coding to routinely include RA subclassifications (FA20.0/FA20.1), allowing for more precise epidemiological surveillance and </w:t>
      </w:r>
      <w:r w:rsidR="21745672">
        <w:rPr/>
        <w:t>equitable</w:t>
      </w:r>
      <w:r w:rsidR="21745672">
        <w:rPr/>
        <w:t xml:space="preserve"> resource allocation (findacode.com, 2025a)</w:t>
      </w:r>
      <w:r w:rsidR="21745672">
        <w:rPr/>
        <w:t xml:space="preserve">.  </w:t>
      </w:r>
    </w:p>
    <w:p w:rsidR="21745672" w:rsidP="7EE60C8C" w:rsidRDefault="21745672" w14:paraId="5C15B85B" w14:textId="5661A972">
      <w:pPr>
        <w:pStyle w:val="ListParagraph"/>
        <w:ind w:left="720"/>
      </w:pPr>
      <w:r w:rsidR="21745672">
        <w:rPr/>
        <w:t xml:space="preserve"> </w:t>
      </w:r>
    </w:p>
    <w:p w:rsidR="21745672" w:rsidP="7EE60C8C" w:rsidRDefault="21745672" w14:paraId="768FBC0A" w14:textId="707D39AA">
      <w:pPr>
        <w:pStyle w:val="ListParagraph"/>
        <w:ind w:left="720"/>
      </w:pPr>
      <w:r w:rsidR="21745672">
        <w:rPr/>
        <w:t xml:space="preserve"> </w:t>
      </w:r>
    </w:p>
    <w:p w:rsidR="21745672" w:rsidP="7EE60C8C" w:rsidRDefault="21745672" w14:paraId="067C64EF" w14:textId="45E684D4">
      <w:pPr>
        <w:pStyle w:val="Normal"/>
        <w:ind w:left="0"/>
      </w:pPr>
      <w:r w:rsidR="21745672">
        <w:rPr/>
        <w:t xml:space="preserve"> </w:t>
      </w:r>
    </w:p>
    <w:p w:rsidR="21745672" w:rsidP="7EE60C8C" w:rsidRDefault="21745672" w14:paraId="4A2AFEE7" w14:textId="4464A7E7">
      <w:pPr>
        <w:pStyle w:val="ListParagraph"/>
        <w:numPr>
          <w:ilvl w:val="0"/>
          <w:numId w:val="7"/>
        </w:numPr>
        <w:rPr/>
      </w:pPr>
      <w:r w:rsidR="1CEB2499">
        <w:rPr/>
        <w:t>Improve early RA detection in general care by teaching GPs on the 2010 ACR/EULAR criteria and NICE NG100 urgent referral procedures, resulting in shorter diagnostic delays for seronegative patients (</w:t>
      </w:r>
      <w:r w:rsidR="14898017">
        <w:rPr/>
        <w:t>Aletha</w:t>
      </w:r>
      <w:r w:rsidR="1CEB2499">
        <w:rPr/>
        <w:t xml:space="preserve"> and </w:t>
      </w:r>
      <w:r w:rsidR="1CEB2499">
        <w:rPr/>
        <w:t>Neogi</w:t>
      </w:r>
      <w:r w:rsidR="1CEB2499">
        <w:rPr/>
        <w:t>, 2010; NICE, 2024b)</w:t>
      </w:r>
      <w:r w:rsidR="1CEB2499">
        <w:rPr/>
        <w:t xml:space="preserve">.  </w:t>
      </w:r>
    </w:p>
    <w:p w:rsidR="21745672" w:rsidP="7EE60C8C" w:rsidRDefault="21745672" w14:paraId="5034E2BC" w14:textId="60802DEE">
      <w:pPr>
        <w:pStyle w:val="ListParagraph"/>
        <w:ind w:left="720"/>
      </w:pPr>
      <w:r w:rsidR="21745672">
        <w:rPr/>
        <w:t xml:space="preserve"> </w:t>
      </w:r>
    </w:p>
    <w:p w:rsidR="21745672" w:rsidP="7EE60C8C" w:rsidRDefault="21745672" w14:paraId="1775C6C6" w14:textId="2D7D4DB6">
      <w:pPr>
        <w:pStyle w:val="ListParagraph"/>
        <w:numPr>
          <w:ilvl w:val="0"/>
          <w:numId w:val="8"/>
        </w:numPr>
        <w:rPr/>
      </w:pPr>
      <w:r w:rsidR="1CEB2499">
        <w:rPr/>
        <w:t xml:space="preserve">To solve the present 26% referral shortfall, mandate comprehensive rehabilitation </w:t>
      </w:r>
      <w:r w:rsidR="540DEC74">
        <w:rPr/>
        <w:t>now</w:t>
      </w:r>
      <w:r w:rsidR="1CEB2499">
        <w:rPr/>
        <w:t xml:space="preserve"> of diagnosis, including physiotherapy and occupational therapy in early inflammatory arthritis clinics (Bijlsma et al., 2025; Verhoef et al., 2005)</w:t>
      </w:r>
      <w:r w:rsidR="1CEB2499">
        <w:rPr/>
        <w:t xml:space="preserve">.  </w:t>
      </w:r>
    </w:p>
    <w:p w:rsidR="21745672" w:rsidP="7EE60C8C" w:rsidRDefault="21745672" w14:paraId="71813BDB" w14:textId="51C14C5A">
      <w:pPr>
        <w:pStyle w:val="ListParagraph"/>
        <w:ind w:left="720"/>
      </w:pPr>
      <w:r w:rsidR="21745672">
        <w:rPr/>
        <w:t xml:space="preserve"> </w:t>
      </w:r>
    </w:p>
    <w:p w:rsidR="21745672" w:rsidP="7EE60C8C" w:rsidRDefault="21745672" w14:paraId="1424943C" w14:textId="4CACF7D5">
      <w:pPr>
        <w:pStyle w:val="ListParagraph"/>
        <w:ind w:left="720"/>
      </w:pPr>
      <w:r w:rsidR="21745672">
        <w:rPr/>
        <w:t xml:space="preserve"> </w:t>
      </w:r>
    </w:p>
    <w:p w:rsidR="21745672" w:rsidP="7EE60C8C" w:rsidRDefault="21745672" w14:paraId="493D1829" w14:textId="5EE4F9D6">
      <w:pPr>
        <w:pStyle w:val="ListParagraph"/>
        <w:ind w:left="720"/>
      </w:pPr>
      <w:r w:rsidR="21745672">
        <w:rPr/>
        <w:t xml:space="preserve"> </w:t>
      </w:r>
    </w:p>
    <w:p w:rsidR="21745672" w:rsidP="7EE60C8C" w:rsidRDefault="21745672" w14:paraId="19CC86ED" w14:textId="4961D836">
      <w:pPr>
        <w:pStyle w:val="ListParagraph"/>
        <w:numPr>
          <w:ilvl w:val="0"/>
          <w:numId w:val="7"/>
        </w:numPr>
        <w:rPr/>
      </w:pPr>
      <w:r w:rsidR="1CEB2499">
        <w:rPr/>
        <w:t xml:space="preserve">Before prescribing a JAK inhibitor, use tailored risk stratification that </w:t>
      </w:r>
      <w:r w:rsidR="60E2990A">
        <w:rPr/>
        <w:t>considers</w:t>
      </w:r>
      <w:r w:rsidR="1CEB2499">
        <w:rPr/>
        <w:t xml:space="preserve"> cardiovascular history, cancer history, age, and comorbidities, as well as co-produced patient information materials that reflect real-world safety evidence</w:t>
      </w:r>
      <w:r w:rsidR="1CEB2499">
        <w:rPr/>
        <w:t xml:space="preserve">.  </w:t>
      </w:r>
    </w:p>
    <w:p w:rsidR="21745672" w:rsidP="7EE60C8C" w:rsidRDefault="21745672" w14:paraId="637C91A7" w14:textId="25E6D4E2">
      <w:pPr>
        <w:pStyle w:val="ListParagraph"/>
        <w:ind w:left="720"/>
      </w:pPr>
      <w:r w:rsidR="21745672">
        <w:rPr/>
        <w:t xml:space="preserve"> </w:t>
      </w:r>
    </w:p>
    <w:p w:rsidR="21745672" w:rsidP="7EE60C8C" w:rsidRDefault="21745672" w14:paraId="3C0227A2" w14:textId="117B1225">
      <w:pPr>
        <w:pStyle w:val="Normal"/>
        <w:ind w:left="0"/>
      </w:pPr>
      <w:r w:rsidR="21745672">
        <w:rPr/>
        <w:t xml:space="preserve"> </w:t>
      </w:r>
    </w:p>
    <w:p w:rsidR="21745672" w:rsidP="7EE60C8C" w:rsidRDefault="21745672" w14:paraId="4FCAC6B4" w14:textId="4C3C1D80">
      <w:pPr>
        <w:pStyle w:val="ListParagraph"/>
        <w:ind w:left="720"/>
      </w:pPr>
      <w:r w:rsidR="21745672">
        <w:rPr/>
        <w:t xml:space="preserve"> </w:t>
      </w:r>
    </w:p>
    <w:p w:rsidR="21745672" w:rsidP="7EE60C8C" w:rsidRDefault="21745672" w14:paraId="2588F720" w14:textId="30D3D136">
      <w:pPr>
        <w:pStyle w:val="ListParagraph"/>
        <w:numPr>
          <w:ilvl w:val="0"/>
          <w:numId w:val="7"/>
        </w:numPr>
        <w:rPr/>
      </w:pPr>
      <w:r w:rsidR="21745672">
        <w:rPr/>
        <w:t xml:space="preserve">Address MSK health disparities through intersectoral policy, coordinating NHS, local government, housing, and employment agencies to target the social determinants of poor MSK outcomes in deprived communities (Arthritis and Musculoskeletal Alliance, 2024; Chartered Society of Physiotherapy, 2024).  </w:t>
      </w:r>
    </w:p>
    <w:p w:rsidR="21745672" w:rsidP="7EE60C8C" w:rsidRDefault="21745672" w14:paraId="37002798" w14:textId="12BFBD22">
      <w:pPr>
        <w:pStyle w:val="ListParagraph"/>
        <w:ind w:left="720"/>
      </w:pPr>
      <w:r w:rsidR="21745672">
        <w:rPr/>
        <w:t xml:space="preserve"> </w:t>
      </w:r>
    </w:p>
    <w:p w:rsidR="21745672" w:rsidP="7EE60C8C" w:rsidRDefault="21745672" w14:paraId="573D9317" w14:textId="7B3BA9DA">
      <w:pPr>
        <w:pStyle w:val="ListParagraph"/>
        <w:ind w:left="720"/>
      </w:pPr>
      <w:r w:rsidR="21745672">
        <w:rPr/>
        <w:t xml:space="preserve"> </w:t>
      </w:r>
    </w:p>
    <w:p w:rsidR="21745672" w:rsidP="7EE60C8C" w:rsidRDefault="21745672" w14:paraId="2297B246" w14:textId="30507F06">
      <w:pPr>
        <w:pStyle w:val="ListParagraph"/>
        <w:ind w:left="720"/>
      </w:pPr>
      <w:r w:rsidR="21745672">
        <w:rPr/>
        <w:t xml:space="preserve"> </w:t>
      </w:r>
    </w:p>
    <w:p w:rsidR="21745672" w:rsidP="7EE60C8C" w:rsidRDefault="21745672" w14:paraId="4D764277" w14:textId="5D6717E2">
      <w:pPr>
        <w:pStyle w:val="ListParagraph"/>
        <w:numPr>
          <w:ilvl w:val="0"/>
          <w:numId w:val="7"/>
        </w:numPr>
        <w:rPr/>
      </w:pPr>
      <w:r w:rsidR="1CEB2499">
        <w:rPr/>
        <w:t xml:space="preserve">Given the proven co-occurrence of anxiety and depression, integrate mental health screening throughout all MSK treatment </w:t>
      </w:r>
      <w:r w:rsidRPr="07C59833" w:rsidR="2626FF48">
        <w:rPr>
          <w:noProof w:val="0"/>
          <w:lang w:val="en-GB"/>
        </w:rPr>
        <w:t>pathways and</w:t>
      </w:r>
      <w:r w:rsidR="1CEB2499">
        <w:rPr/>
        <w:t xml:space="preserve"> incorporate psychological support in specialised rheumatology teams (Muller et al., 2002; UK Government/OHID, 2024)</w:t>
      </w:r>
      <w:r w:rsidR="1CEB2499">
        <w:rPr/>
        <w:t xml:space="preserve">.  </w:t>
      </w:r>
    </w:p>
    <w:p w:rsidR="21745672" w:rsidP="7EE60C8C" w:rsidRDefault="21745672" w14:paraId="1B01D9DE" w14:textId="11D1DC25">
      <w:pPr>
        <w:pStyle w:val="ListParagraph"/>
        <w:ind w:left="720"/>
      </w:pPr>
      <w:r w:rsidR="21745672">
        <w:rPr/>
        <w:t xml:space="preserve"> </w:t>
      </w:r>
    </w:p>
    <w:p w:rsidR="21745672" w:rsidP="7EE60C8C" w:rsidRDefault="21745672" w14:paraId="53959B57" w14:textId="017E081C">
      <w:pPr>
        <w:pStyle w:val="ListParagraph"/>
        <w:ind w:left="720"/>
      </w:pPr>
      <w:r w:rsidR="21745672">
        <w:rPr/>
        <w:t xml:space="preserve"> </w:t>
      </w:r>
    </w:p>
    <w:p w:rsidR="21745672" w:rsidP="7EE60C8C" w:rsidRDefault="21745672" w14:paraId="61FFFA98" w14:textId="2E4609D8">
      <w:pPr>
        <w:pStyle w:val="ListParagraph"/>
        <w:ind w:left="720"/>
      </w:pPr>
      <w:r w:rsidR="21745672">
        <w:rPr/>
        <w:t xml:space="preserve"> </w:t>
      </w:r>
    </w:p>
    <w:p w:rsidR="21745672" w:rsidP="7EE60C8C" w:rsidRDefault="21745672" w14:paraId="1D1783FD" w14:textId="4E4AC3A0">
      <w:pPr>
        <w:pStyle w:val="ListParagraph"/>
        <w:numPr>
          <w:ilvl w:val="0"/>
          <w:numId w:val="7"/>
        </w:numPr>
        <w:rPr/>
      </w:pPr>
      <w:r w:rsidR="21745672">
        <w:rPr/>
        <w:t xml:space="preserve">Fund precision medicine translational research through NIHR and Versus Arthritis, with a focus on pharmacoscopy, biomarker-driven medication selection, and machine learning prognostic tools in varied patient groups (Combe et al., 2025; Kartnig et al., 2025). </w:t>
      </w:r>
    </w:p>
    <w:p w:rsidR="21745672" w:rsidP="7EE60C8C" w:rsidRDefault="21745672" w14:paraId="4FA2B04D" w14:textId="7AD8BFC2">
      <w:pPr>
        <w:pStyle w:val="Normal"/>
      </w:pPr>
      <w:r w:rsidR="21745672">
        <w:rPr/>
        <w:t xml:space="preserve"> </w:t>
      </w:r>
    </w:p>
    <w:p w:rsidR="21745672" w:rsidP="7EE60C8C" w:rsidRDefault="21745672" w14:paraId="0CAC1077" w14:textId="7A71C4F6">
      <w:pPr>
        <w:pStyle w:val="Normal"/>
        <w:rPr>
          <w:b w:val="1"/>
          <w:bCs w:val="1"/>
        </w:rPr>
      </w:pPr>
      <w:r w:rsidRPr="7EE60C8C" w:rsidR="21745672">
        <w:rPr>
          <w:b w:val="1"/>
          <w:bCs w:val="1"/>
        </w:rPr>
        <w:t xml:space="preserve">Conclusion </w:t>
      </w:r>
    </w:p>
    <w:p w:rsidR="21745672" w:rsidP="7EE60C8C" w:rsidRDefault="21745672" w14:paraId="75DEE9BD" w14:textId="776AB278">
      <w:pPr>
        <w:pStyle w:val="Normal"/>
      </w:pPr>
      <w:r w:rsidR="21745672">
        <w:rPr/>
        <w:t xml:space="preserve"> </w:t>
      </w:r>
      <w:r w:rsidR="21745672">
        <w:rPr/>
        <w:t xml:space="preserve">Rheumatoid arthritis, ICD-11 FA20, </w:t>
      </w:r>
      <w:r w:rsidR="21745672">
        <w:rPr/>
        <w:t>demonstrates</w:t>
      </w:r>
      <w:r w:rsidR="21745672">
        <w:rPr/>
        <w:t xml:space="preserve"> the complicated problems presented by illnesses of the musculoskeletal system and connective tissue. The transition from ICD-10 to ICD-11 increased diagnostic granularity, and the 2010 ACR/EULAR criteria improved early illness diagnosis (</w:t>
      </w:r>
      <w:r w:rsidR="21745672">
        <w:rPr/>
        <w:t>Aletaha</w:t>
      </w:r>
      <w:r w:rsidR="21745672">
        <w:rPr/>
        <w:t xml:space="preserve"> and </w:t>
      </w:r>
      <w:r w:rsidR="21745672">
        <w:rPr/>
        <w:t>Neogi</w:t>
      </w:r>
      <w:r w:rsidR="21745672">
        <w:rPr/>
        <w:t xml:space="preserve">, 2010; findacode.com, 2025a). DMARDs, biologics, and JAK inhibitors have altered treatment, but disputes about JAK inhibitor safety, health disparities, and the shift to precision medicine underscore the need for more research (Combe et al., 2025; Ballard et al., 2024). Recommendations for standardised early referral, integrated rehabilitation, tailored prescription, and intersectoral action on socioeconomic factors provide </w:t>
      </w:r>
      <w:r w:rsidR="21745672">
        <w:rPr/>
        <w:t>a feasible</w:t>
      </w:r>
      <w:r w:rsidR="21745672">
        <w:rPr/>
        <w:t xml:space="preserve"> road map for improving individual and population-level MSK health.</w:t>
      </w:r>
    </w:p>
    <w:p w:rsidR="7EE60C8C" w:rsidRDefault="7EE60C8C" w14:paraId="20F44D96" w14:textId="0C5DDA77"/>
    <w:p w:rsidR="7EE60C8C" w:rsidRDefault="7EE60C8C" w14:paraId="630E5FBF" w14:textId="36F1F745"/>
    <w:p w:rsidR="7EE60C8C" w:rsidP="7EE60C8C" w:rsidRDefault="7EE60C8C" w14:paraId="785C5255" w14:textId="606763AA">
      <w:pPr>
        <w:pStyle w:val="Heading2"/>
        <w:spacing w:before="299" w:beforeAutospacing="off" w:after="299" w:afterAutospacing="off"/>
        <w:rPr>
          <w:rFonts w:ascii="Arial Nova" w:hAnsi="Arial Nova" w:eastAsia="Arial Nova" w:cs="Arial Nova"/>
          <w:b w:val="1"/>
          <w:bCs w:val="1"/>
          <w:sz w:val="36"/>
          <w:szCs w:val="36"/>
        </w:rPr>
      </w:pPr>
    </w:p>
    <w:p w:rsidR="1C6B685B" w:rsidP="7EE60C8C" w:rsidRDefault="1C6B685B" w14:paraId="3382D5E9" w14:textId="3D2EBADE">
      <w:pPr>
        <w:pStyle w:val="Heading2"/>
        <w:spacing w:before="299" w:beforeAutospacing="off" w:after="299" w:afterAutospacing="off"/>
      </w:pPr>
      <w:r w:rsidRPr="7EE60C8C" w:rsidR="1C6B685B">
        <w:rPr>
          <w:rFonts w:ascii="Arial Nova" w:hAnsi="Arial Nova" w:eastAsia="Arial Nova" w:cs="Arial Nova"/>
          <w:b w:val="1"/>
          <w:bCs w:val="1"/>
          <w:sz w:val="36"/>
          <w:szCs w:val="36"/>
        </w:rPr>
        <w:t>Reference List</w:t>
      </w:r>
    </w:p>
    <w:p w:rsidR="7EE60C8C" w:rsidRDefault="7EE60C8C" w14:paraId="58794791" w14:textId="5740E06A"/>
    <w:p w:rsidR="1CFCC96B" w:rsidP="7EE60C8C" w:rsidRDefault="1CFCC96B" w14:paraId="6EB20D7A" w14:textId="369F357D">
      <w:pPr>
        <w:pStyle w:val="Normal"/>
      </w:pPr>
      <w:r w:rsidRPr="7EE60C8C" w:rsidR="1CFCC96B">
        <w:rPr>
          <w:rFonts w:ascii="Arial Nova" w:hAnsi="Arial Nova" w:eastAsia="Arial Nova" w:cs="Arial Nova"/>
          <w:noProof w:val="0"/>
          <w:sz w:val="24"/>
          <w:szCs w:val="24"/>
          <w:lang w:val="en-GB"/>
        </w:rPr>
        <w:t xml:space="preserve">Aletaha, D. and </w:t>
      </w:r>
      <w:r w:rsidRPr="7EE60C8C" w:rsidR="1CFCC96B">
        <w:rPr>
          <w:rFonts w:ascii="Arial Nova" w:hAnsi="Arial Nova" w:eastAsia="Arial Nova" w:cs="Arial Nova"/>
          <w:noProof w:val="0"/>
          <w:sz w:val="24"/>
          <w:szCs w:val="24"/>
          <w:lang w:val="en-GB"/>
        </w:rPr>
        <w:t>Neogi</w:t>
      </w:r>
      <w:r w:rsidRPr="7EE60C8C" w:rsidR="1CFCC96B">
        <w:rPr>
          <w:rFonts w:ascii="Arial Nova" w:hAnsi="Arial Nova" w:eastAsia="Arial Nova" w:cs="Arial Nova"/>
          <w:noProof w:val="0"/>
          <w:sz w:val="24"/>
          <w:szCs w:val="24"/>
          <w:lang w:val="en-GB"/>
        </w:rPr>
        <w:t xml:space="preserve">, T. (2010) '2010 Rheumatoid arthritis classification criteria: an American College of Rheumatology/European League Against Rheumatism collaborative initiative', </w:t>
      </w:r>
      <w:r w:rsidRPr="7EE60C8C" w:rsidR="1CFCC96B">
        <w:rPr>
          <w:rFonts w:ascii="Arial Nova" w:hAnsi="Arial Nova" w:eastAsia="Arial Nova" w:cs="Arial Nova"/>
          <w:i w:val="1"/>
          <w:iCs w:val="1"/>
          <w:noProof w:val="0"/>
          <w:sz w:val="24"/>
          <w:szCs w:val="24"/>
          <w:lang w:val="en-GB"/>
        </w:rPr>
        <w:t>Annals of the Rheumatic Diseases</w:t>
      </w:r>
      <w:r w:rsidRPr="7EE60C8C" w:rsidR="1CFCC96B">
        <w:rPr>
          <w:rFonts w:ascii="Arial Nova" w:hAnsi="Arial Nova" w:eastAsia="Arial Nova" w:cs="Arial Nova"/>
          <w:noProof w:val="0"/>
          <w:sz w:val="24"/>
          <w:szCs w:val="24"/>
          <w:lang w:val="en-GB"/>
        </w:rPr>
        <w:t>, 69(9), pp. 1580–1588.</w:t>
      </w:r>
    </w:p>
    <w:p w:rsidR="1CFCC96B" w:rsidP="7EE60C8C" w:rsidRDefault="1CFCC96B" w14:paraId="46D6B0D6" w14:textId="65E22408">
      <w:pPr>
        <w:spacing w:before="240" w:beforeAutospacing="off" w:after="240" w:afterAutospacing="off"/>
      </w:pPr>
      <w:r w:rsidRPr="7EE60C8C" w:rsidR="1CFCC96B">
        <w:rPr>
          <w:rFonts w:ascii="Arial Nova" w:hAnsi="Arial Nova" w:eastAsia="Arial Nova" w:cs="Arial Nova"/>
          <w:noProof w:val="0"/>
          <w:sz w:val="24"/>
          <w:szCs w:val="24"/>
          <w:lang w:val="en-GB"/>
        </w:rPr>
        <w:t xml:space="preserve">Arthritis and Musculoskeletal Alliance (ARMA) (2024) </w:t>
      </w:r>
      <w:r w:rsidRPr="7EE60C8C" w:rsidR="1CFCC96B">
        <w:rPr>
          <w:rFonts w:ascii="Arial Nova" w:hAnsi="Arial Nova" w:eastAsia="Arial Nova" w:cs="Arial Nova"/>
          <w:i w:val="1"/>
          <w:iCs w:val="1"/>
          <w:noProof w:val="0"/>
          <w:sz w:val="24"/>
          <w:szCs w:val="24"/>
          <w:lang w:val="en-GB"/>
        </w:rPr>
        <w:t>Act now: musculoskeletal health inequalities and deprivation</w:t>
      </w:r>
      <w:r w:rsidRPr="7EE60C8C" w:rsidR="1CFCC96B">
        <w:rPr>
          <w:rFonts w:ascii="Arial Nova" w:hAnsi="Arial Nova" w:eastAsia="Arial Nova" w:cs="Arial Nova"/>
          <w:noProof w:val="0"/>
          <w:sz w:val="24"/>
          <w:szCs w:val="24"/>
          <w:lang w:val="en-GB"/>
        </w:rPr>
        <w:t xml:space="preserve">. London: ARMA. Available at: </w:t>
      </w:r>
      <w:hyperlink r:id="Rf0d2907154264e1d">
        <w:r w:rsidRPr="7EE60C8C" w:rsidR="1CFCC96B">
          <w:rPr>
            <w:rStyle w:val="Hyperlink"/>
            <w:noProof w:val="0"/>
            <w:lang w:val="en-GB"/>
          </w:rPr>
          <w:t>https://arma.uk.net</w:t>
        </w:r>
      </w:hyperlink>
      <w:r w:rsidRPr="7EE60C8C" w:rsidR="1CFCC96B">
        <w:rPr>
          <w:rFonts w:ascii="Arial Nova" w:hAnsi="Arial Nova" w:eastAsia="Arial Nova" w:cs="Arial Nova"/>
          <w:noProof w:val="0"/>
          <w:sz w:val="24"/>
          <w:szCs w:val="24"/>
          <w:lang w:val="en-GB"/>
        </w:rPr>
        <w:t xml:space="preserve"> (Accessed: 15 July 2026).</w:t>
      </w:r>
    </w:p>
    <w:p w:rsidR="1CFCC96B" w:rsidP="7EE60C8C" w:rsidRDefault="1CFCC96B" w14:paraId="240ACD91" w14:textId="24087F7B">
      <w:pPr>
        <w:spacing w:before="240" w:beforeAutospacing="off" w:after="240" w:afterAutospacing="off"/>
      </w:pPr>
      <w:r w:rsidRPr="7EE60C8C" w:rsidR="1CFCC96B">
        <w:rPr>
          <w:rFonts w:ascii="Arial Nova" w:hAnsi="Arial Nova" w:eastAsia="Arial Nova" w:cs="Arial Nova"/>
          <w:noProof w:val="0"/>
          <w:sz w:val="24"/>
          <w:szCs w:val="24"/>
          <w:lang w:val="en-GB"/>
        </w:rPr>
        <w:t xml:space="preserve">Ballard, R., Bowman, S. and Cope, A. (2024) 'JAK inhibitors — friend or foe?', </w:t>
      </w:r>
      <w:r w:rsidRPr="7EE60C8C" w:rsidR="1CFCC96B">
        <w:rPr>
          <w:rFonts w:ascii="Arial Nova" w:hAnsi="Arial Nova" w:eastAsia="Arial Nova" w:cs="Arial Nova"/>
          <w:i w:val="1"/>
          <w:iCs w:val="1"/>
          <w:noProof w:val="0"/>
          <w:sz w:val="24"/>
          <w:szCs w:val="24"/>
          <w:lang w:val="en-GB"/>
        </w:rPr>
        <w:t>The Lancet Rheumatology</w:t>
      </w:r>
      <w:r w:rsidRPr="7EE60C8C" w:rsidR="1CFCC96B">
        <w:rPr>
          <w:rFonts w:ascii="Arial Nova" w:hAnsi="Arial Nova" w:eastAsia="Arial Nova" w:cs="Arial Nova"/>
          <w:noProof w:val="0"/>
          <w:sz w:val="24"/>
          <w:szCs w:val="24"/>
          <w:lang w:val="en-GB"/>
        </w:rPr>
        <w:t>, 6(3), pp. e151–e160.</w:t>
      </w:r>
    </w:p>
    <w:p w:rsidR="1CFCC96B" w:rsidP="7EE60C8C" w:rsidRDefault="1CFCC96B" w14:paraId="1AA4726B" w14:textId="6E580E85">
      <w:pPr>
        <w:spacing w:before="240" w:beforeAutospacing="off" w:after="240" w:afterAutospacing="off"/>
      </w:pPr>
      <w:r w:rsidRPr="7EE60C8C" w:rsidR="1CFCC96B">
        <w:rPr>
          <w:rFonts w:ascii="Arial Nova" w:hAnsi="Arial Nova" w:eastAsia="Arial Nova" w:cs="Arial Nova"/>
          <w:noProof w:val="0"/>
          <w:sz w:val="24"/>
          <w:szCs w:val="24"/>
          <w:lang w:val="en-GB"/>
        </w:rPr>
        <w:t xml:space="preserve">Bijlsma, J.W.J., Welsing, P.M.J. and Woodworth, T.G. (2025) 'Physiotherapy and occupational therapy in rheumatoid arthritis: bridging functional and comorbidity gaps', </w:t>
      </w:r>
      <w:r w:rsidRPr="7EE60C8C" w:rsidR="1CFCC96B">
        <w:rPr>
          <w:rFonts w:ascii="Arial Nova" w:hAnsi="Arial Nova" w:eastAsia="Arial Nova" w:cs="Arial Nova"/>
          <w:i w:val="1"/>
          <w:iCs w:val="1"/>
          <w:noProof w:val="0"/>
          <w:sz w:val="24"/>
          <w:szCs w:val="24"/>
          <w:lang w:val="en-GB"/>
        </w:rPr>
        <w:t>Best Practice and Research in Clinical Rheumatology</w:t>
      </w:r>
      <w:r w:rsidRPr="7EE60C8C" w:rsidR="1CFCC96B">
        <w:rPr>
          <w:rFonts w:ascii="Arial Nova" w:hAnsi="Arial Nova" w:eastAsia="Arial Nova" w:cs="Arial Nova"/>
          <w:noProof w:val="0"/>
          <w:sz w:val="24"/>
          <w:szCs w:val="24"/>
          <w:lang w:val="en-GB"/>
        </w:rPr>
        <w:t>, 39(1), p. 102032.</w:t>
      </w:r>
    </w:p>
    <w:p w:rsidR="1CFCC96B" w:rsidP="7EE60C8C" w:rsidRDefault="1CFCC96B" w14:paraId="666462D6" w14:textId="2431EE09">
      <w:pPr>
        <w:spacing w:before="240" w:beforeAutospacing="off" w:after="240" w:afterAutospacing="off"/>
      </w:pPr>
      <w:r w:rsidRPr="7EE60C8C" w:rsidR="1CFCC96B">
        <w:rPr>
          <w:rFonts w:ascii="Arial Nova" w:hAnsi="Arial Nova" w:eastAsia="Arial Nova" w:cs="Arial Nova"/>
          <w:noProof w:val="0"/>
          <w:sz w:val="24"/>
          <w:szCs w:val="24"/>
          <w:lang w:val="en-GB"/>
        </w:rPr>
        <w:t xml:space="preserve">Cader, M.Z., Filer, A., Hazlehurst, J., de Pablo, P., Buckley, C.D. and Raza, K. (2011) 'Performance of the 2010 ACR/EULAR criteria for rheumatoid arthritis: comparison with 1987 ACR criteria in a very early synovitis cohort', </w:t>
      </w:r>
      <w:r w:rsidRPr="7EE60C8C" w:rsidR="1CFCC96B">
        <w:rPr>
          <w:rFonts w:ascii="Arial Nova" w:hAnsi="Arial Nova" w:eastAsia="Arial Nova" w:cs="Arial Nova"/>
          <w:i w:val="1"/>
          <w:iCs w:val="1"/>
          <w:noProof w:val="0"/>
          <w:sz w:val="24"/>
          <w:szCs w:val="24"/>
          <w:lang w:val="en-GB"/>
        </w:rPr>
        <w:t>Annals of the Rheumatic Diseases</w:t>
      </w:r>
      <w:r w:rsidRPr="7EE60C8C" w:rsidR="1CFCC96B">
        <w:rPr>
          <w:rFonts w:ascii="Arial Nova" w:hAnsi="Arial Nova" w:eastAsia="Arial Nova" w:cs="Arial Nova"/>
          <w:noProof w:val="0"/>
          <w:sz w:val="24"/>
          <w:szCs w:val="24"/>
          <w:lang w:val="en-GB"/>
        </w:rPr>
        <w:t>, 70(6), pp. 949–955.</w:t>
      </w:r>
    </w:p>
    <w:p w:rsidR="1CFCC96B" w:rsidP="7EE60C8C" w:rsidRDefault="1CFCC96B" w14:paraId="1F231EB8" w14:textId="33CA7A11">
      <w:pPr>
        <w:spacing w:before="240" w:beforeAutospacing="off" w:after="240" w:afterAutospacing="off"/>
      </w:pPr>
      <w:r w:rsidRPr="7EE60C8C" w:rsidR="1CFCC96B">
        <w:rPr>
          <w:rFonts w:ascii="Arial Nova" w:hAnsi="Arial Nova" w:eastAsia="Arial Nova" w:cs="Arial Nova"/>
          <w:noProof w:val="0"/>
          <w:sz w:val="24"/>
          <w:szCs w:val="24"/>
          <w:lang w:val="en-GB"/>
        </w:rPr>
        <w:t xml:space="preserve">Chartered Society of Physiotherapy (CSP) (2024) </w:t>
      </w:r>
      <w:r w:rsidRPr="7EE60C8C" w:rsidR="1CFCC96B">
        <w:rPr>
          <w:rFonts w:ascii="Arial Nova" w:hAnsi="Arial Nova" w:eastAsia="Arial Nova" w:cs="Arial Nova"/>
          <w:i w:val="1"/>
          <w:iCs w:val="1"/>
          <w:noProof w:val="0"/>
          <w:sz w:val="24"/>
          <w:szCs w:val="24"/>
          <w:lang w:val="en-GB"/>
        </w:rPr>
        <w:t>Physiotherapists are tackling musculoskeletal health inequalities</w:t>
      </w:r>
      <w:r w:rsidRPr="7EE60C8C" w:rsidR="1CFCC96B">
        <w:rPr>
          <w:rFonts w:ascii="Arial Nova" w:hAnsi="Arial Nova" w:eastAsia="Arial Nova" w:cs="Arial Nova"/>
          <w:noProof w:val="0"/>
          <w:sz w:val="24"/>
          <w:szCs w:val="24"/>
          <w:lang w:val="en-GB"/>
        </w:rPr>
        <w:t xml:space="preserve"> [online]. London: CSP. Available at: </w:t>
      </w:r>
      <w:hyperlink r:id="R4739e656d16243ca">
        <w:r w:rsidRPr="7EE60C8C" w:rsidR="1CFCC96B">
          <w:rPr>
            <w:rStyle w:val="Hyperlink"/>
            <w:noProof w:val="0"/>
            <w:lang w:val="en-GB"/>
          </w:rPr>
          <w:t>https://www.csp.org.uk/news/2024-03-19-physiotherapists-are-tackling-musculoskeletal-health-inequalities</w:t>
        </w:r>
      </w:hyperlink>
      <w:r w:rsidRPr="7EE60C8C" w:rsidR="1CFCC96B">
        <w:rPr>
          <w:rFonts w:ascii="Arial Nova" w:hAnsi="Arial Nova" w:eastAsia="Arial Nova" w:cs="Arial Nova"/>
          <w:noProof w:val="0"/>
          <w:sz w:val="24"/>
          <w:szCs w:val="24"/>
          <w:lang w:val="en-GB"/>
        </w:rPr>
        <w:t xml:space="preserve"> (Accessed: 15 July 2026).</w:t>
      </w:r>
    </w:p>
    <w:p w:rsidR="1CFCC96B" w:rsidP="7EE60C8C" w:rsidRDefault="1CFCC96B" w14:paraId="2BCF5E17" w14:textId="116860A0">
      <w:pPr>
        <w:spacing w:before="240" w:beforeAutospacing="off" w:after="240" w:afterAutospacing="off"/>
      </w:pPr>
      <w:r w:rsidRPr="7EE60C8C" w:rsidR="1CFCC96B">
        <w:rPr>
          <w:rFonts w:ascii="Arial Nova" w:hAnsi="Arial Nova" w:eastAsia="Arial Nova" w:cs="Arial Nova"/>
          <w:noProof w:val="0"/>
          <w:sz w:val="24"/>
          <w:szCs w:val="24"/>
          <w:lang w:val="en-GB"/>
        </w:rPr>
        <w:t xml:space="preserve">Choy, E., Khetan, P. and Fu, B. (2019) 'The world-wide burden of musculoskeletal diseases: a systematic analysis of the World Health Organization Burden of Diseases Database', </w:t>
      </w:r>
      <w:r w:rsidRPr="7EE60C8C" w:rsidR="1CFCC96B">
        <w:rPr>
          <w:rFonts w:ascii="Arial Nova" w:hAnsi="Arial Nova" w:eastAsia="Arial Nova" w:cs="Arial Nova"/>
          <w:i w:val="1"/>
          <w:iCs w:val="1"/>
          <w:noProof w:val="0"/>
          <w:sz w:val="24"/>
          <w:szCs w:val="24"/>
          <w:lang w:val="en-GB"/>
        </w:rPr>
        <w:t>Annals of the Rheumatic Diseases</w:t>
      </w:r>
      <w:r w:rsidRPr="7EE60C8C" w:rsidR="1CFCC96B">
        <w:rPr>
          <w:rFonts w:ascii="Arial Nova" w:hAnsi="Arial Nova" w:eastAsia="Arial Nova" w:cs="Arial Nova"/>
          <w:noProof w:val="0"/>
          <w:sz w:val="24"/>
          <w:szCs w:val="24"/>
          <w:lang w:val="en-GB"/>
        </w:rPr>
        <w:t>, 78(6), pp. 844–848.</w:t>
      </w:r>
    </w:p>
    <w:p w:rsidR="1CFCC96B" w:rsidP="7EE60C8C" w:rsidRDefault="1CFCC96B" w14:paraId="03175667" w14:textId="7F9A7EF2">
      <w:pPr>
        <w:spacing w:before="240" w:beforeAutospacing="off" w:after="240" w:afterAutospacing="off"/>
      </w:pPr>
      <w:r w:rsidRPr="7EE60C8C" w:rsidR="1CFCC96B">
        <w:rPr>
          <w:rFonts w:ascii="Arial Nova" w:hAnsi="Arial Nova" w:eastAsia="Arial Nova" w:cs="Arial Nova"/>
          <w:noProof w:val="0"/>
          <w:sz w:val="24"/>
          <w:szCs w:val="24"/>
          <w:lang w:val="en-GB"/>
        </w:rPr>
        <w:t xml:space="preserve">Combe, B., Rincheval, N. and Daïen, C.I. (2025) 'Contemporary approaches to the management of rheumatoid arthritis: precision and progress', </w:t>
      </w:r>
      <w:r w:rsidRPr="7EE60C8C" w:rsidR="1CFCC96B">
        <w:rPr>
          <w:rFonts w:ascii="Arial Nova" w:hAnsi="Arial Nova" w:eastAsia="Arial Nova" w:cs="Arial Nova"/>
          <w:i w:val="1"/>
          <w:iCs w:val="1"/>
          <w:noProof w:val="0"/>
          <w:sz w:val="24"/>
          <w:szCs w:val="24"/>
          <w:lang w:val="en-GB"/>
        </w:rPr>
        <w:t>Best Practice and Research in Clinical Rheumatology</w:t>
      </w:r>
      <w:r w:rsidRPr="7EE60C8C" w:rsidR="1CFCC96B">
        <w:rPr>
          <w:rFonts w:ascii="Arial Nova" w:hAnsi="Arial Nova" w:eastAsia="Arial Nova" w:cs="Arial Nova"/>
          <w:noProof w:val="0"/>
          <w:sz w:val="24"/>
          <w:szCs w:val="24"/>
          <w:lang w:val="en-GB"/>
        </w:rPr>
        <w:t>, 39, p. 102106.</w:t>
      </w:r>
    </w:p>
    <w:p w:rsidR="1CFCC96B" w:rsidP="7EE60C8C" w:rsidRDefault="1CFCC96B" w14:paraId="4E8141B3" w14:textId="3B01B391">
      <w:pPr>
        <w:spacing w:before="240" w:beforeAutospacing="off" w:after="240" w:afterAutospacing="off"/>
      </w:pPr>
      <w:r w:rsidRPr="7EE60C8C" w:rsidR="1CFCC96B">
        <w:rPr>
          <w:rFonts w:ascii="Arial Nova" w:hAnsi="Arial Nova" w:eastAsia="Arial Nova" w:cs="Arial Nova"/>
          <w:noProof w:val="0"/>
          <w:sz w:val="24"/>
          <w:szCs w:val="24"/>
          <w:lang w:val="en-GB"/>
        </w:rPr>
        <w:t xml:space="preserve">findacode.com (2025a) </w:t>
      </w:r>
      <w:r w:rsidRPr="7EE60C8C" w:rsidR="1CFCC96B">
        <w:rPr>
          <w:rFonts w:ascii="Arial Nova" w:hAnsi="Arial Nova" w:eastAsia="Arial Nova" w:cs="Arial Nova"/>
          <w:i w:val="1"/>
          <w:iCs w:val="1"/>
          <w:noProof w:val="0"/>
          <w:sz w:val="24"/>
          <w:szCs w:val="24"/>
          <w:lang w:val="en-GB"/>
        </w:rPr>
        <w:t>Rheumatoid arthritis — ICD-11 MMS</w:t>
      </w:r>
      <w:r w:rsidRPr="7EE60C8C" w:rsidR="1CFCC96B">
        <w:rPr>
          <w:rFonts w:ascii="Arial Nova" w:hAnsi="Arial Nova" w:eastAsia="Arial Nova" w:cs="Arial Nova"/>
          <w:noProof w:val="0"/>
          <w:sz w:val="24"/>
          <w:szCs w:val="24"/>
          <w:lang w:val="en-GB"/>
        </w:rPr>
        <w:t xml:space="preserve"> [online]. Available at: </w:t>
      </w:r>
      <w:hyperlink r:id="R0b874a0e7f044616">
        <w:r w:rsidRPr="7EE60C8C" w:rsidR="1CFCC96B">
          <w:rPr>
            <w:rStyle w:val="Hyperlink"/>
            <w:noProof w:val="0"/>
            <w:lang w:val="en-GB"/>
          </w:rPr>
          <w:t>https://www.findacode.com/icd-11/block-576319925.html</w:t>
        </w:r>
      </w:hyperlink>
      <w:r w:rsidRPr="7EE60C8C" w:rsidR="1CFCC96B">
        <w:rPr>
          <w:rFonts w:ascii="Arial Nova" w:hAnsi="Arial Nova" w:eastAsia="Arial Nova" w:cs="Arial Nova"/>
          <w:noProof w:val="0"/>
          <w:sz w:val="24"/>
          <w:szCs w:val="24"/>
          <w:lang w:val="en-GB"/>
        </w:rPr>
        <w:t xml:space="preserve"> (Accessed: 15 July 2026).</w:t>
      </w:r>
    </w:p>
    <w:p w:rsidR="1CFCC96B" w:rsidP="7EE60C8C" w:rsidRDefault="1CFCC96B" w14:paraId="1BF98C8D" w14:textId="459823B5">
      <w:pPr>
        <w:spacing w:before="240" w:beforeAutospacing="off" w:after="240" w:afterAutospacing="off"/>
      </w:pPr>
      <w:r w:rsidRPr="7EE60C8C" w:rsidR="1CFCC96B">
        <w:rPr>
          <w:rFonts w:ascii="Arial Nova" w:hAnsi="Arial Nova" w:eastAsia="Arial Nova" w:cs="Arial Nova"/>
          <w:noProof w:val="0"/>
          <w:sz w:val="24"/>
          <w:szCs w:val="24"/>
          <w:lang w:val="en-GB"/>
        </w:rPr>
        <w:t xml:space="preserve">findacode.com (2026) </w:t>
      </w:r>
      <w:r w:rsidRPr="7EE60C8C" w:rsidR="1CFCC96B">
        <w:rPr>
          <w:rFonts w:ascii="Arial Nova" w:hAnsi="Arial Nova" w:eastAsia="Arial Nova" w:cs="Arial Nova"/>
          <w:i w:val="1"/>
          <w:iCs w:val="1"/>
          <w:noProof w:val="0"/>
          <w:sz w:val="24"/>
          <w:szCs w:val="24"/>
          <w:lang w:val="en-GB"/>
        </w:rPr>
        <w:t>Chapter 15: diseases of the musculoskeletal system or connective tissue — ICD-11 MMS</w:t>
      </w:r>
      <w:r w:rsidRPr="7EE60C8C" w:rsidR="1CFCC96B">
        <w:rPr>
          <w:rFonts w:ascii="Arial Nova" w:hAnsi="Arial Nova" w:eastAsia="Arial Nova" w:cs="Arial Nova"/>
          <w:noProof w:val="0"/>
          <w:sz w:val="24"/>
          <w:szCs w:val="24"/>
          <w:lang w:val="en-GB"/>
        </w:rPr>
        <w:t xml:space="preserve"> [online]. Available at: </w:t>
      </w:r>
      <w:hyperlink r:id="R915650b4980c4127">
        <w:r w:rsidRPr="7EE60C8C" w:rsidR="1CFCC96B">
          <w:rPr>
            <w:rStyle w:val="Hyperlink"/>
            <w:noProof w:val="0"/>
            <w:lang w:val="en-GB"/>
          </w:rPr>
          <w:t>https://www.findacode.com/icd-11/chapter-15.html</w:t>
        </w:r>
      </w:hyperlink>
      <w:r w:rsidRPr="7EE60C8C" w:rsidR="1CFCC96B">
        <w:rPr>
          <w:rFonts w:ascii="Arial Nova" w:hAnsi="Arial Nova" w:eastAsia="Arial Nova" w:cs="Arial Nova"/>
          <w:noProof w:val="0"/>
          <w:sz w:val="24"/>
          <w:szCs w:val="24"/>
          <w:lang w:val="en-GB"/>
        </w:rPr>
        <w:t xml:space="preserve"> (Accessed: 15 July 2026).</w:t>
      </w:r>
    </w:p>
    <w:p w:rsidR="1CFCC96B" w:rsidP="7EE60C8C" w:rsidRDefault="1CFCC96B" w14:paraId="3A2DB0DB" w14:textId="6FF4CF15">
      <w:pPr>
        <w:spacing w:before="240" w:beforeAutospacing="off" w:after="240" w:afterAutospacing="off"/>
      </w:pPr>
      <w:r w:rsidRPr="7EE60C8C" w:rsidR="1CFCC96B">
        <w:rPr>
          <w:rFonts w:ascii="Arial Nova" w:hAnsi="Arial Nova" w:eastAsia="Arial Nova" w:cs="Arial Nova"/>
          <w:noProof w:val="0"/>
          <w:sz w:val="24"/>
          <w:szCs w:val="24"/>
          <w:lang w:val="en-GB"/>
        </w:rPr>
        <w:t xml:space="preserve">Gao, Y., Zhang, Y. and Liu, X. (2024) 'Rheumatoid arthritis: pathogenesis and therapeutic advances', </w:t>
      </w:r>
      <w:r w:rsidRPr="7EE60C8C" w:rsidR="1CFCC96B">
        <w:rPr>
          <w:rFonts w:ascii="Arial Nova" w:hAnsi="Arial Nova" w:eastAsia="Arial Nova" w:cs="Arial Nova"/>
          <w:i w:val="1"/>
          <w:iCs w:val="1"/>
          <w:noProof w:val="0"/>
          <w:sz w:val="24"/>
          <w:szCs w:val="24"/>
          <w:lang w:val="en-GB"/>
        </w:rPr>
        <w:t>MedComm</w:t>
      </w:r>
      <w:r w:rsidRPr="7EE60C8C" w:rsidR="1CFCC96B">
        <w:rPr>
          <w:rFonts w:ascii="Arial Nova" w:hAnsi="Arial Nova" w:eastAsia="Arial Nova" w:cs="Arial Nova"/>
          <w:noProof w:val="0"/>
          <w:sz w:val="24"/>
          <w:szCs w:val="24"/>
          <w:lang w:val="en-GB"/>
        </w:rPr>
        <w:t>, 5(3), p. e509. doi:10.1002/mco2.509.</w:t>
      </w:r>
    </w:p>
    <w:p w:rsidR="1CFCC96B" w:rsidP="7EE60C8C" w:rsidRDefault="1CFCC96B" w14:paraId="562D3AC6" w14:textId="223064D1">
      <w:pPr>
        <w:spacing w:before="240" w:beforeAutospacing="off" w:after="240" w:afterAutospacing="off"/>
      </w:pPr>
      <w:r w:rsidRPr="7EE60C8C" w:rsidR="1CFCC96B">
        <w:rPr>
          <w:rFonts w:ascii="Arial Nova" w:hAnsi="Arial Nova" w:eastAsia="Arial Nova" w:cs="Arial Nova"/>
          <w:noProof w:val="0"/>
          <w:sz w:val="24"/>
          <w:szCs w:val="24"/>
          <w:lang w:val="en-GB"/>
        </w:rPr>
        <w:t xml:space="preserve">GBD 2021 Other MSK Collaborators (2023) 'Global, regional, and national burden of other musculoskeletal disorders, 1990–2020, and projections to 2050: a systematic analysis of the Global Burden of Disease Study 2021', </w:t>
      </w:r>
      <w:r w:rsidRPr="7EE60C8C" w:rsidR="1CFCC96B">
        <w:rPr>
          <w:rFonts w:ascii="Arial Nova" w:hAnsi="Arial Nova" w:eastAsia="Arial Nova" w:cs="Arial Nova"/>
          <w:i w:val="1"/>
          <w:iCs w:val="1"/>
          <w:noProof w:val="0"/>
          <w:sz w:val="24"/>
          <w:szCs w:val="24"/>
          <w:lang w:val="en-GB"/>
        </w:rPr>
        <w:t>The Lancet Rheumatology</w:t>
      </w:r>
      <w:r w:rsidRPr="7EE60C8C" w:rsidR="1CFCC96B">
        <w:rPr>
          <w:rFonts w:ascii="Arial Nova" w:hAnsi="Arial Nova" w:eastAsia="Arial Nova" w:cs="Arial Nova"/>
          <w:noProof w:val="0"/>
          <w:sz w:val="24"/>
          <w:szCs w:val="24"/>
          <w:lang w:val="en-GB"/>
        </w:rPr>
        <w:t>, 5(7), pp. e388–e403.</w:t>
      </w:r>
    </w:p>
    <w:p w:rsidR="1CFCC96B" w:rsidP="7EE60C8C" w:rsidRDefault="1CFCC96B" w14:paraId="108DD30C" w14:textId="31C9C7FF">
      <w:pPr>
        <w:spacing w:before="240" w:beforeAutospacing="off" w:after="240" w:afterAutospacing="off"/>
      </w:pPr>
      <w:r w:rsidRPr="7EE60C8C" w:rsidR="1CFCC96B">
        <w:rPr>
          <w:rFonts w:ascii="Arial Nova" w:hAnsi="Arial Nova" w:eastAsia="Arial Nova" w:cs="Arial Nova"/>
          <w:noProof w:val="0"/>
          <w:sz w:val="24"/>
          <w:szCs w:val="24"/>
          <w:lang w:val="en-GB"/>
        </w:rPr>
        <w:t xml:space="preserve">Hammond, A., Jefferson, S. and Prior, Y. (2016) 'Effectiveness of occupational therapy interventions for adults with rheumatoid arthritis: a systematic review', </w:t>
      </w:r>
      <w:r w:rsidRPr="7EE60C8C" w:rsidR="1CFCC96B">
        <w:rPr>
          <w:rFonts w:ascii="Arial Nova" w:hAnsi="Arial Nova" w:eastAsia="Arial Nova" w:cs="Arial Nova"/>
          <w:i w:val="1"/>
          <w:iCs w:val="1"/>
          <w:noProof w:val="0"/>
          <w:sz w:val="24"/>
          <w:szCs w:val="24"/>
          <w:lang w:val="en-GB"/>
        </w:rPr>
        <w:t>American Journal of Occupational Therapy</w:t>
      </w:r>
      <w:r w:rsidRPr="7EE60C8C" w:rsidR="1CFCC96B">
        <w:rPr>
          <w:rFonts w:ascii="Arial Nova" w:hAnsi="Arial Nova" w:eastAsia="Arial Nova" w:cs="Arial Nova"/>
          <w:noProof w:val="0"/>
          <w:sz w:val="24"/>
          <w:szCs w:val="24"/>
          <w:lang w:val="en-GB"/>
        </w:rPr>
        <w:t>, 71(1), p. 7101180040p1.</w:t>
      </w:r>
    </w:p>
    <w:p w:rsidR="1CFCC96B" w:rsidP="7EE60C8C" w:rsidRDefault="1CFCC96B" w14:paraId="693DE9DA" w14:textId="3B487459">
      <w:pPr>
        <w:spacing w:before="240" w:beforeAutospacing="off" w:after="240" w:afterAutospacing="off"/>
      </w:pPr>
      <w:r w:rsidRPr="7EE60C8C" w:rsidR="1CFCC96B">
        <w:rPr>
          <w:rFonts w:ascii="Arial Nova" w:hAnsi="Arial Nova" w:eastAsia="Arial Nova" w:cs="Arial Nova"/>
          <w:noProof w:val="0"/>
          <w:sz w:val="24"/>
          <w:szCs w:val="24"/>
          <w:lang w:val="en-GB"/>
        </w:rPr>
        <w:t xml:space="preserve">International Association for the Study of Pain (IASP) (2021) </w:t>
      </w:r>
      <w:r w:rsidRPr="7EE60C8C" w:rsidR="1CFCC96B">
        <w:rPr>
          <w:rFonts w:ascii="Arial Nova" w:hAnsi="Arial Nova" w:eastAsia="Arial Nova" w:cs="Arial Nova"/>
          <w:i w:val="1"/>
          <w:iCs w:val="1"/>
          <w:noProof w:val="0"/>
          <w:sz w:val="24"/>
          <w:szCs w:val="24"/>
          <w:lang w:val="en-GB"/>
        </w:rPr>
        <w:t>Structure of the ICD-11 classification</w:t>
      </w:r>
      <w:r w:rsidRPr="7EE60C8C" w:rsidR="1CFCC96B">
        <w:rPr>
          <w:rFonts w:ascii="Arial Nova" w:hAnsi="Arial Nova" w:eastAsia="Arial Nova" w:cs="Arial Nova"/>
          <w:noProof w:val="0"/>
          <w:sz w:val="24"/>
          <w:szCs w:val="24"/>
          <w:lang w:val="en-GB"/>
        </w:rPr>
        <w:t xml:space="preserve"> [online]. Washington, DC: IASP. Available at: </w:t>
      </w:r>
      <w:hyperlink r:id="R81cf0839799d4771">
        <w:r w:rsidRPr="7EE60C8C" w:rsidR="1CFCC96B">
          <w:rPr>
            <w:rStyle w:val="Hyperlink"/>
            <w:noProof w:val="0"/>
            <w:lang w:val="en-GB"/>
          </w:rPr>
          <w:t>https://www.iasp-pain.org/advocacy/structure-of-the-icd-11-classification</w:t>
        </w:r>
      </w:hyperlink>
      <w:r w:rsidRPr="7EE60C8C" w:rsidR="1CFCC96B">
        <w:rPr>
          <w:rFonts w:ascii="Arial Nova" w:hAnsi="Arial Nova" w:eastAsia="Arial Nova" w:cs="Arial Nova"/>
          <w:noProof w:val="0"/>
          <w:sz w:val="24"/>
          <w:szCs w:val="24"/>
          <w:lang w:val="en-GB"/>
        </w:rPr>
        <w:t xml:space="preserve"> (Accessed: 15 July 2026).</w:t>
      </w:r>
    </w:p>
    <w:p w:rsidR="1CFCC96B" w:rsidP="7EE60C8C" w:rsidRDefault="1CFCC96B" w14:paraId="416F10C1" w14:textId="122934EB">
      <w:pPr>
        <w:spacing w:before="240" w:beforeAutospacing="off" w:after="240" w:afterAutospacing="off"/>
      </w:pPr>
      <w:r w:rsidRPr="7EE60C8C" w:rsidR="1CFCC96B">
        <w:rPr>
          <w:rFonts w:ascii="Arial Nova" w:hAnsi="Arial Nova" w:eastAsia="Arial Nova" w:cs="Arial Nova"/>
          <w:noProof w:val="0"/>
          <w:sz w:val="24"/>
          <w:szCs w:val="24"/>
          <w:lang w:val="en-GB"/>
        </w:rPr>
        <w:t xml:space="preserve">Kallen, M.A., Damush, T.M., Haas, N. and Saha, S. (2015) 'Effectiveness of client-centered occupational therapy in patients with rheumatoid arthritis: exploratory randomized controlled trial', </w:t>
      </w:r>
      <w:r w:rsidRPr="7EE60C8C" w:rsidR="1CFCC96B">
        <w:rPr>
          <w:rFonts w:ascii="Arial Nova" w:hAnsi="Arial Nova" w:eastAsia="Arial Nova" w:cs="Arial Nova"/>
          <w:i w:val="1"/>
          <w:iCs w:val="1"/>
          <w:noProof w:val="0"/>
          <w:sz w:val="24"/>
          <w:szCs w:val="24"/>
          <w:lang w:val="en-GB"/>
        </w:rPr>
        <w:t>American Journal of Occupational Therapy</w:t>
      </w:r>
      <w:r w:rsidRPr="7EE60C8C" w:rsidR="1CFCC96B">
        <w:rPr>
          <w:rFonts w:ascii="Arial Nova" w:hAnsi="Arial Nova" w:eastAsia="Arial Nova" w:cs="Arial Nova"/>
          <w:noProof w:val="0"/>
          <w:sz w:val="24"/>
          <w:szCs w:val="24"/>
          <w:lang w:val="en-GB"/>
        </w:rPr>
        <w:t>, 69(5), p. 6905185010p1.</w:t>
      </w:r>
    </w:p>
    <w:p w:rsidR="1CFCC96B" w:rsidP="7EE60C8C" w:rsidRDefault="1CFCC96B" w14:paraId="47F55577" w14:textId="5EBC581B">
      <w:pPr>
        <w:spacing w:before="240" w:beforeAutospacing="off" w:after="240" w:afterAutospacing="off"/>
      </w:pPr>
      <w:r w:rsidRPr="7EE60C8C" w:rsidR="1CFCC96B">
        <w:rPr>
          <w:rFonts w:ascii="Arial Nova" w:hAnsi="Arial Nova" w:eastAsia="Arial Nova" w:cs="Arial Nova"/>
          <w:noProof w:val="0"/>
          <w:sz w:val="24"/>
          <w:szCs w:val="24"/>
          <w:lang w:val="en-GB"/>
        </w:rPr>
        <w:t xml:space="preserve">Karabhari, A., Rathee, S., Soni, S. and Patil, U.K. (2026) 'Rheumatoid arthritis: a comprehensive review of etiology, pathophysiology, and innovative therapeutic advancements', </w:t>
      </w:r>
      <w:r w:rsidRPr="7EE60C8C" w:rsidR="1CFCC96B">
        <w:rPr>
          <w:rFonts w:ascii="Arial Nova" w:hAnsi="Arial Nova" w:eastAsia="Arial Nova" w:cs="Arial Nova"/>
          <w:i w:val="1"/>
          <w:iCs w:val="1"/>
          <w:noProof w:val="0"/>
          <w:sz w:val="24"/>
          <w:szCs w:val="24"/>
          <w:lang w:val="en-GB"/>
        </w:rPr>
        <w:t>Current Pharmaceutical Design</w:t>
      </w:r>
      <w:r w:rsidRPr="7EE60C8C" w:rsidR="1CFCC96B">
        <w:rPr>
          <w:rFonts w:ascii="Arial Nova" w:hAnsi="Arial Nova" w:eastAsia="Arial Nova" w:cs="Arial Nova"/>
          <w:noProof w:val="0"/>
          <w:sz w:val="24"/>
          <w:szCs w:val="24"/>
          <w:lang w:val="en-GB"/>
        </w:rPr>
        <w:t>, Epub ahead of print. doi:10.2174/0113816128.</w:t>
      </w:r>
    </w:p>
    <w:p w:rsidR="1CFCC96B" w:rsidP="7EE60C8C" w:rsidRDefault="1CFCC96B" w14:paraId="0A057862" w14:textId="44CECD01">
      <w:pPr>
        <w:spacing w:before="240" w:beforeAutospacing="off" w:after="240" w:afterAutospacing="off"/>
      </w:pPr>
      <w:r w:rsidRPr="7EE60C8C" w:rsidR="1CFCC96B">
        <w:rPr>
          <w:rFonts w:ascii="Arial Nova" w:hAnsi="Arial Nova" w:eastAsia="Arial Nova" w:cs="Arial Nova"/>
          <w:noProof w:val="0"/>
          <w:sz w:val="24"/>
          <w:szCs w:val="24"/>
          <w:lang w:val="en-GB"/>
        </w:rPr>
        <w:t xml:space="preserve">Kartnig, F., Gülen, M., Tillmann, A., Karonitsch, T., Smolen, J.S. and Heinz, L.X. (2025) 'Ex vivo imaging-based high content phenotyping of patients with rheumatoid arthritis enables personalised drug selection', </w:t>
      </w:r>
      <w:r w:rsidRPr="7EE60C8C" w:rsidR="1CFCC96B">
        <w:rPr>
          <w:rFonts w:ascii="Arial Nova" w:hAnsi="Arial Nova" w:eastAsia="Arial Nova" w:cs="Arial Nova"/>
          <w:i w:val="1"/>
          <w:iCs w:val="1"/>
          <w:noProof w:val="0"/>
          <w:sz w:val="24"/>
          <w:szCs w:val="24"/>
          <w:lang w:val="en-GB"/>
        </w:rPr>
        <w:t>eBioMedicine</w:t>
      </w:r>
      <w:r w:rsidRPr="7EE60C8C" w:rsidR="1CFCC96B">
        <w:rPr>
          <w:rFonts w:ascii="Arial Nova" w:hAnsi="Arial Nova" w:eastAsia="Arial Nova" w:cs="Arial Nova"/>
          <w:noProof w:val="0"/>
          <w:sz w:val="24"/>
          <w:szCs w:val="24"/>
          <w:lang w:val="en-GB"/>
        </w:rPr>
        <w:t>, 103, p. 105130.</w:t>
      </w:r>
    </w:p>
    <w:p w:rsidR="1CFCC96B" w:rsidP="7EE60C8C" w:rsidRDefault="1CFCC96B" w14:paraId="7CCBEE1C" w14:textId="574C6A5A">
      <w:pPr>
        <w:spacing w:before="240" w:beforeAutospacing="off" w:after="240" w:afterAutospacing="off"/>
      </w:pPr>
      <w:r w:rsidRPr="7EE60C8C" w:rsidR="1CFCC96B">
        <w:rPr>
          <w:rFonts w:ascii="Arial Nova" w:hAnsi="Arial Nova" w:eastAsia="Arial Nova" w:cs="Arial Nova"/>
          <w:noProof w:val="0"/>
          <w:sz w:val="24"/>
          <w:szCs w:val="24"/>
          <w:lang w:val="en-GB"/>
        </w:rPr>
        <w:t xml:space="preserve">KCL Pure (2024) </w:t>
      </w:r>
      <w:r w:rsidRPr="7EE60C8C" w:rsidR="1CFCC96B">
        <w:rPr>
          <w:rFonts w:ascii="Arial Nova" w:hAnsi="Arial Nova" w:eastAsia="Arial Nova" w:cs="Arial Nova"/>
          <w:i w:val="1"/>
          <w:iCs w:val="1"/>
          <w:noProof w:val="0"/>
          <w:sz w:val="24"/>
          <w:szCs w:val="24"/>
          <w:lang w:val="en-GB"/>
        </w:rPr>
        <w:t>New ICD-11 diagnostic criteria for chronic secondary musculoskeletal pain</w:t>
      </w:r>
      <w:r w:rsidRPr="7EE60C8C" w:rsidR="1CFCC96B">
        <w:rPr>
          <w:rFonts w:ascii="Arial Nova" w:hAnsi="Arial Nova" w:eastAsia="Arial Nova" w:cs="Arial Nova"/>
          <w:noProof w:val="0"/>
          <w:sz w:val="24"/>
          <w:szCs w:val="24"/>
          <w:lang w:val="en-GB"/>
        </w:rPr>
        <w:t xml:space="preserve"> [online]. London: King's College London. Available at: </w:t>
      </w:r>
      <w:hyperlink r:id="Rc673331cd4e14f2e">
        <w:r w:rsidRPr="7EE60C8C" w:rsidR="1CFCC96B">
          <w:rPr>
            <w:rStyle w:val="Hyperlink"/>
            <w:noProof w:val="0"/>
            <w:lang w:val="en-GB"/>
          </w:rPr>
          <w:t>https://kclpure.kcl.ac.uk/portal/en/publications/new-icd-11-diagnostic-criteria-for-chronic-secondary-musculoskele</w:t>
        </w:r>
      </w:hyperlink>
      <w:r w:rsidRPr="7EE60C8C" w:rsidR="1CFCC96B">
        <w:rPr>
          <w:rFonts w:ascii="Arial Nova" w:hAnsi="Arial Nova" w:eastAsia="Arial Nova" w:cs="Arial Nova"/>
          <w:noProof w:val="0"/>
          <w:sz w:val="24"/>
          <w:szCs w:val="24"/>
          <w:lang w:val="en-GB"/>
        </w:rPr>
        <w:t xml:space="preserve"> (Accessed: 15 July 2026).</w:t>
      </w:r>
    </w:p>
    <w:p w:rsidR="1CFCC96B" w:rsidP="7EE60C8C" w:rsidRDefault="1CFCC96B" w14:paraId="03D2FDDE" w14:textId="0F1EB7D5">
      <w:pPr>
        <w:spacing w:before="240" w:beforeAutospacing="off" w:after="240" w:afterAutospacing="off"/>
      </w:pPr>
      <w:r w:rsidRPr="7EE60C8C" w:rsidR="1CFCC96B">
        <w:rPr>
          <w:rFonts w:ascii="Arial Nova" w:hAnsi="Arial Nova" w:eastAsia="Arial Nova" w:cs="Arial Nova"/>
          <w:noProof w:val="0"/>
          <w:sz w:val="24"/>
          <w:szCs w:val="24"/>
          <w:lang w:val="en-GB"/>
        </w:rPr>
        <w:t xml:space="preserve">Muller, R., Gertz, H.J. and Hessel, A. (2002) 'A descriptive study of psychiatric disorders and psychosocial burden in rehabilitation patients with musculoskeletal diseases', </w:t>
      </w:r>
      <w:r w:rsidRPr="7EE60C8C" w:rsidR="1CFCC96B">
        <w:rPr>
          <w:rFonts w:ascii="Arial Nova" w:hAnsi="Arial Nova" w:eastAsia="Arial Nova" w:cs="Arial Nova"/>
          <w:i w:val="1"/>
          <w:iCs w:val="1"/>
          <w:noProof w:val="0"/>
          <w:sz w:val="24"/>
          <w:szCs w:val="24"/>
          <w:lang w:val="en-GB"/>
        </w:rPr>
        <w:t>Archives of Physical Medicine and Rehabilitation</w:t>
      </w:r>
      <w:r w:rsidRPr="7EE60C8C" w:rsidR="1CFCC96B">
        <w:rPr>
          <w:rFonts w:ascii="Arial Nova" w:hAnsi="Arial Nova" w:eastAsia="Arial Nova" w:cs="Arial Nova"/>
          <w:noProof w:val="0"/>
          <w:sz w:val="24"/>
          <w:szCs w:val="24"/>
          <w:lang w:val="en-GB"/>
        </w:rPr>
        <w:t>, 83(4), pp. 461–468.</w:t>
      </w:r>
    </w:p>
    <w:p w:rsidR="1CFCC96B" w:rsidP="7EE60C8C" w:rsidRDefault="1CFCC96B" w14:paraId="5CA843CB" w14:textId="5220871D">
      <w:pPr>
        <w:spacing w:before="240" w:beforeAutospacing="off" w:after="240" w:afterAutospacing="off"/>
      </w:pPr>
      <w:r w:rsidRPr="7EE60C8C" w:rsidR="1CFCC96B">
        <w:rPr>
          <w:rFonts w:ascii="Arial Nova" w:hAnsi="Arial Nova" w:eastAsia="Arial Nova" w:cs="Arial Nova"/>
          <w:noProof w:val="0"/>
          <w:sz w:val="24"/>
          <w:szCs w:val="24"/>
          <w:lang w:val="en-GB"/>
        </w:rPr>
        <w:t xml:space="preserve">National Institute for Health and Care Excellence (NICE) (2021) </w:t>
      </w:r>
      <w:r w:rsidRPr="7EE60C8C" w:rsidR="1CFCC96B">
        <w:rPr>
          <w:rFonts w:ascii="Arial Nova" w:hAnsi="Arial Nova" w:eastAsia="Arial Nova" w:cs="Arial Nova"/>
          <w:i w:val="1"/>
          <w:iCs w:val="1"/>
          <w:noProof w:val="0"/>
          <w:sz w:val="24"/>
          <w:szCs w:val="24"/>
          <w:lang w:val="en-GB"/>
        </w:rPr>
        <w:t>NICE recommends several treatment options to help with rheumatoid arthritis</w:t>
      </w:r>
      <w:r w:rsidRPr="7EE60C8C" w:rsidR="1CFCC96B">
        <w:rPr>
          <w:rFonts w:ascii="Arial Nova" w:hAnsi="Arial Nova" w:eastAsia="Arial Nova" w:cs="Arial Nova"/>
          <w:noProof w:val="0"/>
          <w:sz w:val="24"/>
          <w:szCs w:val="24"/>
          <w:lang w:val="en-GB"/>
        </w:rPr>
        <w:t xml:space="preserve"> [online]. London: NICE. Available at: </w:t>
      </w:r>
      <w:hyperlink r:id="Rac82acba633d431a">
        <w:r w:rsidRPr="7EE60C8C" w:rsidR="1CFCC96B">
          <w:rPr>
            <w:rStyle w:val="Hyperlink"/>
            <w:noProof w:val="0"/>
            <w:lang w:val="en-GB"/>
          </w:rPr>
          <w:t>https://www.nice.org.uk/news/articles/nice-recommends-several-treatment-options-to-help-with-rheumatoid-arthritis</w:t>
        </w:r>
      </w:hyperlink>
      <w:r w:rsidRPr="7EE60C8C" w:rsidR="1CFCC96B">
        <w:rPr>
          <w:rFonts w:ascii="Arial Nova" w:hAnsi="Arial Nova" w:eastAsia="Arial Nova" w:cs="Arial Nova"/>
          <w:noProof w:val="0"/>
          <w:sz w:val="24"/>
          <w:szCs w:val="24"/>
          <w:lang w:val="en-GB"/>
        </w:rPr>
        <w:t xml:space="preserve"> (Accessed: 15 July 2026).</w:t>
      </w:r>
    </w:p>
    <w:p w:rsidR="1CFCC96B" w:rsidP="7EE60C8C" w:rsidRDefault="1CFCC96B" w14:paraId="780758FC" w14:textId="2C25A05D">
      <w:pPr>
        <w:spacing w:before="240" w:beforeAutospacing="off" w:after="240" w:afterAutospacing="off"/>
      </w:pPr>
      <w:r w:rsidRPr="7EE60C8C" w:rsidR="1CFCC96B">
        <w:rPr>
          <w:rFonts w:ascii="Arial Nova" w:hAnsi="Arial Nova" w:eastAsia="Arial Nova" w:cs="Arial Nova"/>
          <w:noProof w:val="0"/>
          <w:sz w:val="24"/>
          <w:szCs w:val="24"/>
          <w:lang w:val="en-GB"/>
        </w:rPr>
        <w:t xml:space="preserve">National Institute for Health and Care Excellence (NICE) (2024a) </w:t>
      </w:r>
      <w:r w:rsidRPr="7EE60C8C" w:rsidR="1CFCC96B">
        <w:rPr>
          <w:rFonts w:ascii="Arial Nova" w:hAnsi="Arial Nova" w:eastAsia="Arial Nova" w:cs="Arial Nova"/>
          <w:i w:val="1"/>
          <w:iCs w:val="1"/>
          <w:noProof w:val="0"/>
          <w:sz w:val="24"/>
          <w:szCs w:val="24"/>
          <w:lang w:val="en-GB"/>
        </w:rPr>
        <w:t>Rheumatoid arthritis in adults: management — recommendations</w:t>
      </w:r>
      <w:r w:rsidRPr="7EE60C8C" w:rsidR="1CFCC96B">
        <w:rPr>
          <w:rFonts w:ascii="Arial Nova" w:hAnsi="Arial Nova" w:eastAsia="Arial Nova" w:cs="Arial Nova"/>
          <w:noProof w:val="0"/>
          <w:sz w:val="24"/>
          <w:szCs w:val="24"/>
          <w:lang w:val="en-GB"/>
        </w:rPr>
        <w:t xml:space="preserve"> (NG100) [online]. London: NICE. Available at: </w:t>
      </w:r>
      <w:hyperlink r:id="Ra36766349f924438">
        <w:r w:rsidRPr="7EE60C8C" w:rsidR="1CFCC96B">
          <w:rPr>
            <w:rStyle w:val="Hyperlink"/>
            <w:noProof w:val="0"/>
            <w:lang w:val="en-GB"/>
          </w:rPr>
          <w:t>https://www.nice.org.uk/guidance/ng100/chapter/recommendations</w:t>
        </w:r>
      </w:hyperlink>
      <w:r w:rsidRPr="7EE60C8C" w:rsidR="1CFCC96B">
        <w:rPr>
          <w:rFonts w:ascii="Arial Nova" w:hAnsi="Arial Nova" w:eastAsia="Arial Nova" w:cs="Arial Nova"/>
          <w:noProof w:val="0"/>
          <w:sz w:val="24"/>
          <w:szCs w:val="24"/>
          <w:lang w:val="en-GB"/>
        </w:rPr>
        <w:t xml:space="preserve"> (Accessed: 15 July 2026).</w:t>
      </w:r>
    </w:p>
    <w:p w:rsidR="1CFCC96B" w:rsidP="7EE60C8C" w:rsidRDefault="1CFCC96B" w14:paraId="6451EDD9" w14:textId="5B5FD98B">
      <w:pPr>
        <w:spacing w:before="240" w:beforeAutospacing="off" w:after="240" w:afterAutospacing="off"/>
      </w:pPr>
      <w:r w:rsidRPr="7EE60C8C" w:rsidR="1CFCC96B">
        <w:rPr>
          <w:rFonts w:ascii="Arial Nova" w:hAnsi="Arial Nova" w:eastAsia="Arial Nova" w:cs="Arial Nova"/>
          <w:noProof w:val="0"/>
          <w:sz w:val="24"/>
          <w:szCs w:val="24"/>
          <w:lang w:val="en-GB"/>
        </w:rPr>
        <w:t xml:space="preserve">National Institute for Health and Care Excellence (NICE) (2024b) </w:t>
      </w:r>
      <w:r w:rsidRPr="7EE60C8C" w:rsidR="1CFCC96B">
        <w:rPr>
          <w:rFonts w:ascii="Arial Nova" w:hAnsi="Arial Nova" w:eastAsia="Arial Nova" w:cs="Arial Nova"/>
          <w:i w:val="1"/>
          <w:iCs w:val="1"/>
          <w:noProof w:val="0"/>
          <w:sz w:val="24"/>
          <w:szCs w:val="24"/>
          <w:lang w:val="en-GB"/>
        </w:rPr>
        <w:t>Rheumatoid arthritis in adults: management</w:t>
      </w:r>
      <w:r w:rsidRPr="7EE60C8C" w:rsidR="1CFCC96B">
        <w:rPr>
          <w:rFonts w:ascii="Arial Nova" w:hAnsi="Arial Nova" w:eastAsia="Arial Nova" w:cs="Arial Nova"/>
          <w:noProof w:val="0"/>
          <w:sz w:val="24"/>
          <w:szCs w:val="24"/>
          <w:lang w:val="en-GB"/>
        </w:rPr>
        <w:t xml:space="preserve"> (NG100) [online]. London: NICE. Available at: </w:t>
      </w:r>
      <w:hyperlink r:id="R4a435d1cbef44482">
        <w:r w:rsidRPr="7EE60C8C" w:rsidR="1CFCC96B">
          <w:rPr>
            <w:rStyle w:val="Hyperlink"/>
            <w:noProof w:val="0"/>
            <w:lang w:val="en-GB"/>
          </w:rPr>
          <w:t>https://www.nice.org.uk/guidance/ng100</w:t>
        </w:r>
      </w:hyperlink>
      <w:r w:rsidRPr="7EE60C8C" w:rsidR="1CFCC96B">
        <w:rPr>
          <w:rFonts w:ascii="Arial Nova" w:hAnsi="Arial Nova" w:eastAsia="Arial Nova" w:cs="Arial Nova"/>
          <w:noProof w:val="0"/>
          <w:sz w:val="24"/>
          <w:szCs w:val="24"/>
          <w:lang w:val="en-GB"/>
        </w:rPr>
        <w:t xml:space="preserve"> (Accessed: 15 July 2026).</w:t>
      </w:r>
    </w:p>
    <w:p w:rsidR="1CFCC96B" w:rsidP="7EE60C8C" w:rsidRDefault="1CFCC96B" w14:paraId="17B4F07E" w14:textId="26C92B4B">
      <w:pPr>
        <w:spacing w:before="240" w:beforeAutospacing="off" w:after="240" w:afterAutospacing="off"/>
      </w:pPr>
      <w:r w:rsidRPr="7EE60C8C" w:rsidR="1CFCC96B">
        <w:rPr>
          <w:rFonts w:ascii="Arial Nova" w:hAnsi="Arial Nova" w:eastAsia="Arial Nova" w:cs="Arial Nova"/>
          <w:noProof w:val="0"/>
          <w:sz w:val="24"/>
          <w:szCs w:val="24"/>
          <w:lang w:val="en-GB"/>
        </w:rPr>
        <w:t xml:space="preserve">Northern Lincolnshire Area Prescribing Committee (2024) </w:t>
      </w:r>
      <w:r w:rsidRPr="7EE60C8C" w:rsidR="1CFCC96B">
        <w:rPr>
          <w:rFonts w:ascii="Arial Nova" w:hAnsi="Arial Nova" w:eastAsia="Arial Nova" w:cs="Arial Nova"/>
          <w:i w:val="1"/>
          <w:iCs w:val="1"/>
          <w:noProof w:val="0"/>
          <w:sz w:val="24"/>
          <w:szCs w:val="24"/>
          <w:lang w:val="en-GB"/>
        </w:rPr>
        <w:t>NLaG treatment pathway for biologics in rheumatoid arthritis</w:t>
      </w:r>
      <w:r w:rsidRPr="7EE60C8C" w:rsidR="1CFCC96B">
        <w:rPr>
          <w:rFonts w:ascii="Arial Nova" w:hAnsi="Arial Nova" w:eastAsia="Arial Nova" w:cs="Arial Nova"/>
          <w:noProof w:val="0"/>
          <w:sz w:val="24"/>
          <w:szCs w:val="24"/>
          <w:lang w:val="en-GB"/>
        </w:rPr>
        <w:t xml:space="preserve"> [online]. Lincolnshire: NLaG NHS Foundation Trust. Available at: </w:t>
      </w:r>
      <w:hyperlink r:id="R312a78e079f54b2c">
        <w:r w:rsidRPr="7EE60C8C" w:rsidR="1CFCC96B">
          <w:rPr>
            <w:rStyle w:val="Hyperlink"/>
            <w:noProof w:val="0"/>
            <w:lang w:val="en-GB"/>
          </w:rPr>
          <w:t>https://www.northernlincolnshireapc.nhs.uk</w:t>
        </w:r>
      </w:hyperlink>
      <w:r w:rsidRPr="7EE60C8C" w:rsidR="1CFCC96B">
        <w:rPr>
          <w:rFonts w:ascii="Arial Nova" w:hAnsi="Arial Nova" w:eastAsia="Arial Nova" w:cs="Arial Nova"/>
          <w:noProof w:val="0"/>
          <w:sz w:val="24"/>
          <w:szCs w:val="24"/>
          <w:lang w:val="en-GB"/>
        </w:rPr>
        <w:t xml:space="preserve"> (Accessed: 15 July 2026).</w:t>
      </w:r>
    </w:p>
    <w:p w:rsidR="1CFCC96B" w:rsidP="7EE60C8C" w:rsidRDefault="1CFCC96B" w14:paraId="00F1FD8F" w14:textId="655AA4E3">
      <w:pPr>
        <w:spacing w:before="240" w:beforeAutospacing="off" w:after="240" w:afterAutospacing="off"/>
      </w:pPr>
      <w:r w:rsidRPr="7EE60C8C" w:rsidR="1CFCC96B">
        <w:rPr>
          <w:rFonts w:ascii="Arial Nova" w:hAnsi="Arial Nova" w:eastAsia="Arial Nova" w:cs="Arial Nova"/>
          <w:noProof w:val="0"/>
          <w:sz w:val="24"/>
          <w:szCs w:val="24"/>
          <w:lang w:val="en-GB"/>
        </w:rPr>
        <w:t xml:space="preserve">Pain Concern (2025) </w:t>
      </w:r>
      <w:r w:rsidRPr="7EE60C8C" w:rsidR="1CFCC96B">
        <w:rPr>
          <w:rFonts w:ascii="Arial Nova" w:hAnsi="Arial Nova" w:eastAsia="Arial Nova" w:cs="Arial Nova"/>
          <w:i w:val="1"/>
          <w:iCs w:val="1"/>
          <w:noProof w:val="0"/>
          <w:sz w:val="24"/>
          <w:szCs w:val="24"/>
          <w:lang w:val="en-GB"/>
        </w:rPr>
        <w:t>Act now: musculoskeletal health inequalities and deprivation report</w:t>
      </w:r>
      <w:r w:rsidRPr="7EE60C8C" w:rsidR="1CFCC96B">
        <w:rPr>
          <w:rFonts w:ascii="Arial Nova" w:hAnsi="Arial Nova" w:eastAsia="Arial Nova" w:cs="Arial Nova"/>
          <w:noProof w:val="0"/>
          <w:sz w:val="24"/>
          <w:szCs w:val="24"/>
          <w:lang w:val="en-GB"/>
        </w:rPr>
        <w:t xml:space="preserve"> [online]. Available at: </w:t>
      </w:r>
      <w:hyperlink r:id="Rfd063a602e1442e8">
        <w:r w:rsidRPr="7EE60C8C" w:rsidR="1CFCC96B">
          <w:rPr>
            <w:rStyle w:val="Hyperlink"/>
            <w:noProof w:val="0"/>
            <w:lang w:val="en-GB"/>
          </w:rPr>
          <w:t>https://painconcern.org.uk/act-now-musculoskeletal-health-inequalities-and-depravation-report</w:t>
        </w:r>
      </w:hyperlink>
      <w:r w:rsidRPr="7EE60C8C" w:rsidR="1CFCC96B">
        <w:rPr>
          <w:rFonts w:ascii="Arial Nova" w:hAnsi="Arial Nova" w:eastAsia="Arial Nova" w:cs="Arial Nova"/>
          <w:noProof w:val="0"/>
          <w:sz w:val="24"/>
          <w:szCs w:val="24"/>
          <w:lang w:val="en-GB"/>
        </w:rPr>
        <w:t xml:space="preserve"> (Accessed: 15 July 2026).</w:t>
      </w:r>
    </w:p>
    <w:p w:rsidR="1CFCC96B" w:rsidP="7EE60C8C" w:rsidRDefault="1CFCC96B" w14:paraId="20B15801" w14:textId="1BDF9EF6">
      <w:pPr>
        <w:spacing w:before="240" w:beforeAutospacing="off" w:after="240" w:afterAutospacing="off"/>
      </w:pPr>
      <w:r w:rsidRPr="7EE60C8C" w:rsidR="1CFCC96B">
        <w:rPr>
          <w:rFonts w:ascii="Arial Nova" w:hAnsi="Arial Nova" w:eastAsia="Arial Nova" w:cs="Arial Nova"/>
          <w:noProof w:val="0"/>
          <w:sz w:val="24"/>
          <w:szCs w:val="24"/>
          <w:lang w:val="en-GB"/>
        </w:rPr>
        <w:t xml:space="preserve">Sharma, S.D. and Bluett, J. (2024) 'Towards personalized medicine in rheumatoid arthritis', </w:t>
      </w:r>
      <w:r w:rsidRPr="7EE60C8C" w:rsidR="1CFCC96B">
        <w:rPr>
          <w:rFonts w:ascii="Arial Nova" w:hAnsi="Arial Nova" w:eastAsia="Arial Nova" w:cs="Arial Nova"/>
          <w:i w:val="1"/>
          <w:iCs w:val="1"/>
          <w:noProof w:val="0"/>
          <w:sz w:val="24"/>
          <w:szCs w:val="24"/>
          <w:lang w:val="en-GB"/>
        </w:rPr>
        <w:t>Open Access Rheumatology: Research and Reviews</w:t>
      </w:r>
      <w:r w:rsidRPr="7EE60C8C" w:rsidR="1CFCC96B">
        <w:rPr>
          <w:rFonts w:ascii="Arial Nova" w:hAnsi="Arial Nova" w:eastAsia="Arial Nova" w:cs="Arial Nova"/>
          <w:noProof w:val="0"/>
          <w:sz w:val="24"/>
          <w:szCs w:val="24"/>
          <w:lang w:val="en-GB"/>
        </w:rPr>
        <w:t>, 16, pp. 89–114. doi:10.2147/OARRR.S372610.</w:t>
      </w:r>
    </w:p>
    <w:p w:rsidR="1CFCC96B" w:rsidP="7EE60C8C" w:rsidRDefault="1CFCC96B" w14:paraId="716160D2" w14:textId="575B3AB2">
      <w:pPr>
        <w:spacing w:before="240" w:beforeAutospacing="off" w:after="240" w:afterAutospacing="off"/>
      </w:pPr>
      <w:r w:rsidRPr="7EE60C8C" w:rsidR="1CFCC96B">
        <w:rPr>
          <w:rFonts w:ascii="Arial Nova" w:hAnsi="Arial Nova" w:eastAsia="Arial Nova" w:cs="Arial Nova"/>
          <w:noProof w:val="0"/>
          <w:sz w:val="24"/>
          <w:szCs w:val="24"/>
          <w:lang w:val="en-GB"/>
        </w:rPr>
        <w:t xml:space="preserve">Simons, G., Mallen, C. and Raza, K. (2013) 'Early rheumatoid arthritis: the performance of the 2010 ACR/EULAR criteria for diagnosing RA in a primary care cohort', </w:t>
      </w:r>
      <w:r w:rsidRPr="7EE60C8C" w:rsidR="1CFCC96B">
        <w:rPr>
          <w:rFonts w:ascii="Arial Nova" w:hAnsi="Arial Nova" w:eastAsia="Arial Nova" w:cs="Arial Nova"/>
          <w:i w:val="1"/>
          <w:iCs w:val="1"/>
          <w:noProof w:val="0"/>
          <w:sz w:val="24"/>
          <w:szCs w:val="24"/>
          <w:lang w:val="en-GB"/>
        </w:rPr>
        <w:t>Best Practice and Research in Clinical Rheumatology</w:t>
      </w:r>
      <w:r w:rsidRPr="7EE60C8C" w:rsidR="1CFCC96B">
        <w:rPr>
          <w:rFonts w:ascii="Arial Nova" w:hAnsi="Arial Nova" w:eastAsia="Arial Nova" w:cs="Arial Nova"/>
          <w:noProof w:val="0"/>
          <w:sz w:val="24"/>
          <w:szCs w:val="24"/>
          <w:lang w:val="en-GB"/>
        </w:rPr>
        <w:t>, 27(4), pp. 451–466.</w:t>
      </w:r>
    </w:p>
    <w:p w:rsidR="1CFCC96B" w:rsidP="7EE60C8C" w:rsidRDefault="1CFCC96B" w14:paraId="4F549F24" w14:textId="6CA2215F">
      <w:pPr>
        <w:spacing w:before="240" w:beforeAutospacing="off" w:after="240" w:afterAutospacing="off"/>
      </w:pPr>
      <w:r w:rsidRPr="7EE60C8C" w:rsidR="1CFCC96B">
        <w:rPr>
          <w:rFonts w:ascii="Arial Nova" w:hAnsi="Arial Nova" w:eastAsia="Arial Nova" w:cs="Arial Nova"/>
          <w:noProof w:val="0"/>
          <w:sz w:val="24"/>
          <w:szCs w:val="24"/>
          <w:lang w:val="en-GB"/>
        </w:rPr>
        <w:t xml:space="preserve">Sundus, H., Khan, Z.A., Rashid, H., Agarwal, A. and Khan, S.A. (2025) 'Effect of different physiotherapeutic interventions in patients with rheumatoid arthritis: a systematic review and meta-analysis', </w:t>
      </w:r>
      <w:r w:rsidRPr="7EE60C8C" w:rsidR="1CFCC96B">
        <w:rPr>
          <w:rFonts w:ascii="Arial Nova" w:hAnsi="Arial Nova" w:eastAsia="Arial Nova" w:cs="Arial Nova"/>
          <w:i w:val="1"/>
          <w:iCs w:val="1"/>
          <w:noProof w:val="0"/>
          <w:sz w:val="24"/>
          <w:szCs w:val="24"/>
          <w:lang w:val="en-GB"/>
        </w:rPr>
        <w:t>Musculoskeletal Care</w:t>
      </w:r>
      <w:r w:rsidRPr="7EE60C8C" w:rsidR="1CFCC96B">
        <w:rPr>
          <w:rFonts w:ascii="Arial Nova" w:hAnsi="Arial Nova" w:eastAsia="Arial Nova" w:cs="Arial Nova"/>
          <w:noProof w:val="0"/>
          <w:sz w:val="24"/>
          <w:szCs w:val="24"/>
          <w:lang w:val="en-GB"/>
        </w:rPr>
        <w:t>, 23(3), p. e70173. doi:10.1002/msc.70173.</w:t>
      </w:r>
    </w:p>
    <w:p w:rsidR="1CFCC96B" w:rsidP="7EE60C8C" w:rsidRDefault="1CFCC96B" w14:paraId="2981B2E1" w14:textId="727579F5">
      <w:pPr>
        <w:spacing w:before="240" w:beforeAutospacing="off" w:after="240" w:afterAutospacing="off"/>
      </w:pPr>
      <w:r w:rsidRPr="7EE60C8C" w:rsidR="1CFCC96B">
        <w:rPr>
          <w:rFonts w:ascii="Arial Nova" w:hAnsi="Arial Nova" w:eastAsia="Arial Nova" w:cs="Arial Nova"/>
          <w:noProof w:val="0"/>
          <w:sz w:val="24"/>
          <w:szCs w:val="24"/>
          <w:lang w:val="en-GB"/>
        </w:rPr>
        <w:t xml:space="preserve">UK Government/Office for Health Inequalities and Disparities (OHID) (2024) </w:t>
      </w:r>
      <w:r w:rsidRPr="7EE60C8C" w:rsidR="1CFCC96B">
        <w:rPr>
          <w:rFonts w:ascii="Arial Nova" w:hAnsi="Arial Nova" w:eastAsia="Arial Nova" w:cs="Arial Nova"/>
          <w:i w:val="1"/>
          <w:iCs w:val="1"/>
          <w:noProof w:val="0"/>
          <w:sz w:val="24"/>
          <w:szCs w:val="24"/>
          <w:lang w:val="en-GB"/>
        </w:rPr>
        <w:t>Musculoskeletal health local profiles: short commentary, January 2024</w:t>
      </w:r>
      <w:r w:rsidRPr="7EE60C8C" w:rsidR="1CFCC96B">
        <w:rPr>
          <w:rFonts w:ascii="Arial Nova" w:hAnsi="Arial Nova" w:eastAsia="Arial Nova" w:cs="Arial Nova"/>
          <w:noProof w:val="0"/>
          <w:sz w:val="24"/>
          <w:szCs w:val="24"/>
          <w:lang w:val="en-GB"/>
        </w:rPr>
        <w:t xml:space="preserve"> [online]. London: OHID. Available at: </w:t>
      </w:r>
      <w:hyperlink r:id="Rd30c33794ff740a2">
        <w:r w:rsidRPr="7EE60C8C" w:rsidR="1CFCC96B">
          <w:rPr>
            <w:rStyle w:val="Hyperlink"/>
            <w:noProof w:val="0"/>
            <w:lang w:val="en-GB"/>
          </w:rPr>
          <w:t>https://www.gov.uk/government/statistics/musculoskeletal-health-local-profiles-january-2024-update</w:t>
        </w:r>
      </w:hyperlink>
      <w:r w:rsidRPr="7EE60C8C" w:rsidR="1CFCC96B">
        <w:rPr>
          <w:rFonts w:ascii="Arial Nova" w:hAnsi="Arial Nova" w:eastAsia="Arial Nova" w:cs="Arial Nova"/>
          <w:noProof w:val="0"/>
          <w:sz w:val="24"/>
          <w:szCs w:val="24"/>
          <w:lang w:val="en-GB"/>
        </w:rPr>
        <w:t xml:space="preserve"> (Accessed: 15 July 2026).</w:t>
      </w:r>
    </w:p>
    <w:p w:rsidR="1CFCC96B" w:rsidP="7EE60C8C" w:rsidRDefault="1CFCC96B" w14:paraId="101927F4" w14:textId="69830A97">
      <w:pPr>
        <w:spacing w:before="240" w:beforeAutospacing="off" w:after="240" w:afterAutospacing="off"/>
      </w:pPr>
      <w:r w:rsidRPr="7EE60C8C" w:rsidR="1CFCC96B">
        <w:rPr>
          <w:rFonts w:ascii="Arial Nova" w:hAnsi="Arial Nova" w:eastAsia="Arial Nova" w:cs="Arial Nova"/>
          <w:noProof w:val="0"/>
          <w:sz w:val="24"/>
          <w:szCs w:val="24"/>
          <w:lang w:val="en-GB"/>
        </w:rPr>
        <w:t xml:space="preserve">Uke, P. et al. (2025) 'A review on the epidemiology of rheumatoid arthritis: an update and trends from current literature', </w:t>
      </w:r>
      <w:r w:rsidRPr="7EE60C8C" w:rsidR="1CFCC96B">
        <w:rPr>
          <w:rFonts w:ascii="Arial Nova" w:hAnsi="Arial Nova" w:eastAsia="Arial Nova" w:cs="Arial Nova"/>
          <w:i w:val="1"/>
          <w:iCs w:val="1"/>
          <w:noProof w:val="0"/>
          <w:sz w:val="24"/>
          <w:szCs w:val="24"/>
          <w:lang w:val="en-GB"/>
        </w:rPr>
        <w:t>Best Practice and Research in Clinical Rheumatology</w:t>
      </w:r>
      <w:r w:rsidRPr="7EE60C8C" w:rsidR="1CFCC96B">
        <w:rPr>
          <w:rFonts w:ascii="Arial Nova" w:hAnsi="Arial Nova" w:eastAsia="Arial Nova" w:cs="Arial Nova"/>
          <w:noProof w:val="0"/>
          <w:sz w:val="24"/>
          <w:szCs w:val="24"/>
          <w:lang w:val="en-GB"/>
        </w:rPr>
        <w:t>, 39(1), p. 102036. doi:10.1016/j.berh.2025.102036.</w:t>
      </w:r>
    </w:p>
    <w:p w:rsidR="1CFCC96B" w:rsidP="7EE60C8C" w:rsidRDefault="1CFCC96B" w14:paraId="793481A0" w14:textId="5CB5C745">
      <w:pPr>
        <w:spacing w:before="240" w:beforeAutospacing="off" w:after="240" w:afterAutospacing="off"/>
      </w:pPr>
      <w:r w:rsidRPr="7EE60C8C" w:rsidR="1CFCC96B">
        <w:rPr>
          <w:rFonts w:ascii="Arial Nova" w:hAnsi="Arial Nova" w:eastAsia="Arial Nova" w:cs="Arial Nova"/>
          <w:noProof w:val="0"/>
          <w:sz w:val="24"/>
          <w:szCs w:val="24"/>
          <w:lang w:val="en-GB"/>
        </w:rPr>
        <w:t xml:space="preserve">Verhoef, J., Toussaint, P.J., Zwetsloot-Schonk, J.H.M., Breedveld, F.C., Putter, H. and Vliet Vlieland, T.P.M. (2005) 'Outcomes of patients with rheumatoid arthritis receiving rehabilitation', </w:t>
      </w:r>
      <w:r w:rsidRPr="7EE60C8C" w:rsidR="1CFCC96B">
        <w:rPr>
          <w:rFonts w:ascii="Arial Nova" w:hAnsi="Arial Nova" w:eastAsia="Arial Nova" w:cs="Arial Nova"/>
          <w:i w:val="1"/>
          <w:iCs w:val="1"/>
          <w:noProof w:val="0"/>
          <w:sz w:val="24"/>
          <w:szCs w:val="24"/>
          <w:lang w:val="en-GB"/>
        </w:rPr>
        <w:t>Arthritis and Rheumatism</w:t>
      </w:r>
      <w:r w:rsidRPr="7EE60C8C" w:rsidR="1CFCC96B">
        <w:rPr>
          <w:rFonts w:ascii="Arial Nova" w:hAnsi="Arial Nova" w:eastAsia="Arial Nova" w:cs="Arial Nova"/>
          <w:noProof w:val="0"/>
          <w:sz w:val="24"/>
          <w:szCs w:val="24"/>
          <w:lang w:val="en-GB"/>
        </w:rPr>
        <w:t>, 53(2), pp. 274–282.</w:t>
      </w:r>
    </w:p>
    <w:p w:rsidR="1CFCC96B" w:rsidP="7EE60C8C" w:rsidRDefault="1CFCC96B" w14:paraId="24D47B2A" w14:textId="09C45005">
      <w:pPr>
        <w:spacing w:before="240" w:beforeAutospacing="off" w:after="240" w:afterAutospacing="off"/>
      </w:pPr>
      <w:r w:rsidRPr="7EE60C8C" w:rsidR="1CFCC96B">
        <w:rPr>
          <w:rFonts w:ascii="Arial Nova" w:hAnsi="Arial Nova" w:eastAsia="Arial Nova" w:cs="Arial Nova"/>
          <w:noProof w:val="0"/>
          <w:sz w:val="24"/>
          <w:szCs w:val="24"/>
          <w:lang w:val="en-GB"/>
        </w:rPr>
        <w:t xml:space="preserve">Vliet Vlieland, T.P.M. (2006) 'Rehabilitation in rheumatoid arthritis: a critical review', </w:t>
      </w:r>
      <w:r w:rsidRPr="7EE60C8C" w:rsidR="1CFCC96B">
        <w:rPr>
          <w:rFonts w:ascii="Arial Nova" w:hAnsi="Arial Nova" w:eastAsia="Arial Nova" w:cs="Arial Nova"/>
          <w:i w:val="1"/>
          <w:iCs w:val="1"/>
          <w:noProof w:val="0"/>
          <w:sz w:val="24"/>
          <w:szCs w:val="24"/>
          <w:lang w:val="en-GB"/>
        </w:rPr>
        <w:t>Musculoskeletal Care</w:t>
      </w:r>
      <w:r w:rsidRPr="7EE60C8C" w:rsidR="1CFCC96B">
        <w:rPr>
          <w:rFonts w:ascii="Arial Nova" w:hAnsi="Arial Nova" w:eastAsia="Arial Nova" w:cs="Arial Nova"/>
          <w:noProof w:val="0"/>
          <w:sz w:val="24"/>
          <w:szCs w:val="24"/>
          <w:lang w:val="en-GB"/>
        </w:rPr>
        <w:t>, 4(3), pp. 135–148.</w:t>
      </w:r>
    </w:p>
    <w:p w:rsidR="1CFCC96B" w:rsidP="7EE60C8C" w:rsidRDefault="1CFCC96B" w14:paraId="5AB150D7" w14:textId="2B24B4DD">
      <w:pPr>
        <w:spacing w:before="240" w:beforeAutospacing="off" w:after="240" w:afterAutospacing="off"/>
      </w:pPr>
      <w:r w:rsidRPr="7EE60C8C" w:rsidR="1CFCC96B">
        <w:rPr>
          <w:rFonts w:ascii="Arial Nova" w:hAnsi="Arial Nova" w:eastAsia="Arial Nova" w:cs="Arial Nova"/>
          <w:noProof w:val="0"/>
          <w:sz w:val="24"/>
          <w:szCs w:val="24"/>
          <w:lang w:val="en-GB"/>
        </w:rPr>
        <w:t xml:space="preserve">Wiley, J., Al-Amin, M., Kaur, M. and Chen, P. (2024) 'Safety of Janus kinase inhibitors in rheumatoid arthritis: a disproportionality analysis using the FAERS database from 2012 to 2022', </w:t>
      </w:r>
      <w:r w:rsidRPr="7EE60C8C" w:rsidR="1CFCC96B">
        <w:rPr>
          <w:rFonts w:ascii="Arial Nova" w:hAnsi="Arial Nova" w:eastAsia="Arial Nova" w:cs="Arial Nova"/>
          <w:i w:val="1"/>
          <w:iCs w:val="1"/>
          <w:noProof w:val="0"/>
          <w:sz w:val="24"/>
          <w:szCs w:val="24"/>
          <w:lang w:val="en-GB"/>
        </w:rPr>
        <w:t>Clinical Rheumatology</w:t>
      </w:r>
      <w:r w:rsidRPr="7EE60C8C" w:rsidR="1CFCC96B">
        <w:rPr>
          <w:rFonts w:ascii="Arial Nova" w:hAnsi="Arial Nova" w:eastAsia="Arial Nova" w:cs="Arial Nova"/>
          <w:noProof w:val="0"/>
          <w:sz w:val="24"/>
          <w:szCs w:val="24"/>
          <w:lang w:val="en-GB"/>
        </w:rPr>
        <w:t>, 44(4), pp. 1467–1474.</w:t>
      </w:r>
    </w:p>
    <w:p w:rsidR="1CFCC96B" w:rsidP="7EE60C8C" w:rsidRDefault="1CFCC96B" w14:paraId="05BF2819" w14:textId="5662196C">
      <w:pPr>
        <w:spacing w:before="240" w:beforeAutospacing="off" w:after="240" w:afterAutospacing="off"/>
      </w:pPr>
      <w:r w:rsidRPr="7EE60C8C" w:rsidR="1CFCC96B">
        <w:rPr>
          <w:rFonts w:ascii="Arial Nova" w:hAnsi="Arial Nova" w:eastAsia="Arial Nova" w:cs="Arial Nova"/>
          <w:noProof w:val="0"/>
          <w:sz w:val="24"/>
          <w:szCs w:val="24"/>
          <w:lang w:val="en-GB"/>
        </w:rPr>
        <w:t xml:space="preserve">World Health Organization (WHO) (2003) </w:t>
      </w:r>
      <w:r w:rsidRPr="7EE60C8C" w:rsidR="1CFCC96B">
        <w:rPr>
          <w:rFonts w:ascii="Arial Nova" w:hAnsi="Arial Nova" w:eastAsia="Arial Nova" w:cs="Arial Nova"/>
          <w:i w:val="1"/>
          <w:iCs w:val="1"/>
          <w:noProof w:val="0"/>
          <w:sz w:val="24"/>
          <w:szCs w:val="24"/>
          <w:lang w:val="en-GB"/>
        </w:rPr>
        <w:t>Musculoskeletal conditions affect millions</w:t>
      </w:r>
      <w:r w:rsidRPr="7EE60C8C" w:rsidR="1CFCC96B">
        <w:rPr>
          <w:rFonts w:ascii="Arial Nova" w:hAnsi="Arial Nova" w:eastAsia="Arial Nova" w:cs="Arial Nova"/>
          <w:noProof w:val="0"/>
          <w:sz w:val="24"/>
          <w:szCs w:val="24"/>
          <w:lang w:val="en-GB"/>
        </w:rPr>
        <w:t xml:space="preserve"> [online]. Geneva: WHO. Available at: </w:t>
      </w:r>
      <w:hyperlink r:id="R3bd5fb96f45046a2">
        <w:r w:rsidRPr="7EE60C8C" w:rsidR="1CFCC96B">
          <w:rPr>
            <w:rStyle w:val="Hyperlink"/>
            <w:noProof w:val="0"/>
            <w:lang w:val="en-GB"/>
          </w:rPr>
          <w:t>https://www.who.int/news/item/27-10-2003-musculoskeletal-conditions-affect-millions</w:t>
        </w:r>
      </w:hyperlink>
      <w:r w:rsidRPr="7EE60C8C" w:rsidR="1CFCC96B">
        <w:rPr>
          <w:rFonts w:ascii="Arial Nova" w:hAnsi="Arial Nova" w:eastAsia="Arial Nova" w:cs="Arial Nova"/>
          <w:noProof w:val="0"/>
          <w:sz w:val="24"/>
          <w:szCs w:val="24"/>
          <w:lang w:val="en-GB"/>
        </w:rPr>
        <w:t xml:space="preserve"> (Accessed: 15 July 2026).</w:t>
      </w:r>
    </w:p>
    <w:p w:rsidR="1CFCC96B" w:rsidP="7EE60C8C" w:rsidRDefault="1CFCC96B" w14:paraId="432F3AB7" w14:textId="04AFEB96">
      <w:pPr>
        <w:spacing w:before="240" w:beforeAutospacing="off" w:after="240" w:afterAutospacing="off"/>
      </w:pPr>
      <w:r w:rsidRPr="7EE60C8C" w:rsidR="1CFCC96B">
        <w:rPr>
          <w:rFonts w:ascii="Arial Nova" w:hAnsi="Arial Nova" w:eastAsia="Arial Nova" w:cs="Arial Nova"/>
          <w:noProof w:val="0"/>
          <w:sz w:val="24"/>
          <w:szCs w:val="24"/>
          <w:lang w:val="en-GB"/>
        </w:rPr>
        <w:t xml:space="preserve">World Health Organization (WHO) (2022) </w:t>
      </w:r>
      <w:r w:rsidRPr="7EE60C8C" w:rsidR="1CFCC96B">
        <w:rPr>
          <w:rFonts w:ascii="Arial Nova" w:hAnsi="Arial Nova" w:eastAsia="Arial Nova" w:cs="Arial Nova"/>
          <w:i w:val="1"/>
          <w:iCs w:val="1"/>
          <w:noProof w:val="0"/>
          <w:sz w:val="24"/>
          <w:szCs w:val="24"/>
          <w:lang w:val="en-GB"/>
        </w:rPr>
        <w:t>Musculoskeletal health</w:t>
      </w:r>
      <w:r w:rsidRPr="7EE60C8C" w:rsidR="1CFCC96B">
        <w:rPr>
          <w:rFonts w:ascii="Arial Nova" w:hAnsi="Arial Nova" w:eastAsia="Arial Nova" w:cs="Arial Nova"/>
          <w:noProof w:val="0"/>
          <w:sz w:val="24"/>
          <w:szCs w:val="24"/>
          <w:lang w:val="en-GB"/>
        </w:rPr>
        <w:t xml:space="preserve"> [Fact sheet] [online]. Geneva: WHO. Available at: </w:t>
      </w:r>
      <w:hyperlink r:id="Ra198ab25df184a3d">
        <w:r w:rsidRPr="7EE60C8C" w:rsidR="1CFCC96B">
          <w:rPr>
            <w:rStyle w:val="Hyperlink"/>
            <w:noProof w:val="0"/>
            <w:lang w:val="en-GB"/>
          </w:rPr>
          <w:t>https://www.who.int/news-room/fact-sheets/detail/musculoskeletal-conditions</w:t>
        </w:r>
      </w:hyperlink>
      <w:r w:rsidRPr="7EE60C8C" w:rsidR="1CFCC96B">
        <w:rPr>
          <w:rFonts w:ascii="Arial Nova" w:hAnsi="Arial Nova" w:eastAsia="Arial Nova" w:cs="Arial Nova"/>
          <w:noProof w:val="0"/>
          <w:sz w:val="24"/>
          <w:szCs w:val="24"/>
          <w:lang w:val="en-GB"/>
        </w:rPr>
        <w:t xml:space="preserve"> (Accessed: 15 July 2026)</w:t>
      </w:r>
    </w:p>
    <w:p w:rsidR="7EE60C8C" w:rsidRDefault="7EE60C8C" w14:paraId="0A4F29C5" w14:textId="26BCB1F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7FW8/FmzegNNl" int2:id="BNYjEV6S">
      <int2:state int2:type="spell" int2:value="Rejected"/>
    </int2:textHash>
    <int2:textHash int2:hashCode="AYHiVISqVlDaY8" int2:id="3moQCzKn">
      <int2:state int2:type="spell" int2:value="Rejected"/>
    </int2:textHash>
    <int2:textHash int2:hashCode="K93SA/UgWgu/J7" int2:id="8FWvdEjQ">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7cb1e9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a9aa6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61fba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9b01f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680e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f8f91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d8c5d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fdf83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32F559"/>
    <w:rsid w:val="0098C11A"/>
    <w:rsid w:val="0235CD9E"/>
    <w:rsid w:val="055F648F"/>
    <w:rsid w:val="06B751F0"/>
    <w:rsid w:val="07B47BA4"/>
    <w:rsid w:val="07C0510B"/>
    <w:rsid w:val="07C59833"/>
    <w:rsid w:val="0B05BE80"/>
    <w:rsid w:val="0B3C5DEC"/>
    <w:rsid w:val="106629EF"/>
    <w:rsid w:val="10888159"/>
    <w:rsid w:val="11076695"/>
    <w:rsid w:val="143FC419"/>
    <w:rsid w:val="1466DA8F"/>
    <w:rsid w:val="14898017"/>
    <w:rsid w:val="1550FF90"/>
    <w:rsid w:val="17553D15"/>
    <w:rsid w:val="19C348B8"/>
    <w:rsid w:val="1A37ACB5"/>
    <w:rsid w:val="1A5B1C8B"/>
    <w:rsid w:val="1AE8A488"/>
    <w:rsid w:val="1BA70742"/>
    <w:rsid w:val="1C6B685B"/>
    <w:rsid w:val="1CEB2499"/>
    <w:rsid w:val="1CFCC96B"/>
    <w:rsid w:val="1F007C5E"/>
    <w:rsid w:val="1F34BEC6"/>
    <w:rsid w:val="21745672"/>
    <w:rsid w:val="227E7BB3"/>
    <w:rsid w:val="22FD323B"/>
    <w:rsid w:val="2440CA99"/>
    <w:rsid w:val="2486EB22"/>
    <w:rsid w:val="251764B4"/>
    <w:rsid w:val="254023BE"/>
    <w:rsid w:val="2626FF48"/>
    <w:rsid w:val="26B4A8E1"/>
    <w:rsid w:val="2711760D"/>
    <w:rsid w:val="281B63F1"/>
    <w:rsid w:val="290873F3"/>
    <w:rsid w:val="2B2547D7"/>
    <w:rsid w:val="2C7B14E9"/>
    <w:rsid w:val="2C9F0B41"/>
    <w:rsid w:val="2D4DB630"/>
    <w:rsid w:val="2D9F739A"/>
    <w:rsid w:val="2E9E3B78"/>
    <w:rsid w:val="301B468F"/>
    <w:rsid w:val="3233F66C"/>
    <w:rsid w:val="33D49749"/>
    <w:rsid w:val="3586463C"/>
    <w:rsid w:val="3655847D"/>
    <w:rsid w:val="37AA2F6F"/>
    <w:rsid w:val="391FCF50"/>
    <w:rsid w:val="395CDD9E"/>
    <w:rsid w:val="39879A58"/>
    <w:rsid w:val="3B7CE49C"/>
    <w:rsid w:val="3BCA0708"/>
    <w:rsid w:val="3C11F25C"/>
    <w:rsid w:val="3C87FB32"/>
    <w:rsid w:val="40727169"/>
    <w:rsid w:val="419FA639"/>
    <w:rsid w:val="447954D8"/>
    <w:rsid w:val="4486CD8D"/>
    <w:rsid w:val="463D8FB4"/>
    <w:rsid w:val="46A19B23"/>
    <w:rsid w:val="48039967"/>
    <w:rsid w:val="48BCC0BA"/>
    <w:rsid w:val="4A13476B"/>
    <w:rsid w:val="4A3BD752"/>
    <w:rsid w:val="4C4DCC9D"/>
    <w:rsid w:val="4CD832DE"/>
    <w:rsid w:val="4E97A461"/>
    <w:rsid w:val="4EB096A3"/>
    <w:rsid w:val="4EE0E8DF"/>
    <w:rsid w:val="50E295B3"/>
    <w:rsid w:val="5100FA8F"/>
    <w:rsid w:val="52163BBC"/>
    <w:rsid w:val="5217FA48"/>
    <w:rsid w:val="521BA73A"/>
    <w:rsid w:val="53158B98"/>
    <w:rsid w:val="540DEC74"/>
    <w:rsid w:val="5467EC9C"/>
    <w:rsid w:val="54C2406D"/>
    <w:rsid w:val="555C5A2E"/>
    <w:rsid w:val="55949E46"/>
    <w:rsid w:val="5618B7B0"/>
    <w:rsid w:val="5674F6A4"/>
    <w:rsid w:val="571399DA"/>
    <w:rsid w:val="5BC3807D"/>
    <w:rsid w:val="5CC23F47"/>
    <w:rsid w:val="5EA4FDBE"/>
    <w:rsid w:val="5FC9507F"/>
    <w:rsid w:val="60E2990A"/>
    <w:rsid w:val="61EFE739"/>
    <w:rsid w:val="62F7AEAD"/>
    <w:rsid w:val="63A77ACD"/>
    <w:rsid w:val="63AF7484"/>
    <w:rsid w:val="65543537"/>
    <w:rsid w:val="676FA183"/>
    <w:rsid w:val="67D3F284"/>
    <w:rsid w:val="68491E82"/>
    <w:rsid w:val="69319243"/>
    <w:rsid w:val="69A732E0"/>
    <w:rsid w:val="69AF21AD"/>
    <w:rsid w:val="6C2C3D58"/>
    <w:rsid w:val="71E74B8D"/>
    <w:rsid w:val="7332F559"/>
    <w:rsid w:val="73AF5971"/>
    <w:rsid w:val="792B80CD"/>
    <w:rsid w:val="7D355EFD"/>
    <w:rsid w:val="7DBAFA4A"/>
    <w:rsid w:val="7EA07EA1"/>
    <w:rsid w:val="7EE60C8C"/>
    <w:rsid w:val="7EF2D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8CDC3"/>
  <w15:chartTrackingRefBased/>
  <w15:docId w15:val="{CC3A180A-6CA6-4552-8D03-C0F42FE90B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EE60C8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EE60C8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EE60C8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EE60C8C"/>
    <w:pPr>
      <w:spacing/>
      <w:ind w:left="720"/>
      <w:contextualSpacing/>
    </w:pPr>
  </w:style>
  <w:style w:type="character" w:styleId="Hyperlink">
    <w:uiPriority w:val="99"/>
    <w:name w:val="Hyperlink"/>
    <w:basedOn w:val="DefaultParagraphFont"/>
    <w:unhideWhenUsed/>
    <w:rsid w:val="7EE60C8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rma.uk.net" TargetMode="External" Id="Rf0d2907154264e1d" /><Relationship Type="http://schemas.openxmlformats.org/officeDocument/2006/relationships/hyperlink" Target="https://www.csp.org.uk/news/2024-03-19-physiotherapists-are-tackling-musculoskeletal-health-inequalities" TargetMode="External" Id="R4739e656d16243ca" /><Relationship Type="http://schemas.openxmlformats.org/officeDocument/2006/relationships/hyperlink" Target="https://www.findacode.com/icd-11/block-576319925.html" TargetMode="External" Id="R0b874a0e7f044616" /><Relationship Type="http://schemas.openxmlformats.org/officeDocument/2006/relationships/hyperlink" Target="https://www.findacode.com/icd-11/chapter-15.html" TargetMode="External" Id="R915650b4980c4127" /><Relationship Type="http://schemas.openxmlformats.org/officeDocument/2006/relationships/hyperlink" Target="https://www.iasp-pain.org/advocacy/structure-of-the-icd-11-classification" TargetMode="External" Id="R81cf0839799d4771" /><Relationship Type="http://schemas.openxmlformats.org/officeDocument/2006/relationships/hyperlink" Target="https://kclpure.kcl.ac.uk/portal/en/publications/new-icd-11-diagnostic-criteria-for-chronic-secondary-musculoskele" TargetMode="External" Id="Rc673331cd4e14f2e" /><Relationship Type="http://schemas.openxmlformats.org/officeDocument/2006/relationships/hyperlink" Target="https://www.nice.org.uk/news/articles/nice-recommends-several-treatment-options-to-help-with-rheumatoid-arthritis" TargetMode="External" Id="Rac82acba633d431a" /><Relationship Type="http://schemas.openxmlformats.org/officeDocument/2006/relationships/hyperlink" Target="https://www.nice.org.uk/guidance/ng100/chapter/recommendations" TargetMode="External" Id="Ra36766349f924438" /><Relationship Type="http://schemas.openxmlformats.org/officeDocument/2006/relationships/hyperlink" Target="https://www.nice.org.uk/guidance/ng100" TargetMode="External" Id="R4a435d1cbef44482" /><Relationship Type="http://schemas.openxmlformats.org/officeDocument/2006/relationships/hyperlink" Target="https://www.northernlincolnshireapc.nhs.uk" TargetMode="External" Id="R312a78e079f54b2c" /><Relationship Type="http://schemas.openxmlformats.org/officeDocument/2006/relationships/hyperlink" Target="https://painconcern.org.uk/act-now-musculoskeletal-health-inequalities-and-depravation-report" TargetMode="External" Id="Rfd063a602e1442e8" /><Relationship Type="http://schemas.openxmlformats.org/officeDocument/2006/relationships/hyperlink" Target="https://www.gov.uk/government/statistics/musculoskeletal-health-local-profiles-january-2024-update" TargetMode="External" Id="Rd30c33794ff740a2" /><Relationship Type="http://schemas.openxmlformats.org/officeDocument/2006/relationships/hyperlink" Target="https://www.who.int/news/item/27-10-2003-musculoskeletal-conditions-affect-millions" TargetMode="External" Id="R3bd5fb96f45046a2" /><Relationship Type="http://schemas.openxmlformats.org/officeDocument/2006/relationships/hyperlink" Target="https://www.who.int/news-room/fact-sheets/detail/musculoskeletal-conditions" TargetMode="External" Id="Ra198ab25df184a3d" /><Relationship Type="http://schemas.openxmlformats.org/officeDocument/2006/relationships/numbering" Target="numbering.xml" Id="R2f8d096484a74ef0" /><Relationship Type="http://schemas.openxmlformats.org/officeDocument/2006/relationships/image" Target="/media/image.png" Id="rId615275888" /><Relationship Type="http://schemas.microsoft.com/office/2020/10/relationships/intelligence" Target="intelligence2.xml" Id="Re711d61a233e471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2026-07-15T16:57:42.6753173Z</dcterms:created>
  <dcterms:modified xsi:type="dcterms:W3CDTF">2026-07-16T15:32:29.1199708Z</dcterms:modified>
  <dc:creator>Hina Rafiq Richard (2330393)</dc:creator>
  <lastModifiedBy>Hina Rafiq Richard (2330393)</lastModifiedBy>
</coreProperties>
</file>