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6893B" w14:textId="74EC6CCC" w:rsidR="00813799" w:rsidRDefault="00CA7CAD" w:rsidP="00813799">
      <w:pPr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</w:pPr>
      <w:r w:rsidRPr="002723A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>References</w:t>
      </w:r>
      <w:r w:rsidR="00AB16AC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 xml:space="preserve"> lecture</w:t>
      </w:r>
      <w:r w:rsidR="0017665C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>s</w:t>
      </w:r>
      <w:r w:rsidR="00AB16AC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 xml:space="preserve"> w/c 30</w:t>
      </w:r>
      <w:r w:rsidR="00AB16AC" w:rsidRPr="00AB16AC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vertAlign w:val="superscript"/>
          <w:lang w:val="en-US"/>
        </w:rPr>
        <w:t>th</w:t>
      </w:r>
      <w:r w:rsidR="00AB16AC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 xml:space="preserve"> September</w:t>
      </w:r>
      <w:r w:rsidRPr="002723A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 xml:space="preserve"> 202</w:t>
      </w:r>
      <w:r w:rsidR="006C1F6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>4</w:t>
      </w:r>
      <w:r w:rsidRPr="002723A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>/2</w:t>
      </w:r>
      <w:r w:rsidR="006C1F6A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val="en-US"/>
        </w:rPr>
        <w:t>5</w:t>
      </w:r>
    </w:p>
    <w:p w14:paraId="17DF5C0A" w14:textId="74145668" w:rsidR="00B57DE1" w:rsidRPr="0017665C" w:rsidRDefault="00B57DE1" w:rsidP="00813799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Allan, P. and Hand, D.J.   (2014).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 xml:space="preserve">The Wellbeing of Nations: Meaning, Motive and Measurement.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Chichester: Wiley.  </w:t>
      </w:r>
    </w:p>
    <w:p w14:paraId="6DB5F7C0" w14:textId="77177015" w:rsidR="00813799" w:rsidRPr="0017665C" w:rsidRDefault="00283E68" w:rsidP="00C655D4">
      <w:pPr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Bautista, T.G., Roman, G., Khan, M., Lee, M.,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Sahbaz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S.,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Duthely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L.M., Knippenberg, A., Macias-Burgos, M.A., Davidson, A.,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Scaramutti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C.,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Gabrilove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J.,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Pusek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, S., Mehta, D. and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Bredella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, M.A.  (2023).  ‘What is well-being? A scoping review of the conceptual and operational definitions of occupational well-being’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>,</w:t>
      </w:r>
      <w:r w:rsidR="0087791B" w:rsidRPr="0017665C">
        <w:t xml:space="preserve"> </w:t>
      </w:r>
      <w:r w:rsidR="0087791B"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 xml:space="preserve">Journal of Clinical and Translational Science 7: </w:t>
      </w:r>
      <w:r w:rsidR="0087791B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e227, 1–12. </w:t>
      </w:r>
      <w:proofErr w:type="spellStart"/>
      <w:r w:rsidR="0087791B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doi</w:t>
      </w:r>
      <w:proofErr w:type="spellEnd"/>
      <w:r w:rsidR="0087791B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: 10.1017/cts.2023.648 </w:t>
      </w:r>
    </w:p>
    <w:p w14:paraId="464F66CE" w14:textId="77777777" w:rsidR="00411DFD" w:rsidRPr="0017665C" w:rsidRDefault="00B57DE1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Benyamini, Y. and Leventhal, H. (2019).  ‘Beliefs and Perceptions of Health and Illness’, in Llewellyn, C.D., Ayers, S.</w:t>
      </w:r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,  McManus</w:t>
      </w:r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, C., Newman, S., Petrie, K. J., Revenson, T.A., and Weinman, J. (Eds.),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/>
        </w:rPr>
        <w:t xml:space="preserve"> Cambridge Handbook of Psychology, Health and Medicine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. (3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val="en-US"/>
        </w:rPr>
        <w:t>rd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 </w:t>
      </w:r>
      <w:proofErr w:type="spellStart"/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edn</w:t>
      </w:r>
      <w:proofErr w:type="spellEnd"/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.).  Cambridge: Cambridge University Press.  (Cambridge Handbooks in</w:t>
      </w:r>
      <w:r w:rsidR="00A4538C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Psychology), pp. 106 – 109. </w:t>
      </w:r>
    </w:p>
    <w:p w14:paraId="63BE6F5D" w14:textId="77777777" w:rsidR="00411DFD" w:rsidRPr="0017665C" w:rsidRDefault="00411DFD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</w:pPr>
    </w:p>
    <w:p w14:paraId="5326F0EF" w14:textId="4D77A471" w:rsidR="001D46EE" w:rsidRPr="0017665C" w:rsidRDefault="001D46EE" w:rsidP="0081379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17665C">
        <w:rPr>
          <w:rFonts w:ascii="Times New Roman" w:hAnsi="Times New Roman" w:cs="Times New Roman"/>
          <w:sz w:val="24"/>
          <w:szCs w:val="24"/>
        </w:rPr>
        <w:t>Blaxter</w:t>
      </w:r>
      <w:proofErr w:type="spellEnd"/>
      <w:r w:rsidRPr="0017665C">
        <w:rPr>
          <w:rFonts w:ascii="Times New Roman" w:hAnsi="Times New Roman" w:cs="Times New Roman"/>
          <w:sz w:val="24"/>
          <w:szCs w:val="24"/>
        </w:rPr>
        <w:t xml:space="preserve">, M.  (1990).  </w:t>
      </w:r>
      <w:r w:rsidRPr="0017665C">
        <w:rPr>
          <w:rFonts w:ascii="Times New Roman" w:hAnsi="Times New Roman" w:cs="Times New Roman"/>
          <w:i/>
          <w:iCs/>
          <w:sz w:val="24"/>
          <w:szCs w:val="24"/>
        </w:rPr>
        <w:t>Health and Lifestyles.</w:t>
      </w:r>
      <w:r w:rsidRPr="0017665C">
        <w:rPr>
          <w:rFonts w:ascii="Times New Roman" w:hAnsi="Times New Roman" w:cs="Times New Roman"/>
          <w:sz w:val="24"/>
          <w:szCs w:val="24"/>
        </w:rPr>
        <w:t xml:space="preserve">  Abingdon: Routledge.</w:t>
      </w:r>
    </w:p>
    <w:p w14:paraId="4D682237" w14:textId="77777777" w:rsidR="001D46EE" w:rsidRPr="0017665C" w:rsidRDefault="001D46EE" w:rsidP="0081379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3FADB39" w14:textId="5FAB0392" w:rsidR="00F6085F" w:rsidRPr="0017665C" w:rsidRDefault="008A0A53" w:rsidP="00813799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Calder, G.  (2020).  ‘Social Justice Issues in Health and Social Care’,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in Edwards, D.J. and Best, S.  (Eds.).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>The Textbook of Health and Social Care.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London: Sage, pp. 330 – 343. </w:t>
      </w:r>
    </w:p>
    <w:p w14:paraId="3696FE45" w14:textId="77777777" w:rsidR="0017665C" w:rsidRDefault="00CB4E2A" w:rsidP="007A14E0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Cooper, S. and Thorogood, N.  (2013).  ‘Social construction of health and health promotion’, in Cragg, L., Davies, M. and Macdowall, W.  (Eds.).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/>
        </w:rPr>
        <w:t xml:space="preserve">Health Promotion Theory.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(2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val="en-US"/>
        </w:rPr>
        <w:t>nd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.).  Maidenhead: Open University Press/McGraw-Hill Education, pp. 20 – 34.  </w:t>
      </w:r>
      <w:bookmarkStart w:id="0" w:name="_Hlk165273175"/>
    </w:p>
    <w:p w14:paraId="034D72F2" w14:textId="5C6C0209" w:rsidR="007A14E0" w:rsidRPr="0017665C" w:rsidRDefault="007A14E0" w:rsidP="007A14E0">
      <w:pP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Cottrell, S.  (20</w:t>
      </w:r>
      <w:r w:rsidR="005C00C4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24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/>
        </w:rPr>
        <w:t>The study skills handbook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. </w:t>
      </w:r>
      <w:r w:rsidR="009E2CA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(</w:t>
      </w:r>
      <w:r w:rsidR="005C00C4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6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val="en-US"/>
        </w:rPr>
        <w:t>th</w:t>
      </w:r>
      <w:r w:rsidR="009E2CA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 </w:t>
      </w:r>
      <w:proofErr w:type="spellStart"/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edn</w:t>
      </w:r>
      <w:proofErr w:type="spellEnd"/>
      <w:proofErr w:type="gramEnd"/>
      <w:r w:rsidR="009E2CA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)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.  London: </w:t>
      </w:r>
      <w:r w:rsidR="005C00C4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Bloomsbury</w:t>
      </w:r>
      <w:bookmarkEnd w:id="0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. </w:t>
      </w:r>
    </w:p>
    <w:p w14:paraId="7F763B25" w14:textId="77777777" w:rsidR="00813799" w:rsidRPr="0017665C" w:rsidRDefault="00563358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Dahlgren, G. and Whitehead, M.  (2006).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European strategies for tackling social inequities in health: Levelling up Part 2.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Copenhagen: World Health Organization Regional Office for Europe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6" w:history="1">
        <w:r w:rsidRPr="0017665C">
          <w:rPr>
            <w:rStyle w:val="Hyperlink"/>
            <w:rFonts w:ascii="Times New Roman" w:eastAsia="+mn-ea" w:hAnsi="Times New Roman" w:cs="Times New Roman"/>
            <w:kern w:val="24"/>
            <w:sz w:val="24"/>
            <w:szCs w:val="24"/>
            <w:lang w:eastAsia="en-GB"/>
          </w:rPr>
          <w:t>https://www.euro.who.int/__data/assets/pdf_file/0018/103824/E89384.pdf</w:t>
        </w:r>
      </w:hyperlink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 (Accessed: 22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nd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October,</w:t>
      </w:r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2020).</w:t>
      </w:r>
    </w:p>
    <w:p w14:paraId="6E330FBE" w14:textId="77777777" w:rsidR="00CD7413" w:rsidRPr="0017665C" w:rsidRDefault="00CD7413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</w:p>
    <w:p w14:paraId="54CC2252" w14:textId="67F072F2" w:rsidR="00093018" w:rsidRPr="0017665C" w:rsidRDefault="00093018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Disability Wales (2024).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</w:rPr>
        <w:t>Social Model of Disability: a Toolkit.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 Cardiff: Disability Wales.  Available at: </w:t>
      </w:r>
      <w:hyperlink r:id="rId7" w:history="1">
        <w:r w:rsidRPr="0017665C">
          <w:rPr>
            <w:rStyle w:val="Hyperlink"/>
            <w:rFonts w:ascii="Times New Roman" w:eastAsia="+mn-ea" w:hAnsi="Times New Roman" w:cs="Times New Roman"/>
            <w:kern w:val="24"/>
            <w:sz w:val="24"/>
            <w:szCs w:val="24"/>
          </w:rPr>
          <w:t>https://www.disabilitywales.org/wp-content/uploads/2024/06/SMD-Toolkit.pdf</w:t>
        </w:r>
      </w:hyperlink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(Accessed: 13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</w:rPr>
        <w:t>th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August,</w:t>
      </w:r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2024). </w:t>
      </w:r>
    </w:p>
    <w:p w14:paraId="23CFB419" w14:textId="77777777" w:rsidR="00167D2D" w:rsidRPr="0017665C" w:rsidRDefault="00167D2D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</w:p>
    <w:p w14:paraId="7849624E" w14:textId="77777777" w:rsidR="00813799" w:rsidRPr="0017665C" w:rsidRDefault="00CB4E2A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Earle, S.  (2016).  ‘What is Health?’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,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bookmarkStart w:id="1" w:name="_Hlk119248952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in Denny, E., Earle, S. and Hewison, A.  (Eds).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Sociology for Nurses.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(3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rd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.).  Cambridge: Polity Press, pp. </w:t>
      </w:r>
      <w:bookmarkEnd w:id="1"/>
      <w:r w:rsidR="002913FB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67 – 90.  </w:t>
      </w:r>
    </w:p>
    <w:p w14:paraId="5623B0A4" w14:textId="77777777" w:rsidR="00813799" w:rsidRPr="0017665C" w:rsidRDefault="00813799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</w:p>
    <w:p w14:paraId="138690AF" w14:textId="77777777" w:rsidR="00813799" w:rsidRPr="0017665C" w:rsidRDefault="00CB4E2A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Elias, T. and Lowton, K.  (2014).  ‘Do those over 80 years of age seek </w:t>
      </w:r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more or less medical</w:t>
      </w:r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help? A qualitative study of health and illness beliefs and behaviour of the oldest old’,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Sociology of Health and Illness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, 36 (7), pp. 970 – 985.   </w:t>
      </w:r>
    </w:p>
    <w:p w14:paraId="5D4682A9" w14:textId="77777777" w:rsidR="00813799" w:rsidRPr="0017665C" w:rsidRDefault="00813799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</w:p>
    <w:p w14:paraId="40153503" w14:textId="77777777" w:rsidR="00813799" w:rsidRPr="0017665C" w:rsidRDefault="00563358" w:rsidP="00813799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Engel, G. L.  (1977).  ‘The Need for a New Medical Model: </w:t>
      </w:r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a</w:t>
      </w:r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Challenge for Biomedicine’,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 Journal of Interprofessional Care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, 4 (1), pp. 37 – 53.</w:t>
      </w:r>
    </w:p>
    <w:p w14:paraId="128B4AA9" w14:textId="77777777" w:rsidR="002E0F2D" w:rsidRPr="0017665C" w:rsidRDefault="002E0F2D" w:rsidP="00813799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Fattore, T. and Mason, J.  (with Watson, E).  (2016).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Children’s Understandings of Well-being: Towards a Child Standpoint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  Dordrecht: Springer.</w:t>
      </w:r>
    </w:p>
    <w:p w14:paraId="01B57B96" w14:textId="77777777" w:rsidR="0017665C" w:rsidRDefault="002E0F2D" w:rsidP="0017665C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Foucault, M.  (2003).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The Birth of the Clinic. 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Abingdon: Routledge</w:t>
      </w:r>
    </w:p>
    <w:p w14:paraId="712AB8BF" w14:textId="38431CD2" w:rsidR="00897357" w:rsidRPr="0017665C" w:rsidRDefault="000A1D15" w:rsidP="0017665C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lastRenderedPageBreak/>
        <w:t xml:space="preserve">Frawley, A.  (2020).  ‘Sociology of Health and Illness’, in Edwards, D.J. and Best, S.  (Eds.).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The Textbook of Health and Social Care.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 London: Sage, pp. 3 – 19. </w:t>
      </w:r>
    </w:p>
    <w:p w14:paraId="53C274A0" w14:textId="20482E46" w:rsidR="00C655D4" w:rsidRPr="0017665C" w:rsidRDefault="00783E28" w:rsidP="00C655D4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Giddens, A. and Sutton, P.W.  (2021).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Sociology.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 (9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th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.). Cambridge: Polity Press.   </w:t>
      </w:r>
    </w:p>
    <w:p w14:paraId="4C6238D1" w14:textId="45B7E181" w:rsidR="00813799" w:rsidRPr="0017665C" w:rsidRDefault="00CB4E2A" w:rsidP="00C655D4">
      <w:pPr>
        <w:kinsoku w:val="0"/>
        <w:overflowPunct w:val="0"/>
        <w:spacing w:before="240" w:after="0" w:line="240" w:lineRule="auto"/>
        <w:ind w:left="432" w:hanging="432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Glasby, J. (2017).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>Understanding Health and Social Care</w:t>
      </w:r>
      <w:r w:rsidR="00563358"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 xml:space="preserve">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(3rd </w:t>
      </w:r>
      <w:proofErr w:type="spellStart"/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edn</w:t>
      </w:r>
      <w:proofErr w:type="spellEnd"/>
      <w:proofErr w:type="gramEnd"/>
      <w:r w:rsid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.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).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 xml:space="preserve">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Bristol: Policy</w:t>
      </w:r>
      <w:r w:rsidR="00C655D4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Press.</w:t>
      </w:r>
    </w:p>
    <w:p w14:paraId="1A691994" w14:textId="36A250EC" w:rsidR="005C20E8" w:rsidRPr="0017665C" w:rsidRDefault="005C20E8" w:rsidP="00813799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Hallam, B.  (2011).  ‘Health and Health Care in Britain’, in Barnard, A.  (Ed.).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Key Themes in Health and Social Care: a Companion to Learning.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London: Routledge, pp. 90 – 105.  </w:t>
      </w:r>
    </w:p>
    <w:p w14:paraId="26B5A05F" w14:textId="77777777" w:rsidR="00B06914" w:rsidRPr="0017665C" w:rsidRDefault="005C20E8" w:rsidP="00813799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Housman, J. and Dorman, S. (2005).  ‘The Alameda County Study: </w:t>
      </w:r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a</w:t>
      </w:r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Systematic, Chronological Review’,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American Journal of Health Education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, 36 (5), pp. 302 – 308. </w:t>
      </w:r>
    </w:p>
    <w:p w14:paraId="6F45F6ED" w14:textId="77777777" w:rsidR="00F076CB" w:rsidRPr="0017665C" w:rsidRDefault="00F076CB" w:rsidP="00F076CB">
      <w:pPr>
        <w:kinsoku w:val="0"/>
        <w:overflowPunct w:val="0"/>
        <w:spacing w:after="0" w:line="240" w:lineRule="auto"/>
        <w:ind w:left="432" w:hanging="432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</w:pPr>
    </w:p>
    <w:p w14:paraId="126ADDAA" w14:textId="3F710E7F" w:rsidR="00F076CB" w:rsidRPr="0017665C" w:rsidRDefault="00CB4E2A" w:rsidP="00F076CB">
      <w:pPr>
        <w:kinsoku w:val="0"/>
        <w:overflowPunct w:val="0"/>
        <w:spacing w:after="0" w:line="240" w:lineRule="auto"/>
        <w:ind w:left="432" w:hanging="432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Hubley, J. and Copeman, J.  with Woodall, J.  (2013).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 xml:space="preserve">Practical Health Promotion.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(2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val="en-US" w:eastAsia="en-GB"/>
        </w:rPr>
        <w:t>nd</w:t>
      </w:r>
    </w:p>
    <w:p w14:paraId="2C4D9570" w14:textId="316BDF86" w:rsidR="00CB4E2A" w:rsidRPr="0017665C" w:rsidRDefault="00CB4E2A" w:rsidP="00F076CB">
      <w:pPr>
        <w:kinsoku w:val="0"/>
        <w:overflowPunct w:val="0"/>
        <w:spacing w:after="0" w:line="240" w:lineRule="auto"/>
        <w:ind w:left="432" w:hanging="432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</w:pPr>
      <w:proofErr w:type="spellStart"/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edn</w:t>
      </w:r>
      <w:proofErr w:type="spellEnd"/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.).  Cambridge: Polity Press.  </w:t>
      </w:r>
    </w:p>
    <w:p w14:paraId="5409C5BA" w14:textId="7321413E" w:rsidR="002913FB" w:rsidRPr="0017665C" w:rsidRDefault="00F82C74" w:rsidP="00C0682A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Lalonde, M. A. (1974).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A New Perspective on the Health of Canadians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 Ottawa: Canada</w:t>
      </w:r>
      <w:r w:rsidR="00200BF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Department of National Health and Welfare.  Available at: </w:t>
      </w:r>
      <w:hyperlink r:id="rId8" w:history="1">
        <w:r w:rsidR="00200BF0" w:rsidRPr="0017665C">
          <w:rPr>
            <w:rStyle w:val="Hyperlink"/>
            <w:rFonts w:ascii="Times New Roman" w:eastAsia="+mn-ea" w:hAnsi="Times New Roman" w:cs="Times New Roman"/>
            <w:kern w:val="24"/>
            <w:sz w:val="24"/>
            <w:szCs w:val="24"/>
            <w:lang w:eastAsia="en-GB"/>
          </w:rPr>
          <w:t>https://www.phac-aspc.gc.ca/phsp/pdf/perspect-eng.pdf</w:t>
        </w:r>
      </w:hyperlink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 (Accessed: 22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nd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October,</w:t>
      </w:r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2020). </w:t>
      </w:r>
    </w:p>
    <w:p w14:paraId="316CED5C" w14:textId="77777777" w:rsidR="00C0682A" w:rsidRPr="0017665C" w:rsidRDefault="002913FB" w:rsidP="00C0682A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Ledger, S.,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Shufflelbotham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, L. and Walmsley, J.  (2016).  ‘Disability’, in Denny, E., Earle, S. and Hewison, A.  (Eds).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Sociology for Nurses.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(3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rd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.).  Cambridge: Polity Press, pp. 217 – 238. </w:t>
      </w:r>
    </w:p>
    <w:p w14:paraId="1FA5EDC8" w14:textId="3612A33E" w:rsidR="001044A6" w:rsidRPr="0017665C" w:rsidRDefault="001044A6" w:rsidP="002C113C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Lewis-Beck, M.S., Bryman, A. and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Futing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Liao, T. (2004).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The Sage </w:t>
      </w:r>
      <w:proofErr w:type="spellStart"/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Encyclopedia</w:t>
      </w:r>
      <w:proofErr w:type="spellEnd"/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 of Social Science Research Methods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 Sage: Thousand Oaks: Retrieved from:  </w:t>
      </w:r>
      <w:hyperlink r:id="rId9" w:history="1">
        <w:r w:rsidRPr="0017665C">
          <w:rPr>
            <w:rStyle w:val="Hyperlink"/>
            <w:rFonts w:ascii="Times New Roman" w:eastAsia="+mn-ea" w:hAnsi="Times New Roman" w:cs="Times New Roman"/>
            <w:kern w:val="24"/>
            <w:sz w:val="24"/>
            <w:szCs w:val="24"/>
            <w:lang w:eastAsia="en-GB"/>
          </w:rPr>
          <w:t>https://methods.sagepub.com/reference/the-sage-encyclopedia-of-social-science-research-methods/n870.xml</w:t>
        </w:r>
      </w:hyperlink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</w:p>
    <w:p w14:paraId="4630F62B" w14:textId="77777777" w:rsidR="00C0682A" w:rsidRPr="0017665C" w:rsidRDefault="00C0682A" w:rsidP="00C0682A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McKeown, T. (1979).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The role of medicine: dream, mirage or nemesis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  (2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nd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.).  Oxford: Blackwell Scientific.   </w:t>
      </w:r>
    </w:p>
    <w:p w14:paraId="56FF5851" w14:textId="77777777" w:rsidR="00C0682A" w:rsidRPr="0017665C" w:rsidRDefault="00C0682A" w:rsidP="00C0682A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McKeown T., Record, R. G. and Turner R. D.  (1975).  ‘An interpretation of the decline of mortality in England and Wales during the twentieth century’,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Population Studies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, 29 (3), pp. 391– 422.</w:t>
      </w:r>
    </w:p>
    <w:p w14:paraId="0527F4BC" w14:textId="59D2C345" w:rsidR="003A2F84" w:rsidRPr="0017665C" w:rsidRDefault="00CB4E2A" w:rsidP="00C0682A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</w:pP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Mouratidi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, P-S.,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Bonoti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, F. and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Leondari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, A.  (2016).  ‘Children’s perceptions of illness and health: an analysis of drawings’,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>Health Education Journal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, 75 (4), pp. 434 – 447.</w:t>
      </w:r>
    </w:p>
    <w:p w14:paraId="513C9A15" w14:textId="77777777" w:rsidR="00C0682A" w:rsidRPr="0017665C" w:rsidRDefault="00CB4E2A" w:rsidP="00C0682A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Napier, A.D.  (2017)</w:t>
      </w:r>
      <w:r w:rsidR="003B2529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Culture matters: using a cultural contexts of health approach to enhance policy-making.  Cultural Contexts of Health and Well-being.  Policy brief, no. 1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 Copenhagen: World Health Organization Regional Office for Europe. </w:t>
      </w:r>
    </w:p>
    <w:p w14:paraId="57AEFC28" w14:textId="335C07AF" w:rsidR="00877355" w:rsidRPr="0017665C" w:rsidRDefault="00877355" w:rsidP="00C0682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7665C">
        <w:rPr>
          <w:rFonts w:ascii="Times New Roman" w:hAnsi="Times New Roman" w:cs="Times New Roman"/>
          <w:sz w:val="24"/>
          <w:szCs w:val="24"/>
        </w:rPr>
        <w:t xml:space="preserve">Nettleton, S.  (2021).  </w:t>
      </w:r>
      <w:r w:rsidRPr="0017665C">
        <w:rPr>
          <w:rFonts w:ascii="Times New Roman" w:hAnsi="Times New Roman" w:cs="Times New Roman"/>
          <w:i/>
          <w:iCs/>
          <w:sz w:val="24"/>
          <w:szCs w:val="24"/>
        </w:rPr>
        <w:t>The Sociology of Health and Illness</w:t>
      </w:r>
      <w:r w:rsidRPr="0017665C">
        <w:rPr>
          <w:rFonts w:ascii="Times New Roman" w:hAnsi="Times New Roman" w:cs="Times New Roman"/>
          <w:sz w:val="24"/>
          <w:szCs w:val="24"/>
        </w:rPr>
        <w:t>.  (4</w:t>
      </w:r>
      <w:r w:rsidRPr="0017665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766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665C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17665C">
        <w:rPr>
          <w:rFonts w:ascii="Times New Roman" w:hAnsi="Times New Roman" w:cs="Times New Roman"/>
          <w:sz w:val="24"/>
          <w:szCs w:val="24"/>
        </w:rPr>
        <w:t xml:space="preserve">.).  Cambridge: Polity.  </w:t>
      </w:r>
    </w:p>
    <w:p w14:paraId="56CAC94A" w14:textId="34620AB6" w:rsidR="00181288" w:rsidRPr="0017665C" w:rsidRDefault="00181288" w:rsidP="00C0682A">
      <w:pPr>
        <w:pStyle w:val="NormalWeb"/>
        <w:kinsoku w:val="0"/>
        <w:overflowPunct w:val="0"/>
        <w:spacing w:before="115" w:beforeAutospacing="0" w:after="0" w:afterAutospacing="0"/>
        <w:textAlignment w:val="baseline"/>
        <w:rPr>
          <w:rFonts w:eastAsia="+mn-ea"/>
          <w:color w:val="000000"/>
          <w:kern w:val="24"/>
        </w:rPr>
      </w:pPr>
      <w:r w:rsidRPr="0017665C">
        <w:rPr>
          <w:rFonts w:eastAsia="+mn-ea"/>
          <w:color w:val="000000"/>
          <w:kern w:val="24"/>
        </w:rPr>
        <w:t xml:space="preserve">Neville, C.  (2016).  </w:t>
      </w:r>
      <w:r w:rsidRPr="0017665C">
        <w:rPr>
          <w:rFonts w:eastAsia="+mn-ea"/>
          <w:i/>
          <w:iCs/>
          <w:color w:val="000000"/>
          <w:kern w:val="24"/>
        </w:rPr>
        <w:t>The complete guide to referencing and avoiding plagiarism.</w:t>
      </w:r>
      <w:r w:rsidRPr="0017665C">
        <w:rPr>
          <w:rFonts w:eastAsia="+mn-ea"/>
          <w:color w:val="000000"/>
          <w:kern w:val="24"/>
        </w:rPr>
        <w:t xml:space="preserve">  (3</w:t>
      </w:r>
      <w:r w:rsidRPr="0017665C">
        <w:rPr>
          <w:rFonts w:eastAsia="+mn-ea"/>
          <w:color w:val="000000"/>
          <w:kern w:val="24"/>
          <w:vertAlign w:val="superscript"/>
        </w:rPr>
        <w:t>rd</w:t>
      </w:r>
      <w:r w:rsidRPr="0017665C">
        <w:rPr>
          <w:rFonts w:eastAsia="+mn-ea"/>
          <w:color w:val="000000"/>
          <w:kern w:val="24"/>
        </w:rPr>
        <w:t xml:space="preserve"> </w:t>
      </w:r>
      <w:proofErr w:type="spellStart"/>
      <w:r w:rsidRPr="0017665C">
        <w:rPr>
          <w:rFonts w:eastAsia="+mn-ea"/>
          <w:color w:val="000000"/>
          <w:kern w:val="24"/>
        </w:rPr>
        <w:t>edn</w:t>
      </w:r>
      <w:proofErr w:type="spellEnd"/>
      <w:r w:rsidRPr="0017665C">
        <w:rPr>
          <w:rFonts w:eastAsia="+mn-ea"/>
          <w:color w:val="000000"/>
          <w:kern w:val="24"/>
        </w:rPr>
        <w:t xml:space="preserve">.).  London: Open University Press/McGraw-Hill Education.   </w:t>
      </w:r>
    </w:p>
    <w:p w14:paraId="57533B1F" w14:textId="77777777" w:rsidR="00181288" w:rsidRPr="0017665C" w:rsidRDefault="00181288" w:rsidP="00C0682A">
      <w:pPr>
        <w:pStyle w:val="NormalWeb"/>
        <w:kinsoku w:val="0"/>
        <w:overflowPunct w:val="0"/>
        <w:spacing w:before="115" w:beforeAutospacing="0" w:after="0" w:afterAutospacing="0"/>
        <w:textAlignment w:val="baseline"/>
        <w:rPr>
          <w:rFonts w:eastAsia="+mn-ea"/>
          <w:color w:val="000000"/>
          <w:kern w:val="24"/>
        </w:rPr>
      </w:pPr>
    </w:p>
    <w:p w14:paraId="4C2A370D" w14:textId="77777777" w:rsidR="00C0682A" w:rsidRPr="0017665C" w:rsidRDefault="008A0A53" w:rsidP="00C0682A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Oliver, M. (1990).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The Politics of Disablement.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Basingstoke: Macmillan.</w:t>
      </w:r>
    </w:p>
    <w:p w14:paraId="212EE0A3" w14:textId="77777777" w:rsidR="00C0682A" w:rsidRPr="0017665C" w:rsidRDefault="00C0682A" w:rsidP="00C0682A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</w:p>
    <w:p w14:paraId="492A5F9D" w14:textId="77777777" w:rsidR="00C0682A" w:rsidRPr="0017665C" w:rsidRDefault="008A0A53" w:rsidP="00C0682A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Oliver, M. (2009).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Understanding Disability from Theory to Practice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(2nd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.). London: Palgrave Macmillan.</w:t>
      </w:r>
    </w:p>
    <w:p w14:paraId="7326FC0C" w14:textId="77777777" w:rsidR="00C0682A" w:rsidRPr="0017665C" w:rsidRDefault="00C0682A" w:rsidP="00C0682A">
      <w:pPr>
        <w:pStyle w:val="NoSpacing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</w:pPr>
    </w:p>
    <w:p w14:paraId="3DD3E715" w14:textId="77777777" w:rsidR="00C0682A" w:rsidRPr="0017665C" w:rsidRDefault="00563358" w:rsidP="00C0682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Organisation for Economic Co-operation and Development (OECD) (2020).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How’s Life?  2020.  Measuring Well-being.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Paris:</w:t>
      </w:r>
      <w:r w:rsidR="005461B9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OECD Publishing. </w:t>
      </w:r>
    </w:p>
    <w:p w14:paraId="20FBBEC1" w14:textId="7688C6D0" w:rsidR="009E2CA0" w:rsidRPr="0017665C" w:rsidRDefault="009E2CA0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lastRenderedPageBreak/>
        <w:t>Pears, R. and Shield, G.  (</w:t>
      </w:r>
      <w:r w:rsidR="00971B48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2022).  </w:t>
      </w:r>
      <w:r w:rsidR="00971B48"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Cite them right: the essential referencing guide</w:t>
      </w:r>
      <w:r w:rsidR="00971B48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  (12</w:t>
      </w:r>
      <w:r w:rsidR="00971B48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th</w:t>
      </w:r>
      <w:r w:rsidR="00971B48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="00971B48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="00971B48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.).   London: Bloomsbury.   </w:t>
      </w:r>
    </w:p>
    <w:p w14:paraId="4DEC6367" w14:textId="215F903C" w:rsidR="007B1A82" w:rsidRPr="0017665C" w:rsidRDefault="007B1A82" w:rsidP="004D529A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P</w:t>
      </w:r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rifysgol</w:t>
      </w:r>
      <w:proofErr w:type="spellEnd"/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Cymru Y </w:t>
      </w:r>
      <w:proofErr w:type="spellStart"/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Drindo</w:t>
      </w:r>
      <w:r w:rsidR="00355174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d</w:t>
      </w:r>
      <w:proofErr w:type="spellEnd"/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Dewi Sant/University of Wales Trinity. St. David.  (2023).  </w:t>
      </w:r>
      <w:r w:rsidR="007A6070"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Academic Misconduct Policy</w:t>
      </w:r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  Available at: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 </w:t>
      </w:r>
      <w:hyperlink r:id="rId10" w:history="1">
        <w:r w:rsidR="007A6070" w:rsidRPr="0017665C">
          <w:rPr>
            <w:rStyle w:val="Hyperlink"/>
            <w:rFonts w:ascii="Times New Roman" w:eastAsia="+mn-ea" w:hAnsi="Times New Roman" w:cs="Times New Roman"/>
            <w:kern w:val="24"/>
            <w:sz w:val="24"/>
            <w:szCs w:val="24"/>
            <w:lang w:eastAsia="en-GB"/>
          </w:rPr>
          <w:t>https://www.uwtsd.ac.uk/media/1829/download?attachment</w:t>
        </w:r>
      </w:hyperlink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(Accessed: 24</w:t>
      </w:r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th</w:t>
      </w:r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gramStart"/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August,</w:t>
      </w:r>
      <w:proofErr w:type="gramEnd"/>
      <w:r w:rsidR="007A6070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2024) </w:t>
      </w:r>
    </w:p>
    <w:p w14:paraId="4884A0F8" w14:textId="315DC1EA" w:rsidR="00665C99" w:rsidRPr="0017665C" w:rsidRDefault="00665C99" w:rsidP="004D529A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Prifysgol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Cymru Y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Drindod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Dewi Sant/University of Wales Trinity. St. David.  (2023a).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Referencing Handbook Harvard. UWTSD: Library and Learning Resources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 Version 1.3 updated August 2023.  Available at:   </w:t>
      </w:r>
      <w:hyperlink r:id="rId11" w:history="1">
        <w:r w:rsidRPr="0017665C">
          <w:rPr>
            <w:rStyle w:val="Hyperlink"/>
            <w:rFonts w:ascii="Times New Roman" w:eastAsia="+mn-ea" w:hAnsi="Times New Roman" w:cs="Times New Roman"/>
            <w:kern w:val="24"/>
            <w:sz w:val="24"/>
            <w:szCs w:val="24"/>
            <w:lang w:eastAsia="en-GB"/>
          </w:rPr>
          <w:t>https://intranet.uwtsd.ac.uk/sites/intranet/files/2023-10/Harvard%20en_v.1.3%20%28V6%29.pdf</w:t>
        </w:r>
      </w:hyperlink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(Accessed: 28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th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August, 2024).  </w:t>
      </w:r>
    </w:p>
    <w:p w14:paraId="20032384" w14:textId="352BB545" w:rsidR="00AF0C5C" w:rsidRPr="0017665C" w:rsidRDefault="00AF0C5C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Rodham, K.  (2019).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Health Psychology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(2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nd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.).  London: Red Globe Press.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 </w:t>
      </w:r>
    </w:p>
    <w:p w14:paraId="3CE4DD5E" w14:textId="77777777" w:rsidR="00776DD1" w:rsidRPr="0017665C" w:rsidRDefault="00AF0C5C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Rowe, J.  and Mitchell, A.  (2013).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Key Concepts in Health and Social Care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  London: Collins. </w:t>
      </w:r>
    </w:p>
    <w:p w14:paraId="642FBDAE" w14:textId="77777777" w:rsidR="00EC2600" w:rsidRPr="0017665C" w:rsidRDefault="00EC2600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Scott, K. (2012).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Measuring Wellbeing: Towards Sustainability? 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London: Routledge.    </w:t>
      </w:r>
    </w:p>
    <w:p w14:paraId="3A362489" w14:textId="77777777" w:rsidR="00EC2600" w:rsidRPr="0017665C" w:rsidRDefault="002708BE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Scriven, A.  (2017).  </w:t>
      </w:r>
      <w:proofErr w:type="spellStart"/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>Ewles</w:t>
      </w:r>
      <w:proofErr w:type="spellEnd"/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 xml:space="preserve"> and </w:t>
      </w:r>
      <w:proofErr w:type="spellStart"/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>Simnett’s</w:t>
      </w:r>
      <w:proofErr w:type="spellEnd"/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 xml:space="preserve"> Promoting Health: </w:t>
      </w:r>
      <w:proofErr w:type="gramStart"/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>a</w:t>
      </w:r>
      <w:proofErr w:type="gramEnd"/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 w:eastAsia="en-GB"/>
        </w:rPr>
        <w:t xml:space="preserve"> Practical Guide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.  (7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val="en-US" w:eastAsia="en-GB"/>
        </w:rPr>
        <w:t>th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 </w:t>
      </w:r>
      <w:proofErr w:type="spellStart"/>
      <w:proofErr w:type="gram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edn</w:t>
      </w:r>
      <w:proofErr w:type="spellEnd"/>
      <w:proofErr w:type="gram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.).  London: Elsevier. </w:t>
      </w:r>
    </w:p>
    <w:p w14:paraId="26F9BA6F" w14:textId="4CB1D7B8" w:rsidR="00AD3268" w:rsidRPr="0017665C" w:rsidRDefault="00AD3268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Slade, M.,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Oades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, L.G. and Jarden. A.  (2017) ‘Why Wellbeing and Recovery?’, in Slade, M.,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Oades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, L.G. and Jarden. A.  (Eds.).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Wellbeing, Recovery and Mental Health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 Cambridge: Cambridge University Press, pp. 1 – 6.  </w:t>
      </w:r>
    </w:p>
    <w:p w14:paraId="44C1CDC1" w14:textId="538214D5" w:rsidR="00F82C74" w:rsidRPr="0017665C" w:rsidRDefault="00F82C74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Stevenson, F.  (2018).  ‘Social Determinants of Health’</w:t>
      </w:r>
      <w:r w:rsidR="007E6CB1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,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 in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Scambler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, G.  (Ed.).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Sociology as applied to health and medicine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 (7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th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.).  London: Palgrave, pp. 23 – 38.  </w:t>
      </w:r>
    </w:p>
    <w:p w14:paraId="13AE25BA" w14:textId="21E802DF" w:rsidR="00563358" w:rsidRPr="0017665C" w:rsidRDefault="002708BE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Taylor, S.  (2007).  ‘Approaches to Health, Illness and Health Care’, in Taylor, S. and Field, D.  (Eds.).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Sociology of Health and Health Care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  (4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th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.).  Oxford: Blackwell, pp. 25 – 44</w:t>
      </w:r>
      <w:r w:rsidR="00563358"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GB"/>
        </w:rPr>
        <w:t>.</w:t>
      </w:r>
    </w:p>
    <w:p w14:paraId="712B6C4C" w14:textId="77777777" w:rsidR="00EC2600" w:rsidRPr="0017665C" w:rsidRDefault="00563358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Travis, J.W. and Ryan, R. S.  (2004).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The Wellness Book 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(3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rd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.).  Berkeley Calif: Enfield/Celestial Arts.</w:t>
      </w:r>
    </w:p>
    <w:p w14:paraId="5C930F91" w14:textId="4027E99F" w:rsidR="007714E0" w:rsidRPr="0017665C" w:rsidRDefault="00A57B7B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Vernon, M.  (2014).  </w:t>
      </w:r>
      <w:r w:rsidRPr="0017665C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Wellbeing</w:t>
      </w:r>
      <w:r w:rsidRPr="0017665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 London: Routledge. </w:t>
      </w:r>
    </w:p>
    <w:p w14:paraId="74E71991" w14:textId="77777777" w:rsidR="00451E3C" w:rsidRPr="0017665C" w:rsidRDefault="00451E3C" w:rsidP="00EC260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</w:pPr>
    </w:p>
    <w:p w14:paraId="313D7F29" w14:textId="51DCD829" w:rsidR="00D14EB4" w:rsidRPr="0017665C" w:rsidRDefault="004C6B89" w:rsidP="00682935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W</w:t>
      </w:r>
      <w:r w:rsid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elsh Government (W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G</w:t>
      </w:r>
      <w:r w:rsid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(2015).  </w:t>
      </w:r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Child Poverty Strategy for Wales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Cardiff: WG.  Available at: </w:t>
      </w:r>
      <w:hyperlink r:id="rId12" w:history="1">
        <w:r w:rsidRPr="0017665C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https://www.gov.wales/sites/default/files/publications/2019-06/child-poverty-strategy-for-wales-report.pdf</w:t>
        </w:r>
      </w:hyperlink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13</w:t>
      </w:r>
      <w:r w:rsidRPr="0017665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August, 2024). </w:t>
      </w:r>
    </w:p>
    <w:p w14:paraId="128A2996" w14:textId="77777777" w:rsidR="00D14EB4" w:rsidRPr="0017665C" w:rsidRDefault="00D14EB4" w:rsidP="00682935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0FEEB68" w14:textId="0A158F04" w:rsidR="008375E1" w:rsidRPr="0017665C" w:rsidRDefault="008139B8" w:rsidP="008139B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7665C">
        <w:rPr>
          <w:rFonts w:ascii="Times New Roman" w:hAnsi="Times New Roman" w:cs="Times New Roman"/>
          <w:sz w:val="24"/>
          <w:szCs w:val="24"/>
        </w:rPr>
        <w:t xml:space="preserve">WG.  (2024).   </w:t>
      </w:r>
      <w:r w:rsidRPr="0017665C">
        <w:rPr>
          <w:rFonts w:ascii="Times New Roman" w:hAnsi="Times New Roman" w:cs="Times New Roman"/>
          <w:i/>
          <w:iCs/>
          <w:sz w:val="24"/>
          <w:szCs w:val="24"/>
        </w:rPr>
        <w:t>Well-being of Future Generations (Wales) Act 2015.  Essentials Guide</w:t>
      </w:r>
      <w:r w:rsidRPr="0017665C">
        <w:rPr>
          <w:rFonts w:ascii="Times New Roman" w:hAnsi="Times New Roman" w:cs="Times New Roman"/>
          <w:sz w:val="24"/>
          <w:szCs w:val="24"/>
        </w:rPr>
        <w:t xml:space="preserve">. Cardiff: WG.  Available at: </w:t>
      </w:r>
      <w:hyperlink r:id="rId13" w:history="1">
        <w:r w:rsidRPr="0017665C">
          <w:rPr>
            <w:rStyle w:val="Hyperlink"/>
            <w:rFonts w:ascii="Times New Roman" w:hAnsi="Times New Roman" w:cs="Times New Roman"/>
            <w:sz w:val="24"/>
            <w:szCs w:val="24"/>
          </w:rPr>
          <w:t>https://www.gov.wales/sites/default/files/publications/2024-07/well-being-future-generations-wales-act-2015-the-essentials-2024.pdf</w:t>
        </w:r>
      </w:hyperlink>
      <w:r w:rsidRPr="0017665C">
        <w:rPr>
          <w:rFonts w:ascii="Times New Roman" w:hAnsi="Times New Roman" w:cs="Times New Roman"/>
          <w:sz w:val="24"/>
          <w:szCs w:val="24"/>
        </w:rPr>
        <w:t xml:space="preserve">  (Accessed: 23</w:t>
      </w:r>
      <w:r w:rsidRPr="0017665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17665C">
        <w:rPr>
          <w:rFonts w:ascii="Times New Roman" w:hAnsi="Times New Roman" w:cs="Times New Roman"/>
          <w:sz w:val="24"/>
          <w:szCs w:val="24"/>
        </w:rPr>
        <w:t xml:space="preserve"> September, 2024).   </w:t>
      </w:r>
      <w:r w:rsidR="008375E1" w:rsidRPr="0017665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CA7F83" w14:textId="77777777" w:rsidR="00977FDF" w:rsidRPr="0017665C" w:rsidRDefault="00977FDF" w:rsidP="008139B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7AA2C55" w14:textId="77777777" w:rsidR="003A3084" w:rsidRPr="0017665C" w:rsidRDefault="003A3084" w:rsidP="002723A0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Wilkinson, R.G. and Pickett, K. E. (2006).   ‘Income inequality and population health: a review and explanation of the evidence’ </w:t>
      </w:r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Social Science and Medicine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62, pp. 1768 – 1784    </w:t>
      </w:r>
    </w:p>
    <w:p w14:paraId="0673A2E8" w14:textId="3EDECDA6" w:rsidR="003A3084" w:rsidRPr="0017665C" w:rsidRDefault="003A3084" w:rsidP="002723A0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Wilkinson R.G.  and Pickett K.  (2009).  </w:t>
      </w:r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Spirit Level: Why More Equal Societies Almost Always Do Better. 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London: Penguin</w:t>
      </w:r>
      <w:r w:rsidR="00EC2600"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7C38FB0" w14:textId="36481A13" w:rsidR="00283E68" w:rsidRPr="0017665C" w:rsidRDefault="00283E68" w:rsidP="002723A0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Wilson, F., Massey, A. and </w:t>
      </w:r>
      <w:proofErr w:type="spellStart"/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Mahbala</w:t>
      </w:r>
      <w:proofErr w:type="spellEnd"/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M. (2015).  Making sense of health improvement and well-being, in Wilson, F., </w:t>
      </w:r>
      <w:proofErr w:type="spellStart"/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Mahbala</w:t>
      </w:r>
      <w:proofErr w:type="spellEnd"/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M. and Massey, A.  (Eds.).  </w:t>
      </w:r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Health Improvement and Well-being: Strategies for Action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Maidenhead: Open University Press/McGraw-Hill Education, pp. 1 – 23.  </w:t>
      </w:r>
    </w:p>
    <w:p w14:paraId="0BA98EDA" w14:textId="72959096" w:rsidR="00A57B7B" w:rsidRPr="0017665C" w:rsidRDefault="00A57B7B" w:rsidP="002723A0">
      <w:pPr>
        <w:kinsoku w:val="0"/>
        <w:overflowPunct w:val="0"/>
        <w:spacing w:before="11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W</w:t>
      </w:r>
      <w:r w:rsid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orld </w:t>
      </w:r>
      <w:r w:rsidR="002723A0"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ealth </w:t>
      </w:r>
      <w:r w:rsidR="002723A0"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rganization (WHO) 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(2020).  </w:t>
      </w:r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Basic Documents. 49</w:t>
      </w:r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en-GB"/>
        </w:rPr>
        <w:t>th</w:t>
      </w:r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edn</w:t>
      </w:r>
      <w:proofErr w:type="spellEnd"/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World Health Organization.  Available at: </w:t>
      </w:r>
      <w:hyperlink r:id="rId14" w:history="1">
        <w:r w:rsidRPr="0017665C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https://apps.who.int/gb/bd/pdf_files/BD_49th-en.pdf</w:t>
        </w:r>
      </w:hyperlink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21</w:t>
      </w:r>
      <w:r w:rsidRPr="0017665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st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>October,</w:t>
      </w:r>
      <w:proofErr w:type="gramEnd"/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2020).   </w:t>
      </w:r>
    </w:p>
    <w:p w14:paraId="7316781B" w14:textId="7BFBB106" w:rsidR="00EF3F58" w:rsidRPr="0017665C" w:rsidRDefault="005D4EAD" w:rsidP="00EA6262">
      <w:pPr>
        <w:kinsoku w:val="0"/>
        <w:overflowPunct w:val="0"/>
        <w:spacing w:before="11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Young, E. and Quinn, L.  (2017).  </w:t>
      </w:r>
      <w:r w:rsidRPr="001766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 Essential Guide to Writing Policy Briefs</w:t>
      </w:r>
      <w:r w:rsidRPr="0017665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Berlin: International Centre for Policy Advocacy.  </w:t>
      </w:r>
    </w:p>
    <w:p w14:paraId="2125C37B" w14:textId="159D3ABB" w:rsidR="00C4725B" w:rsidRPr="00094188" w:rsidRDefault="00C4725B" w:rsidP="00C4725B">
      <w:pPr>
        <w:kinsoku w:val="0"/>
        <w:overflowPunct w:val="0"/>
        <w:spacing w:before="11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472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7670F594" w14:textId="77777777" w:rsidR="00094188" w:rsidRPr="00614339" w:rsidRDefault="00094188" w:rsidP="00614339">
      <w:pPr>
        <w:kinsoku w:val="0"/>
        <w:overflowPunct w:val="0"/>
        <w:spacing w:before="115"/>
        <w:ind w:left="432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6BFA7AA" w14:textId="77777777" w:rsidR="00614339" w:rsidRPr="00A57B7B" w:rsidRDefault="00614339" w:rsidP="00A57B7B">
      <w:pPr>
        <w:kinsoku w:val="0"/>
        <w:overflowPunct w:val="0"/>
        <w:spacing w:before="115"/>
        <w:ind w:left="432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DCA668E" w14:textId="02DA065C" w:rsidR="00A57B7B" w:rsidRPr="00A57B7B" w:rsidRDefault="00A57B7B" w:rsidP="00A57B7B">
      <w:pPr>
        <w:kinsoku w:val="0"/>
        <w:overflowPunct w:val="0"/>
        <w:spacing w:before="11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57B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E8AAE61" w14:textId="77777777" w:rsidR="00CA7CAD" w:rsidRPr="006B0742" w:rsidRDefault="00CA7CAD">
      <w:pPr>
        <w:rPr>
          <w:rFonts w:ascii="Times New Roman" w:hAnsi="Times New Roman" w:cs="Times New Roman"/>
          <w:sz w:val="24"/>
          <w:szCs w:val="24"/>
        </w:rPr>
      </w:pPr>
    </w:p>
    <w:sectPr w:rsidR="00CA7CAD" w:rsidRPr="006B074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D9AA3F" w14:textId="77777777" w:rsidR="00532D89" w:rsidRDefault="00532D89" w:rsidP="002708BE">
      <w:pPr>
        <w:spacing w:after="0" w:line="240" w:lineRule="auto"/>
      </w:pPr>
      <w:r>
        <w:separator/>
      </w:r>
    </w:p>
  </w:endnote>
  <w:endnote w:type="continuationSeparator" w:id="0">
    <w:p w14:paraId="4285EC36" w14:textId="77777777" w:rsidR="00532D89" w:rsidRDefault="00532D89" w:rsidP="00270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+mn-ea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930195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5A01B0" w14:textId="5AC9D32A" w:rsidR="0017665C" w:rsidRDefault="0017665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800932" w14:textId="77777777" w:rsidR="0017665C" w:rsidRDefault="001766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D9FC5" w14:textId="77777777" w:rsidR="00532D89" w:rsidRDefault="00532D89" w:rsidP="002708BE">
      <w:pPr>
        <w:spacing w:after="0" w:line="240" w:lineRule="auto"/>
      </w:pPr>
      <w:r>
        <w:separator/>
      </w:r>
    </w:p>
  </w:footnote>
  <w:footnote w:type="continuationSeparator" w:id="0">
    <w:p w14:paraId="63F892B9" w14:textId="77777777" w:rsidR="00532D89" w:rsidRDefault="00532D89" w:rsidP="002708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CAD"/>
    <w:rsid w:val="00020587"/>
    <w:rsid w:val="00025FE7"/>
    <w:rsid w:val="000270E8"/>
    <w:rsid w:val="00034260"/>
    <w:rsid w:val="000379E3"/>
    <w:rsid w:val="000477CC"/>
    <w:rsid w:val="000831B6"/>
    <w:rsid w:val="000879FF"/>
    <w:rsid w:val="00091319"/>
    <w:rsid w:val="00093018"/>
    <w:rsid w:val="00094188"/>
    <w:rsid w:val="00094473"/>
    <w:rsid w:val="000A1D15"/>
    <w:rsid w:val="000A6742"/>
    <w:rsid w:val="000B6725"/>
    <w:rsid w:val="000C559B"/>
    <w:rsid w:val="000C6C8C"/>
    <w:rsid w:val="000D118C"/>
    <w:rsid w:val="000D6FF9"/>
    <w:rsid w:val="000F7FBF"/>
    <w:rsid w:val="001022F8"/>
    <w:rsid w:val="001044A6"/>
    <w:rsid w:val="00117B45"/>
    <w:rsid w:val="0012284E"/>
    <w:rsid w:val="00130FAE"/>
    <w:rsid w:val="0014340E"/>
    <w:rsid w:val="00150A99"/>
    <w:rsid w:val="00153154"/>
    <w:rsid w:val="0016131B"/>
    <w:rsid w:val="00167D2D"/>
    <w:rsid w:val="001719A1"/>
    <w:rsid w:val="00171C70"/>
    <w:rsid w:val="00172EB5"/>
    <w:rsid w:val="0017665C"/>
    <w:rsid w:val="0017790A"/>
    <w:rsid w:val="00181288"/>
    <w:rsid w:val="00191857"/>
    <w:rsid w:val="001961D4"/>
    <w:rsid w:val="0019709D"/>
    <w:rsid w:val="001A18AB"/>
    <w:rsid w:val="001A27C7"/>
    <w:rsid w:val="001A3EDB"/>
    <w:rsid w:val="001B039A"/>
    <w:rsid w:val="001B0ABF"/>
    <w:rsid w:val="001B32B8"/>
    <w:rsid w:val="001B4992"/>
    <w:rsid w:val="001D24F3"/>
    <w:rsid w:val="001D46EE"/>
    <w:rsid w:val="001E5886"/>
    <w:rsid w:val="001E5DC1"/>
    <w:rsid w:val="001F2495"/>
    <w:rsid w:val="001F451A"/>
    <w:rsid w:val="001F7982"/>
    <w:rsid w:val="00200BF0"/>
    <w:rsid w:val="00202E52"/>
    <w:rsid w:val="0020550A"/>
    <w:rsid w:val="002118F3"/>
    <w:rsid w:val="00217AE7"/>
    <w:rsid w:val="00236CD1"/>
    <w:rsid w:val="002545F3"/>
    <w:rsid w:val="00257CD1"/>
    <w:rsid w:val="00261D8B"/>
    <w:rsid w:val="00263B60"/>
    <w:rsid w:val="002708BE"/>
    <w:rsid w:val="002723A0"/>
    <w:rsid w:val="00273365"/>
    <w:rsid w:val="00274191"/>
    <w:rsid w:val="0028027A"/>
    <w:rsid w:val="00282637"/>
    <w:rsid w:val="0028267B"/>
    <w:rsid w:val="00283E68"/>
    <w:rsid w:val="0028534A"/>
    <w:rsid w:val="0028747B"/>
    <w:rsid w:val="00290D44"/>
    <w:rsid w:val="002913FB"/>
    <w:rsid w:val="00297B9F"/>
    <w:rsid w:val="002A39B9"/>
    <w:rsid w:val="002B1CA0"/>
    <w:rsid w:val="002C113C"/>
    <w:rsid w:val="002D12AE"/>
    <w:rsid w:val="002E0819"/>
    <w:rsid w:val="002E0F2D"/>
    <w:rsid w:val="002E20B8"/>
    <w:rsid w:val="002E47CF"/>
    <w:rsid w:val="002F4085"/>
    <w:rsid w:val="002F7488"/>
    <w:rsid w:val="00303597"/>
    <w:rsid w:val="003044B3"/>
    <w:rsid w:val="00312CF5"/>
    <w:rsid w:val="00313CFF"/>
    <w:rsid w:val="003144B8"/>
    <w:rsid w:val="0032513D"/>
    <w:rsid w:val="00331E5E"/>
    <w:rsid w:val="0034106B"/>
    <w:rsid w:val="00343D8B"/>
    <w:rsid w:val="00346B11"/>
    <w:rsid w:val="003518A9"/>
    <w:rsid w:val="00355174"/>
    <w:rsid w:val="0037534C"/>
    <w:rsid w:val="00375616"/>
    <w:rsid w:val="00376501"/>
    <w:rsid w:val="00376FF6"/>
    <w:rsid w:val="00377920"/>
    <w:rsid w:val="00393912"/>
    <w:rsid w:val="00393DF6"/>
    <w:rsid w:val="0039795E"/>
    <w:rsid w:val="003A2F84"/>
    <w:rsid w:val="003A3084"/>
    <w:rsid w:val="003B0E4C"/>
    <w:rsid w:val="003B2529"/>
    <w:rsid w:val="003B3AFF"/>
    <w:rsid w:val="003B4F2E"/>
    <w:rsid w:val="003B5BD0"/>
    <w:rsid w:val="003D4BE1"/>
    <w:rsid w:val="003D703A"/>
    <w:rsid w:val="004043C1"/>
    <w:rsid w:val="00411DFD"/>
    <w:rsid w:val="00414F8B"/>
    <w:rsid w:val="00416B5D"/>
    <w:rsid w:val="00422D9F"/>
    <w:rsid w:val="0042673C"/>
    <w:rsid w:val="00437679"/>
    <w:rsid w:val="004476E6"/>
    <w:rsid w:val="00451E3C"/>
    <w:rsid w:val="00455906"/>
    <w:rsid w:val="00457AE7"/>
    <w:rsid w:val="00457B56"/>
    <w:rsid w:val="00465299"/>
    <w:rsid w:val="004669E0"/>
    <w:rsid w:val="00477F6A"/>
    <w:rsid w:val="00482A51"/>
    <w:rsid w:val="00487DA5"/>
    <w:rsid w:val="00492079"/>
    <w:rsid w:val="004A4E4D"/>
    <w:rsid w:val="004A6B9B"/>
    <w:rsid w:val="004C26C3"/>
    <w:rsid w:val="004C5A6F"/>
    <w:rsid w:val="004C6B89"/>
    <w:rsid w:val="004C7090"/>
    <w:rsid w:val="004D529A"/>
    <w:rsid w:val="004F09B1"/>
    <w:rsid w:val="004F26CC"/>
    <w:rsid w:val="00500D26"/>
    <w:rsid w:val="005023B7"/>
    <w:rsid w:val="005032E3"/>
    <w:rsid w:val="0050695F"/>
    <w:rsid w:val="00510C00"/>
    <w:rsid w:val="00516E73"/>
    <w:rsid w:val="0052254F"/>
    <w:rsid w:val="005269C2"/>
    <w:rsid w:val="00527793"/>
    <w:rsid w:val="00532D89"/>
    <w:rsid w:val="0053614B"/>
    <w:rsid w:val="00537AF4"/>
    <w:rsid w:val="0054414F"/>
    <w:rsid w:val="005461B9"/>
    <w:rsid w:val="00550ADB"/>
    <w:rsid w:val="00551B3E"/>
    <w:rsid w:val="00563358"/>
    <w:rsid w:val="00572755"/>
    <w:rsid w:val="00572BBA"/>
    <w:rsid w:val="00573328"/>
    <w:rsid w:val="005752CE"/>
    <w:rsid w:val="00577FCE"/>
    <w:rsid w:val="005846D0"/>
    <w:rsid w:val="00587C18"/>
    <w:rsid w:val="00591F68"/>
    <w:rsid w:val="0059555B"/>
    <w:rsid w:val="005A2584"/>
    <w:rsid w:val="005A62F6"/>
    <w:rsid w:val="005C00C4"/>
    <w:rsid w:val="005C097E"/>
    <w:rsid w:val="005C20E8"/>
    <w:rsid w:val="005C3730"/>
    <w:rsid w:val="005D0406"/>
    <w:rsid w:val="005D4EAD"/>
    <w:rsid w:val="005D5DE8"/>
    <w:rsid w:val="005F39AC"/>
    <w:rsid w:val="0060341B"/>
    <w:rsid w:val="00614339"/>
    <w:rsid w:val="00614432"/>
    <w:rsid w:val="00616ADD"/>
    <w:rsid w:val="00626867"/>
    <w:rsid w:val="00626F0A"/>
    <w:rsid w:val="00640284"/>
    <w:rsid w:val="00642C1F"/>
    <w:rsid w:val="006529F9"/>
    <w:rsid w:val="00653D55"/>
    <w:rsid w:val="00665C99"/>
    <w:rsid w:val="0067518D"/>
    <w:rsid w:val="00682935"/>
    <w:rsid w:val="006911FF"/>
    <w:rsid w:val="006B0742"/>
    <w:rsid w:val="006B162C"/>
    <w:rsid w:val="006B476F"/>
    <w:rsid w:val="006B5D11"/>
    <w:rsid w:val="006C1F6A"/>
    <w:rsid w:val="006C5F1F"/>
    <w:rsid w:val="006D2B11"/>
    <w:rsid w:val="006D3327"/>
    <w:rsid w:val="006D5694"/>
    <w:rsid w:val="006F25D2"/>
    <w:rsid w:val="00701739"/>
    <w:rsid w:val="00711E85"/>
    <w:rsid w:val="00735392"/>
    <w:rsid w:val="0074149E"/>
    <w:rsid w:val="007518C9"/>
    <w:rsid w:val="0076216D"/>
    <w:rsid w:val="00770F4A"/>
    <w:rsid w:val="007714E0"/>
    <w:rsid w:val="007727C3"/>
    <w:rsid w:val="00776DD1"/>
    <w:rsid w:val="0078094E"/>
    <w:rsid w:val="00783E28"/>
    <w:rsid w:val="00796288"/>
    <w:rsid w:val="007A14E0"/>
    <w:rsid w:val="007A33D7"/>
    <w:rsid w:val="007A6070"/>
    <w:rsid w:val="007B02D7"/>
    <w:rsid w:val="007B1A82"/>
    <w:rsid w:val="007B1D31"/>
    <w:rsid w:val="007C095D"/>
    <w:rsid w:val="007C0B2D"/>
    <w:rsid w:val="007C0E86"/>
    <w:rsid w:val="007E1C73"/>
    <w:rsid w:val="007E2039"/>
    <w:rsid w:val="007E6CB1"/>
    <w:rsid w:val="007E75FC"/>
    <w:rsid w:val="007F05EB"/>
    <w:rsid w:val="007F26E5"/>
    <w:rsid w:val="007F3561"/>
    <w:rsid w:val="007F3B70"/>
    <w:rsid w:val="007F56FB"/>
    <w:rsid w:val="00800A82"/>
    <w:rsid w:val="00813799"/>
    <w:rsid w:val="008139B8"/>
    <w:rsid w:val="0082011D"/>
    <w:rsid w:val="00824F78"/>
    <w:rsid w:val="00825109"/>
    <w:rsid w:val="008375E1"/>
    <w:rsid w:val="008607ED"/>
    <w:rsid w:val="00870B9D"/>
    <w:rsid w:val="008746F0"/>
    <w:rsid w:val="00877355"/>
    <w:rsid w:val="0087791B"/>
    <w:rsid w:val="008838F6"/>
    <w:rsid w:val="0088740F"/>
    <w:rsid w:val="00892ADC"/>
    <w:rsid w:val="00897357"/>
    <w:rsid w:val="008A0A53"/>
    <w:rsid w:val="008B5E72"/>
    <w:rsid w:val="008B607B"/>
    <w:rsid w:val="008B676B"/>
    <w:rsid w:val="008C28DF"/>
    <w:rsid w:val="008C5265"/>
    <w:rsid w:val="008C6E42"/>
    <w:rsid w:val="008D0190"/>
    <w:rsid w:val="008D3542"/>
    <w:rsid w:val="008D7FB9"/>
    <w:rsid w:val="008E656F"/>
    <w:rsid w:val="008E7A1B"/>
    <w:rsid w:val="0090321C"/>
    <w:rsid w:val="009072C6"/>
    <w:rsid w:val="009073E5"/>
    <w:rsid w:val="00907E09"/>
    <w:rsid w:val="00911138"/>
    <w:rsid w:val="00912951"/>
    <w:rsid w:val="00913985"/>
    <w:rsid w:val="00916F76"/>
    <w:rsid w:val="00924C04"/>
    <w:rsid w:val="00926628"/>
    <w:rsid w:val="00926D36"/>
    <w:rsid w:val="00927780"/>
    <w:rsid w:val="009350C8"/>
    <w:rsid w:val="009505FC"/>
    <w:rsid w:val="009542FE"/>
    <w:rsid w:val="00954DB7"/>
    <w:rsid w:val="0096282E"/>
    <w:rsid w:val="00963020"/>
    <w:rsid w:val="009715C8"/>
    <w:rsid w:val="00971B48"/>
    <w:rsid w:val="00974D7D"/>
    <w:rsid w:val="0097603F"/>
    <w:rsid w:val="00977FDF"/>
    <w:rsid w:val="0098500A"/>
    <w:rsid w:val="00994C98"/>
    <w:rsid w:val="00996EC7"/>
    <w:rsid w:val="00997AE3"/>
    <w:rsid w:val="009A1391"/>
    <w:rsid w:val="009A6C03"/>
    <w:rsid w:val="009A7E79"/>
    <w:rsid w:val="009B0ED0"/>
    <w:rsid w:val="009B17E8"/>
    <w:rsid w:val="009C474C"/>
    <w:rsid w:val="009E2CA0"/>
    <w:rsid w:val="009E5E36"/>
    <w:rsid w:val="009F34FF"/>
    <w:rsid w:val="00A03477"/>
    <w:rsid w:val="00A27892"/>
    <w:rsid w:val="00A27EBB"/>
    <w:rsid w:val="00A4538C"/>
    <w:rsid w:val="00A51874"/>
    <w:rsid w:val="00A51D0D"/>
    <w:rsid w:val="00A57B7B"/>
    <w:rsid w:val="00A61775"/>
    <w:rsid w:val="00A7134F"/>
    <w:rsid w:val="00A74EC5"/>
    <w:rsid w:val="00A7701D"/>
    <w:rsid w:val="00A86529"/>
    <w:rsid w:val="00A948FA"/>
    <w:rsid w:val="00A95208"/>
    <w:rsid w:val="00AA64C5"/>
    <w:rsid w:val="00AA6570"/>
    <w:rsid w:val="00AB0351"/>
    <w:rsid w:val="00AB16AC"/>
    <w:rsid w:val="00AC29CB"/>
    <w:rsid w:val="00AC4963"/>
    <w:rsid w:val="00AD0BCB"/>
    <w:rsid w:val="00AD3268"/>
    <w:rsid w:val="00AE171A"/>
    <w:rsid w:val="00AF0C5C"/>
    <w:rsid w:val="00AF53B6"/>
    <w:rsid w:val="00AF55E1"/>
    <w:rsid w:val="00AF727F"/>
    <w:rsid w:val="00B06914"/>
    <w:rsid w:val="00B06E4B"/>
    <w:rsid w:val="00B0720C"/>
    <w:rsid w:val="00B145EB"/>
    <w:rsid w:val="00B156FB"/>
    <w:rsid w:val="00B1661A"/>
    <w:rsid w:val="00B24ECA"/>
    <w:rsid w:val="00B43413"/>
    <w:rsid w:val="00B47D1F"/>
    <w:rsid w:val="00B512C3"/>
    <w:rsid w:val="00B53648"/>
    <w:rsid w:val="00B57966"/>
    <w:rsid w:val="00B57DE1"/>
    <w:rsid w:val="00B737A8"/>
    <w:rsid w:val="00B75187"/>
    <w:rsid w:val="00B92267"/>
    <w:rsid w:val="00B9377F"/>
    <w:rsid w:val="00BA5100"/>
    <w:rsid w:val="00BB2D1D"/>
    <w:rsid w:val="00BC2588"/>
    <w:rsid w:val="00BC3CCD"/>
    <w:rsid w:val="00BC452F"/>
    <w:rsid w:val="00BD0BDD"/>
    <w:rsid w:val="00BD12AE"/>
    <w:rsid w:val="00BF46F0"/>
    <w:rsid w:val="00C0682A"/>
    <w:rsid w:val="00C108EB"/>
    <w:rsid w:val="00C10901"/>
    <w:rsid w:val="00C20742"/>
    <w:rsid w:val="00C23C61"/>
    <w:rsid w:val="00C43B10"/>
    <w:rsid w:val="00C45177"/>
    <w:rsid w:val="00C4725B"/>
    <w:rsid w:val="00C51777"/>
    <w:rsid w:val="00C62801"/>
    <w:rsid w:val="00C62C25"/>
    <w:rsid w:val="00C655D4"/>
    <w:rsid w:val="00C679D5"/>
    <w:rsid w:val="00C74B62"/>
    <w:rsid w:val="00C8512F"/>
    <w:rsid w:val="00C94B62"/>
    <w:rsid w:val="00CA116A"/>
    <w:rsid w:val="00CA7CAD"/>
    <w:rsid w:val="00CB31A8"/>
    <w:rsid w:val="00CB4E2A"/>
    <w:rsid w:val="00CC414F"/>
    <w:rsid w:val="00CD2F12"/>
    <w:rsid w:val="00CD3A4D"/>
    <w:rsid w:val="00CD7413"/>
    <w:rsid w:val="00CE3365"/>
    <w:rsid w:val="00CE67F5"/>
    <w:rsid w:val="00CF337E"/>
    <w:rsid w:val="00CF551F"/>
    <w:rsid w:val="00CF674C"/>
    <w:rsid w:val="00D02CF2"/>
    <w:rsid w:val="00D069A3"/>
    <w:rsid w:val="00D10A7A"/>
    <w:rsid w:val="00D10C5A"/>
    <w:rsid w:val="00D126B0"/>
    <w:rsid w:val="00D14EB4"/>
    <w:rsid w:val="00D220AA"/>
    <w:rsid w:val="00D3329D"/>
    <w:rsid w:val="00D4072E"/>
    <w:rsid w:val="00D41F9B"/>
    <w:rsid w:val="00D800E2"/>
    <w:rsid w:val="00D81AA6"/>
    <w:rsid w:val="00D96E32"/>
    <w:rsid w:val="00DA3130"/>
    <w:rsid w:val="00DB63ED"/>
    <w:rsid w:val="00DD6495"/>
    <w:rsid w:val="00DE51BC"/>
    <w:rsid w:val="00DE71C4"/>
    <w:rsid w:val="00DF07EA"/>
    <w:rsid w:val="00DF6C38"/>
    <w:rsid w:val="00E1033F"/>
    <w:rsid w:val="00E2635B"/>
    <w:rsid w:val="00E26959"/>
    <w:rsid w:val="00E27E57"/>
    <w:rsid w:val="00E320D0"/>
    <w:rsid w:val="00E341FC"/>
    <w:rsid w:val="00E43BC1"/>
    <w:rsid w:val="00E46A34"/>
    <w:rsid w:val="00E50857"/>
    <w:rsid w:val="00E62BBE"/>
    <w:rsid w:val="00E66C3B"/>
    <w:rsid w:val="00E6709C"/>
    <w:rsid w:val="00E74CAB"/>
    <w:rsid w:val="00E834C7"/>
    <w:rsid w:val="00E95CCD"/>
    <w:rsid w:val="00EA1473"/>
    <w:rsid w:val="00EA1E66"/>
    <w:rsid w:val="00EA6262"/>
    <w:rsid w:val="00EA6567"/>
    <w:rsid w:val="00EA6E65"/>
    <w:rsid w:val="00EB3B4A"/>
    <w:rsid w:val="00EC2600"/>
    <w:rsid w:val="00ED38F1"/>
    <w:rsid w:val="00ED4C4C"/>
    <w:rsid w:val="00ED5BF2"/>
    <w:rsid w:val="00EE076B"/>
    <w:rsid w:val="00EE5892"/>
    <w:rsid w:val="00EE5A9C"/>
    <w:rsid w:val="00EF3F58"/>
    <w:rsid w:val="00EF791B"/>
    <w:rsid w:val="00F01C0E"/>
    <w:rsid w:val="00F076CB"/>
    <w:rsid w:val="00F1401B"/>
    <w:rsid w:val="00F145B2"/>
    <w:rsid w:val="00F15BE1"/>
    <w:rsid w:val="00F20E4B"/>
    <w:rsid w:val="00F3154A"/>
    <w:rsid w:val="00F33F9C"/>
    <w:rsid w:val="00F40D74"/>
    <w:rsid w:val="00F43DF7"/>
    <w:rsid w:val="00F521EE"/>
    <w:rsid w:val="00F52F45"/>
    <w:rsid w:val="00F6085F"/>
    <w:rsid w:val="00F63A8E"/>
    <w:rsid w:val="00F72DF2"/>
    <w:rsid w:val="00F73B09"/>
    <w:rsid w:val="00F820C0"/>
    <w:rsid w:val="00F82C74"/>
    <w:rsid w:val="00F857C5"/>
    <w:rsid w:val="00FA5A33"/>
    <w:rsid w:val="00FC7285"/>
    <w:rsid w:val="00FD75B8"/>
    <w:rsid w:val="00FE103C"/>
    <w:rsid w:val="00FE20FF"/>
    <w:rsid w:val="00FF0354"/>
    <w:rsid w:val="00FF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45DD"/>
  <w15:docId w15:val="{E0291129-890A-44E5-83CA-72CD0FD6F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61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1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C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CA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A7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70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8BE"/>
  </w:style>
  <w:style w:type="paragraph" w:styleId="Footer">
    <w:name w:val="footer"/>
    <w:basedOn w:val="Normal"/>
    <w:link w:val="FooterChar"/>
    <w:uiPriority w:val="99"/>
    <w:unhideWhenUsed/>
    <w:rsid w:val="00270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8BE"/>
  </w:style>
  <w:style w:type="character" w:customStyle="1" w:styleId="Heading1Char">
    <w:name w:val="Heading 1 Char"/>
    <w:basedOn w:val="DefaultParagraphFont"/>
    <w:link w:val="Heading1"/>
    <w:uiPriority w:val="9"/>
    <w:rsid w:val="001961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1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5461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3B4F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0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314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602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ac-aspc.gc.ca/phsp/pdf/perspect-eng.pdf" TargetMode="External"/><Relationship Id="rId13" Type="http://schemas.openxmlformats.org/officeDocument/2006/relationships/hyperlink" Target="https://www.gov.wales/sites/default/files/publications/2024-07/well-being-future-generations-wales-act-2015-the-essentials-2024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isabilitywales.org/wp-content/uploads/2024/06/SMD-Toolkit.pdf" TargetMode="External"/><Relationship Id="rId12" Type="http://schemas.openxmlformats.org/officeDocument/2006/relationships/hyperlink" Target="https://www.gov.wales/sites/default/files/publications/2019-06/child-poverty-strategy-for-wales-report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euro.who.int/__data/assets/pdf_file/0018/103824/E89384.pdf" TargetMode="External"/><Relationship Id="rId11" Type="http://schemas.openxmlformats.org/officeDocument/2006/relationships/hyperlink" Target="https://intranet.uwtsd.ac.uk/sites/intranet/files/2023-10/Harvard%20en_v.1.3%20%28V6%29.pdf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uwtsd.ac.uk/media/1829/download?attachmen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ethods.sagepub.com/reference/the-sage-encyclopedia-of-social-science-research-methods/n870.xml" TargetMode="External"/><Relationship Id="rId14" Type="http://schemas.openxmlformats.org/officeDocument/2006/relationships/hyperlink" Target="https://apps.who.int/gb/bd/pdf_files/BD_49th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3037</TotalTime>
  <Pages>1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Duxbury</dc:creator>
  <cp:keywords/>
  <dc:description/>
  <cp:lastModifiedBy>Ben Duxbury</cp:lastModifiedBy>
  <cp:revision>101</cp:revision>
  <dcterms:created xsi:type="dcterms:W3CDTF">2024-04-19T12:46:00Z</dcterms:created>
  <dcterms:modified xsi:type="dcterms:W3CDTF">2024-10-03T07:08:00Z</dcterms:modified>
</cp:coreProperties>
</file>