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1BCCC" w14:textId="2D75B464" w:rsidR="00474771" w:rsidRDefault="00474771" w:rsidP="00474771">
      <w:pPr>
        <w:rPr>
          <w:rFonts w:asciiTheme="majorHAnsi" w:hAnsiTheme="majorHAnsi" w:cstheme="majorHAnsi"/>
          <w:sz w:val="24"/>
          <w:szCs w:val="24"/>
        </w:rPr>
      </w:pPr>
      <w:r w:rsidRPr="00F107DD">
        <w:rPr>
          <w:rFonts w:asciiTheme="majorHAnsi" w:hAnsiTheme="majorHAnsi" w:cstheme="majorHAnsi"/>
          <w:sz w:val="24"/>
          <w:szCs w:val="24"/>
        </w:rPr>
        <w:t>Ashley Mc Fee</w:t>
      </w:r>
    </w:p>
    <w:p w14:paraId="179618FA" w14:textId="30629E6C" w:rsidR="00474771" w:rsidRPr="00F107DD" w:rsidRDefault="00474771" w:rsidP="00474771">
      <w:pPr>
        <w:rPr>
          <w:rFonts w:asciiTheme="majorHAnsi" w:hAnsiTheme="majorHAnsi" w:cstheme="majorHAnsi"/>
          <w:sz w:val="24"/>
          <w:szCs w:val="24"/>
        </w:rPr>
      </w:pPr>
      <w:r>
        <w:rPr>
          <w:rFonts w:asciiTheme="majorHAnsi" w:hAnsiTheme="majorHAnsi" w:cstheme="majorHAnsi"/>
          <w:sz w:val="24"/>
          <w:szCs w:val="24"/>
        </w:rPr>
        <w:t>Error and Sweet Violence: Shakespeare and Renaissance Comedy and Tragedy</w:t>
      </w:r>
    </w:p>
    <w:p w14:paraId="79E6F60F" w14:textId="60C058AD" w:rsidR="00474771" w:rsidRPr="00F107DD" w:rsidRDefault="00474771" w:rsidP="00474771">
      <w:pPr>
        <w:rPr>
          <w:rFonts w:asciiTheme="majorHAnsi" w:hAnsiTheme="majorHAnsi" w:cstheme="majorHAnsi"/>
          <w:sz w:val="24"/>
          <w:szCs w:val="24"/>
        </w:rPr>
      </w:pPr>
      <w:r w:rsidRPr="00F107DD">
        <w:rPr>
          <w:rFonts w:asciiTheme="majorHAnsi" w:hAnsiTheme="majorHAnsi" w:cstheme="majorHAnsi"/>
          <w:sz w:val="24"/>
          <w:szCs w:val="24"/>
        </w:rPr>
        <w:t xml:space="preserve">Dr. </w:t>
      </w:r>
      <w:r>
        <w:rPr>
          <w:rFonts w:asciiTheme="majorHAnsi" w:hAnsiTheme="majorHAnsi" w:cstheme="majorHAnsi"/>
          <w:sz w:val="24"/>
          <w:szCs w:val="24"/>
        </w:rPr>
        <w:t>Peter Mitchell</w:t>
      </w:r>
    </w:p>
    <w:p w14:paraId="11115C73" w14:textId="0F398A27" w:rsidR="00474771" w:rsidRPr="00474771" w:rsidRDefault="00474771">
      <w:pPr>
        <w:rPr>
          <w:rFonts w:asciiTheme="majorHAnsi" w:hAnsiTheme="majorHAnsi" w:cstheme="majorHAnsi"/>
          <w:sz w:val="24"/>
          <w:szCs w:val="24"/>
        </w:rPr>
      </w:pPr>
      <w:r>
        <w:rPr>
          <w:rFonts w:asciiTheme="majorHAnsi" w:hAnsiTheme="majorHAnsi" w:cstheme="majorHAnsi"/>
          <w:sz w:val="24"/>
          <w:szCs w:val="24"/>
        </w:rPr>
        <w:t>25 January 2023</w:t>
      </w:r>
    </w:p>
    <w:p w14:paraId="7D9A752D" w14:textId="77777777" w:rsidR="00474771" w:rsidRDefault="00474771">
      <w:pPr>
        <w:rPr>
          <w:rFonts w:asciiTheme="majorHAnsi" w:hAnsiTheme="majorHAnsi" w:cstheme="majorHAnsi"/>
          <w:b/>
          <w:bCs/>
          <w:sz w:val="24"/>
          <w:szCs w:val="24"/>
        </w:rPr>
      </w:pPr>
    </w:p>
    <w:p w14:paraId="343E5897" w14:textId="029A8985" w:rsidR="00C3190E" w:rsidRPr="00474771" w:rsidRDefault="00C3190E">
      <w:pPr>
        <w:rPr>
          <w:rFonts w:asciiTheme="majorHAnsi" w:hAnsiTheme="majorHAnsi" w:cstheme="majorHAnsi"/>
          <w:b/>
          <w:bCs/>
          <w:sz w:val="24"/>
          <w:szCs w:val="24"/>
        </w:rPr>
      </w:pPr>
      <w:r w:rsidRPr="00474771">
        <w:rPr>
          <w:rFonts w:asciiTheme="majorHAnsi" w:hAnsiTheme="majorHAnsi" w:cstheme="majorHAnsi"/>
          <w:b/>
          <w:bCs/>
          <w:sz w:val="24"/>
          <w:szCs w:val="24"/>
        </w:rPr>
        <w:t>The Title Page:</w:t>
      </w:r>
    </w:p>
    <w:p w14:paraId="24B3F2E4" w14:textId="46781C49" w:rsidR="00C3190E" w:rsidRPr="00086DAE" w:rsidRDefault="00C3190E">
      <w:pPr>
        <w:rPr>
          <w:rFonts w:asciiTheme="majorHAnsi" w:hAnsiTheme="majorHAnsi" w:cstheme="majorHAnsi"/>
          <w:sz w:val="24"/>
          <w:szCs w:val="24"/>
        </w:rPr>
      </w:pPr>
      <w:r w:rsidRPr="00086DAE">
        <w:rPr>
          <w:rFonts w:asciiTheme="majorHAnsi" w:hAnsiTheme="majorHAnsi" w:cstheme="majorHAnsi"/>
          <w:sz w:val="24"/>
          <w:szCs w:val="24"/>
        </w:rPr>
        <w:t xml:space="preserve">THE | TRAGICALL | </w:t>
      </w:r>
      <w:proofErr w:type="spellStart"/>
      <w:r w:rsidRPr="00086DAE">
        <w:rPr>
          <w:rFonts w:asciiTheme="majorHAnsi" w:hAnsiTheme="majorHAnsi" w:cstheme="majorHAnsi"/>
          <w:sz w:val="24"/>
          <w:szCs w:val="24"/>
        </w:rPr>
        <w:t>Hi</w:t>
      </w:r>
      <w:r w:rsidRPr="00086DAE">
        <w:rPr>
          <w:rFonts w:asciiTheme="majorHAnsi" w:hAnsiTheme="majorHAnsi" w:cstheme="majorHAnsi"/>
          <w:sz w:val="24"/>
          <w:szCs w:val="24"/>
        </w:rPr>
        <w:t>ſ</w:t>
      </w:r>
      <w:r w:rsidRPr="00086DAE">
        <w:rPr>
          <w:rFonts w:asciiTheme="majorHAnsi" w:hAnsiTheme="majorHAnsi" w:cstheme="majorHAnsi"/>
          <w:sz w:val="24"/>
          <w:szCs w:val="24"/>
        </w:rPr>
        <w:t>tory</w:t>
      </w:r>
      <w:proofErr w:type="spellEnd"/>
      <w:r w:rsidRPr="00086DAE">
        <w:rPr>
          <w:rFonts w:asciiTheme="majorHAnsi" w:hAnsiTheme="majorHAnsi" w:cstheme="majorHAnsi"/>
          <w:sz w:val="24"/>
          <w:szCs w:val="24"/>
        </w:rPr>
        <w:t xml:space="preserve"> of D. </w:t>
      </w:r>
      <w:proofErr w:type="spellStart"/>
      <w:r w:rsidRPr="00086DAE">
        <w:rPr>
          <w:rFonts w:asciiTheme="majorHAnsi" w:hAnsiTheme="majorHAnsi" w:cstheme="majorHAnsi"/>
          <w:sz w:val="24"/>
          <w:szCs w:val="24"/>
        </w:rPr>
        <w:t>Fau</w:t>
      </w:r>
      <w:r w:rsidRPr="00086DAE">
        <w:rPr>
          <w:rFonts w:asciiTheme="majorHAnsi" w:hAnsiTheme="majorHAnsi" w:cstheme="majorHAnsi"/>
          <w:sz w:val="24"/>
          <w:szCs w:val="24"/>
        </w:rPr>
        <w:t>ſ</w:t>
      </w:r>
      <w:r w:rsidRPr="00086DAE">
        <w:rPr>
          <w:rFonts w:asciiTheme="majorHAnsi" w:hAnsiTheme="majorHAnsi" w:cstheme="majorHAnsi"/>
          <w:sz w:val="24"/>
          <w:szCs w:val="24"/>
        </w:rPr>
        <w:t>tus</w:t>
      </w:r>
      <w:proofErr w:type="spellEnd"/>
      <w:r w:rsidRPr="00086DAE">
        <w:rPr>
          <w:rFonts w:asciiTheme="majorHAnsi" w:hAnsiTheme="majorHAnsi" w:cstheme="majorHAnsi"/>
          <w:sz w:val="24"/>
          <w:szCs w:val="24"/>
        </w:rPr>
        <w:t xml:space="preserve">. | </w:t>
      </w:r>
      <w:r w:rsidRPr="00086DAE">
        <w:rPr>
          <w:rFonts w:asciiTheme="majorHAnsi" w:hAnsiTheme="majorHAnsi" w:cstheme="majorHAnsi"/>
          <w:i/>
          <w:iCs/>
          <w:sz w:val="24"/>
          <w:szCs w:val="24"/>
        </w:rPr>
        <w:t xml:space="preserve">As it hath bene Acted by the Right </w:t>
      </w:r>
      <w:r w:rsidRPr="00086DAE">
        <w:rPr>
          <w:rFonts w:asciiTheme="majorHAnsi" w:hAnsiTheme="majorHAnsi" w:cstheme="majorHAnsi"/>
          <w:sz w:val="24"/>
          <w:szCs w:val="24"/>
        </w:rPr>
        <w:t xml:space="preserve">| </w:t>
      </w:r>
      <w:r w:rsidRPr="00086DAE">
        <w:rPr>
          <w:rFonts w:asciiTheme="majorHAnsi" w:hAnsiTheme="majorHAnsi" w:cstheme="majorHAnsi"/>
          <w:i/>
          <w:iCs/>
          <w:sz w:val="24"/>
          <w:szCs w:val="24"/>
        </w:rPr>
        <w:t xml:space="preserve">Honorable the Earle of Nottingham his </w:t>
      </w:r>
      <w:proofErr w:type="spellStart"/>
      <w:r w:rsidRPr="00086DAE">
        <w:rPr>
          <w:rFonts w:asciiTheme="majorHAnsi" w:hAnsiTheme="majorHAnsi" w:cstheme="majorHAnsi"/>
          <w:i/>
          <w:iCs/>
          <w:sz w:val="24"/>
          <w:szCs w:val="24"/>
        </w:rPr>
        <w:t>ſ</w:t>
      </w:r>
      <w:r w:rsidR="00086DAE" w:rsidRPr="00086DAE">
        <w:rPr>
          <w:rFonts w:asciiTheme="majorHAnsi" w:hAnsiTheme="majorHAnsi" w:cstheme="majorHAnsi"/>
          <w:i/>
          <w:iCs/>
          <w:sz w:val="24"/>
          <w:szCs w:val="24"/>
        </w:rPr>
        <w:t>ervants</w:t>
      </w:r>
      <w:proofErr w:type="spellEnd"/>
      <w:r w:rsidR="00086DAE" w:rsidRPr="00086DAE">
        <w:rPr>
          <w:rFonts w:asciiTheme="majorHAnsi" w:hAnsiTheme="majorHAnsi" w:cstheme="majorHAnsi"/>
          <w:i/>
          <w:iCs/>
          <w:sz w:val="24"/>
          <w:szCs w:val="24"/>
        </w:rPr>
        <w:t xml:space="preserve">. </w:t>
      </w:r>
      <w:r w:rsidR="00086DAE" w:rsidRPr="00086DAE">
        <w:rPr>
          <w:rFonts w:asciiTheme="majorHAnsi" w:hAnsiTheme="majorHAnsi" w:cstheme="majorHAnsi"/>
          <w:sz w:val="24"/>
          <w:szCs w:val="24"/>
        </w:rPr>
        <w:t xml:space="preserve">| Written by Ch. Marl. | device 142 |LONDON | Printed by V.S, for Thomas </w:t>
      </w:r>
      <w:proofErr w:type="spellStart"/>
      <w:r w:rsidR="00086DAE" w:rsidRPr="00086DAE">
        <w:rPr>
          <w:rFonts w:asciiTheme="majorHAnsi" w:hAnsiTheme="majorHAnsi" w:cstheme="majorHAnsi"/>
          <w:sz w:val="24"/>
          <w:szCs w:val="24"/>
        </w:rPr>
        <w:t>Bu</w:t>
      </w:r>
      <w:r w:rsidR="00086DAE" w:rsidRPr="00086DAE">
        <w:rPr>
          <w:rFonts w:asciiTheme="majorHAnsi" w:hAnsiTheme="majorHAnsi" w:cstheme="majorHAnsi"/>
          <w:sz w:val="24"/>
          <w:szCs w:val="24"/>
        </w:rPr>
        <w:t>ſ</w:t>
      </w:r>
      <w:r w:rsidR="00086DAE" w:rsidRPr="00086DAE">
        <w:rPr>
          <w:rFonts w:asciiTheme="majorHAnsi" w:hAnsiTheme="majorHAnsi" w:cstheme="majorHAnsi"/>
          <w:sz w:val="24"/>
          <w:szCs w:val="24"/>
        </w:rPr>
        <w:t>hell</w:t>
      </w:r>
      <w:proofErr w:type="spellEnd"/>
      <w:r w:rsidR="00086DAE" w:rsidRPr="00086DAE">
        <w:rPr>
          <w:rFonts w:asciiTheme="majorHAnsi" w:hAnsiTheme="majorHAnsi" w:cstheme="majorHAnsi"/>
          <w:sz w:val="24"/>
          <w:szCs w:val="24"/>
        </w:rPr>
        <w:t>. 1604.</w:t>
      </w:r>
    </w:p>
    <w:p w14:paraId="08E1E4D4" w14:textId="3E57F655" w:rsidR="00086DAE" w:rsidRPr="00474771" w:rsidRDefault="00086DAE">
      <w:pPr>
        <w:rPr>
          <w:rFonts w:asciiTheme="majorHAnsi" w:hAnsiTheme="majorHAnsi" w:cstheme="majorHAnsi"/>
          <w:b/>
          <w:bCs/>
          <w:sz w:val="24"/>
          <w:szCs w:val="24"/>
        </w:rPr>
      </w:pPr>
      <w:r w:rsidRPr="00474771">
        <w:rPr>
          <w:rFonts w:asciiTheme="majorHAnsi" w:hAnsiTheme="majorHAnsi" w:cstheme="majorHAnsi"/>
          <w:b/>
          <w:bCs/>
          <w:sz w:val="24"/>
          <w:szCs w:val="24"/>
        </w:rPr>
        <w:t>Format:</w:t>
      </w:r>
    </w:p>
    <w:p w14:paraId="4F91DE2A" w14:textId="56CB52CA" w:rsidR="00086DAE" w:rsidRDefault="00086DAE">
      <w:pPr>
        <w:rPr>
          <w:rFonts w:asciiTheme="majorHAnsi" w:hAnsiTheme="majorHAnsi" w:cstheme="majorHAnsi"/>
          <w:sz w:val="24"/>
          <w:szCs w:val="24"/>
        </w:rPr>
      </w:pPr>
      <w:r w:rsidRPr="00086DAE">
        <w:rPr>
          <w:rFonts w:asciiTheme="majorHAnsi" w:hAnsiTheme="majorHAnsi" w:cstheme="majorHAnsi"/>
          <w:sz w:val="24"/>
          <w:szCs w:val="24"/>
        </w:rPr>
        <w:t>The 1604 edition of</w:t>
      </w:r>
      <w:r>
        <w:rPr>
          <w:rFonts w:asciiTheme="majorHAnsi" w:hAnsiTheme="majorHAnsi" w:cstheme="majorHAnsi"/>
          <w:sz w:val="24"/>
          <w:szCs w:val="24"/>
        </w:rPr>
        <w:t xml:space="preserve"> Christopher Marlowe’s, Dr Faustus was printed in quarto.</w:t>
      </w:r>
    </w:p>
    <w:p w14:paraId="5133E939" w14:textId="72D13A25" w:rsidR="00474771" w:rsidRPr="00DA5BA7" w:rsidRDefault="00474771">
      <w:pPr>
        <w:rPr>
          <w:rFonts w:asciiTheme="majorHAnsi" w:hAnsiTheme="majorHAnsi" w:cstheme="majorHAnsi"/>
          <w:b/>
          <w:bCs/>
          <w:sz w:val="24"/>
          <w:szCs w:val="24"/>
        </w:rPr>
      </w:pPr>
      <w:r w:rsidRPr="00DA5BA7">
        <w:rPr>
          <w:rFonts w:asciiTheme="majorHAnsi" w:hAnsiTheme="majorHAnsi" w:cstheme="majorHAnsi"/>
          <w:b/>
          <w:bCs/>
          <w:sz w:val="24"/>
          <w:szCs w:val="24"/>
        </w:rPr>
        <w:t>Early Printed Edition:</w:t>
      </w:r>
    </w:p>
    <w:p w14:paraId="1149476B" w14:textId="00545FBD" w:rsidR="005266D8" w:rsidRPr="00086DAE" w:rsidRDefault="00662954">
      <w:pPr>
        <w:rPr>
          <w:rFonts w:asciiTheme="majorHAnsi" w:hAnsiTheme="majorHAnsi" w:cstheme="majorHAnsi"/>
          <w:sz w:val="24"/>
          <w:szCs w:val="24"/>
        </w:rPr>
      </w:pPr>
      <w:r w:rsidRPr="00086DAE">
        <w:rPr>
          <w:rFonts w:asciiTheme="majorHAnsi" w:hAnsiTheme="majorHAnsi" w:cstheme="majorHAnsi"/>
          <w:sz w:val="24"/>
          <w:szCs w:val="24"/>
        </w:rPr>
        <w:t>The earliest record of a printed edition of Christopher Marlowe’s Dr Faustus dates to 1604.</w:t>
      </w:r>
      <w:r w:rsidR="00FC1E8C" w:rsidRPr="00086DAE">
        <w:rPr>
          <w:rStyle w:val="FootnoteReference"/>
          <w:rFonts w:asciiTheme="majorHAnsi" w:hAnsiTheme="majorHAnsi" w:cstheme="majorHAnsi"/>
          <w:sz w:val="24"/>
          <w:szCs w:val="24"/>
        </w:rPr>
        <w:footnoteReference w:id="1"/>
      </w:r>
      <w:r w:rsidRPr="00086DAE">
        <w:rPr>
          <w:rFonts w:asciiTheme="majorHAnsi" w:hAnsiTheme="majorHAnsi" w:cstheme="majorHAnsi"/>
          <w:sz w:val="24"/>
          <w:szCs w:val="24"/>
        </w:rPr>
        <w:t xml:space="preserve"> The title of the edition is printed as “</w:t>
      </w:r>
      <w:r w:rsidRPr="00086DAE">
        <w:rPr>
          <w:rFonts w:asciiTheme="majorHAnsi" w:hAnsiTheme="majorHAnsi" w:cstheme="majorHAnsi"/>
          <w:i/>
          <w:iCs/>
          <w:sz w:val="24"/>
          <w:szCs w:val="24"/>
        </w:rPr>
        <w:t xml:space="preserve">The Tragicall History of D. Faustus </w:t>
      </w:r>
      <w:proofErr w:type="gramStart"/>
      <w:r w:rsidRPr="00086DAE">
        <w:rPr>
          <w:rFonts w:asciiTheme="majorHAnsi" w:hAnsiTheme="majorHAnsi" w:cstheme="majorHAnsi"/>
          <w:i/>
          <w:iCs/>
          <w:sz w:val="24"/>
          <w:szCs w:val="24"/>
        </w:rPr>
        <w:t>As</w:t>
      </w:r>
      <w:proofErr w:type="gramEnd"/>
      <w:r w:rsidRPr="00086DAE">
        <w:rPr>
          <w:rFonts w:asciiTheme="majorHAnsi" w:hAnsiTheme="majorHAnsi" w:cstheme="majorHAnsi"/>
          <w:i/>
          <w:iCs/>
          <w:sz w:val="24"/>
          <w:szCs w:val="24"/>
        </w:rPr>
        <w:t xml:space="preserve"> it hath bene Acted by the Right Honorable the Earle of Nottingham his servants.</w:t>
      </w:r>
      <w:r w:rsidRPr="00086DAE">
        <w:rPr>
          <w:rFonts w:asciiTheme="majorHAnsi" w:hAnsiTheme="majorHAnsi" w:cstheme="majorHAnsi"/>
          <w:sz w:val="24"/>
          <w:szCs w:val="24"/>
        </w:rPr>
        <w:t>” Contrastingly, the 1609 printed version adapts an annotated title, “</w:t>
      </w:r>
      <w:r w:rsidRPr="00086DAE">
        <w:rPr>
          <w:rFonts w:asciiTheme="majorHAnsi" w:hAnsiTheme="majorHAnsi" w:cstheme="majorHAnsi"/>
          <w:i/>
          <w:iCs/>
          <w:sz w:val="24"/>
          <w:szCs w:val="24"/>
        </w:rPr>
        <w:t>The Tragicall History of the horrible Life and death of Doctor Faustus”</w:t>
      </w:r>
      <w:r w:rsidR="006E417D" w:rsidRPr="00086DAE">
        <w:rPr>
          <w:rFonts w:asciiTheme="majorHAnsi" w:hAnsiTheme="majorHAnsi" w:cstheme="majorHAnsi"/>
          <w:i/>
          <w:iCs/>
          <w:sz w:val="24"/>
          <w:szCs w:val="24"/>
        </w:rPr>
        <w:t xml:space="preserve">, </w:t>
      </w:r>
      <w:r w:rsidR="006E417D" w:rsidRPr="00086DAE">
        <w:rPr>
          <w:rFonts w:asciiTheme="majorHAnsi" w:hAnsiTheme="majorHAnsi" w:cstheme="majorHAnsi"/>
          <w:sz w:val="24"/>
          <w:szCs w:val="24"/>
        </w:rPr>
        <w:t xml:space="preserve">while the 1616 version appears without “horrible” in its title. Gradually, the title becomes more concise, where the play is imply referred to as either, </w:t>
      </w:r>
      <w:r w:rsidR="006E417D" w:rsidRPr="00086DAE">
        <w:rPr>
          <w:rFonts w:asciiTheme="majorHAnsi" w:hAnsiTheme="majorHAnsi" w:cstheme="majorHAnsi"/>
          <w:i/>
          <w:iCs/>
          <w:sz w:val="24"/>
          <w:szCs w:val="24"/>
        </w:rPr>
        <w:t>“The Tragical History of Doctor Faustus”</w:t>
      </w:r>
      <w:r w:rsidR="006E417D" w:rsidRPr="00086DAE">
        <w:rPr>
          <w:rFonts w:asciiTheme="majorHAnsi" w:hAnsiTheme="majorHAnsi" w:cstheme="majorHAnsi"/>
          <w:sz w:val="24"/>
          <w:szCs w:val="24"/>
        </w:rPr>
        <w:t xml:space="preserve"> or </w:t>
      </w:r>
      <w:r w:rsidR="006E417D" w:rsidRPr="00086DAE">
        <w:rPr>
          <w:rFonts w:asciiTheme="majorHAnsi" w:hAnsiTheme="majorHAnsi" w:cstheme="majorHAnsi"/>
          <w:i/>
          <w:iCs/>
          <w:sz w:val="24"/>
          <w:szCs w:val="24"/>
        </w:rPr>
        <w:t xml:space="preserve">“Dr. Faustus.” </w:t>
      </w:r>
      <w:r w:rsidR="006E417D" w:rsidRPr="00086DAE">
        <w:rPr>
          <w:rFonts w:asciiTheme="majorHAnsi" w:hAnsiTheme="majorHAnsi" w:cstheme="majorHAnsi"/>
          <w:sz w:val="24"/>
          <w:szCs w:val="24"/>
        </w:rPr>
        <w:t>In the title of the 1604 edition, the italicized portion, ‘</w:t>
      </w:r>
      <w:r w:rsidR="006E417D" w:rsidRPr="00086DAE">
        <w:rPr>
          <w:rFonts w:asciiTheme="majorHAnsi" w:hAnsiTheme="majorHAnsi" w:cstheme="majorHAnsi"/>
          <w:i/>
          <w:iCs/>
          <w:sz w:val="24"/>
          <w:szCs w:val="24"/>
        </w:rPr>
        <w:t xml:space="preserve">As it hath bene...’ </w:t>
      </w:r>
      <w:r w:rsidR="007525FF" w:rsidRPr="00086DAE">
        <w:rPr>
          <w:rFonts w:asciiTheme="majorHAnsi" w:hAnsiTheme="majorHAnsi" w:cstheme="majorHAnsi"/>
          <w:sz w:val="24"/>
          <w:szCs w:val="24"/>
        </w:rPr>
        <w:t>suggests that the manuscript used for printing the play was the version used in a stage performance acted by the players patronaged by the Earle of Nottingham.</w:t>
      </w:r>
      <w:r w:rsidR="00D23603" w:rsidRPr="00086DAE">
        <w:rPr>
          <w:rFonts w:asciiTheme="majorHAnsi" w:hAnsiTheme="majorHAnsi" w:cstheme="majorHAnsi"/>
          <w:sz w:val="24"/>
          <w:szCs w:val="24"/>
        </w:rPr>
        <w:t xml:space="preserve"> Along with the 1604 edition which appears in the Stationer’s Register in 1601, there are a total of five other editions in the Register.</w:t>
      </w:r>
      <w:r w:rsidR="005B60A3">
        <w:rPr>
          <w:rFonts w:asciiTheme="majorHAnsi" w:hAnsiTheme="majorHAnsi" w:cstheme="majorHAnsi"/>
          <w:sz w:val="24"/>
          <w:szCs w:val="24"/>
        </w:rPr>
        <w:t xml:space="preserve"> There was another publication of Doctor Faustus in the Stationer’s Register, however, it was not of the play written by Christopher Marlowe. Rather, it was a prose version of Dr Faustus, which Marlowe was said to have gained inspiration for his literary piece from a translated prose book published in Frankfurt.</w:t>
      </w:r>
      <w:r w:rsidR="00D23603" w:rsidRPr="00086DAE">
        <w:rPr>
          <w:rFonts w:asciiTheme="majorHAnsi" w:hAnsiTheme="majorHAnsi" w:cstheme="majorHAnsi"/>
          <w:sz w:val="24"/>
          <w:szCs w:val="24"/>
        </w:rPr>
        <w:t xml:space="preserve"> The edition printed in 1604, 1609 and 1611 were all printed using the earliest known version of the play, whereas later versions were revised and printed and considered to be second and third versions of the play. </w:t>
      </w:r>
      <w:r w:rsidR="002C4D3F" w:rsidRPr="00086DAE">
        <w:rPr>
          <w:rFonts w:asciiTheme="majorHAnsi" w:hAnsiTheme="majorHAnsi" w:cstheme="majorHAnsi"/>
          <w:sz w:val="24"/>
          <w:szCs w:val="24"/>
        </w:rPr>
        <w:t>There are differences in the text of both the edition printed in 1604 and the edition printed in 1616.</w:t>
      </w:r>
      <w:r w:rsidR="00C00A5C" w:rsidRPr="00086DAE">
        <w:rPr>
          <w:rFonts w:asciiTheme="majorHAnsi" w:hAnsiTheme="majorHAnsi" w:cstheme="majorHAnsi"/>
          <w:sz w:val="24"/>
          <w:szCs w:val="24"/>
        </w:rPr>
        <w:t xml:space="preserve"> Differences which include</w:t>
      </w:r>
      <w:r w:rsidR="00AF428F">
        <w:rPr>
          <w:rFonts w:asciiTheme="majorHAnsi" w:hAnsiTheme="majorHAnsi" w:cstheme="majorHAnsi"/>
          <w:sz w:val="24"/>
          <w:szCs w:val="24"/>
        </w:rPr>
        <w:t>d</w:t>
      </w:r>
      <w:r w:rsidR="00C00A5C" w:rsidRPr="00086DAE">
        <w:rPr>
          <w:rFonts w:asciiTheme="majorHAnsi" w:hAnsiTheme="majorHAnsi" w:cstheme="majorHAnsi"/>
          <w:sz w:val="24"/>
          <w:szCs w:val="24"/>
        </w:rPr>
        <w:t xml:space="preserve"> authorial and theatrical, as well as psychological and theological.</w:t>
      </w:r>
      <w:r w:rsidR="00C00A5C" w:rsidRPr="00086DAE">
        <w:rPr>
          <w:rStyle w:val="FootnoteReference"/>
          <w:rFonts w:asciiTheme="majorHAnsi" w:hAnsiTheme="majorHAnsi" w:cstheme="majorHAnsi"/>
          <w:sz w:val="24"/>
          <w:szCs w:val="24"/>
        </w:rPr>
        <w:footnoteReference w:id="2"/>
      </w:r>
    </w:p>
    <w:p w14:paraId="1ECC2DE9" w14:textId="2F93D203" w:rsidR="00D23603" w:rsidRPr="00086DAE" w:rsidRDefault="007525FF">
      <w:pPr>
        <w:rPr>
          <w:rFonts w:asciiTheme="majorHAnsi" w:hAnsiTheme="majorHAnsi" w:cstheme="majorHAnsi"/>
          <w:sz w:val="24"/>
          <w:szCs w:val="24"/>
        </w:rPr>
      </w:pPr>
      <w:r w:rsidRPr="00086DAE">
        <w:rPr>
          <w:rFonts w:asciiTheme="majorHAnsi" w:hAnsiTheme="majorHAnsi" w:cstheme="majorHAnsi"/>
          <w:sz w:val="24"/>
          <w:szCs w:val="24"/>
        </w:rPr>
        <w:t xml:space="preserve">The printer on record for the earliest edition of the play was Valentine Simmes (Symmes). Simmes, before becoming an established printed, was an apprentice to Henry Sutton, a bookseller. Simmes’s goal was to become a master printer, therefore his apprenticeship was transferred to a printer, Henry Bynnerman. After completing his apprenticeship, he was </w:t>
      </w:r>
      <w:r w:rsidRPr="00086DAE">
        <w:rPr>
          <w:rFonts w:asciiTheme="majorHAnsi" w:hAnsiTheme="majorHAnsi" w:cstheme="majorHAnsi"/>
          <w:sz w:val="24"/>
          <w:szCs w:val="24"/>
        </w:rPr>
        <w:lastRenderedPageBreak/>
        <w:t>presented to freedom by the wife of the late Henry Sutton.</w:t>
      </w:r>
      <w:r w:rsidR="00FC1E8C" w:rsidRPr="00086DAE">
        <w:rPr>
          <w:rStyle w:val="FootnoteReference"/>
          <w:rFonts w:asciiTheme="majorHAnsi" w:hAnsiTheme="majorHAnsi" w:cstheme="majorHAnsi"/>
          <w:sz w:val="24"/>
          <w:szCs w:val="24"/>
        </w:rPr>
        <w:footnoteReference w:id="3"/>
      </w:r>
      <w:r w:rsidR="000C36C5" w:rsidRPr="00086DAE">
        <w:rPr>
          <w:rFonts w:asciiTheme="majorHAnsi" w:hAnsiTheme="majorHAnsi" w:cstheme="majorHAnsi"/>
          <w:sz w:val="24"/>
          <w:szCs w:val="24"/>
        </w:rPr>
        <w:t xml:space="preserve"> He was known largely for his ability to print quarto formats of plays.</w:t>
      </w:r>
      <w:r w:rsidRPr="00086DAE">
        <w:rPr>
          <w:rFonts w:asciiTheme="majorHAnsi" w:hAnsiTheme="majorHAnsi" w:cstheme="majorHAnsi"/>
          <w:sz w:val="24"/>
          <w:szCs w:val="24"/>
        </w:rPr>
        <w:t xml:space="preserve"> Simmes seemed to have an affinity for trouble as he found himself in provocative situations throughout his career. Simmes was arrested in an alleged connection with the Martin Marprelate Press</w:t>
      </w:r>
      <w:r w:rsidR="000C36C5" w:rsidRPr="00086DAE">
        <w:rPr>
          <w:rFonts w:asciiTheme="majorHAnsi" w:hAnsiTheme="majorHAnsi" w:cstheme="majorHAnsi"/>
          <w:sz w:val="24"/>
          <w:szCs w:val="24"/>
        </w:rPr>
        <w:t>, his press was seized, and his apprentice was transferred to another printer. Following that, he was barred from printing satires and epigrams, threatened to be hanged and eventually striped of his position as a master printer.</w:t>
      </w:r>
      <w:r w:rsidR="00FC1E8C" w:rsidRPr="00086DAE">
        <w:rPr>
          <w:rStyle w:val="FootnoteReference"/>
          <w:rFonts w:asciiTheme="majorHAnsi" w:hAnsiTheme="majorHAnsi" w:cstheme="majorHAnsi"/>
          <w:sz w:val="24"/>
          <w:szCs w:val="24"/>
        </w:rPr>
        <w:footnoteReference w:id="4"/>
      </w:r>
      <w:r w:rsidR="000C36C5" w:rsidRPr="00086DAE">
        <w:rPr>
          <w:rFonts w:asciiTheme="majorHAnsi" w:hAnsiTheme="majorHAnsi" w:cstheme="majorHAnsi"/>
          <w:sz w:val="24"/>
          <w:szCs w:val="24"/>
        </w:rPr>
        <w:t xml:space="preserve"> Although his career was marred with controversy, he was still an accomplished printer as he was instrumental in the printing of early editions of some of Shakespeare’s plays. He printed </w:t>
      </w:r>
      <w:r w:rsidR="000C36C5" w:rsidRPr="00086DAE">
        <w:rPr>
          <w:rFonts w:asciiTheme="majorHAnsi" w:hAnsiTheme="majorHAnsi" w:cstheme="majorHAnsi"/>
          <w:i/>
          <w:iCs/>
          <w:sz w:val="24"/>
          <w:szCs w:val="24"/>
        </w:rPr>
        <w:t xml:space="preserve">Richard II </w:t>
      </w:r>
      <w:r w:rsidR="000C36C5" w:rsidRPr="00086DAE">
        <w:rPr>
          <w:rFonts w:asciiTheme="majorHAnsi" w:hAnsiTheme="majorHAnsi" w:cstheme="majorHAnsi"/>
          <w:sz w:val="24"/>
          <w:szCs w:val="24"/>
        </w:rPr>
        <w:t xml:space="preserve">(1597), </w:t>
      </w:r>
      <w:r w:rsidR="000C36C5" w:rsidRPr="00086DAE">
        <w:rPr>
          <w:rFonts w:asciiTheme="majorHAnsi" w:hAnsiTheme="majorHAnsi" w:cstheme="majorHAnsi"/>
          <w:i/>
          <w:iCs/>
          <w:sz w:val="24"/>
          <w:szCs w:val="24"/>
        </w:rPr>
        <w:t xml:space="preserve">Richard III (1597), 2 Henry </w:t>
      </w:r>
      <w:proofErr w:type="gramStart"/>
      <w:r w:rsidR="000C36C5" w:rsidRPr="00086DAE">
        <w:rPr>
          <w:rFonts w:asciiTheme="majorHAnsi" w:hAnsiTheme="majorHAnsi" w:cstheme="majorHAnsi"/>
          <w:i/>
          <w:iCs/>
          <w:sz w:val="24"/>
          <w:szCs w:val="24"/>
        </w:rPr>
        <w:t>IV(</w:t>
      </w:r>
      <w:proofErr w:type="gramEnd"/>
      <w:r w:rsidR="000C36C5" w:rsidRPr="00086DAE">
        <w:rPr>
          <w:rFonts w:asciiTheme="majorHAnsi" w:hAnsiTheme="majorHAnsi" w:cstheme="majorHAnsi"/>
          <w:i/>
          <w:iCs/>
          <w:sz w:val="24"/>
          <w:szCs w:val="24"/>
        </w:rPr>
        <w:t>1600), Much Ado About Nothing (1600)</w:t>
      </w:r>
      <w:r w:rsidR="000C36C5" w:rsidRPr="00086DAE">
        <w:rPr>
          <w:rFonts w:asciiTheme="majorHAnsi" w:hAnsiTheme="majorHAnsi" w:cstheme="majorHAnsi"/>
          <w:sz w:val="24"/>
          <w:szCs w:val="24"/>
        </w:rPr>
        <w:t xml:space="preserve"> and </w:t>
      </w:r>
      <w:r w:rsidR="00ED6FB1" w:rsidRPr="00086DAE">
        <w:rPr>
          <w:rFonts w:asciiTheme="majorHAnsi" w:hAnsiTheme="majorHAnsi" w:cstheme="majorHAnsi"/>
          <w:i/>
          <w:iCs/>
          <w:sz w:val="24"/>
          <w:szCs w:val="24"/>
        </w:rPr>
        <w:t>Hamlet (1603) Q1.</w:t>
      </w:r>
      <w:r w:rsidR="00FC1E8C" w:rsidRPr="00086DAE">
        <w:rPr>
          <w:rStyle w:val="FootnoteReference"/>
          <w:rFonts w:asciiTheme="majorHAnsi" w:hAnsiTheme="majorHAnsi" w:cstheme="majorHAnsi"/>
          <w:i/>
          <w:iCs/>
          <w:sz w:val="24"/>
          <w:szCs w:val="24"/>
        </w:rPr>
        <w:footnoteReference w:id="5"/>
      </w:r>
      <w:r w:rsidR="00D23603" w:rsidRPr="00086DAE">
        <w:rPr>
          <w:rFonts w:asciiTheme="majorHAnsi" w:hAnsiTheme="majorHAnsi" w:cstheme="majorHAnsi"/>
          <w:i/>
          <w:iCs/>
          <w:sz w:val="24"/>
          <w:szCs w:val="24"/>
        </w:rPr>
        <w:t xml:space="preserve"> </w:t>
      </w:r>
      <w:r w:rsidR="00D23603" w:rsidRPr="00086DAE">
        <w:rPr>
          <w:rFonts w:asciiTheme="majorHAnsi" w:hAnsiTheme="majorHAnsi" w:cstheme="majorHAnsi"/>
          <w:sz w:val="24"/>
          <w:szCs w:val="24"/>
        </w:rPr>
        <w:t>Simmes’s printed edition of the play appears with a printer’s device on the cover of the play. These devices were used to distinguish between printers and sometimes appeared if there was no printer’s name. His device was of Justice striking a bushel of corn and inscribed with the words “Such as I make. Such will I take.”</w:t>
      </w:r>
      <w:r w:rsidR="00AF428F">
        <w:rPr>
          <w:rStyle w:val="FootnoteReference"/>
          <w:rFonts w:asciiTheme="majorHAnsi" w:hAnsiTheme="majorHAnsi" w:cstheme="majorHAnsi"/>
          <w:sz w:val="24"/>
          <w:szCs w:val="24"/>
        </w:rPr>
        <w:footnoteReference w:id="6"/>
      </w:r>
    </w:p>
    <w:p w14:paraId="70B7D5A5" w14:textId="15DC02FD" w:rsidR="00BD23AD" w:rsidRPr="00086DAE" w:rsidRDefault="00BD23AD">
      <w:pPr>
        <w:rPr>
          <w:rFonts w:asciiTheme="majorHAnsi" w:hAnsiTheme="majorHAnsi" w:cstheme="majorHAnsi"/>
          <w:sz w:val="24"/>
          <w:szCs w:val="24"/>
        </w:rPr>
      </w:pPr>
      <w:r w:rsidRPr="00086DAE">
        <w:rPr>
          <w:rFonts w:asciiTheme="majorHAnsi" w:hAnsiTheme="majorHAnsi" w:cstheme="majorHAnsi"/>
          <w:sz w:val="24"/>
          <w:szCs w:val="24"/>
        </w:rPr>
        <w:t>Simmes was tasked with printing Dr Faustus by Thomas Bushell, a bookseller who owned a bookshop at the North Door of St Paul’s. For eight years, he was an apprentice to a stationer named Nicholas Ling.</w:t>
      </w:r>
      <w:r w:rsidR="00FC1E8C" w:rsidRPr="00086DAE">
        <w:rPr>
          <w:rStyle w:val="FootnoteReference"/>
          <w:rFonts w:asciiTheme="majorHAnsi" w:hAnsiTheme="majorHAnsi" w:cstheme="majorHAnsi"/>
          <w:sz w:val="24"/>
          <w:szCs w:val="24"/>
        </w:rPr>
        <w:footnoteReference w:id="7"/>
      </w:r>
      <w:r w:rsidRPr="00086DAE">
        <w:rPr>
          <w:rFonts w:asciiTheme="majorHAnsi" w:hAnsiTheme="majorHAnsi" w:cstheme="majorHAnsi"/>
          <w:sz w:val="24"/>
          <w:szCs w:val="24"/>
        </w:rPr>
        <w:t xml:space="preserve"> In 1601, he took charge of registering Marlowe’s play in the Stationer’s Register. It was his way of gaining the rights to printing the play. Unfortunately, the play which appeared in the Stationer’s Register was never printed until 1604. This was the only edition of the play printed by Simmes and the only for Thomas Bushell. Later editions of the play were printed by George Eld and sold by John Wright in his bookshop</w:t>
      </w:r>
      <w:r w:rsidR="000975CA" w:rsidRPr="00086DAE">
        <w:rPr>
          <w:rFonts w:asciiTheme="majorHAnsi" w:hAnsiTheme="majorHAnsi" w:cstheme="majorHAnsi"/>
          <w:sz w:val="24"/>
          <w:szCs w:val="24"/>
        </w:rPr>
        <w:t xml:space="preserve"> at Christ Church gate</w:t>
      </w:r>
      <w:r w:rsidRPr="00086DAE">
        <w:rPr>
          <w:rFonts w:asciiTheme="majorHAnsi" w:hAnsiTheme="majorHAnsi" w:cstheme="majorHAnsi"/>
          <w:sz w:val="24"/>
          <w:szCs w:val="24"/>
        </w:rPr>
        <w:t>.</w:t>
      </w:r>
      <w:r w:rsidR="00FC1E8C" w:rsidRPr="00086DAE">
        <w:rPr>
          <w:rStyle w:val="FootnoteReference"/>
          <w:rFonts w:asciiTheme="majorHAnsi" w:hAnsiTheme="majorHAnsi" w:cstheme="majorHAnsi"/>
          <w:sz w:val="24"/>
          <w:szCs w:val="24"/>
        </w:rPr>
        <w:footnoteReference w:id="8"/>
      </w:r>
      <w:r w:rsidRPr="00086DAE">
        <w:rPr>
          <w:rFonts w:asciiTheme="majorHAnsi" w:hAnsiTheme="majorHAnsi" w:cstheme="majorHAnsi"/>
          <w:sz w:val="24"/>
          <w:szCs w:val="24"/>
        </w:rPr>
        <w:t xml:space="preserve"> In 16</w:t>
      </w:r>
      <w:r w:rsidR="002C4D3F" w:rsidRPr="00086DAE">
        <w:rPr>
          <w:rFonts w:asciiTheme="majorHAnsi" w:hAnsiTheme="majorHAnsi" w:cstheme="majorHAnsi"/>
          <w:sz w:val="24"/>
          <w:szCs w:val="24"/>
        </w:rPr>
        <w:t>10</w:t>
      </w:r>
      <w:r w:rsidRPr="00086DAE">
        <w:rPr>
          <w:rFonts w:asciiTheme="majorHAnsi" w:hAnsiTheme="majorHAnsi" w:cstheme="majorHAnsi"/>
          <w:sz w:val="24"/>
          <w:szCs w:val="24"/>
        </w:rPr>
        <w:t>, John Wright was given the right to print other editions of the play by Bushell</w:t>
      </w:r>
      <w:r w:rsidR="000975CA" w:rsidRPr="00086DAE">
        <w:rPr>
          <w:rFonts w:asciiTheme="majorHAnsi" w:hAnsiTheme="majorHAnsi" w:cstheme="majorHAnsi"/>
          <w:sz w:val="24"/>
          <w:szCs w:val="24"/>
        </w:rPr>
        <w:t>, however it appears in the Stationer’s Register,</w:t>
      </w:r>
      <w:r w:rsidR="002C4D3F" w:rsidRPr="00086DAE">
        <w:rPr>
          <w:rFonts w:asciiTheme="majorHAnsi" w:hAnsiTheme="majorHAnsi" w:cstheme="majorHAnsi"/>
          <w:sz w:val="24"/>
          <w:szCs w:val="24"/>
        </w:rPr>
        <w:t xml:space="preserve"> however, the edition was printed in 1609</w:t>
      </w:r>
      <w:r w:rsidR="000975CA" w:rsidRPr="00086DAE">
        <w:rPr>
          <w:rFonts w:asciiTheme="majorHAnsi" w:hAnsiTheme="majorHAnsi" w:cstheme="majorHAnsi"/>
          <w:sz w:val="24"/>
          <w:szCs w:val="24"/>
        </w:rPr>
        <w:t xml:space="preserve"> and his last printed edition </w:t>
      </w:r>
      <w:r w:rsidR="002C4D3F" w:rsidRPr="00086DAE">
        <w:rPr>
          <w:rFonts w:asciiTheme="majorHAnsi" w:hAnsiTheme="majorHAnsi" w:cstheme="majorHAnsi"/>
          <w:sz w:val="24"/>
          <w:szCs w:val="24"/>
        </w:rPr>
        <w:t>was</w:t>
      </w:r>
      <w:r w:rsidR="000975CA" w:rsidRPr="00086DAE">
        <w:rPr>
          <w:rFonts w:asciiTheme="majorHAnsi" w:hAnsiTheme="majorHAnsi" w:cstheme="majorHAnsi"/>
          <w:sz w:val="24"/>
          <w:szCs w:val="24"/>
        </w:rPr>
        <w:t xml:space="preserve"> in 1631.</w:t>
      </w:r>
      <w:r w:rsidR="002C4D3F" w:rsidRPr="00086DAE">
        <w:rPr>
          <w:rFonts w:asciiTheme="majorHAnsi" w:hAnsiTheme="majorHAnsi" w:cstheme="majorHAnsi"/>
          <w:sz w:val="24"/>
          <w:szCs w:val="24"/>
        </w:rPr>
        <w:t xml:space="preserve"> Wright was instrument in publishing the first edition of what is considered the B-Text</w:t>
      </w:r>
      <w:r w:rsidR="005E3815">
        <w:rPr>
          <w:rFonts w:asciiTheme="majorHAnsi" w:hAnsiTheme="majorHAnsi" w:cstheme="majorHAnsi"/>
          <w:sz w:val="24"/>
          <w:szCs w:val="24"/>
        </w:rPr>
        <w:t xml:space="preserve"> </w:t>
      </w:r>
      <w:r w:rsidR="002C4D3F" w:rsidRPr="00086DAE">
        <w:rPr>
          <w:rFonts w:asciiTheme="majorHAnsi" w:hAnsiTheme="majorHAnsi" w:cstheme="majorHAnsi"/>
          <w:sz w:val="24"/>
          <w:szCs w:val="24"/>
        </w:rPr>
        <w:t>of Doctor Faustus.</w:t>
      </w:r>
      <w:r w:rsidR="005E3815">
        <w:rPr>
          <w:rStyle w:val="FootnoteReference"/>
          <w:rFonts w:asciiTheme="majorHAnsi" w:hAnsiTheme="majorHAnsi" w:cstheme="majorHAnsi"/>
          <w:sz w:val="24"/>
          <w:szCs w:val="24"/>
        </w:rPr>
        <w:footnoteReference w:id="9"/>
      </w:r>
      <w:r w:rsidR="002C4D3F" w:rsidRPr="00086DAE">
        <w:rPr>
          <w:rFonts w:asciiTheme="majorHAnsi" w:hAnsiTheme="majorHAnsi" w:cstheme="majorHAnsi"/>
          <w:sz w:val="24"/>
          <w:szCs w:val="24"/>
        </w:rPr>
        <w:t xml:space="preserve"> This was printed in 1616 by George Eld. </w:t>
      </w:r>
    </w:p>
    <w:p w14:paraId="678E1565" w14:textId="5FB08CB5" w:rsidR="000975CA" w:rsidRDefault="000975CA">
      <w:pPr>
        <w:rPr>
          <w:rFonts w:asciiTheme="majorHAnsi" w:hAnsiTheme="majorHAnsi" w:cstheme="majorHAnsi"/>
          <w:sz w:val="24"/>
          <w:szCs w:val="24"/>
        </w:rPr>
      </w:pPr>
      <w:r w:rsidRPr="00086DAE">
        <w:rPr>
          <w:rFonts w:asciiTheme="majorHAnsi" w:hAnsiTheme="majorHAnsi" w:cstheme="majorHAnsi"/>
          <w:sz w:val="24"/>
          <w:szCs w:val="24"/>
        </w:rPr>
        <w:t>A chorus is printed at the beginning of the 1604 edition of Dr Faustus, whereas in the edition which is printed in the English Renaissance Drama: A Norton Anthology, it is labelled as a prologue. Aside from the different labels, both contain the same content with minor differences in spelling and punctuation.</w:t>
      </w:r>
      <w:r w:rsidR="00006439" w:rsidRPr="00086DAE">
        <w:rPr>
          <w:rFonts w:asciiTheme="majorHAnsi" w:hAnsiTheme="majorHAnsi" w:cstheme="majorHAnsi"/>
          <w:sz w:val="24"/>
          <w:szCs w:val="24"/>
        </w:rPr>
        <w:t xml:space="preserve"> At the end of both editions there is a chorus printed, however in the English Renaissance Drama, the chorus is labelled as an Epilogue.</w:t>
      </w:r>
    </w:p>
    <w:p w14:paraId="1312F1EB" w14:textId="7B0A3C7C" w:rsidR="00474771" w:rsidRPr="00474771" w:rsidRDefault="00474771">
      <w:pPr>
        <w:rPr>
          <w:rFonts w:asciiTheme="majorHAnsi" w:hAnsiTheme="majorHAnsi" w:cstheme="majorHAnsi"/>
          <w:b/>
          <w:bCs/>
          <w:sz w:val="24"/>
          <w:szCs w:val="24"/>
        </w:rPr>
      </w:pPr>
      <w:r w:rsidRPr="00474771">
        <w:rPr>
          <w:rFonts w:asciiTheme="majorHAnsi" w:hAnsiTheme="majorHAnsi" w:cstheme="majorHAnsi"/>
          <w:b/>
          <w:bCs/>
          <w:sz w:val="24"/>
          <w:szCs w:val="24"/>
        </w:rPr>
        <w:t>Early Theatre Performance:</w:t>
      </w:r>
    </w:p>
    <w:p w14:paraId="59C76233" w14:textId="03175B42" w:rsidR="008D332D" w:rsidRDefault="00EA58B7">
      <w:pPr>
        <w:rPr>
          <w:rFonts w:asciiTheme="majorHAnsi" w:hAnsiTheme="majorHAnsi" w:cstheme="majorHAnsi"/>
          <w:sz w:val="24"/>
          <w:szCs w:val="24"/>
        </w:rPr>
      </w:pPr>
      <w:r w:rsidRPr="00086DAE">
        <w:rPr>
          <w:rFonts w:asciiTheme="majorHAnsi" w:hAnsiTheme="majorHAnsi" w:cstheme="majorHAnsi"/>
          <w:sz w:val="24"/>
          <w:szCs w:val="24"/>
        </w:rPr>
        <w:t>The earliest stage performance of the play, Dr Faustus, dates to September 30</w:t>
      </w:r>
      <w:r w:rsidRPr="00086DAE">
        <w:rPr>
          <w:rFonts w:asciiTheme="majorHAnsi" w:hAnsiTheme="majorHAnsi" w:cstheme="majorHAnsi"/>
          <w:sz w:val="24"/>
          <w:szCs w:val="24"/>
          <w:vertAlign w:val="superscript"/>
        </w:rPr>
        <w:t>th</w:t>
      </w:r>
      <w:r w:rsidRPr="00086DAE">
        <w:rPr>
          <w:rFonts w:asciiTheme="majorHAnsi" w:hAnsiTheme="majorHAnsi" w:cstheme="majorHAnsi"/>
          <w:sz w:val="24"/>
          <w:szCs w:val="24"/>
        </w:rPr>
        <w:t>, 1594. It was performed at the Rose Theatre in London which was built and owned by Philip Henslowe and was acted by the Lord Admiral’s Men.</w:t>
      </w:r>
      <w:r w:rsidR="00FC1E8C" w:rsidRPr="00086DAE">
        <w:rPr>
          <w:rStyle w:val="FootnoteReference"/>
          <w:rFonts w:asciiTheme="majorHAnsi" w:hAnsiTheme="majorHAnsi" w:cstheme="majorHAnsi"/>
          <w:sz w:val="24"/>
          <w:szCs w:val="24"/>
        </w:rPr>
        <w:footnoteReference w:id="10"/>
      </w:r>
      <w:r w:rsidR="00EE4329" w:rsidRPr="00086DAE">
        <w:rPr>
          <w:rFonts w:asciiTheme="majorHAnsi" w:hAnsiTheme="majorHAnsi" w:cstheme="majorHAnsi"/>
          <w:sz w:val="24"/>
          <w:szCs w:val="24"/>
        </w:rPr>
        <w:t xml:space="preserve"> The Rose theatre was built in 1587 and has been home to many plays during its existence. It’s owner Philip Henslowe was also instrumental in building </w:t>
      </w:r>
      <w:r w:rsidR="00EE4329" w:rsidRPr="00086DAE">
        <w:rPr>
          <w:rFonts w:asciiTheme="majorHAnsi" w:hAnsiTheme="majorHAnsi" w:cstheme="majorHAnsi"/>
          <w:sz w:val="24"/>
          <w:szCs w:val="24"/>
        </w:rPr>
        <w:lastRenderedPageBreak/>
        <w:t xml:space="preserve">the Fortune and Hope theatre. Henslowe’s diary is said to contain much information about the Lord Admiral’s Men and the performance of different plays. During the performance od Dr Faustus, Edward Alleyne was the lead actor. He was business partners with Henslowe and was married to Henslowe’s </w:t>
      </w:r>
      <w:r w:rsidR="008D332D">
        <w:rPr>
          <w:rFonts w:asciiTheme="majorHAnsi" w:hAnsiTheme="majorHAnsi" w:cstheme="majorHAnsi"/>
          <w:sz w:val="24"/>
          <w:szCs w:val="24"/>
        </w:rPr>
        <w:t>daughte</w:t>
      </w:r>
      <w:r w:rsidR="00EE4329" w:rsidRPr="00086DAE">
        <w:rPr>
          <w:rFonts w:asciiTheme="majorHAnsi" w:hAnsiTheme="majorHAnsi" w:cstheme="majorHAnsi"/>
          <w:sz w:val="24"/>
          <w:szCs w:val="24"/>
        </w:rPr>
        <w:t>r, then later John Donne’s daughter.</w:t>
      </w:r>
      <w:r w:rsidR="00FC1E8C" w:rsidRPr="00086DAE">
        <w:rPr>
          <w:rFonts w:asciiTheme="majorHAnsi" w:hAnsiTheme="majorHAnsi" w:cstheme="majorHAnsi"/>
          <w:sz w:val="24"/>
          <w:szCs w:val="24"/>
        </w:rPr>
        <w:t xml:space="preserve"> </w:t>
      </w:r>
      <w:r w:rsidR="00AF428F">
        <w:rPr>
          <w:rStyle w:val="FootnoteReference"/>
          <w:rFonts w:asciiTheme="majorHAnsi" w:hAnsiTheme="majorHAnsi" w:cstheme="majorHAnsi"/>
          <w:sz w:val="24"/>
          <w:szCs w:val="24"/>
        </w:rPr>
        <w:footnoteReference w:id="11"/>
      </w:r>
      <w:r w:rsidR="004F112E">
        <w:rPr>
          <w:rFonts w:asciiTheme="majorHAnsi" w:hAnsiTheme="majorHAnsi" w:cstheme="majorHAnsi"/>
          <w:sz w:val="24"/>
          <w:szCs w:val="24"/>
        </w:rPr>
        <w:t xml:space="preserve"> Dr Faustus was a prominent play at the Rose theatre for </w:t>
      </w:r>
      <w:proofErr w:type="gramStart"/>
      <w:r w:rsidR="004F112E">
        <w:rPr>
          <w:rFonts w:asciiTheme="majorHAnsi" w:hAnsiTheme="majorHAnsi" w:cstheme="majorHAnsi"/>
          <w:sz w:val="24"/>
          <w:szCs w:val="24"/>
        </w:rPr>
        <w:t>a number of</w:t>
      </w:r>
      <w:proofErr w:type="gramEnd"/>
      <w:r w:rsidR="004F112E">
        <w:rPr>
          <w:rFonts w:asciiTheme="majorHAnsi" w:hAnsiTheme="majorHAnsi" w:cstheme="majorHAnsi"/>
          <w:sz w:val="24"/>
          <w:szCs w:val="24"/>
        </w:rPr>
        <w:t xml:space="preserve"> years spanning from 1954-1957. However, after years of being just a theatre play, it was later performed as a pantomime. A pantomime performance o Dr. Faustus occurred on 20 November 1723 and was titled </w:t>
      </w:r>
      <w:r w:rsidR="004F112E" w:rsidRPr="004F112E">
        <w:rPr>
          <w:rFonts w:asciiTheme="majorHAnsi" w:hAnsiTheme="majorHAnsi" w:cstheme="majorHAnsi"/>
          <w:i/>
          <w:iCs/>
          <w:sz w:val="24"/>
          <w:szCs w:val="24"/>
        </w:rPr>
        <w:t>Harlequin Doctor Faustus</w:t>
      </w:r>
      <w:r w:rsidR="004F112E">
        <w:rPr>
          <w:rFonts w:asciiTheme="majorHAnsi" w:hAnsiTheme="majorHAnsi" w:cstheme="majorHAnsi"/>
          <w:sz w:val="24"/>
          <w:szCs w:val="24"/>
        </w:rPr>
        <w:t xml:space="preserve"> by John Thurmond. It was the first ever pantomime of the play being performed and was staged at Drury Lane. Another version of Dr Faustus was first performed at Lincoln’s Inn Fields on 20 December 1723. This version was titled </w:t>
      </w:r>
      <w:r w:rsidR="004F112E" w:rsidRPr="004F112E">
        <w:rPr>
          <w:rFonts w:asciiTheme="majorHAnsi" w:hAnsiTheme="majorHAnsi" w:cstheme="majorHAnsi"/>
          <w:i/>
          <w:iCs/>
          <w:sz w:val="24"/>
          <w:szCs w:val="24"/>
        </w:rPr>
        <w:t xml:space="preserve">The Necromancer or Harlequin Doctor Faustus </w:t>
      </w:r>
      <w:r w:rsidR="004F112E">
        <w:rPr>
          <w:rFonts w:asciiTheme="majorHAnsi" w:hAnsiTheme="majorHAnsi" w:cstheme="majorHAnsi"/>
          <w:sz w:val="24"/>
          <w:szCs w:val="24"/>
        </w:rPr>
        <w:t>and was presumed to have been by John Rich.</w:t>
      </w:r>
      <w:r w:rsidR="00474771">
        <w:rPr>
          <w:rStyle w:val="FootnoteReference"/>
          <w:rFonts w:asciiTheme="majorHAnsi" w:hAnsiTheme="majorHAnsi" w:cstheme="majorHAnsi"/>
          <w:sz w:val="24"/>
          <w:szCs w:val="24"/>
        </w:rPr>
        <w:footnoteReference w:id="12"/>
      </w:r>
    </w:p>
    <w:p w14:paraId="31E31D15" w14:textId="77777777" w:rsidR="008D332D" w:rsidRDefault="008D332D">
      <w:pPr>
        <w:rPr>
          <w:rFonts w:asciiTheme="majorHAnsi" w:hAnsiTheme="majorHAnsi" w:cstheme="majorHAnsi"/>
          <w:sz w:val="24"/>
          <w:szCs w:val="24"/>
        </w:rPr>
      </w:pPr>
      <w:r>
        <w:rPr>
          <w:rFonts w:asciiTheme="majorHAnsi" w:hAnsiTheme="majorHAnsi" w:cstheme="majorHAnsi"/>
          <w:sz w:val="24"/>
          <w:szCs w:val="24"/>
        </w:rPr>
        <w:br w:type="page"/>
      </w:r>
    </w:p>
    <w:p w14:paraId="6A410367" w14:textId="755FA23A" w:rsidR="008D332D" w:rsidRPr="008D332D" w:rsidRDefault="008D332D" w:rsidP="008D332D">
      <w:pPr>
        <w:pStyle w:val="NormalWeb"/>
        <w:spacing w:before="0" w:beforeAutospacing="0" w:after="240" w:afterAutospacing="0" w:line="360" w:lineRule="auto"/>
        <w:ind w:left="720" w:hanging="720"/>
        <w:rPr>
          <w:u w:val="single"/>
        </w:rPr>
      </w:pPr>
      <w:r w:rsidRPr="008D332D">
        <w:rPr>
          <w:u w:val="single"/>
        </w:rPr>
        <w:lastRenderedPageBreak/>
        <w:t>Bibliography</w:t>
      </w:r>
    </w:p>
    <w:p w14:paraId="49CBC8C7" w14:textId="0D069258" w:rsidR="008D332D" w:rsidRDefault="008D332D" w:rsidP="005B60A3">
      <w:pPr>
        <w:pStyle w:val="NormalWeb"/>
        <w:numPr>
          <w:ilvl w:val="0"/>
          <w:numId w:val="1"/>
        </w:numPr>
        <w:spacing w:before="0" w:beforeAutospacing="0" w:after="240" w:afterAutospacing="0" w:line="360" w:lineRule="auto"/>
      </w:pPr>
      <w:r>
        <w:t xml:space="preserve">Arber, Edward (ed.). 1875. </w:t>
      </w:r>
      <w:r>
        <w:rPr>
          <w:i/>
          <w:iCs/>
        </w:rPr>
        <w:t>A Transcript of the Registers of the Company of Stationers of London, 1554-1640</w:t>
      </w:r>
    </w:p>
    <w:p w14:paraId="29E24A05" w14:textId="7966DD56" w:rsidR="008D332D" w:rsidRDefault="008D332D" w:rsidP="005B60A3">
      <w:pPr>
        <w:pStyle w:val="NormalWeb"/>
        <w:numPr>
          <w:ilvl w:val="0"/>
          <w:numId w:val="1"/>
        </w:numPr>
        <w:spacing w:before="0" w:beforeAutospacing="0" w:after="240" w:afterAutospacing="0" w:line="360" w:lineRule="auto"/>
      </w:pPr>
      <w:r>
        <w:t xml:space="preserve">Birch, Dinah, and Katy Hooper. 2013. </w:t>
      </w:r>
      <w:r>
        <w:rPr>
          <w:i/>
          <w:iCs/>
        </w:rPr>
        <w:t>The Concise Oxford Companion to English Literature.</w:t>
      </w:r>
      <w:r>
        <w:t xml:space="preserve"> (Oxford: Oxford University Press)</w:t>
      </w:r>
    </w:p>
    <w:p w14:paraId="693E5F7B" w14:textId="3BD75307" w:rsidR="008D332D" w:rsidRDefault="008D332D" w:rsidP="005B60A3">
      <w:pPr>
        <w:pStyle w:val="NormalWeb"/>
        <w:numPr>
          <w:ilvl w:val="0"/>
          <w:numId w:val="1"/>
        </w:numPr>
        <w:spacing w:before="0" w:beforeAutospacing="0" w:after="240" w:afterAutospacing="0" w:line="360" w:lineRule="auto"/>
      </w:pPr>
      <w:r>
        <w:t xml:space="preserve">Dobson, Michael, Stanley Wells, Will Sharpe, and Erin Sullivan. 2015. </w:t>
      </w:r>
      <w:r>
        <w:rPr>
          <w:i/>
          <w:iCs/>
        </w:rPr>
        <w:t>The Oxford Companion to Shakespeare</w:t>
      </w:r>
      <w:r>
        <w:t xml:space="preserve"> (Oxford, United Kingdom: Oxford University Press)</w:t>
      </w:r>
    </w:p>
    <w:p w14:paraId="18E1DE55" w14:textId="5624A808" w:rsidR="008D332D" w:rsidRDefault="008D332D" w:rsidP="005B60A3">
      <w:pPr>
        <w:pStyle w:val="NormalWeb"/>
        <w:numPr>
          <w:ilvl w:val="0"/>
          <w:numId w:val="1"/>
        </w:numPr>
        <w:spacing w:before="0" w:beforeAutospacing="0" w:after="240" w:afterAutospacing="0" w:line="360" w:lineRule="auto"/>
      </w:pPr>
      <w:r>
        <w:t xml:space="preserve">Greg, Walter Wilson. 1959. </w:t>
      </w:r>
      <w:r>
        <w:rPr>
          <w:i/>
          <w:iCs/>
        </w:rPr>
        <w:t>A Bibliography of the English Printed Drama to the Restoration</w:t>
      </w:r>
      <w:r>
        <w:t xml:space="preserve"> (Oxford London: Bibliographical Society at the University Press)</w:t>
      </w:r>
    </w:p>
    <w:p w14:paraId="574F2514" w14:textId="2B221D50" w:rsidR="00474771" w:rsidRDefault="00474771" w:rsidP="00474771">
      <w:pPr>
        <w:pStyle w:val="NormalWeb"/>
        <w:numPr>
          <w:ilvl w:val="0"/>
          <w:numId w:val="1"/>
        </w:numPr>
        <w:spacing w:before="0" w:beforeAutospacing="0" w:after="240" w:afterAutospacing="0" w:line="360" w:lineRule="auto"/>
      </w:pPr>
      <w:r>
        <w:t xml:space="preserve">James Fullarton Arnott, John William Robinson, Robert William Lowe, and Society for. 1970. </w:t>
      </w:r>
      <w:r>
        <w:rPr>
          <w:i/>
          <w:iCs/>
        </w:rPr>
        <w:t>English Theatrical Literature, 1559-1900</w:t>
      </w:r>
      <w:r>
        <w:t xml:space="preserve"> (</w:t>
      </w:r>
      <w:proofErr w:type="gramStart"/>
      <w:r>
        <w:t>London :</w:t>
      </w:r>
      <w:proofErr w:type="gramEnd"/>
      <w:r>
        <w:t xml:space="preserve"> Society for Theatre Research)</w:t>
      </w:r>
    </w:p>
    <w:p w14:paraId="2C1B24E4" w14:textId="27664DAE" w:rsidR="008D332D" w:rsidRDefault="008D332D" w:rsidP="005B60A3">
      <w:pPr>
        <w:pStyle w:val="NormalWeb"/>
        <w:numPr>
          <w:ilvl w:val="0"/>
          <w:numId w:val="1"/>
        </w:numPr>
        <w:spacing w:before="0" w:beforeAutospacing="0" w:after="240" w:afterAutospacing="0" w:line="360" w:lineRule="auto"/>
      </w:pPr>
      <w:r>
        <w:t xml:space="preserve">Marlowe, Christopher, and David Scott </w:t>
      </w:r>
      <w:proofErr w:type="spellStart"/>
      <w:r>
        <w:t>Kastan</w:t>
      </w:r>
      <w:proofErr w:type="spellEnd"/>
      <w:r>
        <w:t xml:space="preserve">. 2005. </w:t>
      </w:r>
      <w:r>
        <w:rPr>
          <w:i/>
          <w:iCs/>
        </w:rPr>
        <w:t xml:space="preserve">Doctor </w:t>
      </w:r>
      <w:proofErr w:type="gramStart"/>
      <w:r>
        <w:rPr>
          <w:i/>
          <w:iCs/>
        </w:rPr>
        <w:t>Faustus :</w:t>
      </w:r>
      <w:proofErr w:type="gramEnd"/>
      <w:r>
        <w:rPr>
          <w:i/>
          <w:iCs/>
        </w:rPr>
        <w:t xml:space="preserve"> A Two-Text Edition (A-Text, 1604 ; B-Text, 1616) Contexts and Sources Criticism</w:t>
      </w:r>
      <w:r>
        <w:t xml:space="preserve"> (New York: W.W. Norton)</w:t>
      </w:r>
    </w:p>
    <w:p w14:paraId="286319A5" w14:textId="12D0FFD0" w:rsidR="008D332D" w:rsidRDefault="008D332D" w:rsidP="005B60A3">
      <w:pPr>
        <w:pStyle w:val="NormalWeb"/>
        <w:numPr>
          <w:ilvl w:val="0"/>
          <w:numId w:val="1"/>
        </w:numPr>
        <w:spacing w:before="0" w:beforeAutospacing="0" w:after="240" w:afterAutospacing="0" w:line="360" w:lineRule="auto"/>
      </w:pPr>
      <w:r>
        <w:t xml:space="preserve">Mc </w:t>
      </w:r>
      <w:proofErr w:type="spellStart"/>
      <w:r>
        <w:t>Kerrow</w:t>
      </w:r>
      <w:proofErr w:type="spellEnd"/>
      <w:r>
        <w:t xml:space="preserve">, Ronald </w:t>
      </w:r>
      <w:proofErr w:type="spellStart"/>
      <w:r>
        <w:t>Brunlees</w:t>
      </w:r>
      <w:proofErr w:type="spellEnd"/>
      <w:r>
        <w:t xml:space="preserve">. 1910. </w:t>
      </w:r>
      <w:r>
        <w:rPr>
          <w:i/>
          <w:iCs/>
        </w:rPr>
        <w:t>Dictionary of Printers and Booksellers 1557-1640</w:t>
      </w:r>
    </w:p>
    <w:p w14:paraId="7CDB881C" w14:textId="506C4262" w:rsidR="008D332D" w:rsidRDefault="005B60A3" w:rsidP="005B60A3">
      <w:pPr>
        <w:pStyle w:val="NormalWeb"/>
        <w:numPr>
          <w:ilvl w:val="0"/>
          <w:numId w:val="1"/>
        </w:numPr>
        <w:spacing w:before="0" w:beforeAutospacing="0" w:after="240" w:afterAutospacing="0" w:line="360" w:lineRule="auto"/>
      </w:pPr>
      <w:r>
        <w:t xml:space="preserve">Mc </w:t>
      </w:r>
      <w:proofErr w:type="spellStart"/>
      <w:r>
        <w:t>Kerrow</w:t>
      </w:r>
      <w:proofErr w:type="spellEnd"/>
      <w:r>
        <w:t xml:space="preserve">, Ronald </w:t>
      </w:r>
      <w:proofErr w:type="spellStart"/>
      <w:r>
        <w:t>Brunlees</w:t>
      </w:r>
      <w:proofErr w:type="spellEnd"/>
      <w:r w:rsidR="008D332D">
        <w:t xml:space="preserve"> 1949. </w:t>
      </w:r>
      <w:r w:rsidR="008D332D">
        <w:rPr>
          <w:i/>
          <w:iCs/>
        </w:rPr>
        <w:t>Printers’ &amp; Publishers’ Devices in England and Scotland, 1485-1640</w:t>
      </w:r>
      <w:r w:rsidR="008D332D">
        <w:t xml:space="preserve"> (The Bibliographical Society)</w:t>
      </w:r>
    </w:p>
    <w:p w14:paraId="75439962" w14:textId="77777777" w:rsidR="000975CA" w:rsidRPr="00086DAE" w:rsidRDefault="000975CA">
      <w:pPr>
        <w:rPr>
          <w:rFonts w:asciiTheme="majorHAnsi" w:hAnsiTheme="majorHAnsi" w:cstheme="majorHAnsi"/>
          <w:sz w:val="24"/>
          <w:szCs w:val="24"/>
        </w:rPr>
      </w:pPr>
    </w:p>
    <w:sectPr w:rsidR="000975CA" w:rsidRPr="00086DA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A7D93" w14:textId="77777777" w:rsidR="00BE3343" w:rsidRDefault="00BE3343" w:rsidP="00FC1E8C">
      <w:pPr>
        <w:spacing w:after="0" w:line="240" w:lineRule="auto"/>
      </w:pPr>
      <w:r>
        <w:separator/>
      </w:r>
    </w:p>
  </w:endnote>
  <w:endnote w:type="continuationSeparator" w:id="0">
    <w:p w14:paraId="57ACEDB7" w14:textId="77777777" w:rsidR="00BE3343" w:rsidRDefault="00BE3343" w:rsidP="00FC1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26002" w14:textId="77777777" w:rsidR="00BE3343" w:rsidRDefault="00BE3343" w:rsidP="00FC1E8C">
      <w:pPr>
        <w:spacing w:after="0" w:line="240" w:lineRule="auto"/>
      </w:pPr>
      <w:r>
        <w:separator/>
      </w:r>
    </w:p>
  </w:footnote>
  <w:footnote w:type="continuationSeparator" w:id="0">
    <w:p w14:paraId="0E2F2A51" w14:textId="77777777" w:rsidR="00BE3343" w:rsidRDefault="00BE3343" w:rsidP="00FC1E8C">
      <w:pPr>
        <w:spacing w:after="0" w:line="240" w:lineRule="auto"/>
      </w:pPr>
      <w:r>
        <w:continuationSeparator/>
      </w:r>
    </w:p>
  </w:footnote>
  <w:footnote w:id="1">
    <w:p w14:paraId="4BED6178" w14:textId="31F6A721" w:rsidR="00FC1E8C" w:rsidRPr="00AF428F" w:rsidRDefault="00FC1E8C">
      <w:pPr>
        <w:pStyle w:val="FootnoteText"/>
        <w:rPr>
          <w:rFonts w:asciiTheme="majorHAnsi" w:hAnsiTheme="majorHAnsi" w:cstheme="majorHAnsi"/>
        </w:rPr>
      </w:pPr>
      <w:r>
        <w:rPr>
          <w:rStyle w:val="FootnoteReference"/>
        </w:rPr>
        <w:footnoteRef/>
      </w:r>
      <w:r>
        <w:t xml:space="preserve"> </w:t>
      </w:r>
      <w:r w:rsidR="00AF428F" w:rsidRPr="00AF428F">
        <w:rPr>
          <w:rFonts w:asciiTheme="majorHAnsi" w:hAnsiTheme="majorHAnsi" w:cstheme="majorHAnsi"/>
        </w:rPr>
        <w:t>(Greg 1959)</w:t>
      </w:r>
    </w:p>
  </w:footnote>
  <w:footnote w:id="2">
    <w:p w14:paraId="61CD19D5" w14:textId="23160C1D" w:rsidR="00C00A5C" w:rsidRPr="00AF428F" w:rsidRDefault="00C00A5C">
      <w:pPr>
        <w:pStyle w:val="FootnoteText"/>
        <w:rPr>
          <w:rFonts w:asciiTheme="majorHAnsi" w:hAnsiTheme="majorHAnsi" w:cstheme="majorHAnsi"/>
        </w:rPr>
      </w:pPr>
      <w:r w:rsidRPr="00AF428F">
        <w:rPr>
          <w:rStyle w:val="FootnoteReference"/>
          <w:rFonts w:asciiTheme="majorHAnsi" w:hAnsiTheme="majorHAnsi" w:cstheme="majorHAnsi"/>
        </w:rPr>
        <w:footnoteRef/>
      </w:r>
      <w:r w:rsidRPr="00AF428F">
        <w:rPr>
          <w:rFonts w:asciiTheme="majorHAnsi" w:hAnsiTheme="majorHAnsi" w:cstheme="majorHAnsi"/>
        </w:rPr>
        <w:t xml:space="preserve"> </w:t>
      </w:r>
      <w:r w:rsidR="00AF428F" w:rsidRPr="00AF428F">
        <w:rPr>
          <w:rFonts w:asciiTheme="majorHAnsi" w:hAnsiTheme="majorHAnsi" w:cstheme="majorHAnsi"/>
        </w:rPr>
        <w:t xml:space="preserve">(Marlowe and David Scott </w:t>
      </w:r>
      <w:proofErr w:type="spellStart"/>
      <w:r w:rsidR="00AF428F" w:rsidRPr="00AF428F">
        <w:rPr>
          <w:rFonts w:asciiTheme="majorHAnsi" w:hAnsiTheme="majorHAnsi" w:cstheme="majorHAnsi"/>
        </w:rPr>
        <w:t>Kastan</w:t>
      </w:r>
      <w:proofErr w:type="spellEnd"/>
      <w:r w:rsidR="00AF428F" w:rsidRPr="00AF428F">
        <w:rPr>
          <w:rFonts w:asciiTheme="majorHAnsi" w:hAnsiTheme="majorHAnsi" w:cstheme="majorHAnsi"/>
        </w:rPr>
        <w:t xml:space="preserve"> 2005)</w:t>
      </w:r>
    </w:p>
  </w:footnote>
  <w:footnote w:id="3">
    <w:p w14:paraId="0C514D99" w14:textId="6A229CBC" w:rsidR="00FC1E8C" w:rsidRPr="00AF428F" w:rsidRDefault="00FC1E8C">
      <w:pPr>
        <w:pStyle w:val="FootnoteText"/>
        <w:rPr>
          <w:rFonts w:asciiTheme="majorHAnsi" w:hAnsiTheme="majorHAnsi" w:cstheme="majorHAnsi"/>
        </w:rPr>
      </w:pPr>
      <w:r w:rsidRPr="00AF428F">
        <w:rPr>
          <w:rStyle w:val="FootnoteReference"/>
          <w:rFonts w:asciiTheme="majorHAnsi" w:hAnsiTheme="majorHAnsi" w:cstheme="majorHAnsi"/>
        </w:rPr>
        <w:footnoteRef/>
      </w:r>
      <w:r w:rsidRPr="00AF428F">
        <w:rPr>
          <w:rFonts w:asciiTheme="majorHAnsi" w:hAnsiTheme="majorHAnsi" w:cstheme="majorHAnsi"/>
        </w:rPr>
        <w:t xml:space="preserve"> </w:t>
      </w:r>
      <w:r w:rsidR="00AF428F" w:rsidRPr="00AF428F">
        <w:rPr>
          <w:rFonts w:asciiTheme="majorHAnsi" w:hAnsiTheme="majorHAnsi" w:cstheme="majorHAnsi"/>
        </w:rPr>
        <w:t xml:space="preserve">(Mc </w:t>
      </w:r>
      <w:proofErr w:type="spellStart"/>
      <w:r w:rsidR="00AF428F" w:rsidRPr="00AF428F">
        <w:rPr>
          <w:rFonts w:asciiTheme="majorHAnsi" w:hAnsiTheme="majorHAnsi" w:cstheme="majorHAnsi"/>
        </w:rPr>
        <w:t>Kerrow</w:t>
      </w:r>
      <w:proofErr w:type="spellEnd"/>
      <w:r w:rsidR="00AF428F" w:rsidRPr="00AF428F">
        <w:rPr>
          <w:rFonts w:asciiTheme="majorHAnsi" w:hAnsiTheme="majorHAnsi" w:cstheme="majorHAnsi"/>
        </w:rPr>
        <w:t xml:space="preserve"> 1910)</w:t>
      </w:r>
    </w:p>
  </w:footnote>
  <w:footnote w:id="4">
    <w:p w14:paraId="08EA1644" w14:textId="30D144D0" w:rsidR="00FC1E8C" w:rsidRPr="00AF428F" w:rsidRDefault="00FC1E8C">
      <w:pPr>
        <w:pStyle w:val="FootnoteText"/>
        <w:rPr>
          <w:rFonts w:asciiTheme="majorHAnsi" w:hAnsiTheme="majorHAnsi" w:cstheme="majorHAnsi"/>
        </w:rPr>
      </w:pPr>
      <w:r w:rsidRPr="00AF428F">
        <w:rPr>
          <w:rStyle w:val="FootnoteReference"/>
          <w:rFonts w:asciiTheme="majorHAnsi" w:hAnsiTheme="majorHAnsi" w:cstheme="majorHAnsi"/>
        </w:rPr>
        <w:footnoteRef/>
      </w:r>
      <w:r w:rsidRPr="00AF428F">
        <w:rPr>
          <w:rFonts w:asciiTheme="majorHAnsi" w:hAnsiTheme="majorHAnsi" w:cstheme="majorHAnsi"/>
        </w:rPr>
        <w:t xml:space="preserve"> </w:t>
      </w:r>
      <w:r w:rsidR="00AF428F" w:rsidRPr="00AF428F">
        <w:rPr>
          <w:rFonts w:asciiTheme="majorHAnsi" w:hAnsiTheme="majorHAnsi" w:cstheme="majorHAnsi"/>
        </w:rPr>
        <w:t xml:space="preserve">(Mc </w:t>
      </w:r>
      <w:proofErr w:type="spellStart"/>
      <w:r w:rsidR="00AF428F" w:rsidRPr="00AF428F">
        <w:rPr>
          <w:rFonts w:asciiTheme="majorHAnsi" w:hAnsiTheme="majorHAnsi" w:cstheme="majorHAnsi"/>
        </w:rPr>
        <w:t>Kerrow</w:t>
      </w:r>
      <w:proofErr w:type="spellEnd"/>
      <w:r w:rsidR="00AF428F" w:rsidRPr="00AF428F">
        <w:rPr>
          <w:rFonts w:asciiTheme="majorHAnsi" w:hAnsiTheme="majorHAnsi" w:cstheme="majorHAnsi"/>
        </w:rPr>
        <w:t xml:space="preserve"> 1910)</w:t>
      </w:r>
    </w:p>
  </w:footnote>
  <w:footnote w:id="5">
    <w:p w14:paraId="609C11A1" w14:textId="56E455F6" w:rsidR="00FC1E8C" w:rsidRPr="00AF428F" w:rsidRDefault="00FC1E8C">
      <w:pPr>
        <w:pStyle w:val="FootnoteText"/>
        <w:rPr>
          <w:rFonts w:asciiTheme="majorHAnsi" w:hAnsiTheme="majorHAnsi" w:cstheme="majorHAnsi"/>
        </w:rPr>
      </w:pPr>
      <w:r w:rsidRPr="00AF428F">
        <w:rPr>
          <w:rStyle w:val="FootnoteReference"/>
          <w:rFonts w:asciiTheme="majorHAnsi" w:hAnsiTheme="majorHAnsi" w:cstheme="majorHAnsi"/>
        </w:rPr>
        <w:footnoteRef/>
      </w:r>
      <w:r w:rsidRPr="00AF428F">
        <w:rPr>
          <w:rFonts w:asciiTheme="majorHAnsi" w:hAnsiTheme="majorHAnsi" w:cstheme="majorHAnsi"/>
        </w:rPr>
        <w:t xml:space="preserve"> </w:t>
      </w:r>
      <w:r w:rsidR="00AF428F" w:rsidRPr="00AF428F">
        <w:rPr>
          <w:rFonts w:asciiTheme="majorHAnsi" w:hAnsiTheme="majorHAnsi" w:cstheme="majorHAnsi"/>
        </w:rPr>
        <w:t>(Dobson and others 2015)</w:t>
      </w:r>
    </w:p>
  </w:footnote>
  <w:footnote w:id="6">
    <w:p w14:paraId="54EC7A9B" w14:textId="4C09A54A" w:rsidR="00AF428F" w:rsidRPr="005E3815" w:rsidRDefault="00AF428F">
      <w:pPr>
        <w:pStyle w:val="FootnoteText"/>
        <w:rPr>
          <w:rFonts w:asciiTheme="majorHAnsi" w:hAnsiTheme="majorHAnsi" w:cstheme="majorHAnsi"/>
        </w:rPr>
      </w:pPr>
      <w:r w:rsidRPr="005E3815">
        <w:rPr>
          <w:rStyle w:val="FootnoteReference"/>
          <w:rFonts w:asciiTheme="majorHAnsi" w:hAnsiTheme="majorHAnsi" w:cstheme="majorHAnsi"/>
        </w:rPr>
        <w:footnoteRef/>
      </w:r>
      <w:r w:rsidRPr="005E3815">
        <w:rPr>
          <w:rFonts w:asciiTheme="majorHAnsi" w:hAnsiTheme="majorHAnsi" w:cstheme="majorHAnsi"/>
        </w:rPr>
        <w:t xml:space="preserve"> </w:t>
      </w:r>
      <w:r w:rsidR="005E3815" w:rsidRPr="005E3815">
        <w:rPr>
          <w:rFonts w:asciiTheme="majorHAnsi" w:hAnsiTheme="majorHAnsi" w:cstheme="majorHAnsi"/>
        </w:rPr>
        <w:t xml:space="preserve">(Mc </w:t>
      </w:r>
      <w:proofErr w:type="spellStart"/>
      <w:r w:rsidR="005E3815" w:rsidRPr="005E3815">
        <w:rPr>
          <w:rFonts w:asciiTheme="majorHAnsi" w:hAnsiTheme="majorHAnsi" w:cstheme="majorHAnsi"/>
        </w:rPr>
        <w:t>Kerrow</w:t>
      </w:r>
      <w:proofErr w:type="spellEnd"/>
      <w:r w:rsidR="005E3815" w:rsidRPr="005E3815">
        <w:rPr>
          <w:rFonts w:asciiTheme="majorHAnsi" w:hAnsiTheme="majorHAnsi" w:cstheme="majorHAnsi"/>
        </w:rPr>
        <w:t xml:space="preserve"> 1949)</w:t>
      </w:r>
    </w:p>
  </w:footnote>
  <w:footnote w:id="7">
    <w:p w14:paraId="528AB706" w14:textId="0CFFB65A" w:rsidR="00FC1E8C" w:rsidRPr="005E3815" w:rsidRDefault="00FC1E8C">
      <w:pPr>
        <w:pStyle w:val="FootnoteText"/>
        <w:rPr>
          <w:rFonts w:asciiTheme="majorHAnsi" w:hAnsiTheme="majorHAnsi" w:cstheme="majorHAnsi"/>
        </w:rPr>
      </w:pPr>
      <w:r w:rsidRPr="005E3815">
        <w:rPr>
          <w:rStyle w:val="FootnoteReference"/>
          <w:rFonts w:asciiTheme="majorHAnsi" w:hAnsiTheme="majorHAnsi" w:cstheme="majorHAnsi"/>
        </w:rPr>
        <w:footnoteRef/>
      </w:r>
      <w:r w:rsidRPr="005E3815">
        <w:rPr>
          <w:rFonts w:asciiTheme="majorHAnsi" w:hAnsiTheme="majorHAnsi" w:cstheme="majorHAnsi"/>
        </w:rPr>
        <w:t xml:space="preserve"> </w:t>
      </w:r>
      <w:r w:rsidR="005E3815" w:rsidRPr="00AF428F">
        <w:rPr>
          <w:rFonts w:asciiTheme="majorHAnsi" w:hAnsiTheme="majorHAnsi" w:cstheme="majorHAnsi"/>
        </w:rPr>
        <w:t xml:space="preserve">(Mc </w:t>
      </w:r>
      <w:proofErr w:type="spellStart"/>
      <w:r w:rsidR="005E3815" w:rsidRPr="00AF428F">
        <w:rPr>
          <w:rFonts w:asciiTheme="majorHAnsi" w:hAnsiTheme="majorHAnsi" w:cstheme="majorHAnsi"/>
        </w:rPr>
        <w:t>Kerrow</w:t>
      </w:r>
      <w:proofErr w:type="spellEnd"/>
      <w:r w:rsidR="005E3815" w:rsidRPr="00AF428F">
        <w:rPr>
          <w:rFonts w:asciiTheme="majorHAnsi" w:hAnsiTheme="majorHAnsi" w:cstheme="majorHAnsi"/>
        </w:rPr>
        <w:t xml:space="preserve"> 1910)</w:t>
      </w:r>
    </w:p>
  </w:footnote>
  <w:footnote w:id="8">
    <w:p w14:paraId="72EC6E62" w14:textId="1DE8ACF3" w:rsidR="00FC1E8C" w:rsidRPr="005E3815" w:rsidRDefault="00FC1E8C">
      <w:pPr>
        <w:pStyle w:val="FootnoteText"/>
        <w:rPr>
          <w:rFonts w:asciiTheme="majorHAnsi" w:hAnsiTheme="majorHAnsi" w:cstheme="majorHAnsi"/>
        </w:rPr>
      </w:pPr>
      <w:r w:rsidRPr="005E3815">
        <w:rPr>
          <w:rStyle w:val="FootnoteReference"/>
          <w:rFonts w:asciiTheme="majorHAnsi" w:hAnsiTheme="majorHAnsi" w:cstheme="majorHAnsi"/>
        </w:rPr>
        <w:footnoteRef/>
      </w:r>
      <w:r w:rsidRPr="005E3815">
        <w:rPr>
          <w:rFonts w:asciiTheme="majorHAnsi" w:hAnsiTheme="majorHAnsi" w:cstheme="majorHAnsi"/>
        </w:rPr>
        <w:t xml:space="preserve"> </w:t>
      </w:r>
      <w:r w:rsidR="005E3815" w:rsidRPr="00AF428F">
        <w:rPr>
          <w:rFonts w:asciiTheme="majorHAnsi" w:hAnsiTheme="majorHAnsi" w:cstheme="majorHAnsi"/>
        </w:rPr>
        <w:t xml:space="preserve">(Mc </w:t>
      </w:r>
      <w:proofErr w:type="spellStart"/>
      <w:r w:rsidR="005E3815" w:rsidRPr="00AF428F">
        <w:rPr>
          <w:rFonts w:asciiTheme="majorHAnsi" w:hAnsiTheme="majorHAnsi" w:cstheme="majorHAnsi"/>
        </w:rPr>
        <w:t>Kerrow</w:t>
      </w:r>
      <w:proofErr w:type="spellEnd"/>
      <w:r w:rsidR="005E3815" w:rsidRPr="00AF428F">
        <w:rPr>
          <w:rFonts w:asciiTheme="majorHAnsi" w:hAnsiTheme="majorHAnsi" w:cstheme="majorHAnsi"/>
        </w:rPr>
        <w:t xml:space="preserve"> 1910)</w:t>
      </w:r>
    </w:p>
  </w:footnote>
  <w:footnote w:id="9">
    <w:p w14:paraId="346B5BA8" w14:textId="5EC35E39" w:rsidR="005E3815" w:rsidRPr="005E3815" w:rsidRDefault="005E3815">
      <w:pPr>
        <w:pStyle w:val="FootnoteText"/>
        <w:rPr>
          <w:rFonts w:asciiTheme="majorHAnsi" w:hAnsiTheme="majorHAnsi" w:cstheme="majorHAnsi"/>
        </w:rPr>
      </w:pPr>
      <w:r w:rsidRPr="005E3815">
        <w:rPr>
          <w:rStyle w:val="FootnoteReference"/>
          <w:rFonts w:asciiTheme="majorHAnsi" w:hAnsiTheme="majorHAnsi" w:cstheme="majorHAnsi"/>
        </w:rPr>
        <w:footnoteRef/>
      </w:r>
      <w:r w:rsidRPr="005E3815">
        <w:rPr>
          <w:rFonts w:asciiTheme="majorHAnsi" w:hAnsiTheme="majorHAnsi" w:cstheme="majorHAnsi"/>
        </w:rPr>
        <w:t xml:space="preserve"> </w:t>
      </w:r>
      <w:r w:rsidRPr="005E3815">
        <w:rPr>
          <w:rFonts w:asciiTheme="majorHAnsi" w:hAnsiTheme="majorHAnsi" w:cstheme="majorHAnsi"/>
        </w:rPr>
        <w:t xml:space="preserve">(Marlowe and David Scott </w:t>
      </w:r>
      <w:proofErr w:type="spellStart"/>
      <w:r w:rsidRPr="005E3815">
        <w:rPr>
          <w:rFonts w:asciiTheme="majorHAnsi" w:hAnsiTheme="majorHAnsi" w:cstheme="majorHAnsi"/>
        </w:rPr>
        <w:t>Kastan</w:t>
      </w:r>
      <w:proofErr w:type="spellEnd"/>
      <w:r w:rsidRPr="005E3815">
        <w:rPr>
          <w:rFonts w:asciiTheme="majorHAnsi" w:hAnsiTheme="majorHAnsi" w:cstheme="majorHAnsi"/>
        </w:rPr>
        <w:t xml:space="preserve"> 2005)</w:t>
      </w:r>
    </w:p>
  </w:footnote>
  <w:footnote w:id="10">
    <w:p w14:paraId="3B87BC0B" w14:textId="493344EF" w:rsidR="00FC1E8C" w:rsidRPr="005E3815" w:rsidRDefault="00FC1E8C">
      <w:pPr>
        <w:pStyle w:val="FootnoteText"/>
        <w:rPr>
          <w:rFonts w:asciiTheme="majorHAnsi" w:hAnsiTheme="majorHAnsi" w:cstheme="majorHAnsi"/>
        </w:rPr>
      </w:pPr>
      <w:r w:rsidRPr="005E3815">
        <w:rPr>
          <w:rStyle w:val="FootnoteReference"/>
          <w:rFonts w:asciiTheme="majorHAnsi" w:hAnsiTheme="majorHAnsi" w:cstheme="majorHAnsi"/>
        </w:rPr>
        <w:footnoteRef/>
      </w:r>
      <w:r w:rsidRPr="005E3815">
        <w:rPr>
          <w:rFonts w:asciiTheme="majorHAnsi" w:hAnsiTheme="majorHAnsi" w:cstheme="majorHAnsi"/>
        </w:rPr>
        <w:t xml:space="preserve"> </w:t>
      </w:r>
      <w:r w:rsidR="005E3815" w:rsidRPr="005E3815">
        <w:rPr>
          <w:rFonts w:asciiTheme="majorHAnsi" w:hAnsiTheme="majorHAnsi" w:cstheme="majorHAnsi"/>
        </w:rPr>
        <w:t>(Birch and Hooper 2013)</w:t>
      </w:r>
    </w:p>
  </w:footnote>
  <w:footnote w:id="11">
    <w:p w14:paraId="183B6E0D" w14:textId="7C0F18B2" w:rsidR="00AF428F" w:rsidRPr="005E3815" w:rsidRDefault="00AF428F">
      <w:pPr>
        <w:pStyle w:val="FootnoteText"/>
        <w:rPr>
          <w:rFonts w:asciiTheme="majorHAnsi" w:hAnsiTheme="majorHAnsi" w:cstheme="majorHAnsi"/>
        </w:rPr>
      </w:pPr>
      <w:r w:rsidRPr="005E3815">
        <w:rPr>
          <w:rStyle w:val="FootnoteReference"/>
          <w:rFonts w:asciiTheme="majorHAnsi" w:hAnsiTheme="majorHAnsi" w:cstheme="majorHAnsi"/>
        </w:rPr>
        <w:footnoteRef/>
      </w:r>
      <w:r w:rsidRPr="005E3815">
        <w:rPr>
          <w:rFonts w:asciiTheme="majorHAnsi" w:hAnsiTheme="majorHAnsi" w:cstheme="majorHAnsi"/>
        </w:rPr>
        <w:t xml:space="preserve"> </w:t>
      </w:r>
      <w:r w:rsidR="005E3815" w:rsidRPr="005E3815">
        <w:rPr>
          <w:rFonts w:asciiTheme="majorHAnsi" w:hAnsiTheme="majorHAnsi" w:cstheme="majorHAnsi"/>
        </w:rPr>
        <w:t>(Birch and Hooper 2013)</w:t>
      </w:r>
      <w:r w:rsidR="008D332D">
        <w:rPr>
          <w:rFonts w:asciiTheme="majorHAnsi" w:hAnsiTheme="majorHAnsi" w:cstheme="majorHAnsi"/>
        </w:rPr>
        <w:t xml:space="preserve"> </w:t>
      </w:r>
    </w:p>
  </w:footnote>
  <w:footnote w:id="12">
    <w:p w14:paraId="00D00E1C" w14:textId="28B5250C" w:rsidR="00474771" w:rsidRPr="00474771" w:rsidRDefault="00474771">
      <w:pPr>
        <w:pStyle w:val="FootnoteText"/>
        <w:rPr>
          <w:rFonts w:asciiTheme="majorHAnsi" w:hAnsiTheme="majorHAnsi" w:cstheme="majorHAnsi"/>
        </w:rPr>
      </w:pPr>
      <w:r w:rsidRPr="00474771">
        <w:rPr>
          <w:rStyle w:val="FootnoteReference"/>
          <w:rFonts w:asciiTheme="majorHAnsi" w:hAnsiTheme="majorHAnsi" w:cstheme="majorHAnsi"/>
        </w:rPr>
        <w:footnoteRef/>
      </w:r>
      <w:r w:rsidRPr="00474771">
        <w:rPr>
          <w:rFonts w:asciiTheme="majorHAnsi" w:hAnsiTheme="majorHAnsi" w:cstheme="majorHAnsi"/>
        </w:rPr>
        <w:t xml:space="preserve"> </w:t>
      </w:r>
      <w:r w:rsidRPr="00474771">
        <w:rPr>
          <w:rFonts w:asciiTheme="majorHAnsi" w:hAnsiTheme="majorHAnsi" w:cstheme="majorHAnsi"/>
        </w:rPr>
        <w:t>(James Fullarton Arnott and others 1970)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7B5ABB"/>
    <w:multiLevelType w:val="hybridMultilevel"/>
    <w:tmpl w:val="31143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0506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954"/>
    <w:rsid w:val="00006439"/>
    <w:rsid w:val="00073F46"/>
    <w:rsid w:val="00086DAE"/>
    <w:rsid w:val="000975CA"/>
    <w:rsid w:val="000C36C5"/>
    <w:rsid w:val="002421BB"/>
    <w:rsid w:val="002C4D3F"/>
    <w:rsid w:val="00474771"/>
    <w:rsid w:val="004F112E"/>
    <w:rsid w:val="00502A05"/>
    <w:rsid w:val="005266D8"/>
    <w:rsid w:val="005B60A3"/>
    <w:rsid w:val="005E3815"/>
    <w:rsid w:val="00662954"/>
    <w:rsid w:val="006E417D"/>
    <w:rsid w:val="007525FF"/>
    <w:rsid w:val="008D332D"/>
    <w:rsid w:val="00AF428F"/>
    <w:rsid w:val="00BD23AD"/>
    <w:rsid w:val="00BE3343"/>
    <w:rsid w:val="00C00A5C"/>
    <w:rsid w:val="00C3190E"/>
    <w:rsid w:val="00D23603"/>
    <w:rsid w:val="00DA5BA7"/>
    <w:rsid w:val="00EA58B7"/>
    <w:rsid w:val="00ED6FB1"/>
    <w:rsid w:val="00EE4329"/>
    <w:rsid w:val="00F95311"/>
    <w:rsid w:val="00FC1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22476"/>
  <w15:chartTrackingRefBased/>
  <w15:docId w15:val="{7EDC1F09-4C7F-4D55-860E-40FAAB320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F4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C1E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1E8C"/>
    <w:rPr>
      <w:sz w:val="20"/>
      <w:szCs w:val="20"/>
    </w:rPr>
  </w:style>
  <w:style w:type="character" w:styleId="FootnoteReference">
    <w:name w:val="footnote reference"/>
    <w:basedOn w:val="DefaultParagraphFont"/>
    <w:uiPriority w:val="99"/>
    <w:semiHidden/>
    <w:unhideWhenUsed/>
    <w:rsid w:val="00FC1E8C"/>
    <w:rPr>
      <w:vertAlign w:val="superscript"/>
    </w:rPr>
  </w:style>
  <w:style w:type="paragraph" w:styleId="NormalWeb">
    <w:name w:val="Normal (Web)"/>
    <w:basedOn w:val="Normal"/>
    <w:uiPriority w:val="99"/>
    <w:semiHidden/>
    <w:unhideWhenUsed/>
    <w:rsid w:val="008D332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86830">
      <w:bodyDiv w:val="1"/>
      <w:marLeft w:val="0"/>
      <w:marRight w:val="0"/>
      <w:marTop w:val="0"/>
      <w:marBottom w:val="0"/>
      <w:divBdr>
        <w:top w:val="none" w:sz="0" w:space="0" w:color="auto"/>
        <w:left w:val="none" w:sz="0" w:space="0" w:color="auto"/>
        <w:bottom w:val="none" w:sz="0" w:space="0" w:color="auto"/>
        <w:right w:val="none" w:sz="0" w:space="0" w:color="auto"/>
      </w:divBdr>
      <w:divsChild>
        <w:div w:id="794181013">
          <w:marLeft w:val="0"/>
          <w:marRight w:val="0"/>
          <w:marTop w:val="0"/>
          <w:marBottom w:val="0"/>
          <w:divBdr>
            <w:top w:val="none" w:sz="0" w:space="0" w:color="auto"/>
            <w:left w:val="none" w:sz="0" w:space="0" w:color="auto"/>
            <w:bottom w:val="none" w:sz="0" w:space="0" w:color="auto"/>
            <w:right w:val="none" w:sz="0" w:space="0" w:color="auto"/>
          </w:divBdr>
        </w:div>
      </w:divsChild>
    </w:div>
    <w:div w:id="1652980991">
      <w:bodyDiv w:val="1"/>
      <w:marLeft w:val="0"/>
      <w:marRight w:val="0"/>
      <w:marTop w:val="0"/>
      <w:marBottom w:val="0"/>
      <w:divBdr>
        <w:top w:val="none" w:sz="0" w:space="0" w:color="auto"/>
        <w:left w:val="none" w:sz="0" w:space="0" w:color="auto"/>
        <w:bottom w:val="none" w:sz="0" w:space="0" w:color="auto"/>
        <w:right w:val="none" w:sz="0" w:space="0" w:color="auto"/>
      </w:divBdr>
      <w:divsChild>
        <w:div w:id="12766007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50ABB-2A8A-4CB1-8AD4-00E8E78E1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1138</Words>
  <Characters>6489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Mc Fee</dc:creator>
  <cp:keywords/>
  <dc:description/>
  <cp:lastModifiedBy>Ashley Mc Fee</cp:lastModifiedBy>
  <cp:revision>3</cp:revision>
  <dcterms:created xsi:type="dcterms:W3CDTF">2023-01-25T22:32:00Z</dcterms:created>
  <dcterms:modified xsi:type="dcterms:W3CDTF">2023-01-25T22:34:00Z</dcterms:modified>
</cp:coreProperties>
</file>