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1148793021"/>
        <w:docPartObj>
          <w:docPartGallery w:val="Cover Pages"/>
          <w:docPartUnique/>
        </w:docPartObj>
      </w:sdtPr>
      <w:sdtEndPr>
        <w:rPr>
          <w:rFonts w:ascii="Times New Roman" w:eastAsiaTheme="minorHAnsi" w:hAnsi="Times New Roman" w:cs="Times New Roman"/>
          <w:color w:val="auto"/>
          <w:sz w:val="24"/>
          <w:szCs w:val="24"/>
          <w:lang w:val="en-GB"/>
        </w:rPr>
      </w:sdtEndPr>
      <w:sdtContent>
        <w:p w:rsidR="00326CA6" w:rsidRDefault="00326CA6">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color w:val="2E74B5" w:themeColor="accent1" w:themeShade="BF"/>
              <w:sz w:val="48"/>
              <w:szCs w:val="48"/>
            </w:rPr>
            <w:alias w:val="Title"/>
            <w:tag w:val=""/>
            <w:id w:val="1735040861"/>
            <w:placeholder>
              <w:docPart w:val="23F5AF91D044488A81F7C9CC5BC78943"/>
            </w:placeholder>
            <w:dataBinding w:prefixMappings="xmlns:ns0='http://purl.org/dc/elements/1.1/' xmlns:ns1='http://schemas.openxmlformats.org/package/2006/metadata/core-properties' " w:xpath="/ns1:coreProperties[1]/ns0:title[1]" w:storeItemID="{6C3C8BC8-F283-45AE-878A-BAB7291924A1}"/>
            <w:text/>
          </w:sdtPr>
          <w:sdtContent>
            <w:p w:rsidR="00326CA6" w:rsidRPr="00326CA6" w:rsidRDefault="00326CA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48"/>
                  <w:szCs w:val="48"/>
                </w:rPr>
              </w:pPr>
              <w:r w:rsidRPr="00326CA6">
                <w:rPr>
                  <w:rFonts w:ascii="Times New Roman" w:eastAsia="Times New Roman" w:hAnsi="Times New Roman" w:cs="Times New Roman"/>
                  <w:color w:val="2E74B5" w:themeColor="accent1" w:themeShade="BF"/>
                  <w:sz w:val="48"/>
                  <w:szCs w:val="48"/>
                </w:rPr>
                <w:t xml:space="preserve">           Are Students Adequately Prepared for </w:t>
              </w:r>
              <w:r w:rsidRPr="00326CA6">
                <w:rPr>
                  <w:rFonts w:ascii="Times New Roman" w:eastAsia="Times New Roman" w:hAnsi="Times New Roman" w:cs="Times New Roman"/>
                  <w:color w:val="2E74B5" w:themeColor="accent1" w:themeShade="BF"/>
                  <w:sz w:val="48"/>
                  <w:szCs w:val="48"/>
                </w:rPr>
                <w:t>University?</w:t>
              </w:r>
            </w:p>
          </w:sdtContent>
        </w:sdt>
        <w:sdt>
          <w:sdtPr>
            <w:rPr>
              <w:color w:val="5B9BD5" w:themeColor="accent1"/>
              <w:sz w:val="28"/>
              <w:szCs w:val="28"/>
            </w:rPr>
            <w:alias w:val="Subtitle"/>
            <w:tag w:val=""/>
            <w:id w:val="328029620"/>
            <w:placeholder>
              <w:docPart w:val="1895E264BF234240BF6DEFAB21489AA4"/>
            </w:placeholder>
            <w:dataBinding w:prefixMappings="xmlns:ns0='http://purl.org/dc/elements/1.1/' xmlns:ns1='http://schemas.openxmlformats.org/package/2006/metadata/core-properties' " w:xpath="/ns1:coreProperties[1]/ns0:subject[1]" w:storeItemID="{6C3C8BC8-F283-45AE-878A-BAB7291924A1}"/>
            <w:text/>
          </w:sdtPr>
          <w:sdtContent>
            <w:p w:rsidR="00326CA6" w:rsidRDefault="00326CA6">
              <w:pPr>
                <w:pStyle w:val="NoSpacing"/>
                <w:jc w:val="center"/>
                <w:rPr>
                  <w:color w:val="5B9BD5" w:themeColor="accent1"/>
                  <w:sz w:val="28"/>
                  <w:szCs w:val="28"/>
                </w:rPr>
              </w:pPr>
              <w:r>
                <w:rPr>
                  <w:color w:val="5B9BD5" w:themeColor="accent1"/>
                  <w:sz w:val="28"/>
                  <w:szCs w:val="28"/>
                </w:rPr>
                <w:t>Independent Study</w:t>
              </w:r>
            </w:p>
          </w:sdtContent>
        </w:sdt>
        <w:p w:rsidR="00326CA6" w:rsidRDefault="00326CA6">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4-25T00:00:00Z">
                                    <w:dateFormat w:val="MMMM d, yyyy"/>
                                    <w:lid w:val="en-US"/>
                                    <w:storeMappedDataAs w:val="dateTime"/>
                                    <w:calendar w:val="gregorian"/>
                                  </w:date>
                                </w:sdtPr>
                                <w:sdtContent>
                                  <w:p w:rsidR="00326CA6" w:rsidRDefault="00326CA6">
                                    <w:pPr>
                                      <w:pStyle w:val="NoSpacing"/>
                                      <w:spacing w:after="40"/>
                                      <w:jc w:val="center"/>
                                      <w:rPr>
                                        <w:caps/>
                                        <w:color w:val="5B9BD5" w:themeColor="accent1"/>
                                        <w:sz w:val="28"/>
                                        <w:szCs w:val="28"/>
                                      </w:rPr>
                                    </w:pPr>
                                    <w:r>
                                      <w:rPr>
                                        <w:caps/>
                                        <w:color w:val="5B9BD5" w:themeColor="accent1"/>
                                        <w:sz w:val="28"/>
                                        <w:szCs w:val="28"/>
                                      </w:rPr>
                                      <w:t>April 25, 2018</w:t>
                                    </w:r>
                                  </w:p>
                                </w:sdtContent>
                              </w:sdt>
                              <w:p w:rsidR="00326CA6" w:rsidRDefault="00326CA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LOWRI jONES</w:t>
                                    </w:r>
                                  </w:sdtContent>
                                </w:sdt>
                              </w:p>
                              <w:p w:rsidR="00326CA6" w:rsidRDefault="00326CA6">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1703171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4-25T00:00:00Z">
                              <w:dateFormat w:val="MMMM d, yyyy"/>
                              <w:lid w:val="en-US"/>
                              <w:storeMappedDataAs w:val="dateTime"/>
                              <w:calendar w:val="gregorian"/>
                            </w:date>
                          </w:sdtPr>
                          <w:sdtContent>
                            <w:p w:rsidR="00326CA6" w:rsidRDefault="00326CA6">
                              <w:pPr>
                                <w:pStyle w:val="NoSpacing"/>
                                <w:spacing w:after="40"/>
                                <w:jc w:val="center"/>
                                <w:rPr>
                                  <w:caps/>
                                  <w:color w:val="5B9BD5" w:themeColor="accent1"/>
                                  <w:sz w:val="28"/>
                                  <w:szCs w:val="28"/>
                                </w:rPr>
                              </w:pPr>
                              <w:r>
                                <w:rPr>
                                  <w:caps/>
                                  <w:color w:val="5B9BD5" w:themeColor="accent1"/>
                                  <w:sz w:val="28"/>
                                  <w:szCs w:val="28"/>
                                </w:rPr>
                                <w:t>April 25, 2018</w:t>
                              </w:r>
                            </w:p>
                          </w:sdtContent>
                        </w:sdt>
                        <w:p w:rsidR="00326CA6" w:rsidRDefault="00326CA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LOWRI jONES</w:t>
                              </w:r>
                            </w:sdtContent>
                          </w:sdt>
                        </w:p>
                        <w:p w:rsidR="00326CA6" w:rsidRDefault="00326CA6">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1703171</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26CA6" w:rsidRDefault="00326CA6">
          <w:pPr>
            <w:rPr>
              <w:rFonts w:ascii="Times New Roman" w:hAnsi="Times New Roman" w:cs="Times New Roman"/>
              <w:sz w:val="24"/>
              <w:szCs w:val="24"/>
            </w:rPr>
          </w:pPr>
          <w:r>
            <w:rPr>
              <w:rFonts w:ascii="Times New Roman" w:hAnsi="Times New Roman" w:cs="Times New Roman"/>
              <w:sz w:val="24"/>
              <w:szCs w:val="24"/>
            </w:rPr>
            <w:br w:type="page"/>
          </w:r>
        </w:p>
      </w:sdtContent>
    </w:sdt>
    <w:sdt>
      <w:sdtPr>
        <w:id w:val="32147253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326CA6" w:rsidRDefault="00326CA6">
          <w:pPr>
            <w:pStyle w:val="TOCHeading"/>
          </w:pPr>
          <w:r>
            <w:t>Table of Contents</w:t>
          </w:r>
          <w:bookmarkStart w:id="0" w:name="_GoBack"/>
          <w:bookmarkEnd w:id="0"/>
        </w:p>
        <w:p w:rsidR="00AE4064" w:rsidRDefault="00326CA6">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377750" w:history="1">
            <w:r w:rsidR="00AE4064" w:rsidRPr="00B16966">
              <w:rPr>
                <w:rStyle w:val="Hyperlink"/>
                <w:rFonts w:ascii="Times New Roman" w:hAnsi="Times New Roman" w:cs="Times New Roman"/>
                <w:noProof/>
              </w:rPr>
              <w:t>Introduction</w:t>
            </w:r>
            <w:r w:rsidR="00AE4064">
              <w:rPr>
                <w:noProof/>
                <w:webHidden/>
              </w:rPr>
              <w:tab/>
            </w:r>
            <w:r w:rsidR="00AE4064">
              <w:rPr>
                <w:noProof/>
                <w:webHidden/>
              </w:rPr>
              <w:fldChar w:fldCharType="begin"/>
            </w:r>
            <w:r w:rsidR="00AE4064">
              <w:rPr>
                <w:noProof/>
                <w:webHidden/>
              </w:rPr>
              <w:instrText xml:space="preserve"> PAGEREF _Toc512377750 \h </w:instrText>
            </w:r>
            <w:r w:rsidR="00AE4064">
              <w:rPr>
                <w:noProof/>
                <w:webHidden/>
              </w:rPr>
            </w:r>
            <w:r w:rsidR="00AE4064">
              <w:rPr>
                <w:noProof/>
                <w:webHidden/>
              </w:rPr>
              <w:fldChar w:fldCharType="separate"/>
            </w:r>
            <w:r w:rsidR="00AE4064">
              <w:rPr>
                <w:noProof/>
                <w:webHidden/>
              </w:rPr>
              <w:t>2</w:t>
            </w:r>
            <w:r w:rsidR="00AE4064">
              <w:rPr>
                <w:noProof/>
                <w:webHidden/>
              </w:rPr>
              <w:fldChar w:fldCharType="end"/>
            </w:r>
          </w:hyperlink>
        </w:p>
        <w:p w:rsidR="00AE4064" w:rsidRDefault="00AE4064">
          <w:pPr>
            <w:pStyle w:val="TOC2"/>
            <w:tabs>
              <w:tab w:val="right" w:leader="dot" w:pos="9016"/>
            </w:tabs>
            <w:rPr>
              <w:rFonts w:eastAsiaTheme="minorEastAsia"/>
              <w:noProof/>
              <w:lang w:eastAsia="en-GB"/>
            </w:rPr>
          </w:pPr>
          <w:hyperlink w:anchor="_Toc512377751" w:history="1">
            <w:r w:rsidRPr="00B16966">
              <w:rPr>
                <w:rStyle w:val="Hyperlink"/>
                <w:rFonts w:ascii="Times New Roman" w:hAnsi="Times New Roman" w:cs="Times New Roman"/>
                <w:noProof/>
              </w:rPr>
              <w:t>Student Expectations</w:t>
            </w:r>
            <w:r>
              <w:rPr>
                <w:noProof/>
                <w:webHidden/>
              </w:rPr>
              <w:tab/>
            </w:r>
            <w:r>
              <w:rPr>
                <w:noProof/>
                <w:webHidden/>
              </w:rPr>
              <w:fldChar w:fldCharType="begin"/>
            </w:r>
            <w:r>
              <w:rPr>
                <w:noProof/>
                <w:webHidden/>
              </w:rPr>
              <w:instrText xml:space="preserve"> PAGEREF _Toc512377751 \h </w:instrText>
            </w:r>
            <w:r>
              <w:rPr>
                <w:noProof/>
                <w:webHidden/>
              </w:rPr>
            </w:r>
            <w:r>
              <w:rPr>
                <w:noProof/>
                <w:webHidden/>
              </w:rPr>
              <w:fldChar w:fldCharType="separate"/>
            </w:r>
            <w:r>
              <w:rPr>
                <w:noProof/>
                <w:webHidden/>
              </w:rPr>
              <w:t>2</w:t>
            </w:r>
            <w:r>
              <w:rPr>
                <w:noProof/>
                <w:webHidden/>
              </w:rPr>
              <w:fldChar w:fldCharType="end"/>
            </w:r>
          </w:hyperlink>
        </w:p>
        <w:p w:rsidR="00AE4064" w:rsidRDefault="00AE4064">
          <w:pPr>
            <w:pStyle w:val="TOC2"/>
            <w:tabs>
              <w:tab w:val="right" w:leader="dot" w:pos="9016"/>
            </w:tabs>
            <w:rPr>
              <w:rFonts w:eastAsiaTheme="minorEastAsia"/>
              <w:noProof/>
              <w:lang w:eastAsia="en-GB"/>
            </w:rPr>
          </w:pPr>
          <w:hyperlink w:anchor="_Toc512377752" w:history="1">
            <w:r w:rsidRPr="00B16966">
              <w:rPr>
                <w:rStyle w:val="Hyperlink"/>
                <w:rFonts w:ascii="Times New Roman" w:hAnsi="Times New Roman" w:cs="Times New Roman"/>
                <w:noProof/>
              </w:rPr>
              <w:t>Challenges for Students</w:t>
            </w:r>
            <w:r>
              <w:rPr>
                <w:noProof/>
                <w:webHidden/>
              </w:rPr>
              <w:tab/>
            </w:r>
            <w:r>
              <w:rPr>
                <w:noProof/>
                <w:webHidden/>
              </w:rPr>
              <w:fldChar w:fldCharType="begin"/>
            </w:r>
            <w:r>
              <w:rPr>
                <w:noProof/>
                <w:webHidden/>
              </w:rPr>
              <w:instrText xml:space="preserve"> PAGEREF _Toc512377752 \h </w:instrText>
            </w:r>
            <w:r>
              <w:rPr>
                <w:noProof/>
                <w:webHidden/>
              </w:rPr>
            </w:r>
            <w:r>
              <w:rPr>
                <w:noProof/>
                <w:webHidden/>
              </w:rPr>
              <w:fldChar w:fldCharType="separate"/>
            </w:r>
            <w:r>
              <w:rPr>
                <w:noProof/>
                <w:webHidden/>
              </w:rPr>
              <w:t>3</w:t>
            </w:r>
            <w:r>
              <w:rPr>
                <w:noProof/>
                <w:webHidden/>
              </w:rPr>
              <w:fldChar w:fldCharType="end"/>
            </w:r>
          </w:hyperlink>
        </w:p>
        <w:p w:rsidR="00AE4064" w:rsidRDefault="00AE4064">
          <w:pPr>
            <w:pStyle w:val="TOC2"/>
            <w:tabs>
              <w:tab w:val="right" w:leader="dot" w:pos="9016"/>
            </w:tabs>
            <w:rPr>
              <w:rFonts w:eastAsiaTheme="minorEastAsia"/>
              <w:noProof/>
              <w:lang w:eastAsia="en-GB"/>
            </w:rPr>
          </w:pPr>
          <w:hyperlink w:anchor="_Toc512377753" w:history="1">
            <w:r w:rsidRPr="00B16966">
              <w:rPr>
                <w:rStyle w:val="Hyperlink"/>
                <w:rFonts w:ascii="Times New Roman" w:hAnsi="Times New Roman" w:cs="Times New Roman"/>
                <w:noProof/>
              </w:rPr>
              <w:t>Pressure on Universities</w:t>
            </w:r>
            <w:r>
              <w:rPr>
                <w:noProof/>
                <w:webHidden/>
              </w:rPr>
              <w:tab/>
            </w:r>
            <w:r>
              <w:rPr>
                <w:noProof/>
                <w:webHidden/>
              </w:rPr>
              <w:fldChar w:fldCharType="begin"/>
            </w:r>
            <w:r>
              <w:rPr>
                <w:noProof/>
                <w:webHidden/>
              </w:rPr>
              <w:instrText xml:space="preserve"> PAGEREF _Toc512377753 \h </w:instrText>
            </w:r>
            <w:r>
              <w:rPr>
                <w:noProof/>
                <w:webHidden/>
              </w:rPr>
            </w:r>
            <w:r>
              <w:rPr>
                <w:noProof/>
                <w:webHidden/>
              </w:rPr>
              <w:fldChar w:fldCharType="separate"/>
            </w:r>
            <w:r>
              <w:rPr>
                <w:noProof/>
                <w:webHidden/>
              </w:rPr>
              <w:t>5</w:t>
            </w:r>
            <w:r>
              <w:rPr>
                <w:noProof/>
                <w:webHidden/>
              </w:rPr>
              <w:fldChar w:fldCharType="end"/>
            </w:r>
          </w:hyperlink>
        </w:p>
        <w:p w:rsidR="00AE4064" w:rsidRDefault="00AE4064">
          <w:pPr>
            <w:pStyle w:val="TOC2"/>
            <w:tabs>
              <w:tab w:val="right" w:leader="dot" w:pos="9016"/>
            </w:tabs>
            <w:rPr>
              <w:rFonts w:eastAsiaTheme="minorEastAsia"/>
              <w:noProof/>
              <w:lang w:eastAsia="en-GB"/>
            </w:rPr>
          </w:pPr>
          <w:hyperlink w:anchor="_Toc512377754" w:history="1">
            <w:r w:rsidRPr="00B16966">
              <w:rPr>
                <w:rStyle w:val="Hyperlink"/>
                <w:rFonts w:ascii="Times New Roman" w:hAnsi="Times New Roman" w:cs="Times New Roman"/>
                <w:noProof/>
              </w:rPr>
              <w:t>Pedagogy to Andragogy</w:t>
            </w:r>
            <w:r>
              <w:rPr>
                <w:noProof/>
                <w:webHidden/>
              </w:rPr>
              <w:tab/>
            </w:r>
            <w:r>
              <w:rPr>
                <w:noProof/>
                <w:webHidden/>
              </w:rPr>
              <w:fldChar w:fldCharType="begin"/>
            </w:r>
            <w:r>
              <w:rPr>
                <w:noProof/>
                <w:webHidden/>
              </w:rPr>
              <w:instrText xml:space="preserve"> PAGEREF _Toc512377754 \h </w:instrText>
            </w:r>
            <w:r>
              <w:rPr>
                <w:noProof/>
                <w:webHidden/>
              </w:rPr>
            </w:r>
            <w:r>
              <w:rPr>
                <w:noProof/>
                <w:webHidden/>
              </w:rPr>
              <w:fldChar w:fldCharType="separate"/>
            </w:r>
            <w:r>
              <w:rPr>
                <w:noProof/>
                <w:webHidden/>
              </w:rPr>
              <w:t>6</w:t>
            </w:r>
            <w:r>
              <w:rPr>
                <w:noProof/>
                <w:webHidden/>
              </w:rPr>
              <w:fldChar w:fldCharType="end"/>
            </w:r>
          </w:hyperlink>
        </w:p>
        <w:p w:rsidR="00AE4064" w:rsidRDefault="00AE4064">
          <w:pPr>
            <w:pStyle w:val="TOC2"/>
            <w:tabs>
              <w:tab w:val="right" w:leader="dot" w:pos="9016"/>
            </w:tabs>
            <w:rPr>
              <w:rFonts w:eastAsiaTheme="minorEastAsia"/>
              <w:noProof/>
              <w:lang w:eastAsia="en-GB"/>
            </w:rPr>
          </w:pPr>
          <w:hyperlink w:anchor="_Toc512377755" w:history="1">
            <w:r w:rsidRPr="00B16966">
              <w:rPr>
                <w:rStyle w:val="Hyperlink"/>
                <w:rFonts w:ascii="Times New Roman" w:hAnsi="Times New Roman" w:cs="Times New Roman"/>
                <w:noProof/>
              </w:rPr>
              <w:t>Learning Theories and Learning Approaches</w:t>
            </w:r>
            <w:r>
              <w:rPr>
                <w:noProof/>
                <w:webHidden/>
              </w:rPr>
              <w:tab/>
            </w:r>
            <w:r>
              <w:rPr>
                <w:noProof/>
                <w:webHidden/>
              </w:rPr>
              <w:fldChar w:fldCharType="begin"/>
            </w:r>
            <w:r>
              <w:rPr>
                <w:noProof/>
                <w:webHidden/>
              </w:rPr>
              <w:instrText xml:space="preserve"> PAGEREF _Toc512377755 \h </w:instrText>
            </w:r>
            <w:r>
              <w:rPr>
                <w:noProof/>
                <w:webHidden/>
              </w:rPr>
            </w:r>
            <w:r>
              <w:rPr>
                <w:noProof/>
                <w:webHidden/>
              </w:rPr>
              <w:fldChar w:fldCharType="separate"/>
            </w:r>
            <w:r>
              <w:rPr>
                <w:noProof/>
                <w:webHidden/>
              </w:rPr>
              <w:t>8</w:t>
            </w:r>
            <w:r>
              <w:rPr>
                <w:noProof/>
                <w:webHidden/>
              </w:rPr>
              <w:fldChar w:fldCharType="end"/>
            </w:r>
          </w:hyperlink>
        </w:p>
        <w:p w:rsidR="00AE4064" w:rsidRDefault="00AE4064">
          <w:pPr>
            <w:pStyle w:val="TOC2"/>
            <w:tabs>
              <w:tab w:val="right" w:leader="dot" w:pos="9016"/>
            </w:tabs>
            <w:rPr>
              <w:rFonts w:eastAsiaTheme="minorEastAsia"/>
              <w:noProof/>
              <w:lang w:eastAsia="en-GB"/>
            </w:rPr>
          </w:pPr>
          <w:hyperlink w:anchor="_Toc512377756" w:history="1">
            <w:r w:rsidRPr="00B16966">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_Toc512377756 \h </w:instrText>
            </w:r>
            <w:r>
              <w:rPr>
                <w:noProof/>
                <w:webHidden/>
              </w:rPr>
            </w:r>
            <w:r>
              <w:rPr>
                <w:noProof/>
                <w:webHidden/>
              </w:rPr>
              <w:fldChar w:fldCharType="separate"/>
            </w:r>
            <w:r>
              <w:rPr>
                <w:noProof/>
                <w:webHidden/>
              </w:rPr>
              <w:t>10</w:t>
            </w:r>
            <w:r>
              <w:rPr>
                <w:noProof/>
                <w:webHidden/>
              </w:rPr>
              <w:fldChar w:fldCharType="end"/>
            </w:r>
          </w:hyperlink>
        </w:p>
        <w:p w:rsidR="00AE4064" w:rsidRDefault="00AE4064">
          <w:pPr>
            <w:pStyle w:val="TOC1"/>
            <w:tabs>
              <w:tab w:val="right" w:leader="dot" w:pos="9016"/>
            </w:tabs>
            <w:rPr>
              <w:rFonts w:eastAsiaTheme="minorEastAsia"/>
              <w:noProof/>
              <w:lang w:eastAsia="en-GB"/>
            </w:rPr>
          </w:pPr>
          <w:hyperlink w:anchor="_Toc512377757" w:history="1">
            <w:r w:rsidRPr="00B16966">
              <w:rPr>
                <w:rStyle w:val="Hyperlink"/>
                <w:noProof/>
              </w:rPr>
              <w:t>References</w:t>
            </w:r>
            <w:r>
              <w:rPr>
                <w:noProof/>
                <w:webHidden/>
              </w:rPr>
              <w:tab/>
            </w:r>
            <w:r>
              <w:rPr>
                <w:noProof/>
                <w:webHidden/>
              </w:rPr>
              <w:fldChar w:fldCharType="begin"/>
            </w:r>
            <w:r>
              <w:rPr>
                <w:noProof/>
                <w:webHidden/>
              </w:rPr>
              <w:instrText xml:space="preserve"> PAGEREF _Toc512377757 \h </w:instrText>
            </w:r>
            <w:r>
              <w:rPr>
                <w:noProof/>
                <w:webHidden/>
              </w:rPr>
            </w:r>
            <w:r>
              <w:rPr>
                <w:noProof/>
                <w:webHidden/>
              </w:rPr>
              <w:fldChar w:fldCharType="separate"/>
            </w:r>
            <w:r>
              <w:rPr>
                <w:noProof/>
                <w:webHidden/>
              </w:rPr>
              <w:t>11</w:t>
            </w:r>
            <w:r>
              <w:rPr>
                <w:noProof/>
                <w:webHidden/>
              </w:rPr>
              <w:fldChar w:fldCharType="end"/>
            </w:r>
          </w:hyperlink>
        </w:p>
        <w:p w:rsidR="00326CA6" w:rsidRDefault="00326CA6">
          <w:r>
            <w:rPr>
              <w:b/>
              <w:bCs/>
              <w:noProof/>
            </w:rPr>
            <w:fldChar w:fldCharType="end"/>
          </w:r>
        </w:p>
      </w:sdtContent>
    </w:sdt>
    <w:p w:rsidR="00FE3E7D" w:rsidRDefault="00FE3E7D" w:rsidP="00FA5551"/>
    <w:p w:rsidR="00FA5551" w:rsidRDefault="00FA5551" w:rsidP="00FA5551"/>
    <w:p w:rsidR="00FA5551" w:rsidRDefault="00FA5551" w:rsidP="00FA5551"/>
    <w:p w:rsidR="00FA5551" w:rsidRPr="00326CA6" w:rsidRDefault="00FA5551" w:rsidP="00FA5551">
      <w:pPr>
        <w:rPr>
          <w:rFonts w:ascii="Times New Roman" w:hAnsi="Times New Roman" w:cs="Times New Roman"/>
          <w:sz w:val="36"/>
          <w:szCs w:val="36"/>
        </w:rPr>
      </w:pPr>
    </w:p>
    <w:p w:rsidR="00FA5551" w:rsidRPr="00326CA6" w:rsidRDefault="00FA5551" w:rsidP="00FA5551">
      <w:pPr>
        <w:rPr>
          <w:rFonts w:ascii="Times New Roman" w:hAnsi="Times New Roman" w:cs="Times New Roman"/>
          <w:sz w:val="24"/>
          <w:szCs w:val="24"/>
        </w:rPr>
      </w:pPr>
    </w:p>
    <w:p w:rsidR="00FA5551" w:rsidRPr="00326CA6" w:rsidRDefault="00FA5551" w:rsidP="00FA5551">
      <w:pPr>
        <w:rPr>
          <w:rFonts w:ascii="Times New Roman" w:hAnsi="Times New Roman" w:cs="Times New Roman"/>
          <w:sz w:val="24"/>
          <w:szCs w:val="24"/>
        </w:rPr>
      </w:pPr>
    </w:p>
    <w:p w:rsidR="00FA5551" w:rsidRPr="00326CA6" w:rsidRDefault="00FA5551" w:rsidP="00FA5551">
      <w:pPr>
        <w:rPr>
          <w:rFonts w:ascii="Times New Roman" w:hAnsi="Times New Roman" w:cs="Times New Roman"/>
          <w:sz w:val="24"/>
          <w:szCs w:val="24"/>
        </w:rPr>
      </w:pPr>
    </w:p>
    <w:p w:rsidR="00FA5551" w:rsidRDefault="00FA5551" w:rsidP="00FA5551">
      <w:pPr>
        <w:rPr>
          <w:rFonts w:ascii="Times New Roman" w:hAnsi="Times New Roman" w:cs="Times New Roman"/>
          <w:sz w:val="24"/>
          <w:szCs w:val="24"/>
        </w:rPr>
      </w:pPr>
    </w:p>
    <w:p w:rsidR="00326CA6" w:rsidRPr="00326CA6" w:rsidRDefault="00326CA6" w:rsidP="00FA5551">
      <w:pPr>
        <w:rPr>
          <w:rFonts w:ascii="Times New Roman" w:hAnsi="Times New Roman" w:cs="Times New Roman"/>
          <w:sz w:val="24"/>
          <w:szCs w:val="24"/>
        </w:rPr>
      </w:pPr>
    </w:p>
    <w:p w:rsidR="00FA5551" w:rsidRPr="00326CA6" w:rsidRDefault="00FA5551" w:rsidP="00FA5551">
      <w:pPr>
        <w:rPr>
          <w:rFonts w:ascii="Times New Roman" w:hAnsi="Times New Roman" w:cs="Times New Roman"/>
          <w:sz w:val="24"/>
          <w:szCs w:val="24"/>
        </w:rPr>
      </w:pPr>
    </w:p>
    <w:p w:rsidR="000967FA" w:rsidRPr="00326CA6" w:rsidRDefault="00FA5551" w:rsidP="00326CA6">
      <w:pPr>
        <w:pStyle w:val="Heading2"/>
        <w:rPr>
          <w:rFonts w:ascii="Times New Roman" w:hAnsi="Times New Roman" w:cs="Times New Roman"/>
          <w:sz w:val="24"/>
          <w:szCs w:val="24"/>
        </w:rPr>
      </w:pPr>
      <w:bookmarkStart w:id="1" w:name="_Toc512377750"/>
      <w:r w:rsidRPr="00326CA6">
        <w:rPr>
          <w:rFonts w:ascii="Times New Roman" w:hAnsi="Times New Roman" w:cs="Times New Roman"/>
          <w:sz w:val="24"/>
          <w:szCs w:val="24"/>
        </w:rPr>
        <w:lastRenderedPageBreak/>
        <w:t>Introduction</w:t>
      </w:r>
      <w:bookmarkEnd w:id="1"/>
    </w:p>
    <w:p w:rsidR="000967FA" w:rsidRPr="00326CA6" w:rsidRDefault="00CB071A" w:rsidP="000967FA">
      <w:pPr>
        <w:rPr>
          <w:rFonts w:ascii="Times New Roman" w:hAnsi="Times New Roman" w:cs="Times New Roman"/>
          <w:sz w:val="24"/>
          <w:szCs w:val="24"/>
        </w:rPr>
      </w:pPr>
      <w:r w:rsidRPr="00326CA6">
        <w:rPr>
          <w:rFonts w:ascii="Times New Roman" w:hAnsi="Times New Roman" w:cs="Times New Roman"/>
          <w:sz w:val="24"/>
          <w:szCs w:val="24"/>
        </w:rPr>
        <w:t xml:space="preserve">This assignment will question whether students attending university are adequately prepared for the responsibility and pressures of studying at a higher level compared to </w:t>
      </w:r>
      <w:proofErr w:type="gramStart"/>
      <w:r w:rsidRPr="00326CA6">
        <w:rPr>
          <w:rFonts w:ascii="Times New Roman" w:hAnsi="Times New Roman" w:cs="Times New Roman"/>
          <w:sz w:val="24"/>
          <w:szCs w:val="24"/>
        </w:rPr>
        <w:t>A</w:t>
      </w:r>
      <w:proofErr w:type="gramEnd"/>
      <w:r w:rsidRPr="00326CA6">
        <w:rPr>
          <w:rFonts w:ascii="Times New Roman" w:hAnsi="Times New Roman" w:cs="Times New Roman"/>
          <w:sz w:val="24"/>
          <w:szCs w:val="24"/>
        </w:rPr>
        <w:t xml:space="preserve"> level. </w:t>
      </w:r>
      <w:r w:rsidR="00670A58" w:rsidRPr="00326CA6">
        <w:rPr>
          <w:rFonts w:ascii="Times New Roman" w:hAnsi="Times New Roman" w:cs="Times New Roman"/>
          <w:sz w:val="24"/>
          <w:szCs w:val="24"/>
        </w:rPr>
        <w:t xml:space="preserve">The assignment will focus on the change of student expectations over a period of years and what factors have influenced these changes. The transition from A level to </w:t>
      </w:r>
      <w:r w:rsidR="00232293" w:rsidRPr="00326CA6">
        <w:rPr>
          <w:rFonts w:ascii="Times New Roman" w:hAnsi="Times New Roman" w:cs="Times New Roman"/>
          <w:sz w:val="24"/>
          <w:szCs w:val="24"/>
        </w:rPr>
        <w:t>universities</w:t>
      </w:r>
      <w:r w:rsidR="00670A58" w:rsidRPr="00326CA6">
        <w:rPr>
          <w:rFonts w:ascii="Times New Roman" w:hAnsi="Times New Roman" w:cs="Times New Roman"/>
          <w:sz w:val="24"/>
          <w:szCs w:val="24"/>
        </w:rPr>
        <w:t xml:space="preserve"> and how </w:t>
      </w:r>
      <w:r w:rsidR="00232293" w:rsidRPr="00326CA6">
        <w:rPr>
          <w:rFonts w:ascii="Times New Roman" w:hAnsi="Times New Roman" w:cs="Times New Roman"/>
          <w:sz w:val="24"/>
          <w:szCs w:val="24"/>
        </w:rPr>
        <w:t>universities</w:t>
      </w:r>
      <w:r w:rsidR="00670A58" w:rsidRPr="00326CA6">
        <w:rPr>
          <w:rFonts w:ascii="Times New Roman" w:hAnsi="Times New Roman" w:cs="Times New Roman"/>
          <w:sz w:val="24"/>
          <w:szCs w:val="24"/>
        </w:rPr>
        <w:t xml:space="preserve"> are combating the transitions will be discussed with a focus on services that universities offer to help students. The assignment will also focus on the move from pedagogy to andragogy in university teaching and what learning theories and approaches universities can adapt to make</w:t>
      </w:r>
      <w:r w:rsidR="00232293" w:rsidRPr="00326CA6">
        <w:rPr>
          <w:rFonts w:ascii="Times New Roman" w:hAnsi="Times New Roman" w:cs="Times New Roman"/>
          <w:sz w:val="24"/>
          <w:szCs w:val="24"/>
        </w:rPr>
        <w:t xml:space="preserve"> the transition to university a simpler transition for students attending their first year at university.</w:t>
      </w:r>
    </w:p>
    <w:p w:rsidR="000967FA" w:rsidRPr="00326CA6" w:rsidRDefault="00644C98" w:rsidP="00644C98">
      <w:pPr>
        <w:pStyle w:val="Heading2"/>
        <w:rPr>
          <w:rFonts w:ascii="Times New Roman" w:hAnsi="Times New Roman" w:cs="Times New Roman"/>
          <w:sz w:val="24"/>
          <w:szCs w:val="24"/>
        </w:rPr>
      </w:pPr>
      <w:bookmarkStart w:id="2" w:name="_Toc512377751"/>
      <w:r w:rsidRPr="00326CA6">
        <w:rPr>
          <w:rFonts w:ascii="Times New Roman" w:hAnsi="Times New Roman" w:cs="Times New Roman"/>
          <w:sz w:val="24"/>
          <w:szCs w:val="24"/>
        </w:rPr>
        <w:t>Student Expectations</w:t>
      </w:r>
      <w:bookmarkEnd w:id="2"/>
    </w:p>
    <w:p w:rsidR="00644C98" w:rsidRPr="00326CA6" w:rsidRDefault="00644C98" w:rsidP="00644C98">
      <w:pPr>
        <w:rPr>
          <w:rFonts w:ascii="Times New Roman" w:hAnsi="Times New Roman" w:cs="Times New Roman"/>
          <w:sz w:val="24"/>
          <w:szCs w:val="24"/>
        </w:rPr>
      </w:pPr>
      <w:r w:rsidRPr="00326CA6">
        <w:rPr>
          <w:rFonts w:ascii="Times New Roman" w:hAnsi="Times New Roman" w:cs="Times New Roman"/>
          <w:sz w:val="24"/>
          <w:szCs w:val="24"/>
        </w:rPr>
        <w:t xml:space="preserve">Due to the change in government policies students now must pay for their own tuition fees, the rising cost of fees and students obligation to pay back these fees have led to a change in student’s expectations of university. By doing so students are now seen as partial buyers of universities with a right to demand certain services from the university. Also with the rising cost of fees many students must now work while studying in order to fund their time at university making it a challenge to attend lectures and have the time needed to work on their assignments and exams.  With these challenges universities must change and develop on order to accommodate these students (OECD, 2002) The increasing demands for universities to compete and offer a high standard of teaching and learning they must meet the demands of the students and compete with other institutions to appeal to new students and to achieve a high ranking in league tables across the country. By doing so universities are facing increasing pressure to provide both academically and provide the needs and demands of the </w:t>
      </w:r>
      <w:r w:rsidR="00326CA6" w:rsidRPr="00326CA6">
        <w:rPr>
          <w:rFonts w:ascii="Times New Roman" w:hAnsi="Times New Roman" w:cs="Times New Roman"/>
          <w:sz w:val="24"/>
          <w:szCs w:val="24"/>
        </w:rPr>
        <w:t xml:space="preserve">students. </w:t>
      </w:r>
    </w:p>
    <w:p w:rsidR="00644C98" w:rsidRPr="00326CA6" w:rsidRDefault="00644C98" w:rsidP="00644C98">
      <w:pPr>
        <w:rPr>
          <w:rFonts w:ascii="Times New Roman" w:hAnsi="Times New Roman" w:cs="Times New Roman"/>
          <w:sz w:val="24"/>
          <w:szCs w:val="24"/>
        </w:rPr>
      </w:pPr>
      <w:r w:rsidRPr="00326CA6">
        <w:rPr>
          <w:rFonts w:ascii="Times New Roman" w:hAnsi="Times New Roman" w:cs="Times New Roman"/>
          <w:sz w:val="24"/>
          <w:szCs w:val="24"/>
        </w:rPr>
        <w:lastRenderedPageBreak/>
        <w:t xml:space="preserve">Student’s expectations have changed with the emergent of rising student fees resulting in students having a higher expectation of their learning experience and the delivery of their lecturers. Due to the rising costs of student loans universities tend to ‘oversell’ themselves in order to attract more students. The danger of these marketing strategies give students a unrealistic view of university life and later disappointment in the experience when these universities fail to deliver </w:t>
      </w:r>
      <w:sdt>
        <w:sdtPr>
          <w:rPr>
            <w:rFonts w:ascii="Times New Roman" w:hAnsi="Times New Roman" w:cs="Times New Roman"/>
            <w:sz w:val="24"/>
            <w:szCs w:val="24"/>
          </w:rPr>
          <w:id w:val="-1096779575"/>
          <w:citation/>
        </w:sdtPr>
        <w:sdtContent>
          <w:r w:rsidRPr="00326CA6">
            <w:rPr>
              <w:rFonts w:ascii="Times New Roman" w:hAnsi="Times New Roman" w:cs="Times New Roman"/>
              <w:sz w:val="24"/>
              <w:szCs w:val="24"/>
            </w:rPr>
            <w:fldChar w:fldCharType="begin"/>
          </w:r>
          <w:r w:rsidRPr="00326CA6">
            <w:rPr>
              <w:rFonts w:ascii="Times New Roman" w:hAnsi="Times New Roman" w:cs="Times New Roman"/>
              <w:sz w:val="24"/>
              <w:szCs w:val="24"/>
            </w:rPr>
            <w:instrText xml:space="preserve"> CITATION Jam02 \l 2057 </w:instrText>
          </w:r>
          <w:r w:rsidRPr="00326CA6">
            <w:rPr>
              <w:rFonts w:ascii="Times New Roman" w:hAnsi="Times New Roman" w:cs="Times New Roman"/>
              <w:sz w:val="24"/>
              <w:szCs w:val="24"/>
            </w:rPr>
            <w:fldChar w:fldCharType="separate"/>
          </w:r>
          <w:r w:rsidRPr="00326CA6">
            <w:rPr>
              <w:rFonts w:ascii="Times New Roman" w:hAnsi="Times New Roman" w:cs="Times New Roman"/>
              <w:noProof/>
              <w:sz w:val="24"/>
              <w:szCs w:val="24"/>
            </w:rPr>
            <w:t>(James, 2002)</w:t>
          </w:r>
          <w:r w:rsidRPr="00326CA6">
            <w:rPr>
              <w:rFonts w:ascii="Times New Roman" w:hAnsi="Times New Roman" w:cs="Times New Roman"/>
              <w:sz w:val="24"/>
              <w:szCs w:val="24"/>
            </w:rPr>
            <w:fldChar w:fldCharType="end"/>
          </w:r>
        </w:sdtContent>
      </w:sdt>
      <w:r w:rsidRPr="00326CA6">
        <w:rPr>
          <w:rFonts w:ascii="Times New Roman" w:hAnsi="Times New Roman" w:cs="Times New Roman"/>
          <w:sz w:val="24"/>
          <w:szCs w:val="24"/>
        </w:rPr>
        <w:t xml:space="preserve"> With the change of tuition fees students are now expecting a higher quality in terms of their education now that they are required to pay for their own tuition. This adds more pressure onto universities to provide an excellent standard of teaching and meeting student’s expectations.  </w:t>
      </w:r>
    </w:p>
    <w:p w:rsidR="00644C98" w:rsidRDefault="00644C98" w:rsidP="00644C98">
      <w:pPr>
        <w:rPr>
          <w:rFonts w:ascii="Times New Roman" w:hAnsi="Times New Roman" w:cs="Times New Roman"/>
          <w:sz w:val="24"/>
          <w:szCs w:val="24"/>
        </w:rPr>
      </w:pPr>
      <w:r w:rsidRPr="00326CA6">
        <w:rPr>
          <w:rFonts w:ascii="Times New Roman" w:hAnsi="Times New Roman" w:cs="Times New Roman"/>
          <w:sz w:val="24"/>
          <w:szCs w:val="24"/>
        </w:rPr>
        <w:t xml:space="preserve">Students increased expectations and demands on universities are becoming increasingly difficult for institutions to match the student’s expectations. Studies of adult learners found that these increasing demands on universities to plan around the students commitments becomes increasingly difficult to cater for all students needs and expectations of higher education. </w:t>
      </w:r>
      <w:sdt>
        <w:sdtPr>
          <w:rPr>
            <w:rFonts w:ascii="Times New Roman" w:hAnsi="Times New Roman" w:cs="Times New Roman"/>
            <w:sz w:val="24"/>
            <w:szCs w:val="24"/>
          </w:rPr>
          <w:id w:val="1521746310"/>
          <w:citation/>
        </w:sdtPr>
        <w:sdtContent>
          <w:r w:rsidRPr="00326CA6">
            <w:rPr>
              <w:rFonts w:ascii="Times New Roman" w:hAnsi="Times New Roman" w:cs="Times New Roman"/>
              <w:sz w:val="24"/>
              <w:szCs w:val="24"/>
            </w:rPr>
            <w:fldChar w:fldCharType="begin"/>
          </w:r>
          <w:r w:rsidRPr="00326CA6">
            <w:rPr>
              <w:rFonts w:ascii="Times New Roman" w:hAnsi="Times New Roman" w:cs="Times New Roman"/>
              <w:sz w:val="24"/>
              <w:szCs w:val="24"/>
            </w:rPr>
            <w:instrText xml:space="preserve"> CITATION Miy05 \l 2057 </w:instrText>
          </w:r>
          <w:r w:rsidRPr="00326CA6">
            <w:rPr>
              <w:rFonts w:ascii="Times New Roman" w:hAnsi="Times New Roman" w:cs="Times New Roman"/>
              <w:sz w:val="24"/>
              <w:szCs w:val="24"/>
            </w:rPr>
            <w:fldChar w:fldCharType="separate"/>
          </w:r>
          <w:r w:rsidRPr="00326CA6">
            <w:rPr>
              <w:rFonts w:ascii="Times New Roman" w:hAnsi="Times New Roman" w:cs="Times New Roman"/>
              <w:noProof/>
              <w:sz w:val="24"/>
              <w:szCs w:val="24"/>
            </w:rPr>
            <w:t>(Miyamoto, 2005)</w:t>
          </w:r>
          <w:r w:rsidRPr="00326CA6">
            <w:rPr>
              <w:rFonts w:ascii="Times New Roman" w:hAnsi="Times New Roman" w:cs="Times New Roman"/>
              <w:sz w:val="24"/>
              <w:szCs w:val="24"/>
            </w:rPr>
            <w:fldChar w:fldCharType="end"/>
          </w:r>
        </w:sdtContent>
      </w:sdt>
      <w:r w:rsidRPr="00326CA6">
        <w:rPr>
          <w:rFonts w:ascii="Times New Roman" w:hAnsi="Times New Roman" w:cs="Times New Roman"/>
          <w:sz w:val="24"/>
          <w:szCs w:val="24"/>
        </w:rPr>
        <w:t xml:space="preserve"> In recent years the increase of students attending universities has resulted in a shift from the students having to meet the universities standards to the university having to meet the student’s standards and expectations. This has placed more pressure and demands on universities to cater for all students demands in order to rank highly in terms of academic and student related surveys. </w:t>
      </w:r>
    </w:p>
    <w:p w:rsidR="00073067" w:rsidRPr="00326CA6" w:rsidRDefault="00073067" w:rsidP="00644C98">
      <w:pPr>
        <w:rPr>
          <w:rFonts w:ascii="Times New Roman" w:hAnsi="Times New Roman" w:cs="Times New Roman"/>
          <w:sz w:val="24"/>
          <w:szCs w:val="24"/>
        </w:rPr>
      </w:pPr>
    </w:p>
    <w:p w:rsidR="00644C98" w:rsidRPr="00326CA6" w:rsidRDefault="00644C98" w:rsidP="00644C98">
      <w:pPr>
        <w:pStyle w:val="Heading2"/>
        <w:rPr>
          <w:rFonts w:ascii="Times New Roman" w:hAnsi="Times New Roman" w:cs="Times New Roman"/>
          <w:sz w:val="24"/>
          <w:szCs w:val="24"/>
        </w:rPr>
      </w:pPr>
      <w:bookmarkStart w:id="3" w:name="_Toc512377752"/>
      <w:r w:rsidRPr="00326CA6">
        <w:rPr>
          <w:rFonts w:ascii="Times New Roman" w:hAnsi="Times New Roman" w:cs="Times New Roman"/>
          <w:sz w:val="24"/>
          <w:szCs w:val="24"/>
        </w:rPr>
        <w:t>Challenges for Students</w:t>
      </w:r>
      <w:bookmarkEnd w:id="3"/>
      <w:r w:rsidRPr="00326CA6">
        <w:rPr>
          <w:rFonts w:ascii="Times New Roman" w:hAnsi="Times New Roman" w:cs="Times New Roman"/>
          <w:sz w:val="24"/>
          <w:szCs w:val="24"/>
        </w:rPr>
        <w:t xml:space="preserve"> </w:t>
      </w:r>
    </w:p>
    <w:p w:rsidR="00644C98" w:rsidRPr="00326CA6" w:rsidRDefault="00644C98" w:rsidP="00644C98">
      <w:pPr>
        <w:rPr>
          <w:rFonts w:ascii="Times New Roman" w:hAnsi="Times New Roman" w:cs="Times New Roman"/>
          <w:sz w:val="24"/>
          <w:szCs w:val="24"/>
        </w:rPr>
      </w:pPr>
      <w:r w:rsidRPr="00326CA6">
        <w:rPr>
          <w:rFonts w:ascii="Times New Roman" w:hAnsi="Times New Roman" w:cs="Times New Roman"/>
          <w:sz w:val="24"/>
          <w:szCs w:val="24"/>
        </w:rPr>
        <w:t xml:space="preserve">A survey performed by Lowe &amp; Cook (2003) found that 39% of students reported having difficulties with the demand of the work load at university, however these results were found to be varied throughout different faculties. Students studying in the faculty of Science struggles with the pace and the amount of workload which is the highest result for all the </w:t>
      </w:r>
      <w:r w:rsidRPr="00326CA6">
        <w:rPr>
          <w:rFonts w:ascii="Times New Roman" w:hAnsi="Times New Roman" w:cs="Times New Roman"/>
          <w:sz w:val="24"/>
          <w:szCs w:val="24"/>
        </w:rPr>
        <w:lastRenderedPageBreak/>
        <w:t xml:space="preserve">students throughout various faculties. (Lowe &amp; Cook, 2003) The results of the study demonstrate that the demands placed upon them in university are now greater due to the increase of students attending university each year and the demands for universities to perform well in student satisfaction throughout each department. </w:t>
      </w:r>
    </w:p>
    <w:p w:rsidR="00644C98" w:rsidRPr="00326CA6" w:rsidRDefault="00644C98" w:rsidP="00644C98">
      <w:pPr>
        <w:rPr>
          <w:rFonts w:ascii="Times New Roman" w:hAnsi="Times New Roman" w:cs="Times New Roman"/>
          <w:sz w:val="24"/>
          <w:szCs w:val="24"/>
        </w:rPr>
      </w:pPr>
      <w:r w:rsidRPr="00326CA6">
        <w:rPr>
          <w:rFonts w:ascii="Times New Roman" w:hAnsi="Times New Roman" w:cs="Times New Roman"/>
          <w:sz w:val="24"/>
          <w:szCs w:val="24"/>
        </w:rPr>
        <w:t xml:space="preserve">The transition from school to university and the workload is challenging to new students, in order to effectively balance the transition and the changes that come with these challenges students must learn to effectively manage their time and plan and prioritise the work that they are given. (MacNamara &amp; Collins, 2010) The consequences of not preparing students for the pressures of university work has resulted in students struggling and under achieving due to the amount of workload and responsibilities given to them within their first year at university. The shift from A level to university is a greater difference than first suggested as the teaching methods are different from what students have been accustomed to throughout their time at school. </w:t>
      </w:r>
    </w:p>
    <w:p w:rsidR="00644C98" w:rsidRPr="00326CA6" w:rsidRDefault="00644C98" w:rsidP="00644C98">
      <w:pPr>
        <w:rPr>
          <w:rFonts w:ascii="Times New Roman" w:hAnsi="Times New Roman" w:cs="Times New Roman"/>
          <w:sz w:val="24"/>
          <w:szCs w:val="24"/>
        </w:rPr>
      </w:pPr>
      <w:r w:rsidRPr="00326CA6">
        <w:rPr>
          <w:rFonts w:ascii="Times New Roman" w:hAnsi="Times New Roman" w:cs="Times New Roman"/>
          <w:sz w:val="24"/>
          <w:szCs w:val="24"/>
        </w:rPr>
        <w:t>Wilson &amp; Child (2017) argues that</w:t>
      </w:r>
      <w:r w:rsidRPr="00326CA6">
        <w:rPr>
          <w:rFonts w:ascii="Times New Roman" w:hAnsi="Times New Roman" w:cs="Times New Roman"/>
          <w:sz w:val="24"/>
          <w:szCs w:val="24"/>
        </w:rPr>
        <w:t xml:space="preserve"> university students are more supported during their first year as lecturers understand that first year undergraduates are not familiar with the structure of an assignment at university level compared to A level. Therefore university students typically are provided with more guidance compared to A level students throughout their first year assessments (Wilson &amp; Child, 2017) In comparison to other studies Wilson &amp; Child argue that students are provided with more support in university due to facilities offered by universities to provide additional care and support for students during their studies for example study support and support for students requiring additional time and help with their work. </w:t>
      </w:r>
    </w:p>
    <w:p w:rsidR="00644C98" w:rsidRPr="00326CA6" w:rsidRDefault="00644C98" w:rsidP="00644C98">
      <w:pPr>
        <w:pStyle w:val="Heading2"/>
        <w:rPr>
          <w:rFonts w:ascii="Times New Roman" w:hAnsi="Times New Roman" w:cs="Times New Roman"/>
          <w:sz w:val="24"/>
          <w:szCs w:val="24"/>
        </w:rPr>
      </w:pPr>
      <w:bookmarkStart w:id="4" w:name="_Toc512377753"/>
      <w:r w:rsidRPr="00326CA6">
        <w:rPr>
          <w:rFonts w:ascii="Times New Roman" w:hAnsi="Times New Roman" w:cs="Times New Roman"/>
          <w:sz w:val="24"/>
          <w:szCs w:val="24"/>
        </w:rPr>
        <w:lastRenderedPageBreak/>
        <w:t>Pressure on Universities</w:t>
      </w:r>
      <w:bookmarkEnd w:id="4"/>
      <w:r w:rsidRPr="00326CA6">
        <w:rPr>
          <w:rFonts w:ascii="Times New Roman" w:hAnsi="Times New Roman" w:cs="Times New Roman"/>
          <w:sz w:val="24"/>
          <w:szCs w:val="24"/>
        </w:rPr>
        <w:t xml:space="preserve"> </w:t>
      </w:r>
    </w:p>
    <w:p w:rsidR="00644C98" w:rsidRPr="00326CA6" w:rsidRDefault="00644C98" w:rsidP="00644C98">
      <w:pPr>
        <w:rPr>
          <w:rFonts w:ascii="Times New Roman" w:hAnsi="Times New Roman" w:cs="Times New Roman"/>
          <w:sz w:val="24"/>
          <w:szCs w:val="24"/>
        </w:rPr>
      </w:pPr>
      <w:r w:rsidRPr="00326CA6">
        <w:rPr>
          <w:rFonts w:ascii="Times New Roman" w:hAnsi="Times New Roman" w:cs="Times New Roman"/>
          <w:sz w:val="24"/>
          <w:szCs w:val="24"/>
        </w:rPr>
        <w:t xml:space="preserve">The change in higher education over the last twenty years has enabled students of all abilities and without the previous knowledge of the subject matter to join the university course. For teachers this change consequently results in some students lacking in terms of basic literacy skills and understanding of the primary course material. Teachers are expected to account for larger classes and it is difficult to sufficiently monitor each and every one of the student’s progress due to the sheer number of students attending university and class size </w:t>
      </w:r>
      <w:sdt>
        <w:sdtPr>
          <w:rPr>
            <w:rFonts w:ascii="Times New Roman" w:hAnsi="Times New Roman" w:cs="Times New Roman"/>
            <w:sz w:val="24"/>
            <w:szCs w:val="24"/>
          </w:rPr>
          <w:id w:val="-222753661"/>
          <w:citation/>
        </w:sdtPr>
        <w:sdtContent>
          <w:r w:rsidRPr="00326CA6">
            <w:rPr>
              <w:rFonts w:ascii="Times New Roman" w:hAnsi="Times New Roman" w:cs="Times New Roman"/>
              <w:sz w:val="24"/>
              <w:szCs w:val="24"/>
            </w:rPr>
            <w:fldChar w:fldCharType="begin"/>
          </w:r>
          <w:r w:rsidRPr="00326CA6">
            <w:rPr>
              <w:rFonts w:ascii="Times New Roman" w:hAnsi="Times New Roman" w:cs="Times New Roman"/>
              <w:sz w:val="24"/>
              <w:szCs w:val="24"/>
            </w:rPr>
            <w:instrText xml:space="preserve"> CITATION Pau03 \l 2057 </w:instrText>
          </w:r>
          <w:r w:rsidRPr="00326CA6">
            <w:rPr>
              <w:rFonts w:ascii="Times New Roman" w:hAnsi="Times New Roman" w:cs="Times New Roman"/>
              <w:sz w:val="24"/>
              <w:szCs w:val="24"/>
            </w:rPr>
            <w:fldChar w:fldCharType="separate"/>
          </w:r>
          <w:r w:rsidRPr="00326CA6">
            <w:rPr>
              <w:rFonts w:ascii="Times New Roman" w:hAnsi="Times New Roman" w:cs="Times New Roman"/>
              <w:noProof/>
              <w:sz w:val="24"/>
              <w:szCs w:val="24"/>
            </w:rPr>
            <w:t>(Ramsden, 2003)</w:t>
          </w:r>
          <w:r w:rsidRPr="00326CA6">
            <w:rPr>
              <w:rFonts w:ascii="Times New Roman" w:hAnsi="Times New Roman" w:cs="Times New Roman"/>
              <w:sz w:val="24"/>
              <w:szCs w:val="24"/>
            </w:rPr>
            <w:fldChar w:fldCharType="end"/>
          </w:r>
        </w:sdtContent>
      </w:sdt>
      <w:r w:rsidRPr="00326CA6">
        <w:rPr>
          <w:rFonts w:ascii="Times New Roman" w:hAnsi="Times New Roman" w:cs="Times New Roman"/>
          <w:sz w:val="24"/>
          <w:szCs w:val="24"/>
        </w:rPr>
        <w:t xml:space="preserve"> In comparison to the intake of students compared to twenty or more years there is an increase of students entering university. The increase of students therefore increase the class sizes for teachers proving difficulty for the teachers to monitor every student’s progress and needs in a larger classroom capacity. </w:t>
      </w:r>
    </w:p>
    <w:p w:rsidR="00644C98" w:rsidRPr="00326CA6" w:rsidRDefault="00644C98" w:rsidP="00644C98">
      <w:pPr>
        <w:rPr>
          <w:rFonts w:ascii="Times New Roman" w:hAnsi="Times New Roman" w:cs="Times New Roman"/>
          <w:sz w:val="24"/>
          <w:szCs w:val="24"/>
        </w:rPr>
      </w:pPr>
      <w:r w:rsidRPr="00326CA6">
        <w:rPr>
          <w:rFonts w:ascii="Times New Roman" w:hAnsi="Times New Roman" w:cs="Times New Roman"/>
          <w:sz w:val="24"/>
          <w:szCs w:val="24"/>
        </w:rPr>
        <w:t xml:space="preserve">In the UK the desire for students to progress in a career or gain relevant qualifications for employment purposes ranked highly for UK students overall compared to other countries within the survey while intellectual growth ranked second  (Byrne et al, 2012) The results obtained through this report demonstrates students main focus on attending university by becoming more focused on achieving a degree to progress in a career students may lose focus on other objectives for attending university such as the desire to progress in terms of literacy or developing their knowledge in a certain topic. When attending university students may only see the end goal of their studies not the work that they need to complete and the pressure of achieving satisfactory grades. This may then become problematic during the course of the degree as students struggle with the pressure of the workload that is required to achieve their qualifications for employment purposes. </w:t>
      </w:r>
    </w:p>
    <w:p w:rsidR="00644C98" w:rsidRPr="00326CA6" w:rsidRDefault="00326CA6" w:rsidP="00644C98">
      <w:pPr>
        <w:rPr>
          <w:rFonts w:ascii="Times New Roman" w:hAnsi="Times New Roman" w:cs="Times New Roman"/>
          <w:sz w:val="24"/>
          <w:szCs w:val="24"/>
        </w:rPr>
      </w:pPr>
      <w:r w:rsidRPr="00326CA6">
        <w:rPr>
          <w:rFonts w:ascii="Times New Roman" w:hAnsi="Times New Roman" w:cs="Times New Roman"/>
          <w:sz w:val="24"/>
          <w:szCs w:val="24"/>
        </w:rPr>
        <w:t>Wilson &amp; Child (2017) argue that u</w:t>
      </w:r>
      <w:r w:rsidR="00644C98" w:rsidRPr="00326CA6">
        <w:rPr>
          <w:rFonts w:ascii="Times New Roman" w:hAnsi="Times New Roman" w:cs="Times New Roman"/>
          <w:sz w:val="24"/>
          <w:szCs w:val="24"/>
        </w:rPr>
        <w:t xml:space="preserve">niversity students have access to higher levels of guidance throughout their assessments compared to students completing their A levels. However, students still struggle obtaining their desired marks during their first year at university despite </w:t>
      </w:r>
      <w:r w:rsidR="00644C98" w:rsidRPr="00326CA6">
        <w:rPr>
          <w:rFonts w:ascii="Times New Roman" w:hAnsi="Times New Roman" w:cs="Times New Roman"/>
          <w:sz w:val="24"/>
          <w:szCs w:val="24"/>
        </w:rPr>
        <w:lastRenderedPageBreak/>
        <w:t xml:space="preserve">the higher level of guidance. This may arguably be due to student’s unwillingness to seek out guidance and feedback from their tutors, or they may still be adjusting to the new form of independent learning in university (Wilson &amp; Child, 2017) Universities offer many services to students in order to support them throughout their studies compared to a school or college setting. However, in order for students to benefit from the support they must first seek out the help. Students may feel anxiety over performing well in their studies or feel that they do not want to be perceived as struggling in their work. </w:t>
      </w:r>
    </w:p>
    <w:p w:rsidR="00644C98" w:rsidRPr="00326CA6" w:rsidRDefault="00644C98" w:rsidP="00644C98">
      <w:pPr>
        <w:pStyle w:val="Heading2"/>
        <w:rPr>
          <w:rFonts w:ascii="Times New Roman" w:hAnsi="Times New Roman" w:cs="Times New Roman"/>
          <w:sz w:val="24"/>
          <w:szCs w:val="24"/>
        </w:rPr>
      </w:pPr>
      <w:bookmarkStart w:id="5" w:name="_Toc512377754"/>
      <w:r w:rsidRPr="00326CA6">
        <w:rPr>
          <w:rFonts w:ascii="Times New Roman" w:hAnsi="Times New Roman" w:cs="Times New Roman"/>
          <w:sz w:val="24"/>
          <w:szCs w:val="24"/>
        </w:rPr>
        <w:t>Pedagogy to Andragogy</w:t>
      </w:r>
      <w:bookmarkEnd w:id="5"/>
      <w:r w:rsidRPr="00326CA6">
        <w:rPr>
          <w:rFonts w:ascii="Times New Roman" w:hAnsi="Times New Roman" w:cs="Times New Roman"/>
          <w:sz w:val="24"/>
          <w:szCs w:val="24"/>
        </w:rPr>
        <w:t xml:space="preserve"> </w:t>
      </w:r>
    </w:p>
    <w:p w:rsidR="00630DF8" w:rsidRPr="00326CA6" w:rsidRDefault="00630DF8" w:rsidP="00E0032E">
      <w:pPr>
        <w:rPr>
          <w:rFonts w:ascii="Times New Roman" w:hAnsi="Times New Roman" w:cs="Times New Roman"/>
          <w:sz w:val="24"/>
          <w:szCs w:val="24"/>
        </w:rPr>
      </w:pPr>
      <w:r w:rsidRPr="00326CA6">
        <w:rPr>
          <w:rFonts w:ascii="Times New Roman" w:hAnsi="Times New Roman" w:cs="Times New Roman"/>
          <w:sz w:val="24"/>
          <w:szCs w:val="24"/>
        </w:rPr>
        <w:t xml:space="preserve">A study was performed in </w:t>
      </w:r>
      <w:r w:rsidR="00BD4228" w:rsidRPr="00326CA6">
        <w:rPr>
          <w:rFonts w:ascii="Times New Roman" w:hAnsi="Times New Roman" w:cs="Times New Roman"/>
          <w:sz w:val="24"/>
          <w:szCs w:val="24"/>
        </w:rPr>
        <w:t xml:space="preserve">a university in </w:t>
      </w:r>
      <w:r w:rsidRPr="00326CA6">
        <w:rPr>
          <w:rFonts w:ascii="Times New Roman" w:hAnsi="Times New Roman" w:cs="Times New Roman"/>
          <w:sz w:val="24"/>
          <w:szCs w:val="24"/>
        </w:rPr>
        <w:t xml:space="preserve">order to assess students writing abilities before their arrival at university and again at the end of their university course.  At the beginning 27% of students who performed the test was found to have poor writing skills, the same students were later re-tested later on in their course and found that only 15% of the same students performed poorly. These results show that students writing skills improved throughout their time at university. </w:t>
      </w:r>
      <w:sdt>
        <w:sdtPr>
          <w:rPr>
            <w:rFonts w:ascii="Times New Roman" w:hAnsi="Times New Roman" w:cs="Times New Roman"/>
            <w:sz w:val="24"/>
            <w:szCs w:val="24"/>
          </w:rPr>
          <w:id w:val="1284224003"/>
          <w:citation/>
        </w:sdtPr>
        <w:sdtEndPr/>
        <w:sdtContent>
          <w:r w:rsidRPr="00326CA6">
            <w:rPr>
              <w:rFonts w:ascii="Times New Roman" w:hAnsi="Times New Roman" w:cs="Times New Roman"/>
              <w:sz w:val="24"/>
              <w:szCs w:val="24"/>
            </w:rPr>
            <w:fldChar w:fldCharType="begin"/>
          </w:r>
          <w:r w:rsidRPr="00326CA6">
            <w:rPr>
              <w:rFonts w:ascii="Times New Roman" w:hAnsi="Times New Roman" w:cs="Times New Roman"/>
              <w:sz w:val="24"/>
              <w:szCs w:val="24"/>
            </w:rPr>
            <w:instrText xml:space="preserve"> CITATION Har15 \l 2057 </w:instrText>
          </w:r>
          <w:r w:rsidRPr="00326CA6">
            <w:rPr>
              <w:rFonts w:ascii="Times New Roman" w:hAnsi="Times New Roman" w:cs="Times New Roman"/>
              <w:sz w:val="24"/>
              <w:szCs w:val="24"/>
            </w:rPr>
            <w:fldChar w:fldCharType="separate"/>
          </w:r>
          <w:r w:rsidRPr="00326CA6">
            <w:rPr>
              <w:rFonts w:ascii="Times New Roman" w:hAnsi="Times New Roman" w:cs="Times New Roman"/>
              <w:noProof/>
              <w:sz w:val="24"/>
              <w:szCs w:val="24"/>
            </w:rPr>
            <w:t>(Jones, 2015)</w:t>
          </w:r>
          <w:r w:rsidRPr="00326CA6">
            <w:rPr>
              <w:rFonts w:ascii="Times New Roman" w:hAnsi="Times New Roman" w:cs="Times New Roman"/>
              <w:sz w:val="24"/>
              <w:szCs w:val="24"/>
            </w:rPr>
            <w:fldChar w:fldCharType="end"/>
          </w:r>
        </w:sdtContent>
      </w:sdt>
      <w:r w:rsidR="00157215" w:rsidRPr="00326CA6">
        <w:rPr>
          <w:rFonts w:ascii="Times New Roman" w:hAnsi="Times New Roman" w:cs="Times New Roman"/>
          <w:sz w:val="24"/>
          <w:szCs w:val="24"/>
        </w:rPr>
        <w:t xml:space="preserve"> This study suggests that the change in teaching methods have enabled students to improve on their writing skills </w:t>
      </w:r>
      <w:r w:rsidR="00FC74FD" w:rsidRPr="00326CA6">
        <w:rPr>
          <w:rFonts w:ascii="Times New Roman" w:hAnsi="Times New Roman" w:cs="Times New Roman"/>
          <w:sz w:val="24"/>
          <w:szCs w:val="24"/>
        </w:rPr>
        <w:t xml:space="preserve">due to the provisions in place for students in terms of help for their assignments and by gaining in confidence in their abilities to perform well. </w:t>
      </w:r>
      <w:r w:rsidR="0021026A" w:rsidRPr="00326CA6">
        <w:rPr>
          <w:rFonts w:ascii="Times New Roman" w:hAnsi="Times New Roman" w:cs="Times New Roman"/>
          <w:sz w:val="24"/>
          <w:szCs w:val="24"/>
        </w:rPr>
        <w:t xml:space="preserve">Therefore students who may have performed poorly before attending university have been given the opportunity to improve on their writing skills during university. </w:t>
      </w:r>
    </w:p>
    <w:p w:rsidR="00E0032E" w:rsidRPr="00326CA6" w:rsidRDefault="00AF66DB" w:rsidP="00E0032E">
      <w:pPr>
        <w:rPr>
          <w:rFonts w:ascii="Times New Roman" w:hAnsi="Times New Roman" w:cs="Times New Roman"/>
          <w:sz w:val="24"/>
          <w:szCs w:val="24"/>
        </w:rPr>
      </w:pPr>
      <w:r w:rsidRPr="00326CA6">
        <w:rPr>
          <w:rFonts w:ascii="Times New Roman" w:hAnsi="Times New Roman" w:cs="Times New Roman"/>
          <w:sz w:val="24"/>
          <w:szCs w:val="24"/>
        </w:rPr>
        <w:t xml:space="preserve">Wilcox (2006) </w:t>
      </w:r>
      <w:r w:rsidR="00FE3E7D" w:rsidRPr="00326CA6">
        <w:rPr>
          <w:rFonts w:ascii="Times New Roman" w:hAnsi="Times New Roman" w:cs="Times New Roman"/>
          <w:sz w:val="24"/>
          <w:szCs w:val="24"/>
        </w:rPr>
        <w:t xml:space="preserve">Interviewed university students that had terminated their studies during their first year at university, the reasons these students left university was due to a number of factors. These factors were academic, social support and material factors that had influenced their decision to leave. The top three reasons for leaving were the difficulty in making friends, unhappy with their accommodation or the difficulty in living in student accommodation and finally the independent learning. Many students found the pressure of </w:t>
      </w:r>
      <w:r w:rsidR="00FE3E7D" w:rsidRPr="00326CA6">
        <w:rPr>
          <w:rFonts w:ascii="Times New Roman" w:hAnsi="Times New Roman" w:cs="Times New Roman"/>
          <w:sz w:val="24"/>
          <w:szCs w:val="24"/>
        </w:rPr>
        <w:lastRenderedPageBreak/>
        <w:t xml:space="preserve">independent learning to be problematic and stressful throughout their first year at university, the stress of assignments and examinations became an ultimate deciding factor in their decision to leave their studies </w:t>
      </w:r>
      <w:sdt>
        <w:sdtPr>
          <w:rPr>
            <w:rFonts w:ascii="Times New Roman" w:hAnsi="Times New Roman" w:cs="Times New Roman"/>
            <w:sz w:val="24"/>
            <w:szCs w:val="24"/>
          </w:rPr>
          <w:id w:val="-17857584"/>
          <w:citation/>
        </w:sdtPr>
        <w:sdtEndPr/>
        <w:sdtContent>
          <w:r w:rsidR="001800DE" w:rsidRPr="00326CA6">
            <w:rPr>
              <w:rFonts w:ascii="Times New Roman" w:hAnsi="Times New Roman" w:cs="Times New Roman"/>
              <w:sz w:val="24"/>
              <w:szCs w:val="24"/>
            </w:rPr>
            <w:fldChar w:fldCharType="begin"/>
          </w:r>
          <w:r w:rsidR="001800DE" w:rsidRPr="00326CA6">
            <w:rPr>
              <w:rFonts w:ascii="Times New Roman" w:hAnsi="Times New Roman" w:cs="Times New Roman"/>
              <w:sz w:val="24"/>
              <w:szCs w:val="24"/>
            </w:rPr>
            <w:instrText xml:space="preserve"> CITATION Pau06 \l 2057 </w:instrText>
          </w:r>
          <w:r w:rsidR="001800DE" w:rsidRPr="00326CA6">
            <w:rPr>
              <w:rFonts w:ascii="Times New Roman" w:hAnsi="Times New Roman" w:cs="Times New Roman"/>
              <w:sz w:val="24"/>
              <w:szCs w:val="24"/>
            </w:rPr>
            <w:fldChar w:fldCharType="separate"/>
          </w:r>
          <w:r w:rsidR="001800DE" w:rsidRPr="00326CA6">
            <w:rPr>
              <w:rFonts w:ascii="Times New Roman" w:hAnsi="Times New Roman" w:cs="Times New Roman"/>
              <w:noProof/>
              <w:sz w:val="24"/>
              <w:szCs w:val="24"/>
            </w:rPr>
            <w:t>(Wilcox, 2006)</w:t>
          </w:r>
          <w:r w:rsidR="001800DE" w:rsidRPr="00326CA6">
            <w:rPr>
              <w:rFonts w:ascii="Times New Roman" w:hAnsi="Times New Roman" w:cs="Times New Roman"/>
              <w:sz w:val="24"/>
              <w:szCs w:val="24"/>
            </w:rPr>
            <w:fldChar w:fldCharType="end"/>
          </w:r>
        </w:sdtContent>
      </w:sdt>
      <w:r w:rsidR="00D8694D" w:rsidRPr="00326CA6">
        <w:rPr>
          <w:rFonts w:ascii="Times New Roman" w:hAnsi="Times New Roman" w:cs="Times New Roman"/>
          <w:sz w:val="24"/>
          <w:szCs w:val="24"/>
        </w:rPr>
        <w:t xml:space="preserve"> From the results of the study many of the students found the pressure of independent learning to be problematic and stressful throughout their degree. In secondary schools students are not given the responsibility to become fully independent of their studies and therefore does not prepare them for the responsibility of taking full responsibility and control over their learning. </w:t>
      </w:r>
    </w:p>
    <w:p w:rsidR="00E0032E" w:rsidRPr="00326CA6" w:rsidRDefault="00644C98" w:rsidP="00E0032E">
      <w:pPr>
        <w:rPr>
          <w:rFonts w:ascii="Times New Roman" w:hAnsi="Times New Roman" w:cs="Times New Roman"/>
          <w:sz w:val="24"/>
          <w:szCs w:val="24"/>
        </w:rPr>
      </w:pPr>
      <w:r w:rsidRPr="00326CA6">
        <w:rPr>
          <w:rFonts w:ascii="Times New Roman" w:hAnsi="Times New Roman" w:cs="Times New Roman"/>
          <w:sz w:val="24"/>
          <w:szCs w:val="24"/>
        </w:rPr>
        <w:t>From understanding Jones and Wilcox’s studies it is clear that t</w:t>
      </w:r>
      <w:r w:rsidR="00BD4228" w:rsidRPr="00326CA6">
        <w:rPr>
          <w:rFonts w:ascii="Times New Roman" w:hAnsi="Times New Roman" w:cs="Times New Roman"/>
          <w:sz w:val="24"/>
          <w:szCs w:val="24"/>
        </w:rPr>
        <w:t xml:space="preserve">here is a need for a simpler shift from A level learning to university level, for universities to </w:t>
      </w:r>
      <w:r w:rsidR="00175D6F" w:rsidRPr="00326CA6">
        <w:rPr>
          <w:rFonts w:ascii="Times New Roman" w:hAnsi="Times New Roman" w:cs="Times New Roman"/>
          <w:sz w:val="24"/>
          <w:szCs w:val="24"/>
        </w:rPr>
        <w:t>successfully transiti</w:t>
      </w:r>
      <w:r w:rsidR="00D9353B" w:rsidRPr="00326CA6">
        <w:rPr>
          <w:rFonts w:ascii="Times New Roman" w:hAnsi="Times New Roman" w:cs="Times New Roman"/>
          <w:sz w:val="24"/>
          <w:szCs w:val="24"/>
        </w:rPr>
        <w:t>on learning from a pedagogical syllabus</w:t>
      </w:r>
      <w:r w:rsidR="00175D6F" w:rsidRPr="00326CA6">
        <w:rPr>
          <w:rFonts w:ascii="Times New Roman" w:hAnsi="Times New Roman" w:cs="Times New Roman"/>
          <w:sz w:val="24"/>
          <w:szCs w:val="24"/>
        </w:rPr>
        <w:t xml:space="preserve"> to an </w:t>
      </w:r>
      <w:r w:rsidR="0063602D" w:rsidRPr="00326CA6">
        <w:rPr>
          <w:rFonts w:ascii="Times New Roman" w:hAnsi="Times New Roman" w:cs="Times New Roman"/>
          <w:sz w:val="24"/>
          <w:szCs w:val="24"/>
        </w:rPr>
        <w:t>andragogic</w:t>
      </w:r>
      <w:r w:rsidR="00175D6F" w:rsidRPr="00326CA6">
        <w:rPr>
          <w:rFonts w:ascii="Times New Roman" w:hAnsi="Times New Roman" w:cs="Times New Roman"/>
          <w:sz w:val="24"/>
          <w:szCs w:val="24"/>
        </w:rPr>
        <w:t xml:space="preserve"> </w:t>
      </w:r>
      <w:r w:rsidR="00D9353B" w:rsidRPr="00326CA6">
        <w:rPr>
          <w:rFonts w:ascii="Times New Roman" w:hAnsi="Times New Roman" w:cs="Times New Roman"/>
          <w:sz w:val="24"/>
          <w:szCs w:val="24"/>
        </w:rPr>
        <w:t xml:space="preserve">syllabus it may be beneficial to allow students to take part in the development of their course syllabus and collaborate with their tutors. However, this could be difficult to develop as students may be unprepared to take on the responsibility of designing a course which is traditionally designed by senior members of staff (Fornaciari &amp; Dean, 2013) </w:t>
      </w:r>
      <w:r w:rsidR="00D8694D" w:rsidRPr="00326CA6">
        <w:rPr>
          <w:rFonts w:ascii="Times New Roman" w:hAnsi="Times New Roman" w:cs="Times New Roman"/>
          <w:sz w:val="24"/>
          <w:szCs w:val="24"/>
        </w:rPr>
        <w:t>It can arguably be beneficial for students entering university to have some opinion on the methods that they are being taught in order to further support their learning and individual needs. However the issue with allowing the students to have</w:t>
      </w:r>
      <w:r w:rsidR="001A420D" w:rsidRPr="00326CA6">
        <w:rPr>
          <w:rFonts w:ascii="Times New Roman" w:hAnsi="Times New Roman" w:cs="Times New Roman"/>
          <w:sz w:val="24"/>
          <w:szCs w:val="24"/>
        </w:rPr>
        <w:t xml:space="preserve"> a voice in the construction of the course syllabus as they do not have the full understanding of how the course is structured and the assessments needed to assess their understanding and progression during their degree. </w:t>
      </w:r>
      <w:r w:rsidR="00D8694D" w:rsidRPr="00326CA6">
        <w:rPr>
          <w:rFonts w:ascii="Times New Roman" w:hAnsi="Times New Roman" w:cs="Times New Roman"/>
          <w:sz w:val="24"/>
          <w:szCs w:val="24"/>
        </w:rPr>
        <w:t xml:space="preserve"> </w:t>
      </w:r>
    </w:p>
    <w:p w:rsidR="00750F70" w:rsidRPr="00326CA6" w:rsidRDefault="00750F70" w:rsidP="00E0032E">
      <w:pPr>
        <w:rPr>
          <w:rFonts w:ascii="Times New Roman" w:hAnsi="Times New Roman" w:cs="Times New Roman"/>
          <w:sz w:val="24"/>
          <w:szCs w:val="24"/>
        </w:rPr>
      </w:pPr>
      <w:r w:rsidRPr="00326CA6">
        <w:rPr>
          <w:rFonts w:ascii="Times New Roman" w:hAnsi="Times New Roman" w:cs="Times New Roman"/>
          <w:sz w:val="24"/>
          <w:szCs w:val="24"/>
        </w:rPr>
        <w:t xml:space="preserve">In order for students to become successful they must become motivated to take on responsibility for their own learning. In a pedagogical setting the teacher must take full control over students learning experiences in order to achieve motivation, however in a higher education setting it falls upon the student to take control over their own independent learning experience </w:t>
      </w:r>
      <w:sdt>
        <w:sdtPr>
          <w:rPr>
            <w:rFonts w:ascii="Times New Roman" w:hAnsi="Times New Roman" w:cs="Times New Roman"/>
            <w:sz w:val="24"/>
            <w:szCs w:val="24"/>
          </w:rPr>
          <w:id w:val="1009025035"/>
          <w:citation/>
        </w:sdtPr>
        <w:sdtEndPr/>
        <w:sdtContent>
          <w:r w:rsidRPr="00326CA6">
            <w:rPr>
              <w:rFonts w:ascii="Times New Roman" w:hAnsi="Times New Roman" w:cs="Times New Roman"/>
              <w:sz w:val="24"/>
              <w:szCs w:val="24"/>
            </w:rPr>
            <w:fldChar w:fldCharType="begin"/>
          </w:r>
          <w:r w:rsidRPr="00326CA6">
            <w:rPr>
              <w:rFonts w:ascii="Times New Roman" w:hAnsi="Times New Roman" w:cs="Times New Roman"/>
              <w:sz w:val="24"/>
              <w:szCs w:val="24"/>
            </w:rPr>
            <w:instrText xml:space="preserve"> CITATION Pew07 \l 2057 </w:instrText>
          </w:r>
          <w:r w:rsidRPr="00326CA6">
            <w:rPr>
              <w:rFonts w:ascii="Times New Roman" w:hAnsi="Times New Roman" w:cs="Times New Roman"/>
              <w:sz w:val="24"/>
              <w:szCs w:val="24"/>
            </w:rPr>
            <w:fldChar w:fldCharType="separate"/>
          </w:r>
          <w:r w:rsidRPr="00326CA6">
            <w:rPr>
              <w:rFonts w:ascii="Times New Roman" w:hAnsi="Times New Roman" w:cs="Times New Roman"/>
              <w:noProof/>
              <w:sz w:val="24"/>
              <w:szCs w:val="24"/>
            </w:rPr>
            <w:t>(Pew, 2007)</w:t>
          </w:r>
          <w:r w:rsidRPr="00326CA6">
            <w:rPr>
              <w:rFonts w:ascii="Times New Roman" w:hAnsi="Times New Roman" w:cs="Times New Roman"/>
              <w:sz w:val="24"/>
              <w:szCs w:val="24"/>
            </w:rPr>
            <w:fldChar w:fldCharType="end"/>
          </w:r>
        </w:sdtContent>
      </w:sdt>
      <w:r w:rsidR="00F55059" w:rsidRPr="00326CA6">
        <w:rPr>
          <w:rFonts w:ascii="Times New Roman" w:hAnsi="Times New Roman" w:cs="Times New Roman"/>
          <w:sz w:val="24"/>
          <w:szCs w:val="24"/>
        </w:rPr>
        <w:t xml:space="preserve"> An issue that many students struggle with is the shift from a pedagogical teaching approach to an </w:t>
      </w:r>
      <w:r w:rsidR="0063602D" w:rsidRPr="00326CA6">
        <w:rPr>
          <w:rFonts w:ascii="Times New Roman" w:hAnsi="Times New Roman" w:cs="Times New Roman"/>
          <w:sz w:val="24"/>
          <w:szCs w:val="24"/>
        </w:rPr>
        <w:t>andragogic</w:t>
      </w:r>
      <w:r w:rsidR="00F55059" w:rsidRPr="00326CA6">
        <w:rPr>
          <w:rFonts w:ascii="Times New Roman" w:hAnsi="Times New Roman" w:cs="Times New Roman"/>
          <w:sz w:val="24"/>
          <w:szCs w:val="24"/>
        </w:rPr>
        <w:t xml:space="preserve"> approach, students are expected to begin </w:t>
      </w:r>
      <w:r w:rsidR="00F55059" w:rsidRPr="00326CA6">
        <w:rPr>
          <w:rFonts w:ascii="Times New Roman" w:hAnsi="Times New Roman" w:cs="Times New Roman"/>
          <w:sz w:val="24"/>
          <w:szCs w:val="24"/>
        </w:rPr>
        <w:lastRenderedPageBreak/>
        <w:t xml:space="preserve">university without the experience of independent learning and study. It may be beneficial for educational institutions such as colleges and secondary schools to prepare A level students for university by adopting an </w:t>
      </w:r>
      <w:r w:rsidR="0063602D" w:rsidRPr="00326CA6">
        <w:rPr>
          <w:rFonts w:ascii="Times New Roman" w:hAnsi="Times New Roman" w:cs="Times New Roman"/>
          <w:sz w:val="24"/>
          <w:szCs w:val="24"/>
        </w:rPr>
        <w:t>andragogic</w:t>
      </w:r>
      <w:r w:rsidR="00F55059" w:rsidRPr="00326CA6">
        <w:rPr>
          <w:rFonts w:ascii="Times New Roman" w:hAnsi="Times New Roman" w:cs="Times New Roman"/>
          <w:sz w:val="24"/>
          <w:szCs w:val="24"/>
        </w:rPr>
        <w:t xml:space="preserve"> approach throughout the A level curriculum in order to prepare students for their own independent learning and responsibility for their learning and work. </w:t>
      </w:r>
    </w:p>
    <w:p w:rsidR="00644C98" w:rsidRPr="00326CA6" w:rsidRDefault="00644C98" w:rsidP="00644C98">
      <w:pPr>
        <w:pStyle w:val="Heading2"/>
        <w:rPr>
          <w:rFonts w:ascii="Times New Roman" w:hAnsi="Times New Roman" w:cs="Times New Roman"/>
          <w:sz w:val="24"/>
          <w:szCs w:val="24"/>
        </w:rPr>
      </w:pPr>
      <w:bookmarkStart w:id="6" w:name="_Toc512377755"/>
      <w:r w:rsidRPr="00326CA6">
        <w:rPr>
          <w:rFonts w:ascii="Times New Roman" w:hAnsi="Times New Roman" w:cs="Times New Roman"/>
          <w:sz w:val="24"/>
          <w:szCs w:val="24"/>
        </w:rPr>
        <w:t>Learning Theories and Learning Approaches</w:t>
      </w:r>
      <w:bookmarkEnd w:id="6"/>
    </w:p>
    <w:p w:rsidR="00F81834" w:rsidRPr="00326CA6" w:rsidRDefault="00DB4458" w:rsidP="00F81834">
      <w:pPr>
        <w:rPr>
          <w:rFonts w:ascii="Times New Roman" w:hAnsi="Times New Roman" w:cs="Times New Roman"/>
          <w:sz w:val="24"/>
          <w:szCs w:val="24"/>
        </w:rPr>
      </w:pPr>
      <w:r w:rsidRPr="00326CA6">
        <w:rPr>
          <w:rFonts w:ascii="Times New Roman" w:hAnsi="Times New Roman" w:cs="Times New Roman"/>
          <w:sz w:val="24"/>
          <w:szCs w:val="24"/>
        </w:rPr>
        <w:t>In order to prepare students for university it may be beneficial for universities to adopt different learning strategies to help students with the shift from A level to university standards. Subject Matter Theory is a</w:t>
      </w:r>
      <w:r w:rsidR="00DE7DF9" w:rsidRPr="00326CA6">
        <w:rPr>
          <w:rFonts w:ascii="Times New Roman" w:hAnsi="Times New Roman" w:cs="Times New Roman"/>
          <w:sz w:val="24"/>
          <w:szCs w:val="24"/>
        </w:rPr>
        <w:t xml:space="preserve"> pedagogical </w:t>
      </w:r>
      <w:r w:rsidR="007E6045" w:rsidRPr="00326CA6">
        <w:rPr>
          <w:rFonts w:ascii="Times New Roman" w:hAnsi="Times New Roman" w:cs="Times New Roman"/>
          <w:sz w:val="24"/>
          <w:szCs w:val="24"/>
        </w:rPr>
        <w:t xml:space="preserve">traditional </w:t>
      </w:r>
      <w:r w:rsidR="00DE7DF9" w:rsidRPr="00326CA6">
        <w:rPr>
          <w:rFonts w:ascii="Times New Roman" w:hAnsi="Times New Roman" w:cs="Times New Roman"/>
          <w:sz w:val="24"/>
          <w:szCs w:val="24"/>
        </w:rPr>
        <w:t xml:space="preserve">approach to learning </w:t>
      </w:r>
      <w:r w:rsidR="007E6045" w:rsidRPr="00326CA6">
        <w:rPr>
          <w:rFonts w:ascii="Times New Roman" w:hAnsi="Times New Roman" w:cs="Times New Roman"/>
          <w:sz w:val="24"/>
          <w:szCs w:val="24"/>
        </w:rPr>
        <w:t xml:space="preserve">where the student is exposed to the right subject matter carefully chosen by the lecturer. Students play a passive role in their learning and do not have a voice in the subject matter that they are exposed to (Astin, 1984) </w:t>
      </w:r>
      <w:r w:rsidRPr="00326CA6">
        <w:rPr>
          <w:rFonts w:ascii="Times New Roman" w:hAnsi="Times New Roman" w:cs="Times New Roman"/>
          <w:sz w:val="24"/>
          <w:szCs w:val="24"/>
        </w:rPr>
        <w:t xml:space="preserve">It may be beneficial for universities to adapt the same learning theories as secondary schools and colleges in the first year of university and allow the students time to transition into a more independent learning as the degree progresses. However, the issue with doing so results in the students not taking responsibility and control over their own learning and hindering their own educational and personal progression. </w:t>
      </w:r>
    </w:p>
    <w:p w:rsidR="00B0174F" w:rsidRPr="00326CA6" w:rsidRDefault="00DB4458" w:rsidP="00F81834">
      <w:pPr>
        <w:rPr>
          <w:rFonts w:ascii="Times New Roman" w:hAnsi="Times New Roman" w:cs="Times New Roman"/>
          <w:sz w:val="24"/>
          <w:szCs w:val="24"/>
        </w:rPr>
      </w:pPr>
      <w:r w:rsidRPr="00326CA6">
        <w:rPr>
          <w:rFonts w:ascii="Times New Roman" w:hAnsi="Times New Roman" w:cs="Times New Roman"/>
          <w:sz w:val="24"/>
          <w:szCs w:val="24"/>
        </w:rPr>
        <w:t xml:space="preserve">While subject matter theory suggests it may be beneficial to </w:t>
      </w:r>
      <w:r w:rsidR="000E7D26" w:rsidRPr="00326CA6">
        <w:rPr>
          <w:rFonts w:ascii="Times New Roman" w:hAnsi="Times New Roman" w:cs="Times New Roman"/>
          <w:sz w:val="24"/>
          <w:szCs w:val="24"/>
        </w:rPr>
        <w:t xml:space="preserve">take some of the responsibilities and pressure of university work from first year </w:t>
      </w:r>
      <w:r w:rsidR="0063602D" w:rsidRPr="00326CA6">
        <w:rPr>
          <w:rFonts w:ascii="Times New Roman" w:hAnsi="Times New Roman" w:cs="Times New Roman"/>
          <w:sz w:val="24"/>
          <w:szCs w:val="24"/>
        </w:rPr>
        <w:t>students it</w:t>
      </w:r>
      <w:r w:rsidR="008924C1" w:rsidRPr="00326CA6">
        <w:rPr>
          <w:rFonts w:ascii="Times New Roman" w:hAnsi="Times New Roman" w:cs="Times New Roman"/>
          <w:sz w:val="24"/>
          <w:szCs w:val="24"/>
        </w:rPr>
        <w:t xml:space="preserve"> is ultimately the goal of </w:t>
      </w:r>
      <w:r w:rsidR="0063602D" w:rsidRPr="00326CA6">
        <w:rPr>
          <w:rFonts w:ascii="Times New Roman" w:hAnsi="Times New Roman" w:cs="Times New Roman"/>
          <w:sz w:val="24"/>
          <w:szCs w:val="24"/>
        </w:rPr>
        <w:t>universities to</w:t>
      </w:r>
      <w:r w:rsidR="000E7D26" w:rsidRPr="00326CA6">
        <w:rPr>
          <w:rFonts w:ascii="Times New Roman" w:hAnsi="Times New Roman" w:cs="Times New Roman"/>
          <w:sz w:val="24"/>
          <w:szCs w:val="24"/>
        </w:rPr>
        <w:t xml:space="preserve"> provide students with basic guidance and knowledge and allow them to search for their own research and opinions within their work at university. </w:t>
      </w:r>
      <w:r w:rsidR="00B0174F" w:rsidRPr="00326CA6">
        <w:rPr>
          <w:rFonts w:ascii="Times New Roman" w:hAnsi="Times New Roman" w:cs="Times New Roman"/>
          <w:sz w:val="24"/>
          <w:szCs w:val="24"/>
        </w:rPr>
        <w:t xml:space="preserve"> Independent learning requires the students to have the skills to critically reflect and self-evaluate their own work throughout their university education. Compared to individuals that did not attend university, university students are more confident in asking questions and answers, critically reflect and challenge material </w:t>
      </w:r>
      <w:sdt>
        <w:sdtPr>
          <w:rPr>
            <w:rFonts w:ascii="Times New Roman" w:hAnsi="Times New Roman" w:cs="Times New Roman"/>
            <w:sz w:val="24"/>
            <w:szCs w:val="24"/>
          </w:rPr>
          <w:id w:val="72099410"/>
          <w:citation/>
        </w:sdtPr>
        <w:sdtEndPr/>
        <w:sdtContent>
          <w:r w:rsidR="00B0174F" w:rsidRPr="00326CA6">
            <w:rPr>
              <w:rFonts w:ascii="Times New Roman" w:hAnsi="Times New Roman" w:cs="Times New Roman"/>
              <w:sz w:val="24"/>
              <w:szCs w:val="24"/>
            </w:rPr>
            <w:fldChar w:fldCharType="begin"/>
          </w:r>
          <w:r w:rsidR="00B0174F" w:rsidRPr="00326CA6">
            <w:rPr>
              <w:rFonts w:ascii="Times New Roman" w:hAnsi="Times New Roman" w:cs="Times New Roman"/>
              <w:sz w:val="24"/>
              <w:szCs w:val="24"/>
            </w:rPr>
            <w:instrText xml:space="preserve"> CITATION Imo97 \l 2057 </w:instrText>
          </w:r>
          <w:r w:rsidR="00B0174F" w:rsidRPr="00326CA6">
            <w:rPr>
              <w:rFonts w:ascii="Times New Roman" w:hAnsi="Times New Roman" w:cs="Times New Roman"/>
              <w:sz w:val="24"/>
              <w:szCs w:val="24"/>
            </w:rPr>
            <w:fldChar w:fldCharType="separate"/>
          </w:r>
          <w:r w:rsidR="00B0174F" w:rsidRPr="00326CA6">
            <w:rPr>
              <w:rFonts w:ascii="Times New Roman" w:hAnsi="Times New Roman" w:cs="Times New Roman"/>
              <w:noProof/>
              <w:sz w:val="24"/>
              <w:szCs w:val="24"/>
            </w:rPr>
            <w:t>(Taylor, 1997)</w:t>
          </w:r>
          <w:r w:rsidR="00B0174F" w:rsidRPr="00326CA6">
            <w:rPr>
              <w:rFonts w:ascii="Times New Roman" w:hAnsi="Times New Roman" w:cs="Times New Roman"/>
              <w:sz w:val="24"/>
              <w:szCs w:val="24"/>
            </w:rPr>
            <w:fldChar w:fldCharType="end"/>
          </w:r>
        </w:sdtContent>
      </w:sdt>
      <w:r w:rsidR="008924C1" w:rsidRPr="00326CA6">
        <w:rPr>
          <w:rFonts w:ascii="Times New Roman" w:hAnsi="Times New Roman" w:cs="Times New Roman"/>
          <w:sz w:val="24"/>
          <w:szCs w:val="24"/>
        </w:rPr>
        <w:t xml:space="preserve"> By looking at the results from Taylor’s study it suggests that students should be given responsibility over their own learning as it benefits them not </w:t>
      </w:r>
      <w:r w:rsidR="008924C1" w:rsidRPr="00326CA6">
        <w:rPr>
          <w:rFonts w:ascii="Times New Roman" w:hAnsi="Times New Roman" w:cs="Times New Roman"/>
          <w:sz w:val="24"/>
          <w:szCs w:val="24"/>
        </w:rPr>
        <w:lastRenderedPageBreak/>
        <w:t xml:space="preserve">only academically but in terms of their personal development throughout their time at university. Independent learning builds students confidence and allows them the opportunity to develop in terms of independence and maturity by perceiving them as adults and not children in their learning. </w:t>
      </w:r>
    </w:p>
    <w:p w:rsidR="00B0174F" w:rsidRPr="00326CA6" w:rsidRDefault="008924C1" w:rsidP="00F81834">
      <w:pPr>
        <w:rPr>
          <w:rFonts w:ascii="Times New Roman" w:hAnsi="Times New Roman" w:cs="Times New Roman"/>
          <w:sz w:val="24"/>
          <w:szCs w:val="24"/>
        </w:rPr>
      </w:pPr>
      <w:r w:rsidRPr="00326CA6">
        <w:rPr>
          <w:rFonts w:ascii="Times New Roman" w:hAnsi="Times New Roman" w:cs="Times New Roman"/>
          <w:sz w:val="24"/>
          <w:szCs w:val="24"/>
        </w:rPr>
        <w:t>By looking in-depth at potential changes to</w:t>
      </w:r>
      <w:r w:rsidR="00A1305D" w:rsidRPr="00326CA6">
        <w:rPr>
          <w:rFonts w:ascii="Times New Roman" w:hAnsi="Times New Roman" w:cs="Times New Roman"/>
          <w:sz w:val="24"/>
          <w:szCs w:val="24"/>
        </w:rPr>
        <w:t xml:space="preserve"> improve students experience during their first year at university it may be beneficial to take a blended learning approach to allow students the students the opportunity to be both supported and have the </w:t>
      </w:r>
      <w:r w:rsidR="0063602D" w:rsidRPr="00326CA6">
        <w:rPr>
          <w:rFonts w:ascii="Times New Roman" w:hAnsi="Times New Roman" w:cs="Times New Roman"/>
          <w:sz w:val="24"/>
          <w:szCs w:val="24"/>
        </w:rPr>
        <w:t>responsibility</w:t>
      </w:r>
      <w:r w:rsidR="00A1305D" w:rsidRPr="00326CA6">
        <w:rPr>
          <w:rFonts w:ascii="Times New Roman" w:hAnsi="Times New Roman" w:cs="Times New Roman"/>
          <w:sz w:val="24"/>
          <w:szCs w:val="24"/>
        </w:rPr>
        <w:t xml:space="preserve"> over their own work.</w:t>
      </w:r>
      <w:r w:rsidRPr="00326CA6">
        <w:rPr>
          <w:rFonts w:ascii="Times New Roman" w:hAnsi="Times New Roman" w:cs="Times New Roman"/>
          <w:sz w:val="24"/>
          <w:szCs w:val="24"/>
        </w:rPr>
        <w:t xml:space="preserve"> </w:t>
      </w:r>
      <w:r w:rsidR="005A6752" w:rsidRPr="00326CA6">
        <w:rPr>
          <w:rFonts w:ascii="Times New Roman" w:hAnsi="Times New Roman" w:cs="Times New Roman"/>
          <w:sz w:val="24"/>
          <w:szCs w:val="24"/>
        </w:rPr>
        <w:t>Blended learning offers flexibility to students to study over a period of time through other methods of learning such as online learning. Blended learning may reduce the hours of contact with tutors and allowing students more independence and responsibility over their own learning.</w:t>
      </w:r>
      <w:sdt>
        <w:sdtPr>
          <w:rPr>
            <w:rFonts w:ascii="Times New Roman" w:hAnsi="Times New Roman" w:cs="Times New Roman"/>
            <w:sz w:val="24"/>
            <w:szCs w:val="24"/>
          </w:rPr>
          <w:id w:val="612259522"/>
          <w:citation/>
        </w:sdtPr>
        <w:sdtEndPr/>
        <w:sdtContent>
          <w:r w:rsidR="005A6752" w:rsidRPr="00326CA6">
            <w:rPr>
              <w:rFonts w:ascii="Times New Roman" w:hAnsi="Times New Roman" w:cs="Times New Roman"/>
              <w:sz w:val="24"/>
              <w:szCs w:val="24"/>
            </w:rPr>
            <w:fldChar w:fldCharType="begin"/>
          </w:r>
          <w:r w:rsidR="005A6752" w:rsidRPr="00326CA6">
            <w:rPr>
              <w:rFonts w:ascii="Times New Roman" w:hAnsi="Times New Roman" w:cs="Times New Roman"/>
              <w:sz w:val="24"/>
              <w:szCs w:val="24"/>
            </w:rPr>
            <w:instrText xml:space="preserve"> CITATION Bar16 \l 2057 </w:instrText>
          </w:r>
          <w:r w:rsidR="005A6752" w:rsidRPr="00326CA6">
            <w:rPr>
              <w:rFonts w:ascii="Times New Roman" w:hAnsi="Times New Roman" w:cs="Times New Roman"/>
              <w:sz w:val="24"/>
              <w:szCs w:val="24"/>
            </w:rPr>
            <w:fldChar w:fldCharType="separate"/>
          </w:r>
          <w:r w:rsidR="005A6752" w:rsidRPr="00326CA6">
            <w:rPr>
              <w:rFonts w:ascii="Times New Roman" w:hAnsi="Times New Roman" w:cs="Times New Roman"/>
              <w:noProof/>
              <w:sz w:val="24"/>
              <w:szCs w:val="24"/>
            </w:rPr>
            <w:t xml:space="preserve"> (Allan, 2016)</w:t>
          </w:r>
          <w:r w:rsidR="005A6752" w:rsidRPr="00326CA6">
            <w:rPr>
              <w:rFonts w:ascii="Times New Roman" w:hAnsi="Times New Roman" w:cs="Times New Roman"/>
              <w:sz w:val="24"/>
              <w:szCs w:val="24"/>
            </w:rPr>
            <w:fldChar w:fldCharType="end"/>
          </w:r>
        </w:sdtContent>
      </w:sdt>
      <w:r w:rsidR="00A1305D" w:rsidRPr="00326CA6">
        <w:rPr>
          <w:rFonts w:ascii="Times New Roman" w:hAnsi="Times New Roman" w:cs="Times New Roman"/>
          <w:sz w:val="24"/>
          <w:szCs w:val="24"/>
        </w:rPr>
        <w:t xml:space="preserve"> By considering both </w:t>
      </w:r>
      <w:r w:rsidR="0063602D" w:rsidRPr="00326CA6">
        <w:rPr>
          <w:rFonts w:ascii="Times New Roman" w:hAnsi="Times New Roman" w:cs="Times New Roman"/>
          <w:sz w:val="24"/>
          <w:szCs w:val="24"/>
        </w:rPr>
        <w:t>independent</w:t>
      </w:r>
      <w:r w:rsidR="00A1305D" w:rsidRPr="00326CA6">
        <w:rPr>
          <w:rFonts w:ascii="Times New Roman" w:hAnsi="Times New Roman" w:cs="Times New Roman"/>
          <w:sz w:val="24"/>
          <w:szCs w:val="24"/>
        </w:rPr>
        <w:t xml:space="preserve"> learning and subject matter theory it may be beneficial for </w:t>
      </w:r>
      <w:r w:rsidR="0063602D" w:rsidRPr="00326CA6">
        <w:rPr>
          <w:rFonts w:ascii="Times New Roman" w:hAnsi="Times New Roman" w:cs="Times New Roman"/>
          <w:sz w:val="24"/>
          <w:szCs w:val="24"/>
        </w:rPr>
        <w:t>universities</w:t>
      </w:r>
      <w:r w:rsidR="00A1305D" w:rsidRPr="00326CA6">
        <w:rPr>
          <w:rFonts w:ascii="Times New Roman" w:hAnsi="Times New Roman" w:cs="Times New Roman"/>
          <w:sz w:val="24"/>
          <w:szCs w:val="24"/>
        </w:rPr>
        <w:t xml:space="preserve"> and the students to adapt elements of both forms of teaching </w:t>
      </w:r>
      <w:r w:rsidR="0063602D" w:rsidRPr="00326CA6">
        <w:rPr>
          <w:rFonts w:ascii="Times New Roman" w:hAnsi="Times New Roman" w:cs="Times New Roman"/>
          <w:sz w:val="24"/>
          <w:szCs w:val="24"/>
        </w:rPr>
        <w:t>in order</w:t>
      </w:r>
      <w:r w:rsidR="00A1305D" w:rsidRPr="00326CA6">
        <w:rPr>
          <w:rFonts w:ascii="Times New Roman" w:hAnsi="Times New Roman" w:cs="Times New Roman"/>
          <w:sz w:val="24"/>
          <w:szCs w:val="24"/>
        </w:rPr>
        <w:t xml:space="preserve"> to remove some of the pressure students face during their first year at university while allowing them to build in confidence by giving them the freedom to take some responsibility over their own learning. </w:t>
      </w:r>
    </w:p>
    <w:p w:rsidR="005A6752" w:rsidRPr="00326CA6" w:rsidRDefault="00A1305D" w:rsidP="00F81834">
      <w:pPr>
        <w:rPr>
          <w:rFonts w:ascii="Times New Roman" w:hAnsi="Times New Roman" w:cs="Times New Roman"/>
          <w:sz w:val="24"/>
          <w:szCs w:val="24"/>
        </w:rPr>
      </w:pPr>
      <w:r w:rsidRPr="00326CA6">
        <w:rPr>
          <w:rFonts w:ascii="Times New Roman" w:hAnsi="Times New Roman" w:cs="Times New Roman"/>
          <w:sz w:val="24"/>
          <w:szCs w:val="24"/>
        </w:rPr>
        <w:t xml:space="preserve">From what has been suggested that the increase of students attending university has now resulted in increased class size and the difficulty for teacher’s to monitor each students development effectively. </w:t>
      </w:r>
      <w:r w:rsidR="000F37F8" w:rsidRPr="00326CA6">
        <w:rPr>
          <w:rFonts w:ascii="Times New Roman" w:hAnsi="Times New Roman" w:cs="Times New Roman"/>
          <w:sz w:val="24"/>
          <w:szCs w:val="24"/>
        </w:rPr>
        <w:t xml:space="preserve">In terms of lesson planning and group work may be beneficial for university teachers to pace students in smaller groups in order to monitor them closely and allow them the opportunity to understand what each student requires in terms of their strengths and weaknesses. </w:t>
      </w:r>
      <w:r w:rsidR="005A6752" w:rsidRPr="00326CA6">
        <w:rPr>
          <w:rFonts w:ascii="Times New Roman" w:hAnsi="Times New Roman" w:cs="Times New Roman"/>
          <w:sz w:val="24"/>
          <w:szCs w:val="24"/>
        </w:rPr>
        <w:t xml:space="preserve">Small-group learning allows students to learn in a variety of ways through teaching new skills such as interactive and collaborative thinking that are often hard to develop in a large group environment and on an individual study basis </w:t>
      </w:r>
      <w:sdt>
        <w:sdtPr>
          <w:rPr>
            <w:rFonts w:ascii="Times New Roman" w:hAnsi="Times New Roman" w:cs="Times New Roman"/>
            <w:sz w:val="24"/>
            <w:szCs w:val="24"/>
          </w:rPr>
          <w:id w:val="-2109035319"/>
          <w:citation/>
        </w:sdtPr>
        <w:sdtEndPr/>
        <w:sdtContent>
          <w:r w:rsidR="005A6752" w:rsidRPr="00326CA6">
            <w:rPr>
              <w:rFonts w:ascii="Times New Roman" w:hAnsi="Times New Roman" w:cs="Times New Roman"/>
              <w:sz w:val="24"/>
              <w:szCs w:val="24"/>
            </w:rPr>
            <w:fldChar w:fldCharType="begin"/>
          </w:r>
          <w:r w:rsidR="005A6752" w:rsidRPr="00326CA6">
            <w:rPr>
              <w:rFonts w:ascii="Times New Roman" w:hAnsi="Times New Roman" w:cs="Times New Roman"/>
              <w:sz w:val="24"/>
              <w:szCs w:val="24"/>
            </w:rPr>
            <w:instrText xml:space="preserve"> CITATION Phi071 \l 2057 </w:instrText>
          </w:r>
          <w:r w:rsidR="005A6752" w:rsidRPr="00326CA6">
            <w:rPr>
              <w:rFonts w:ascii="Times New Roman" w:hAnsi="Times New Roman" w:cs="Times New Roman"/>
              <w:sz w:val="24"/>
              <w:szCs w:val="24"/>
            </w:rPr>
            <w:fldChar w:fldCharType="separate"/>
          </w:r>
          <w:r w:rsidR="005A6752" w:rsidRPr="00326CA6">
            <w:rPr>
              <w:rFonts w:ascii="Times New Roman" w:hAnsi="Times New Roman" w:cs="Times New Roman"/>
              <w:noProof/>
              <w:sz w:val="24"/>
              <w:szCs w:val="24"/>
            </w:rPr>
            <w:t>(Race, 2007)</w:t>
          </w:r>
          <w:r w:rsidR="005A6752" w:rsidRPr="00326CA6">
            <w:rPr>
              <w:rFonts w:ascii="Times New Roman" w:hAnsi="Times New Roman" w:cs="Times New Roman"/>
              <w:sz w:val="24"/>
              <w:szCs w:val="24"/>
            </w:rPr>
            <w:fldChar w:fldCharType="end"/>
          </w:r>
        </w:sdtContent>
      </w:sdt>
      <w:r w:rsidRPr="00326CA6">
        <w:rPr>
          <w:rFonts w:ascii="Times New Roman" w:hAnsi="Times New Roman" w:cs="Times New Roman"/>
          <w:sz w:val="24"/>
          <w:szCs w:val="24"/>
        </w:rPr>
        <w:t xml:space="preserve"> </w:t>
      </w:r>
      <w:r w:rsidR="00BD4228" w:rsidRPr="00326CA6">
        <w:rPr>
          <w:rFonts w:ascii="Times New Roman" w:hAnsi="Times New Roman" w:cs="Times New Roman"/>
          <w:sz w:val="24"/>
          <w:szCs w:val="24"/>
        </w:rPr>
        <w:t xml:space="preserve">Within university it is becoming increasingly difficult for lecturers to create smaller group situations as the amount of students that attend university each year increases. However, by creating </w:t>
      </w:r>
      <w:r w:rsidR="00BD4228" w:rsidRPr="00326CA6">
        <w:rPr>
          <w:rFonts w:ascii="Times New Roman" w:hAnsi="Times New Roman" w:cs="Times New Roman"/>
          <w:sz w:val="24"/>
          <w:szCs w:val="24"/>
        </w:rPr>
        <w:lastRenderedPageBreak/>
        <w:t xml:space="preserve">small group sessions within the lessons it allows the teachers to understand the levels that each students is working at and what issues they may be encountering during their academic year. </w:t>
      </w:r>
    </w:p>
    <w:p w:rsidR="00644C98" w:rsidRPr="00326CA6" w:rsidRDefault="00644C98" w:rsidP="00644C98">
      <w:pPr>
        <w:pStyle w:val="Heading2"/>
        <w:rPr>
          <w:rFonts w:ascii="Times New Roman" w:hAnsi="Times New Roman" w:cs="Times New Roman"/>
          <w:sz w:val="24"/>
          <w:szCs w:val="24"/>
        </w:rPr>
      </w:pPr>
      <w:bookmarkStart w:id="7" w:name="_Toc512377756"/>
      <w:r w:rsidRPr="00326CA6">
        <w:rPr>
          <w:rFonts w:ascii="Times New Roman" w:hAnsi="Times New Roman" w:cs="Times New Roman"/>
          <w:sz w:val="24"/>
          <w:szCs w:val="24"/>
        </w:rPr>
        <w:t>Conclusion</w:t>
      </w:r>
      <w:bookmarkEnd w:id="7"/>
    </w:p>
    <w:p w:rsidR="00A37138" w:rsidRPr="00326CA6" w:rsidRDefault="000F1EE7" w:rsidP="00F81834">
      <w:pPr>
        <w:rPr>
          <w:rFonts w:ascii="Times New Roman" w:hAnsi="Times New Roman" w:cs="Times New Roman"/>
          <w:sz w:val="24"/>
          <w:szCs w:val="24"/>
        </w:rPr>
      </w:pPr>
      <w:r w:rsidRPr="00326CA6">
        <w:rPr>
          <w:rFonts w:ascii="Times New Roman" w:hAnsi="Times New Roman" w:cs="Times New Roman"/>
          <w:sz w:val="24"/>
          <w:szCs w:val="24"/>
        </w:rPr>
        <w:t xml:space="preserve">In conclusion from the findings </w:t>
      </w:r>
      <w:r w:rsidR="000C4E28" w:rsidRPr="00326CA6">
        <w:rPr>
          <w:rFonts w:ascii="Times New Roman" w:hAnsi="Times New Roman" w:cs="Times New Roman"/>
          <w:sz w:val="24"/>
          <w:szCs w:val="24"/>
        </w:rPr>
        <w:t xml:space="preserve">the demands placed on universities have risen due to the change of student finance charges and the expectations that students have of universities increasing due to those charges. Universities are now facing increasing pressure to compete with other institutions to provide students with a good education worth the value of rising student fees. Also the findings suggests that the shift from pedagogy to andragogy in teaching from A level to universities are causing students to suffer under the pressure of the work load and the added pressure of becoming responsible for their own work and research. There are various learning approaches and methods that could be applied during students first year at university which will enable them to transition from A level to university level in a simpler approach. The research suggests that students may not be fully prepared to begin university as the teaching level from A level to university seems to be large and more needs to be done to prepare students for university level work. </w:t>
      </w:r>
    </w:p>
    <w:p w:rsidR="00A37138" w:rsidRPr="00326CA6" w:rsidRDefault="00A37138" w:rsidP="00F81834">
      <w:pPr>
        <w:rPr>
          <w:rFonts w:ascii="Times New Roman" w:hAnsi="Times New Roman" w:cs="Times New Roman"/>
          <w:sz w:val="24"/>
          <w:szCs w:val="24"/>
        </w:rPr>
      </w:pPr>
    </w:p>
    <w:p w:rsidR="00A37138" w:rsidRPr="00326CA6" w:rsidRDefault="00A37138" w:rsidP="00F81834">
      <w:pPr>
        <w:rPr>
          <w:rFonts w:ascii="Times New Roman" w:hAnsi="Times New Roman" w:cs="Times New Roman"/>
          <w:sz w:val="24"/>
          <w:szCs w:val="24"/>
        </w:rPr>
      </w:pPr>
    </w:p>
    <w:p w:rsidR="00326CA6" w:rsidRDefault="00326CA6" w:rsidP="00326CA6"/>
    <w:p w:rsidR="00326CA6" w:rsidRDefault="00326CA6" w:rsidP="00326CA6"/>
    <w:p w:rsidR="00326CA6" w:rsidRDefault="00326CA6" w:rsidP="00326CA6"/>
    <w:p w:rsidR="00326CA6" w:rsidRDefault="00326CA6" w:rsidP="00326CA6"/>
    <w:p w:rsidR="00326CA6" w:rsidRPr="00326CA6" w:rsidRDefault="00326CA6" w:rsidP="00326CA6"/>
    <w:bookmarkStart w:id="8" w:name="_Toc512377757" w:displacedByCustomXml="next"/>
    <w:sdt>
      <w:sdtPr>
        <w:id w:val="1783455643"/>
        <w:docPartObj>
          <w:docPartGallery w:val="Bibliographies"/>
          <w:docPartUnique/>
        </w:docPartObj>
      </w:sdtPr>
      <w:sdtEndPr>
        <w:rPr>
          <w:rFonts w:asciiTheme="minorHAnsi" w:eastAsiaTheme="minorHAnsi" w:hAnsiTheme="minorHAnsi" w:cstheme="minorBidi"/>
          <w:color w:val="auto"/>
          <w:sz w:val="22"/>
          <w:szCs w:val="22"/>
        </w:rPr>
      </w:sdtEndPr>
      <w:sdtContent>
        <w:p w:rsidR="00326CA6" w:rsidRDefault="00326CA6">
          <w:pPr>
            <w:pStyle w:val="Heading1"/>
          </w:pPr>
          <w:r>
            <w:t>References</w:t>
          </w:r>
          <w:bookmarkEnd w:id="8"/>
        </w:p>
        <w:sdt>
          <w:sdtPr>
            <w:id w:val="-573587230"/>
            <w:bibliography/>
          </w:sdtPr>
          <w:sdtContent>
            <w:p w:rsidR="00326CA6" w:rsidRDefault="00326CA6" w:rsidP="00326CA6">
              <w:pPr>
                <w:pStyle w:val="Bibliography"/>
                <w:rPr>
                  <w:noProof/>
                  <w:sz w:val="24"/>
                  <w:szCs w:val="24"/>
                </w:rPr>
              </w:pPr>
              <w:r>
                <w:fldChar w:fldCharType="begin"/>
              </w:r>
              <w:r>
                <w:instrText xml:space="preserve"> BIBLIOGRAPHY </w:instrText>
              </w:r>
              <w:r>
                <w:fldChar w:fldCharType="separate"/>
              </w:r>
              <w:r>
                <w:rPr>
                  <w:noProof/>
                </w:rPr>
                <w:t xml:space="preserve">Alexander, W. A., 1984. Student Involvement: A developmental theory for higher education. </w:t>
              </w:r>
              <w:r>
                <w:rPr>
                  <w:i/>
                  <w:iCs/>
                  <w:noProof/>
                </w:rPr>
                <w:t xml:space="preserve">Journal of College Education Personel , </w:t>
              </w:r>
              <w:r>
                <w:rPr>
                  <w:noProof/>
                </w:rPr>
                <w:t>25(4), pp. 297-308.</w:t>
              </w:r>
            </w:p>
            <w:p w:rsidR="00326CA6" w:rsidRDefault="00326CA6" w:rsidP="00326CA6">
              <w:pPr>
                <w:pStyle w:val="Bibliography"/>
                <w:rPr>
                  <w:noProof/>
                </w:rPr>
              </w:pPr>
              <w:r>
                <w:rPr>
                  <w:noProof/>
                </w:rPr>
                <w:t xml:space="preserve">Allan, B., 2016. </w:t>
              </w:r>
              <w:r>
                <w:rPr>
                  <w:i/>
                  <w:iCs/>
                  <w:noProof/>
                </w:rPr>
                <w:t xml:space="preserve">Emerging Strategies for Supporting Student Learning. </w:t>
              </w:r>
              <w:r>
                <w:rPr>
                  <w:noProof/>
                </w:rPr>
                <w:t>London: Facet Publishing.</w:t>
              </w:r>
            </w:p>
            <w:p w:rsidR="00326CA6" w:rsidRDefault="00326CA6" w:rsidP="00326CA6">
              <w:pPr>
                <w:pStyle w:val="Bibliography"/>
                <w:rPr>
                  <w:noProof/>
                </w:rPr>
              </w:pPr>
              <w:r>
                <w:rPr>
                  <w:noProof/>
                </w:rPr>
                <w:t xml:space="preserve">Charles, J. F. &amp;. K. D., 2013. The 21st- Century syllabus: From pedagogy to andragogy. </w:t>
              </w:r>
              <w:r>
                <w:rPr>
                  <w:i/>
                  <w:iCs/>
                  <w:noProof/>
                </w:rPr>
                <w:t xml:space="preserve">Journal of Management Education , </w:t>
              </w:r>
              <w:r>
                <w:rPr>
                  <w:noProof/>
                </w:rPr>
                <w:t>38(5), pp. 701-723.</w:t>
              </w:r>
            </w:p>
            <w:p w:rsidR="00326CA6" w:rsidRDefault="00326CA6" w:rsidP="00326CA6">
              <w:pPr>
                <w:pStyle w:val="Bibliography"/>
                <w:rPr>
                  <w:noProof/>
                </w:rPr>
              </w:pPr>
              <w:r>
                <w:rPr>
                  <w:noProof/>
                </w:rPr>
                <w:t xml:space="preserve">Child, F. W. &amp;. S., 2017 . Assessing the transition between school and university: Differences in assessment between A level and University in English. </w:t>
              </w:r>
              <w:r>
                <w:rPr>
                  <w:i/>
                  <w:iCs/>
                  <w:noProof/>
                </w:rPr>
                <w:t xml:space="preserve">Arts and Humanities in Higher Education , </w:t>
              </w:r>
              <w:r>
                <w:rPr>
                  <w:noProof/>
                </w:rPr>
                <w:t>16(2), pp. 188-208.</w:t>
              </w:r>
            </w:p>
            <w:p w:rsidR="00326CA6" w:rsidRDefault="00326CA6" w:rsidP="00326CA6">
              <w:pPr>
                <w:pStyle w:val="Bibliography"/>
                <w:rPr>
                  <w:noProof/>
                </w:rPr>
              </w:pPr>
              <w:r>
                <w:rPr>
                  <w:noProof/>
                </w:rPr>
                <w:t xml:space="preserve">Collins, A. M. &amp;. D., 2010. The role of psychological characteristics in managing the transition to university. </w:t>
              </w:r>
              <w:r>
                <w:rPr>
                  <w:i/>
                  <w:iCs/>
                  <w:noProof/>
                </w:rPr>
                <w:t xml:space="preserve">Psychology of Sport and Exercise , </w:t>
              </w:r>
              <w:r>
                <w:rPr>
                  <w:noProof/>
                </w:rPr>
                <w:t>11(5), pp. 353-362.</w:t>
              </w:r>
            </w:p>
            <w:p w:rsidR="00326CA6" w:rsidRDefault="00326CA6" w:rsidP="00326CA6">
              <w:pPr>
                <w:pStyle w:val="Bibliography"/>
                <w:rPr>
                  <w:noProof/>
                </w:rPr>
              </w:pPr>
              <w:r>
                <w:rPr>
                  <w:noProof/>
                </w:rPr>
                <w:t xml:space="preserve">Cook, H. L. &amp;. A., 2003. Mind the Gap: Are students prepared for higher education?. </w:t>
              </w:r>
              <w:r>
                <w:rPr>
                  <w:i/>
                  <w:iCs/>
                  <w:noProof/>
                </w:rPr>
                <w:t xml:space="preserve">Journal of Further and Higher Education, </w:t>
              </w:r>
              <w:r>
                <w:rPr>
                  <w:noProof/>
                </w:rPr>
                <w:t>27(1), pp. 53-76.</w:t>
              </w:r>
            </w:p>
            <w:p w:rsidR="00326CA6" w:rsidRDefault="00326CA6" w:rsidP="00326CA6">
              <w:pPr>
                <w:pStyle w:val="Bibliography"/>
                <w:rPr>
                  <w:noProof/>
                </w:rPr>
              </w:pPr>
              <w:r>
                <w:rPr>
                  <w:noProof/>
                </w:rPr>
                <w:t xml:space="preserve">James, R., 2002. </w:t>
              </w:r>
              <w:r>
                <w:rPr>
                  <w:i/>
                  <w:iCs/>
                  <w:noProof/>
                </w:rPr>
                <w:t xml:space="preserve">Students' changing expectations of higher education and the consequences of mismatches with reality. </w:t>
              </w:r>
              <w:r>
                <w:rPr>
                  <w:noProof/>
                </w:rPr>
                <w:t>USA: OECD.</w:t>
              </w:r>
            </w:p>
            <w:p w:rsidR="00326CA6" w:rsidRDefault="00326CA6" w:rsidP="00326CA6">
              <w:pPr>
                <w:pStyle w:val="Bibliography"/>
                <w:rPr>
                  <w:noProof/>
                </w:rPr>
              </w:pPr>
              <w:r>
                <w:rPr>
                  <w:noProof/>
                </w:rPr>
                <w:t xml:space="preserve">Jones, H., 2015. Are our students prepared for university ?. </w:t>
              </w:r>
              <w:r>
                <w:rPr>
                  <w:i/>
                  <w:iCs/>
                  <w:noProof/>
                </w:rPr>
                <w:t xml:space="preserve">BioScience Education, </w:t>
              </w:r>
              <w:r>
                <w:rPr>
                  <w:noProof/>
                </w:rPr>
                <w:t>18(1), pp. 1-12.</w:t>
              </w:r>
            </w:p>
            <w:p w:rsidR="00326CA6" w:rsidRDefault="00326CA6" w:rsidP="00326CA6">
              <w:pPr>
                <w:pStyle w:val="Bibliography"/>
                <w:rPr>
                  <w:noProof/>
                </w:rPr>
              </w:pPr>
              <w:r>
                <w:rPr>
                  <w:noProof/>
                </w:rPr>
                <w:t xml:space="preserve">Marran Byrne, B. F. T. H. J. J. J. L. A. M. J. M. G. E. T.-G., 2012. Motivations, expectations and prepardness for higher education: A study of accounting students in Ireland, the UK, Spain and Greece. </w:t>
              </w:r>
              <w:r>
                <w:rPr>
                  <w:i/>
                  <w:iCs/>
                  <w:noProof/>
                </w:rPr>
                <w:t xml:space="preserve">Accounting Forum , </w:t>
              </w:r>
              <w:r>
                <w:rPr>
                  <w:noProof/>
                </w:rPr>
                <w:t>36(22), pp. 134-144.</w:t>
              </w:r>
            </w:p>
            <w:p w:rsidR="00326CA6" w:rsidRPr="00E761C4" w:rsidRDefault="00326CA6" w:rsidP="00E761C4">
              <w:pPr>
                <w:pStyle w:val="Bibliography"/>
                <w:rPr>
                  <w:noProof/>
                </w:rPr>
              </w:pPr>
              <w:r>
                <w:rPr>
                  <w:noProof/>
                </w:rPr>
                <w:t xml:space="preserve">Miyamoto, K., 2005. </w:t>
              </w:r>
              <w:r>
                <w:rPr>
                  <w:i/>
                  <w:iCs/>
                  <w:noProof/>
                </w:rPr>
                <w:t xml:space="preserve">Promoting Adult Learning. </w:t>
              </w:r>
              <w:r>
                <w:rPr>
                  <w:noProof/>
                </w:rPr>
                <w:t>London: OECD.</w:t>
              </w:r>
            </w:p>
            <w:p w:rsidR="00326CA6" w:rsidRPr="00E761C4" w:rsidRDefault="00326CA6" w:rsidP="00326CA6">
              <w:pPr>
                <w:rPr>
                  <w:rFonts w:ascii="Times New Roman" w:hAnsi="Times New Roman" w:cs="Times New Roman"/>
                  <w:sz w:val="20"/>
                  <w:szCs w:val="20"/>
                </w:rPr>
              </w:pPr>
              <w:r w:rsidRPr="00E761C4">
                <w:rPr>
                  <w:rFonts w:ascii="Times New Roman" w:hAnsi="Times New Roman" w:cs="Times New Roman"/>
                  <w:sz w:val="20"/>
                  <w:szCs w:val="20"/>
                  <w:shd w:val="clear" w:color="auto" w:fill="FFFFFF"/>
                </w:rPr>
                <w:t>OECD, P, &amp; Institutional, MIHE 2002, Responding to Student Expectations, Organisation for Economic Co-operation and Development, Paris. Available from: ProQuest Ebook Central. [22 April 2018].</w:t>
              </w:r>
            </w:p>
            <w:p w:rsidR="00326CA6" w:rsidRDefault="00326CA6" w:rsidP="00326CA6">
              <w:pPr>
                <w:pStyle w:val="Bibliography"/>
                <w:rPr>
                  <w:noProof/>
                </w:rPr>
              </w:pPr>
              <w:r>
                <w:rPr>
                  <w:noProof/>
                </w:rPr>
                <w:lastRenderedPageBreak/>
                <w:t xml:space="preserve">Pew, S., 2007. Andragogy and Pedagogy as Foundational Thoery for Student Motivation in Higher Education. </w:t>
              </w:r>
              <w:r>
                <w:rPr>
                  <w:i/>
                  <w:iCs/>
                  <w:noProof/>
                </w:rPr>
                <w:t xml:space="preserve">Insight A collection of faculty scholarship, </w:t>
              </w:r>
              <w:r>
                <w:rPr>
                  <w:noProof/>
                </w:rPr>
                <w:t>Volume 2, pp. 14-25.</w:t>
              </w:r>
            </w:p>
            <w:p w:rsidR="00326CA6" w:rsidRDefault="00326CA6" w:rsidP="00326CA6">
              <w:pPr>
                <w:pStyle w:val="Bibliography"/>
                <w:rPr>
                  <w:noProof/>
                </w:rPr>
              </w:pPr>
              <w:r>
                <w:rPr>
                  <w:noProof/>
                </w:rPr>
                <w:t xml:space="preserve">Race, P., 2007. </w:t>
              </w:r>
              <w:r>
                <w:rPr>
                  <w:i/>
                  <w:iCs/>
                  <w:noProof/>
                </w:rPr>
                <w:t xml:space="preserve">The Lecturer's Toolkit A Practical Guide to Assessment, Learning and Teaching. </w:t>
              </w:r>
              <w:r>
                <w:rPr>
                  <w:noProof/>
                </w:rPr>
                <w:t>3rd ed. London : Routledge .</w:t>
              </w:r>
            </w:p>
            <w:p w:rsidR="00326CA6" w:rsidRDefault="00326CA6" w:rsidP="00326CA6">
              <w:pPr>
                <w:pStyle w:val="Bibliography"/>
                <w:rPr>
                  <w:noProof/>
                </w:rPr>
              </w:pPr>
              <w:r>
                <w:rPr>
                  <w:noProof/>
                </w:rPr>
                <w:t xml:space="preserve">Ramsden, P., 2003. </w:t>
              </w:r>
              <w:r>
                <w:rPr>
                  <w:i/>
                  <w:iCs/>
                  <w:noProof/>
                </w:rPr>
                <w:t xml:space="preserve">Learning to Teach in Higher Education. </w:t>
              </w:r>
              <w:r>
                <w:rPr>
                  <w:noProof/>
                </w:rPr>
                <w:t>2nd ed. Oxon: RoutledgeFalmer.</w:t>
              </w:r>
            </w:p>
            <w:p w:rsidR="00326CA6" w:rsidRDefault="00326CA6" w:rsidP="00326CA6">
              <w:pPr>
                <w:pStyle w:val="Bibliography"/>
                <w:rPr>
                  <w:noProof/>
                </w:rPr>
              </w:pPr>
              <w:r>
                <w:rPr>
                  <w:noProof/>
                </w:rPr>
                <w:t xml:space="preserve">Taylor, I., 1997. </w:t>
              </w:r>
              <w:r>
                <w:rPr>
                  <w:i/>
                  <w:iCs/>
                  <w:noProof/>
                </w:rPr>
                <w:t xml:space="preserve">Developing Learning in Professional Education. </w:t>
              </w:r>
              <w:r>
                <w:rPr>
                  <w:noProof/>
                </w:rPr>
                <w:t>London: Open University Press.</w:t>
              </w:r>
            </w:p>
            <w:p w:rsidR="00326CA6" w:rsidRDefault="00326CA6" w:rsidP="00326CA6">
              <w:pPr>
                <w:pStyle w:val="Bibliography"/>
                <w:rPr>
                  <w:noProof/>
                </w:rPr>
              </w:pPr>
              <w:r>
                <w:rPr>
                  <w:noProof/>
                </w:rPr>
                <w:t xml:space="preserve">Wilcox, P., 2006. 'It was nothing to do with the university, it was just the people': the role of social support in the first-year experience of higher education. </w:t>
              </w:r>
              <w:r>
                <w:rPr>
                  <w:i/>
                  <w:iCs/>
                  <w:noProof/>
                </w:rPr>
                <w:t xml:space="preserve">Studies in Higher Education , </w:t>
              </w:r>
              <w:r>
                <w:rPr>
                  <w:noProof/>
                </w:rPr>
                <w:t>30(6), pp. 707-722.</w:t>
              </w:r>
            </w:p>
            <w:p w:rsidR="00326CA6" w:rsidRDefault="00326CA6" w:rsidP="00326CA6">
              <w:r>
                <w:rPr>
                  <w:b/>
                  <w:bCs/>
                  <w:noProof/>
                </w:rPr>
                <w:fldChar w:fldCharType="end"/>
              </w:r>
            </w:p>
          </w:sdtContent>
        </w:sdt>
      </w:sdtContent>
    </w:sdt>
    <w:p w:rsidR="00326CA6" w:rsidRPr="00326CA6" w:rsidRDefault="00326CA6" w:rsidP="00326CA6"/>
    <w:p w:rsidR="00A37138" w:rsidRDefault="00A37138" w:rsidP="00F81834"/>
    <w:p w:rsidR="00A37138" w:rsidRDefault="00A37138" w:rsidP="00F81834"/>
    <w:p w:rsidR="00A37138" w:rsidRDefault="00A37138" w:rsidP="00F81834"/>
    <w:p w:rsidR="00A37138" w:rsidRDefault="00A37138" w:rsidP="00F81834"/>
    <w:p w:rsidR="00A37138" w:rsidRDefault="00A37138" w:rsidP="00F81834"/>
    <w:p w:rsidR="00A37138" w:rsidRDefault="00A37138" w:rsidP="00F81834"/>
    <w:p w:rsidR="00A37138" w:rsidRDefault="00A37138" w:rsidP="00F81834"/>
    <w:p w:rsidR="00A37138" w:rsidRDefault="00A37138" w:rsidP="00F81834"/>
    <w:p w:rsidR="00A37138" w:rsidRDefault="00A37138" w:rsidP="00F81834"/>
    <w:sectPr w:rsidR="00A37138" w:rsidSect="00326CA6">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0011" w:rsidRDefault="00220011" w:rsidP="00326CA6">
      <w:pPr>
        <w:spacing w:after="0" w:line="240" w:lineRule="auto"/>
      </w:pPr>
      <w:r>
        <w:separator/>
      </w:r>
    </w:p>
  </w:endnote>
  <w:endnote w:type="continuationSeparator" w:id="0">
    <w:p w:rsidR="00220011" w:rsidRDefault="00220011" w:rsidP="00326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2557918"/>
      <w:docPartObj>
        <w:docPartGallery w:val="Page Numbers (Bottom of Page)"/>
        <w:docPartUnique/>
      </w:docPartObj>
    </w:sdtPr>
    <w:sdtEndPr>
      <w:rPr>
        <w:noProof/>
      </w:rPr>
    </w:sdtEndPr>
    <w:sdtContent>
      <w:p w:rsidR="00326CA6" w:rsidRDefault="00326CA6">
        <w:pPr>
          <w:pStyle w:val="Footer"/>
        </w:pPr>
        <w:r>
          <w:fldChar w:fldCharType="begin"/>
        </w:r>
        <w:r>
          <w:instrText xml:space="preserve"> PAGE   \* MERGEFORMAT </w:instrText>
        </w:r>
        <w:r>
          <w:fldChar w:fldCharType="separate"/>
        </w:r>
        <w:r w:rsidR="00AE4064">
          <w:rPr>
            <w:noProof/>
          </w:rPr>
          <w:t>12</w:t>
        </w:r>
        <w:r>
          <w:rPr>
            <w:noProof/>
          </w:rPr>
          <w:fldChar w:fldCharType="end"/>
        </w:r>
      </w:p>
    </w:sdtContent>
  </w:sdt>
  <w:p w:rsidR="00326CA6" w:rsidRDefault="00326C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0011" w:rsidRDefault="00220011" w:rsidP="00326CA6">
      <w:pPr>
        <w:spacing w:after="0" w:line="240" w:lineRule="auto"/>
      </w:pPr>
      <w:r>
        <w:separator/>
      </w:r>
    </w:p>
  </w:footnote>
  <w:footnote w:type="continuationSeparator" w:id="0">
    <w:p w:rsidR="00220011" w:rsidRDefault="00220011" w:rsidP="00326C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551"/>
    <w:rsid w:val="00011558"/>
    <w:rsid w:val="00073067"/>
    <w:rsid w:val="000967FA"/>
    <w:rsid w:val="000C4E28"/>
    <w:rsid w:val="000E7D26"/>
    <w:rsid w:val="000F1EE7"/>
    <w:rsid w:val="000F37F8"/>
    <w:rsid w:val="00157215"/>
    <w:rsid w:val="00175D6F"/>
    <w:rsid w:val="001800DE"/>
    <w:rsid w:val="0018013C"/>
    <w:rsid w:val="001A420D"/>
    <w:rsid w:val="0021026A"/>
    <w:rsid w:val="0021516C"/>
    <w:rsid w:val="00220011"/>
    <w:rsid w:val="00232293"/>
    <w:rsid w:val="0026459B"/>
    <w:rsid w:val="002B2189"/>
    <w:rsid w:val="00326CA6"/>
    <w:rsid w:val="0036313D"/>
    <w:rsid w:val="004E485F"/>
    <w:rsid w:val="00521A9C"/>
    <w:rsid w:val="005A6752"/>
    <w:rsid w:val="005E467C"/>
    <w:rsid w:val="00630DF8"/>
    <w:rsid w:val="00633FEA"/>
    <w:rsid w:val="0063602D"/>
    <w:rsid w:val="00644C98"/>
    <w:rsid w:val="00670A58"/>
    <w:rsid w:val="00750F70"/>
    <w:rsid w:val="007E6045"/>
    <w:rsid w:val="008924C1"/>
    <w:rsid w:val="009060DD"/>
    <w:rsid w:val="009320A6"/>
    <w:rsid w:val="00A1305D"/>
    <w:rsid w:val="00A37138"/>
    <w:rsid w:val="00AA74A5"/>
    <w:rsid w:val="00AE4064"/>
    <w:rsid w:val="00AF66DB"/>
    <w:rsid w:val="00B0174F"/>
    <w:rsid w:val="00B60229"/>
    <w:rsid w:val="00BD4228"/>
    <w:rsid w:val="00BD655F"/>
    <w:rsid w:val="00BE0027"/>
    <w:rsid w:val="00BE4730"/>
    <w:rsid w:val="00CB071A"/>
    <w:rsid w:val="00CD6B66"/>
    <w:rsid w:val="00D8694D"/>
    <w:rsid w:val="00D9353B"/>
    <w:rsid w:val="00DA71A2"/>
    <w:rsid w:val="00DB4458"/>
    <w:rsid w:val="00DE7DF9"/>
    <w:rsid w:val="00E0032E"/>
    <w:rsid w:val="00E761C4"/>
    <w:rsid w:val="00F55059"/>
    <w:rsid w:val="00F81834"/>
    <w:rsid w:val="00FA5551"/>
    <w:rsid w:val="00FA6753"/>
    <w:rsid w:val="00FC74FD"/>
    <w:rsid w:val="00FE3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FFB44F-1D52-46A9-BFBF-BB2AF5D14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A55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A55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55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A5551"/>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326C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6CA6"/>
  </w:style>
  <w:style w:type="paragraph" w:styleId="Footer">
    <w:name w:val="footer"/>
    <w:basedOn w:val="Normal"/>
    <w:link w:val="FooterChar"/>
    <w:uiPriority w:val="99"/>
    <w:unhideWhenUsed/>
    <w:rsid w:val="00326C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CA6"/>
  </w:style>
  <w:style w:type="paragraph" w:styleId="NoSpacing">
    <w:name w:val="No Spacing"/>
    <w:link w:val="NoSpacingChar"/>
    <w:uiPriority w:val="1"/>
    <w:qFormat/>
    <w:rsid w:val="00326C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6CA6"/>
    <w:rPr>
      <w:rFonts w:eastAsiaTheme="minorEastAsia"/>
      <w:lang w:val="en-US"/>
    </w:rPr>
  </w:style>
  <w:style w:type="paragraph" w:styleId="Bibliography">
    <w:name w:val="Bibliography"/>
    <w:basedOn w:val="Normal"/>
    <w:next w:val="Normal"/>
    <w:uiPriority w:val="37"/>
    <w:unhideWhenUsed/>
    <w:rsid w:val="00326CA6"/>
  </w:style>
  <w:style w:type="paragraph" w:styleId="TOCHeading">
    <w:name w:val="TOC Heading"/>
    <w:basedOn w:val="Heading1"/>
    <w:next w:val="Normal"/>
    <w:uiPriority w:val="39"/>
    <w:unhideWhenUsed/>
    <w:qFormat/>
    <w:rsid w:val="00326CA6"/>
    <w:pPr>
      <w:spacing w:line="259" w:lineRule="auto"/>
      <w:outlineLvl w:val="9"/>
    </w:pPr>
    <w:rPr>
      <w:lang w:val="en-US"/>
    </w:rPr>
  </w:style>
  <w:style w:type="paragraph" w:styleId="TOC2">
    <w:name w:val="toc 2"/>
    <w:basedOn w:val="Normal"/>
    <w:next w:val="Normal"/>
    <w:autoRedefine/>
    <w:uiPriority w:val="39"/>
    <w:unhideWhenUsed/>
    <w:rsid w:val="00326CA6"/>
    <w:pPr>
      <w:spacing w:after="100"/>
      <w:ind w:left="220"/>
    </w:pPr>
  </w:style>
  <w:style w:type="paragraph" w:styleId="TOC1">
    <w:name w:val="toc 1"/>
    <w:basedOn w:val="Normal"/>
    <w:next w:val="Normal"/>
    <w:autoRedefine/>
    <w:uiPriority w:val="39"/>
    <w:unhideWhenUsed/>
    <w:rsid w:val="00326CA6"/>
    <w:pPr>
      <w:spacing w:after="100"/>
    </w:pPr>
  </w:style>
  <w:style w:type="character" w:styleId="Hyperlink">
    <w:name w:val="Hyperlink"/>
    <w:basedOn w:val="DefaultParagraphFont"/>
    <w:uiPriority w:val="99"/>
    <w:unhideWhenUsed/>
    <w:rsid w:val="00326C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88427">
      <w:bodyDiv w:val="1"/>
      <w:marLeft w:val="0"/>
      <w:marRight w:val="0"/>
      <w:marTop w:val="0"/>
      <w:marBottom w:val="0"/>
      <w:divBdr>
        <w:top w:val="none" w:sz="0" w:space="0" w:color="auto"/>
        <w:left w:val="none" w:sz="0" w:space="0" w:color="auto"/>
        <w:bottom w:val="none" w:sz="0" w:space="0" w:color="auto"/>
        <w:right w:val="none" w:sz="0" w:space="0" w:color="auto"/>
      </w:divBdr>
    </w:div>
    <w:div w:id="275605284">
      <w:bodyDiv w:val="1"/>
      <w:marLeft w:val="0"/>
      <w:marRight w:val="0"/>
      <w:marTop w:val="0"/>
      <w:marBottom w:val="0"/>
      <w:divBdr>
        <w:top w:val="none" w:sz="0" w:space="0" w:color="auto"/>
        <w:left w:val="none" w:sz="0" w:space="0" w:color="auto"/>
        <w:bottom w:val="none" w:sz="0" w:space="0" w:color="auto"/>
        <w:right w:val="none" w:sz="0" w:space="0" w:color="auto"/>
      </w:divBdr>
    </w:div>
    <w:div w:id="346248811">
      <w:bodyDiv w:val="1"/>
      <w:marLeft w:val="0"/>
      <w:marRight w:val="0"/>
      <w:marTop w:val="0"/>
      <w:marBottom w:val="0"/>
      <w:divBdr>
        <w:top w:val="none" w:sz="0" w:space="0" w:color="auto"/>
        <w:left w:val="none" w:sz="0" w:space="0" w:color="auto"/>
        <w:bottom w:val="none" w:sz="0" w:space="0" w:color="auto"/>
        <w:right w:val="none" w:sz="0" w:space="0" w:color="auto"/>
      </w:divBdr>
    </w:div>
    <w:div w:id="402604570">
      <w:bodyDiv w:val="1"/>
      <w:marLeft w:val="0"/>
      <w:marRight w:val="0"/>
      <w:marTop w:val="0"/>
      <w:marBottom w:val="0"/>
      <w:divBdr>
        <w:top w:val="none" w:sz="0" w:space="0" w:color="auto"/>
        <w:left w:val="none" w:sz="0" w:space="0" w:color="auto"/>
        <w:bottom w:val="none" w:sz="0" w:space="0" w:color="auto"/>
        <w:right w:val="none" w:sz="0" w:space="0" w:color="auto"/>
      </w:divBdr>
    </w:div>
    <w:div w:id="564611113">
      <w:bodyDiv w:val="1"/>
      <w:marLeft w:val="0"/>
      <w:marRight w:val="0"/>
      <w:marTop w:val="0"/>
      <w:marBottom w:val="0"/>
      <w:divBdr>
        <w:top w:val="none" w:sz="0" w:space="0" w:color="auto"/>
        <w:left w:val="none" w:sz="0" w:space="0" w:color="auto"/>
        <w:bottom w:val="none" w:sz="0" w:space="0" w:color="auto"/>
        <w:right w:val="none" w:sz="0" w:space="0" w:color="auto"/>
      </w:divBdr>
    </w:div>
    <w:div w:id="608858321">
      <w:bodyDiv w:val="1"/>
      <w:marLeft w:val="0"/>
      <w:marRight w:val="0"/>
      <w:marTop w:val="0"/>
      <w:marBottom w:val="0"/>
      <w:divBdr>
        <w:top w:val="none" w:sz="0" w:space="0" w:color="auto"/>
        <w:left w:val="none" w:sz="0" w:space="0" w:color="auto"/>
        <w:bottom w:val="none" w:sz="0" w:space="0" w:color="auto"/>
        <w:right w:val="none" w:sz="0" w:space="0" w:color="auto"/>
      </w:divBdr>
    </w:div>
    <w:div w:id="659236094">
      <w:bodyDiv w:val="1"/>
      <w:marLeft w:val="0"/>
      <w:marRight w:val="0"/>
      <w:marTop w:val="0"/>
      <w:marBottom w:val="0"/>
      <w:divBdr>
        <w:top w:val="none" w:sz="0" w:space="0" w:color="auto"/>
        <w:left w:val="none" w:sz="0" w:space="0" w:color="auto"/>
        <w:bottom w:val="none" w:sz="0" w:space="0" w:color="auto"/>
        <w:right w:val="none" w:sz="0" w:space="0" w:color="auto"/>
      </w:divBdr>
    </w:div>
    <w:div w:id="769156946">
      <w:bodyDiv w:val="1"/>
      <w:marLeft w:val="0"/>
      <w:marRight w:val="0"/>
      <w:marTop w:val="0"/>
      <w:marBottom w:val="0"/>
      <w:divBdr>
        <w:top w:val="none" w:sz="0" w:space="0" w:color="auto"/>
        <w:left w:val="none" w:sz="0" w:space="0" w:color="auto"/>
        <w:bottom w:val="none" w:sz="0" w:space="0" w:color="auto"/>
        <w:right w:val="none" w:sz="0" w:space="0" w:color="auto"/>
      </w:divBdr>
    </w:div>
    <w:div w:id="1237983064">
      <w:bodyDiv w:val="1"/>
      <w:marLeft w:val="0"/>
      <w:marRight w:val="0"/>
      <w:marTop w:val="0"/>
      <w:marBottom w:val="0"/>
      <w:divBdr>
        <w:top w:val="none" w:sz="0" w:space="0" w:color="auto"/>
        <w:left w:val="none" w:sz="0" w:space="0" w:color="auto"/>
        <w:bottom w:val="none" w:sz="0" w:space="0" w:color="auto"/>
        <w:right w:val="none" w:sz="0" w:space="0" w:color="auto"/>
      </w:divBdr>
    </w:div>
    <w:div w:id="1504051504">
      <w:bodyDiv w:val="1"/>
      <w:marLeft w:val="0"/>
      <w:marRight w:val="0"/>
      <w:marTop w:val="0"/>
      <w:marBottom w:val="0"/>
      <w:divBdr>
        <w:top w:val="none" w:sz="0" w:space="0" w:color="auto"/>
        <w:left w:val="none" w:sz="0" w:space="0" w:color="auto"/>
        <w:bottom w:val="none" w:sz="0" w:space="0" w:color="auto"/>
        <w:right w:val="none" w:sz="0" w:space="0" w:color="auto"/>
      </w:divBdr>
    </w:div>
    <w:div w:id="1516773276">
      <w:bodyDiv w:val="1"/>
      <w:marLeft w:val="0"/>
      <w:marRight w:val="0"/>
      <w:marTop w:val="0"/>
      <w:marBottom w:val="0"/>
      <w:divBdr>
        <w:top w:val="none" w:sz="0" w:space="0" w:color="auto"/>
        <w:left w:val="none" w:sz="0" w:space="0" w:color="auto"/>
        <w:bottom w:val="none" w:sz="0" w:space="0" w:color="auto"/>
        <w:right w:val="none" w:sz="0" w:space="0" w:color="auto"/>
      </w:divBdr>
    </w:div>
    <w:div w:id="1572618038">
      <w:bodyDiv w:val="1"/>
      <w:marLeft w:val="0"/>
      <w:marRight w:val="0"/>
      <w:marTop w:val="0"/>
      <w:marBottom w:val="0"/>
      <w:divBdr>
        <w:top w:val="none" w:sz="0" w:space="0" w:color="auto"/>
        <w:left w:val="none" w:sz="0" w:space="0" w:color="auto"/>
        <w:bottom w:val="none" w:sz="0" w:space="0" w:color="auto"/>
        <w:right w:val="none" w:sz="0" w:space="0" w:color="auto"/>
      </w:divBdr>
    </w:div>
    <w:div w:id="1721587120">
      <w:bodyDiv w:val="1"/>
      <w:marLeft w:val="0"/>
      <w:marRight w:val="0"/>
      <w:marTop w:val="0"/>
      <w:marBottom w:val="0"/>
      <w:divBdr>
        <w:top w:val="none" w:sz="0" w:space="0" w:color="auto"/>
        <w:left w:val="none" w:sz="0" w:space="0" w:color="auto"/>
        <w:bottom w:val="none" w:sz="0" w:space="0" w:color="auto"/>
        <w:right w:val="none" w:sz="0" w:space="0" w:color="auto"/>
      </w:divBdr>
    </w:div>
    <w:div w:id="1834568048">
      <w:bodyDiv w:val="1"/>
      <w:marLeft w:val="0"/>
      <w:marRight w:val="0"/>
      <w:marTop w:val="0"/>
      <w:marBottom w:val="0"/>
      <w:divBdr>
        <w:top w:val="none" w:sz="0" w:space="0" w:color="auto"/>
        <w:left w:val="none" w:sz="0" w:space="0" w:color="auto"/>
        <w:bottom w:val="none" w:sz="0" w:space="0" w:color="auto"/>
        <w:right w:val="none" w:sz="0" w:space="0" w:color="auto"/>
      </w:divBdr>
    </w:div>
    <w:div w:id="2066104807">
      <w:bodyDiv w:val="1"/>
      <w:marLeft w:val="0"/>
      <w:marRight w:val="0"/>
      <w:marTop w:val="0"/>
      <w:marBottom w:val="0"/>
      <w:divBdr>
        <w:top w:val="none" w:sz="0" w:space="0" w:color="auto"/>
        <w:left w:val="none" w:sz="0" w:space="0" w:color="auto"/>
        <w:bottom w:val="none" w:sz="0" w:space="0" w:color="auto"/>
        <w:right w:val="none" w:sz="0" w:space="0" w:color="auto"/>
      </w:divBdr>
    </w:div>
    <w:div w:id="208910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F5AF91D044488A81F7C9CC5BC78943"/>
        <w:category>
          <w:name w:val="General"/>
          <w:gallery w:val="placeholder"/>
        </w:category>
        <w:types>
          <w:type w:val="bbPlcHdr"/>
        </w:types>
        <w:behaviors>
          <w:behavior w:val="content"/>
        </w:behaviors>
        <w:guid w:val="{F59F218F-4251-4A2B-ACCC-CAC535606D45}"/>
      </w:docPartPr>
      <w:docPartBody>
        <w:p w:rsidR="00000000" w:rsidRDefault="00A4736C" w:rsidP="00A4736C">
          <w:pPr>
            <w:pStyle w:val="23F5AF91D044488A81F7C9CC5BC78943"/>
          </w:pPr>
          <w:r>
            <w:rPr>
              <w:rFonts w:asciiTheme="majorHAnsi" w:eastAsiaTheme="majorEastAsia" w:hAnsiTheme="majorHAnsi" w:cstheme="majorBidi"/>
              <w:caps/>
              <w:color w:val="5B9BD5" w:themeColor="accent1"/>
              <w:sz w:val="80"/>
              <w:szCs w:val="80"/>
            </w:rPr>
            <w:t>[Document title]</w:t>
          </w:r>
        </w:p>
      </w:docPartBody>
    </w:docPart>
    <w:docPart>
      <w:docPartPr>
        <w:name w:val="1895E264BF234240BF6DEFAB21489AA4"/>
        <w:category>
          <w:name w:val="General"/>
          <w:gallery w:val="placeholder"/>
        </w:category>
        <w:types>
          <w:type w:val="bbPlcHdr"/>
        </w:types>
        <w:behaviors>
          <w:behavior w:val="content"/>
        </w:behaviors>
        <w:guid w:val="{DBD17A18-7AAA-4872-BFF6-AFEB908C6EA7}"/>
      </w:docPartPr>
      <w:docPartBody>
        <w:p w:rsidR="00000000" w:rsidRDefault="00A4736C" w:rsidP="00A4736C">
          <w:pPr>
            <w:pStyle w:val="1895E264BF234240BF6DEFAB21489AA4"/>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36C"/>
    <w:rsid w:val="00610CB2"/>
    <w:rsid w:val="00A47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F5AF91D044488A81F7C9CC5BC78943">
    <w:name w:val="23F5AF91D044488A81F7C9CC5BC78943"/>
    <w:rsid w:val="00A4736C"/>
  </w:style>
  <w:style w:type="paragraph" w:customStyle="1" w:styleId="1895E264BF234240BF6DEFAB21489AA4">
    <w:name w:val="1895E264BF234240BF6DEFAB21489AA4"/>
    <w:rsid w:val="00A473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2018-04-25T00:00:00</PublishDate>
  <Abstract/>
  <CompanyAddress>1703171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Imo97</b:Tag>
    <b:SourceType>Book</b:SourceType>
    <b:Guid>{613D9936-A9D0-4F10-9F89-5DA30F64310D}</b:Guid>
    <b:Author>
      <b:Author>
        <b:NameList>
          <b:Person>
            <b:Last>Taylor</b:Last>
            <b:First>Imogen</b:First>
          </b:Person>
        </b:NameList>
      </b:Author>
    </b:Author>
    <b:Title>Developing Learning in Professional Education</b:Title>
    <b:Year>1997</b:Year>
    <b:City>London</b:City>
    <b:Publisher>Open University Press</b:Publisher>
    <b:RefOrder>7</b:RefOrder>
  </b:Source>
  <b:Source>
    <b:Tag>Bar16</b:Tag>
    <b:SourceType>Book</b:SourceType>
    <b:Guid>{3DDF9D2D-820A-44EA-830E-ACB2E067D2E9}</b:Guid>
    <b:Author>
      <b:Author>
        <b:NameList>
          <b:Person>
            <b:Last>Allan</b:Last>
            <b:First>Barbara</b:First>
          </b:Person>
        </b:NameList>
      </b:Author>
    </b:Author>
    <b:Title>Emerging Strategies for Supporting Student Learning </b:Title>
    <b:Year>2016</b:Year>
    <b:City>London</b:City>
    <b:Publisher>Facet Publishing</b:Publisher>
    <b:RefOrder>8</b:RefOrder>
  </b:Source>
  <b:Source>
    <b:Tag>Phi071</b:Tag>
    <b:SourceType>Book</b:SourceType>
    <b:Guid>{913C034D-C4B3-4AA0-8F38-158CF64B005F}</b:Guid>
    <b:Title>The Lecturer's Toolkit A Practical Guide to Assessment, Learning and Teaching</b:Title>
    <b:Year>2007</b:Year>
    <b:City>London </b:City>
    <b:Publisher>Routledge </b:Publisher>
    <b:Edition>3rd</b:Edition>
    <b:Author>
      <b:Author>
        <b:NameList>
          <b:Person>
            <b:Last>Race</b:Last>
            <b:First>Phil</b:First>
          </b:Person>
        </b:NameList>
      </b:Author>
    </b:Author>
    <b:RefOrder>9</b:RefOrder>
  </b:Source>
  <b:Source>
    <b:Tag>Chi17</b:Tag>
    <b:SourceType>JournalArticle</b:SourceType>
    <b:Guid>{6C0DC538-9929-4145-BF96-20257119DCE7}</b:Guid>
    <b:Author>
      <b:Author>
        <b:NameList>
          <b:Person>
            <b:Last>Child</b:Last>
            <b:First>Frances</b:First>
            <b:Middle>Wilson &amp; Simon</b:Middle>
          </b:Person>
        </b:NameList>
      </b:Author>
    </b:Author>
    <b:Title>Assessing the transition between school and university: Differences in assessment between A level and University in English</b:Title>
    <b:Year>2017 </b:Year>
    <b:JournalName>Arts and Humanities in Higher Education </b:JournalName>
    <b:Pages>188-208</b:Pages>
    <b:Volume>16</b:Volume>
    <b:Issue>2</b:Issue>
    <b:RefOrder>10</b:RefOrder>
  </b:Source>
  <b:Source>
    <b:Tag>Mar12</b:Tag>
    <b:SourceType>JournalArticle</b:SourceType>
    <b:Guid>{136A8BF5-F17A-4ECD-A0B8-368A2FF936FC}</b:Guid>
    <b:Author>
      <b:Author>
        <b:NameList>
          <b:Person>
            <b:Last>Marran Byrne</b:Last>
            <b:First>Barbara</b:First>
            <b:Middle>Flood, Trevor Hassall, John Joyce, Jose Luis Arquero Montano, Jose Maria Gonzalez, Eleni Tourna-Germanou</b:Middle>
          </b:Person>
        </b:NameList>
      </b:Author>
    </b:Author>
    <b:Title>Motivations, expectations and prepardness for higher education: A study of accounting students in Ireland, the UK, Spain and Greece </b:Title>
    <b:JournalName>Accounting Forum </b:JournalName>
    <b:Year>2012</b:Year>
    <b:Pages>134-144</b:Pages>
    <b:Volume>36</b:Volume>
    <b:Issue>22</b:Issue>
    <b:RefOrder>11</b:RefOrder>
  </b:Source>
  <b:Source>
    <b:Tag>Ain10</b:Tag>
    <b:SourceType>JournalArticle</b:SourceType>
    <b:Guid>{7B2EF095-1271-49CA-A6F8-204B5282FF98}</b:Guid>
    <b:Author>
      <b:Author>
        <b:NameList>
          <b:Person>
            <b:Last>Collins</b:Last>
            <b:First>Aine</b:First>
            <b:Middle>Macnamara &amp; Dave</b:Middle>
          </b:Person>
        </b:NameList>
      </b:Author>
    </b:Author>
    <b:Title>The role of psychological characteristics in managing the transition to university </b:Title>
    <b:JournalName>Psychology of Sport and Exercise </b:JournalName>
    <b:Year>2010</b:Year>
    <b:Pages>353-362</b:Pages>
    <b:Volume>11</b:Volume>
    <b:Issue>5</b:Issue>
    <b:RefOrder>12</b:RefOrder>
  </b:Source>
  <b:Source>
    <b:Tag>Har15</b:Tag>
    <b:SourceType>JournalArticle</b:SourceType>
    <b:Guid>{3EC5E5A3-C68A-4F6A-BAAC-3143B59E80CD}</b:Guid>
    <b:Author>
      <b:Author>
        <b:NameList>
          <b:Person>
            <b:Last>Jones</b:Last>
            <b:First>Harriet</b:First>
          </b:Person>
        </b:NameList>
      </b:Author>
    </b:Author>
    <b:Title>Are our students prepared for university ? </b:Title>
    <b:JournalName>BioScience Education</b:JournalName>
    <b:Year>2015</b:Year>
    <b:Pages>1-12</b:Pages>
    <b:Volume>18</b:Volume>
    <b:Issue>1</b:Issue>
    <b:RefOrder>4</b:RefOrder>
  </b:Source>
  <b:Source>
    <b:Tag>Pau06</b:Tag>
    <b:SourceType>JournalArticle</b:SourceType>
    <b:Guid>{E605EBEA-3B95-4178-922F-1C372BAC3A08}</b:Guid>
    <b:Author>
      <b:Author>
        <b:NameList>
          <b:Person>
            <b:Last>Wilcox</b:Last>
            <b:First>Paul</b:First>
          </b:Person>
        </b:NameList>
      </b:Author>
    </b:Author>
    <b:Title>'It was nothing to do with the university, it was just the people': the role of social support in the first-year experience of higher education</b:Title>
    <b:JournalName>Studies in Higher Education </b:JournalName>
    <b:Year>2006</b:Year>
    <b:Pages>707-722</b:Pages>
    <b:Volume>30</b:Volume>
    <b:Issue>6</b:Issue>
    <b:RefOrder>5</b:RefOrder>
  </b:Source>
  <b:Source>
    <b:Tag>Cha13</b:Tag>
    <b:SourceType>JournalArticle</b:SourceType>
    <b:Guid>{7F02D1EB-3804-42E8-8936-6A7625121A7C}</b:Guid>
    <b:Author>
      <b:Author>
        <b:NameList>
          <b:Person>
            <b:Last>Charles</b:Last>
            <b:First>J,</b:First>
            <b:Middle>Fornaciari &amp; Kathy,L, Dean</b:Middle>
          </b:Person>
        </b:NameList>
      </b:Author>
    </b:Author>
    <b:Title>The 21st- Century syllabus: From pedagogy to andragogy </b:Title>
    <b:JournalName>Journal of Management Education </b:JournalName>
    <b:Year>2013</b:Year>
    <b:Pages>701-723</b:Pages>
    <b:Volume>38</b:Volume>
    <b:Issue>5</b:Issue>
    <b:RefOrder>13</b:RefOrder>
  </b:Source>
  <b:Source>
    <b:Tag>Hou03</b:Tag>
    <b:SourceType>JournalArticle</b:SourceType>
    <b:Guid>{B970E3B1-FAA9-4603-B022-0C2F1EBD38B8}</b:Guid>
    <b:Author>
      <b:Author>
        <b:NameList>
          <b:Person>
            <b:Last>Cook</b:Last>
            <b:First>Houston</b:First>
            <b:Middle>Lowe &amp; Anthony</b:Middle>
          </b:Person>
        </b:NameList>
      </b:Author>
    </b:Author>
    <b:Title>Mind the Gap: Are students prepared for higher education? </b:Title>
    <b:JournalName>Journal of Further and Higher Education</b:JournalName>
    <b:Year>2003</b:Year>
    <b:Pages>53-76</b:Pages>
    <b:Volume>27</b:Volume>
    <b:Issue>1</b:Issue>
    <b:RefOrder>14</b:RefOrder>
  </b:Source>
  <b:Source>
    <b:Tag>Jam02</b:Tag>
    <b:SourceType>Book</b:SourceType>
    <b:Guid>{E615DD93-FA63-4FD5-98B4-4832F0971AB3}</b:Guid>
    <b:Title>Students' changing expectations of higher education and the consequences of mismatches with reality</b:Title>
    <b:Year>2002</b:Year>
    <b:Author>
      <b:Author>
        <b:NameList>
          <b:Person>
            <b:Last>James</b:Last>
            <b:First>R</b:First>
          </b:Person>
        </b:NameList>
      </b:Author>
    </b:Author>
    <b:City>USA</b:City>
    <b:Publisher>OECD</b:Publisher>
    <b:RefOrder>1</b:RefOrder>
  </b:Source>
  <b:Source>
    <b:Tag>Ale84</b:Tag>
    <b:SourceType>JournalArticle</b:SourceType>
    <b:Guid>{5B422203-C3CD-492F-8FE1-4F05D28063CE}</b:Guid>
    <b:Author>
      <b:Author>
        <b:NameList>
          <b:Person>
            <b:Last>Alexander</b:Last>
            <b:First>W,</b:First>
            <b:Middle>Astin</b:Middle>
          </b:Person>
        </b:NameList>
      </b:Author>
    </b:Author>
    <b:Title>Student Involvement: A developmental theory for higher education </b:Title>
    <b:Year>1984</b:Year>
    <b:JournalName>Journal of College Education Personel </b:JournalName>
    <b:Pages>297-308</b:Pages>
    <b:Volume>25</b:Volume>
    <b:Issue>4</b:Issue>
    <b:RefOrder>15</b:RefOrder>
  </b:Source>
  <b:Source>
    <b:Tag>Pew07</b:Tag>
    <b:SourceType>JournalArticle</b:SourceType>
    <b:Guid>{579AF1E9-CEF8-4987-B7C7-33AB55211835}</b:Guid>
    <b:Author>
      <b:Author>
        <b:NameList>
          <b:Person>
            <b:Last>Pew</b:Last>
            <b:First>Stephen</b:First>
          </b:Person>
        </b:NameList>
      </b:Author>
    </b:Author>
    <b:Title>Andragogy and Pedagogy as Foundational Thoery for Student Motivation in Higher Education</b:Title>
    <b:Year>2007</b:Year>
    <b:JournalName>Insight A collection of faculty scholarship</b:JournalName>
    <b:Pages>14-25</b:Pages>
    <b:Volume>2</b:Volume>
    <b:RefOrder>6</b:RefOrder>
  </b:Source>
  <b:Source>
    <b:Tag>Pau03</b:Tag>
    <b:SourceType>Book</b:SourceType>
    <b:Guid>{3F65EBF5-D79D-4B62-A06E-4A58F88796D7}</b:Guid>
    <b:Title>Learning to Teach in Higher Education </b:Title>
    <b:Year>2003</b:Year>
    <b:Author>
      <b:Author>
        <b:NameList>
          <b:Person>
            <b:Last>Ramsden</b:Last>
            <b:First>Paul</b:First>
          </b:Person>
        </b:NameList>
      </b:Author>
    </b:Author>
    <b:City>Oxon</b:City>
    <b:Publisher>RoutledgeFalmer</b:Publisher>
    <b:Edition>2nd</b:Edition>
    <b:RefOrder>3</b:RefOrder>
  </b:Source>
  <b:Source>
    <b:Tag>Miy05</b:Tag>
    <b:SourceType>Book</b:SourceType>
    <b:Guid>{1854750F-4BAD-4BFC-A2E8-337FD7E8CF87}</b:Guid>
    <b:Author>
      <b:Author>
        <b:NameList>
          <b:Person>
            <b:Last>Miyamoto</b:Last>
            <b:First>K</b:First>
          </b:Person>
        </b:NameList>
      </b:Author>
    </b:Author>
    <b:Title>Promoting Adult Learning </b:Title>
    <b:Year>2005</b:Year>
    <b:City>London</b:City>
    <b:Publisher>OECD</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8D65D5-135A-4BD3-B5A7-AF092456C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499</TotalTime>
  <Pages>13</Pages>
  <Words>3167</Words>
  <Characters>18052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LOWRI jONES</Company>
  <LinksUpToDate>false</LinksUpToDate>
  <CharactersWithSpaces>21177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Are Students Adequately Prepared for University?</dc:title>
  <dc:subject>Independent Study</dc:subject>
  <dc:creator>Lowri Jones</dc:creator>
  <cp:keywords/>
  <dc:description/>
  <cp:lastModifiedBy>Lowri Jones</cp:lastModifiedBy>
  <cp:revision>16</cp:revision>
  <dcterms:created xsi:type="dcterms:W3CDTF">2018-04-24T08:09:00Z</dcterms:created>
  <dcterms:modified xsi:type="dcterms:W3CDTF">2018-04-24T23:00:00Z</dcterms:modified>
</cp:coreProperties>
</file>