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E0C57" w14:textId="27480EB4" w:rsidR="00DB4D5B" w:rsidRDefault="00DB4D5B">
      <w:pPr>
        <w:rPr>
          <w:rFonts w:cs="Arial"/>
          <w:sz w:val="22"/>
          <w:szCs w:val="22"/>
        </w:rPr>
      </w:pPr>
      <w:r>
        <w:rPr>
          <w:rFonts w:cs="Arial"/>
          <w:noProof/>
          <w:sz w:val="22"/>
          <w:szCs w:val="22"/>
        </w:rPr>
        <w:drawing>
          <wp:anchor distT="0" distB="0" distL="114300" distR="114300" simplePos="0" relativeHeight="251658240" behindDoc="0" locked="0" layoutInCell="1" allowOverlap="1" wp14:anchorId="5D422652" wp14:editId="1268CA23">
            <wp:simplePos x="0" y="0"/>
            <wp:positionH relativeFrom="margin">
              <wp:align>center</wp:align>
            </wp:positionH>
            <wp:positionV relativeFrom="paragraph">
              <wp:posOffset>0</wp:posOffset>
            </wp:positionV>
            <wp:extent cx="7048500" cy="3524250"/>
            <wp:effectExtent l="0" t="0" r="0" b="0"/>
            <wp:wrapSquare wrapText="bothSides"/>
            <wp:docPr id="1863422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422775" name="Picture 1863422775"/>
                    <pic:cNvPicPr/>
                  </pic:nvPicPr>
                  <pic:blipFill>
                    <a:blip r:embed="rId6">
                      <a:extLst>
                        <a:ext uri="{28A0092B-C50C-407E-A947-70E740481C1C}">
                          <a14:useLocalDpi xmlns:a14="http://schemas.microsoft.com/office/drawing/2010/main" val="0"/>
                        </a:ext>
                      </a:extLst>
                    </a:blip>
                    <a:stretch>
                      <a:fillRect/>
                    </a:stretch>
                  </pic:blipFill>
                  <pic:spPr>
                    <a:xfrm>
                      <a:off x="0" y="0"/>
                      <a:ext cx="7048500" cy="3524250"/>
                    </a:xfrm>
                    <a:prstGeom prst="rect">
                      <a:avLst/>
                    </a:prstGeom>
                  </pic:spPr>
                </pic:pic>
              </a:graphicData>
            </a:graphic>
            <wp14:sizeRelH relativeFrom="margin">
              <wp14:pctWidth>0</wp14:pctWidth>
            </wp14:sizeRelH>
            <wp14:sizeRelV relativeFrom="margin">
              <wp14:pctHeight>0</wp14:pctHeight>
            </wp14:sizeRelV>
          </wp:anchor>
        </w:drawing>
      </w:r>
    </w:p>
    <w:p w14:paraId="01C20EBE" w14:textId="666762D9" w:rsidR="003E4308" w:rsidRDefault="000D4B9F" w:rsidP="00DB4D5B">
      <w:pPr>
        <w:jc w:val="center"/>
        <w:rPr>
          <w:rFonts w:cs="Arial"/>
          <w:b/>
          <w:bCs/>
          <w:sz w:val="48"/>
          <w:szCs w:val="48"/>
        </w:rPr>
      </w:pPr>
      <w:r w:rsidRPr="00DB4D5B">
        <w:rPr>
          <w:rFonts w:cs="Arial"/>
          <w:b/>
          <w:bCs/>
          <w:sz w:val="48"/>
          <w:szCs w:val="48"/>
        </w:rPr>
        <w:t>The impact of Frontline Policing on Mental Health and Interpersonal Relationships</w:t>
      </w:r>
    </w:p>
    <w:p w14:paraId="0FF2F914" w14:textId="77777777" w:rsidR="00EA78B0" w:rsidRDefault="00EA78B0" w:rsidP="00DB4D5B">
      <w:pPr>
        <w:jc w:val="center"/>
        <w:rPr>
          <w:rFonts w:cs="Arial"/>
          <w:b/>
          <w:bCs/>
          <w:sz w:val="48"/>
          <w:szCs w:val="48"/>
        </w:rPr>
      </w:pPr>
    </w:p>
    <w:p w14:paraId="739E4D49" w14:textId="77777777" w:rsidR="00EA78B0" w:rsidRDefault="00EA78B0" w:rsidP="00DB4D5B">
      <w:pPr>
        <w:jc w:val="center"/>
        <w:rPr>
          <w:rFonts w:cs="Arial"/>
          <w:b/>
          <w:bCs/>
          <w:sz w:val="48"/>
          <w:szCs w:val="48"/>
        </w:rPr>
      </w:pPr>
    </w:p>
    <w:p w14:paraId="52AB443C" w14:textId="63B336A2" w:rsidR="000C423F" w:rsidRDefault="000C423F" w:rsidP="00DB4D5B">
      <w:pPr>
        <w:jc w:val="center"/>
        <w:rPr>
          <w:rFonts w:cs="Arial"/>
          <w:b/>
          <w:bCs/>
          <w:sz w:val="48"/>
          <w:szCs w:val="48"/>
        </w:rPr>
      </w:pPr>
      <w:r>
        <w:rPr>
          <w:rFonts w:cs="Arial"/>
          <w:b/>
          <w:bCs/>
          <w:sz w:val="48"/>
          <w:szCs w:val="48"/>
        </w:rPr>
        <w:t>Daniel Simons – 2319874</w:t>
      </w:r>
    </w:p>
    <w:p w14:paraId="140BB5E5" w14:textId="77777777" w:rsidR="000C423F" w:rsidRDefault="000C423F" w:rsidP="00DB4D5B">
      <w:pPr>
        <w:jc w:val="center"/>
        <w:rPr>
          <w:rFonts w:cs="Arial"/>
          <w:b/>
          <w:bCs/>
          <w:sz w:val="48"/>
          <w:szCs w:val="48"/>
        </w:rPr>
      </w:pPr>
    </w:p>
    <w:p w14:paraId="60162300" w14:textId="53D1B6CD" w:rsidR="000C423F" w:rsidRDefault="00B664F5" w:rsidP="00DB4D5B">
      <w:pPr>
        <w:jc w:val="center"/>
        <w:rPr>
          <w:rFonts w:cs="Arial"/>
          <w:b/>
          <w:bCs/>
          <w:sz w:val="48"/>
          <w:szCs w:val="48"/>
        </w:rPr>
      </w:pPr>
      <w:proofErr w:type="spellStart"/>
      <w:r>
        <w:rPr>
          <w:rFonts w:cs="Arial"/>
          <w:b/>
          <w:bCs/>
          <w:sz w:val="48"/>
          <w:szCs w:val="48"/>
        </w:rPr>
        <w:t>Bsc</w:t>
      </w:r>
      <w:proofErr w:type="spellEnd"/>
      <w:r>
        <w:rPr>
          <w:rFonts w:cs="Arial"/>
          <w:b/>
          <w:bCs/>
          <w:sz w:val="48"/>
          <w:szCs w:val="48"/>
        </w:rPr>
        <w:t xml:space="preserve"> Professional Policing Practice</w:t>
      </w:r>
    </w:p>
    <w:p w14:paraId="5DADB8D0" w14:textId="77777777" w:rsidR="00246857" w:rsidRDefault="00246857" w:rsidP="00DB4D5B">
      <w:pPr>
        <w:jc w:val="center"/>
        <w:rPr>
          <w:rFonts w:cs="Arial"/>
          <w:b/>
          <w:bCs/>
          <w:sz w:val="48"/>
          <w:szCs w:val="48"/>
        </w:rPr>
      </w:pPr>
    </w:p>
    <w:p w14:paraId="1899EFA7" w14:textId="77777777" w:rsidR="00246857" w:rsidRDefault="00246857" w:rsidP="00DB4D5B">
      <w:pPr>
        <w:jc w:val="center"/>
        <w:rPr>
          <w:rFonts w:cs="Arial"/>
          <w:b/>
          <w:bCs/>
          <w:sz w:val="48"/>
          <w:szCs w:val="48"/>
        </w:rPr>
      </w:pPr>
    </w:p>
    <w:p w14:paraId="5C336DC3" w14:textId="0A1CEDE9" w:rsidR="00246857" w:rsidRDefault="00F848CA" w:rsidP="00DB4D5B">
      <w:pPr>
        <w:jc w:val="center"/>
        <w:rPr>
          <w:rFonts w:cs="Arial"/>
          <w:b/>
          <w:bCs/>
          <w:sz w:val="48"/>
          <w:szCs w:val="48"/>
        </w:rPr>
      </w:pPr>
      <w:r>
        <w:rPr>
          <w:rFonts w:cs="Arial"/>
          <w:b/>
          <w:bCs/>
          <w:sz w:val="48"/>
          <w:szCs w:val="48"/>
        </w:rPr>
        <w:lastRenderedPageBreak/>
        <w:t xml:space="preserve">Acknowledgments </w:t>
      </w:r>
    </w:p>
    <w:p w14:paraId="69ACA495" w14:textId="77777777" w:rsidR="00246857" w:rsidRDefault="00246857" w:rsidP="00DB4D5B">
      <w:pPr>
        <w:jc w:val="center"/>
        <w:rPr>
          <w:rFonts w:cs="Arial"/>
        </w:rPr>
      </w:pPr>
    </w:p>
    <w:p w14:paraId="08F9F2C9" w14:textId="15DB522B" w:rsidR="00AF5637" w:rsidRDefault="006D67B8" w:rsidP="00DB4D5B">
      <w:pPr>
        <w:jc w:val="center"/>
        <w:rPr>
          <w:rFonts w:cs="Arial"/>
        </w:rPr>
      </w:pPr>
      <w:r>
        <w:rPr>
          <w:rFonts w:cs="Arial"/>
        </w:rPr>
        <w:t>I would like to offer my sincere gratitude to everyone who has supported me throughout the completion of this dissertation and my university studies.</w:t>
      </w:r>
    </w:p>
    <w:p w14:paraId="0EF21935" w14:textId="77777777" w:rsidR="006D67B8" w:rsidRDefault="006D67B8" w:rsidP="00DB4D5B">
      <w:pPr>
        <w:jc w:val="center"/>
        <w:rPr>
          <w:rFonts w:cs="Arial"/>
        </w:rPr>
      </w:pPr>
    </w:p>
    <w:p w14:paraId="254281CD" w14:textId="44B49D25" w:rsidR="006D67B8" w:rsidRDefault="006D67B8" w:rsidP="00DB4D5B">
      <w:pPr>
        <w:jc w:val="center"/>
        <w:rPr>
          <w:rFonts w:cs="Arial"/>
        </w:rPr>
      </w:pPr>
      <w:r>
        <w:rPr>
          <w:rFonts w:cs="Arial"/>
        </w:rPr>
        <w:t xml:space="preserve">Firstly, I would like to thank my family, especially my </w:t>
      </w:r>
      <w:r w:rsidR="00B002F5">
        <w:rPr>
          <w:rFonts w:cs="Arial"/>
        </w:rPr>
        <w:t>fiancé</w:t>
      </w:r>
      <w:r>
        <w:rPr>
          <w:rFonts w:cs="Arial"/>
        </w:rPr>
        <w:t xml:space="preserve"> Jessica</w:t>
      </w:r>
      <w:r w:rsidR="009F1B83">
        <w:rPr>
          <w:rFonts w:cs="Arial"/>
        </w:rPr>
        <w:t xml:space="preserve">, for their unwavering encouragement, patience and support throughout this process. Their belief in my abilities </w:t>
      </w:r>
      <w:r w:rsidR="00B63487">
        <w:rPr>
          <w:rFonts w:cs="Arial"/>
        </w:rPr>
        <w:t xml:space="preserve">has motivated me during challenging periods and provided me with the determination to complete this research. I am especially grateful for their understanding and support during many hours </w:t>
      </w:r>
      <w:r w:rsidR="00F3750E">
        <w:rPr>
          <w:rFonts w:cs="Arial"/>
        </w:rPr>
        <w:t xml:space="preserve">studying, researching and writing. </w:t>
      </w:r>
    </w:p>
    <w:p w14:paraId="1B4DABC3" w14:textId="77777777" w:rsidR="00F3750E" w:rsidRDefault="00F3750E" w:rsidP="00DB4D5B">
      <w:pPr>
        <w:jc w:val="center"/>
        <w:rPr>
          <w:rFonts w:cs="Arial"/>
        </w:rPr>
      </w:pPr>
    </w:p>
    <w:p w14:paraId="0DE3BC1F" w14:textId="149B65EF" w:rsidR="00F3750E" w:rsidRDefault="00F3750E" w:rsidP="00DB4D5B">
      <w:pPr>
        <w:jc w:val="center"/>
        <w:rPr>
          <w:rFonts w:cs="Arial"/>
        </w:rPr>
      </w:pPr>
      <w:r>
        <w:rPr>
          <w:rFonts w:cs="Arial"/>
        </w:rPr>
        <w:t xml:space="preserve">I would also like to thank my colleagues for their </w:t>
      </w:r>
      <w:r w:rsidR="00791E43">
        <w:rPr>
          <w:rFonts w:cs="Arial"/>
        </w:rPr>
        <w:t>encouragement and willingness to share their experiences and perspectives. Their support has been invaluable in helping me develop both academically and professionally. In particular</w:t>
      </w:r>
      <w:r w:rsidR="00E76E1C">
        <w:rPr>
          <w:rFonts w:cs="Arial"/>
        </w:rPr>
        <w:t xml:space="preserve">, I am grateful to those who participated in and supported this research, without whom this study would not have been possible. </w:t>
      </w:r>
    </w:p>
    <w:p w14:paraId="326A3E3C" w14:textId="77777777" w:rsidR="002E6EAE" w:rsidRDefault="002E6EAE" w:rsidP="00DB4D5B">
      <w:pPr>
        <w:jc w:val="center"/>
        <w:rPr>
          <w:rFonts w:cs="Arial"/>
        </w:rPr>
      </w:pPr>
    </w:p>
    <w:p w14:paraId="752C7F08" w14:textId="77777777" w:rsidR="002E6EAE" w:rsidRDefault="002E6EAE" w:rsidP="00DB4D5B">
      <w:pPr>
        <w:jc w:val="center"/>
        <w:rPr>
          <w:rFonts w:cs="Arial"/>
        </w:rPr>
      </w:pPr>
    </w:p>
    <w:p w14:paraId="26BD53A4" w14:textId="7828BE7E" w:rsidR="002E6EAE" w:rsidRPr="00AF5637" w:rsidRDefault="002E6EAE" w:rsidP="00DB4D5B">
      <w:pPr>
        <w:jc w:val="center"/>
        <w:rPr>
          <w:rFonts w:cs="Arial"/>
        </w:rPr>
      </w:pPr>
      <w:r>
        <w:rPr>
          <w:rFonts w:cs="Arial"/>
        </w:rPr>
        <w:t>To all those who have contributed in any way, I offer my sincere thanks.</w:t>
      </w:r>
    </w:p>
    <w:p w14:paraId="7EFC5711" w14:textId="77777777" w:rsidR="00246857" w:rsidRDefault="00246857" w:rsidP="00DB4D5B">
      <w:pPr>
        <w:jc w:val="center"/>
        <w:rPr>
          <w:rFonts w:cs="Arial"/>
          <w:b/>
          <w:bCs/>
          <w:sz w:val="48"/>
          <w:szCs w:val="48"/>
        </w:rPr>
      </w:pPr>
    </w:p>
    <w:p w14:paraId="248BEC87" w14:textId="77777777" w:rsidR="00246857" w:rsidRDefault="00246857" w:rsidP="00DB4D5B">
      <w:pPr>
        <w:jc w:val="center"/>
        <w:rPr>
          <w:rFonts w:cs="Arial"/>
          <w:b/>
          <w:bCs/>
          <w:sz w:val="48"/>
          <w:szCs w:val="48"/>
        </w:rPr>
      </w:pPr>
    </w:p>
    <w:p w14:paraId="6D8ED5F5" w14:textId="77777777" w:rsidR="00246857" w:rsidRDefault="00246857" w:rsidP="00DB4D5B">
      <w:pPr>
        <w:jc w:val="center"/>
        <w:rPr>
          <w:rFonts w:cs="Arial"/>
          <w:b/>
          <w:bCs/>
          <w:sz w:val="48"/>
          <w:szCs w:val="48"/>
        </w:rPr>
      </w:pPr>
    </w:p>
    <w:p w14:paraId="40B19B35" w14:textId="77777777" w:rsidR="00246857" w:rsidRDefault="00246857" w:rsidP="00DB4D5B">
      <w:pPr>
        <w:jc w:val="center"/>
        <w:rPr>
          <w:rFonts w:cs="Arial"/>
          <w:b/>
          <w:bCs/>
          <w:sz w:val="48"/>
          <w:szCs w:val="48"/>
        </w:rPr>
      </w:pPr>
    </w:p>
    <w:p w14:paraId="1485A038" w14:textId="77777777" w:rsidR="00246857" w:rsidRDefault="00246857" w:rsidP="00DB4D5B">
      <w:pPr>
        <w:jc w:val="center"/>
        <w:rPr>
          <w:rFonts w:cs="Arial"/>
          <w:b/>
          <w:bCs/>
          <w:sz w:val="48"/>
          <w:szCs w:val="48"/>
        </w:rPr>
      </w:pPr>
    </w:p>
    <w:p w14:paraId="5004918B" w14:textId="77777777" w:rsidR="00246857" w:rsidRDefault="00246857" w:rsidP="002E6EAE">
      <w:pPr>
        <w:rPr>
          <w:rFonts w:cs="Arial"/>
          <w:b/>
          <w:bCs/>
          <w:sz w:val="48"/>
          <w:szCs w:val="48"/>
        </w:rPr>
      </w:pPr>
    </w:p>
    <w:p w14:paraId="5925B465" w14:textId="1BACCA18" w:rsidR="00246857" w:rsidRDefault="00246857" w:rsidP="00DB4D5B">
      <w:pPr>
        <w:jc w:val="center"/>
        <w:rPr>
          <w:rFonts w:cs="Arial"/>
        </w:rPr>
      </w:pPr>
    </w:p>
    <w:p w14:paraId="5A32671D" w14:textId="77777777" w:rsidR="00D07D62" w:rsidRDefault="00764C76" w:rsidP="005F368D">
      <w:pPr>
        <w:rPr>
          <w:rFonts w:ascii="Calibri" w:hAnsi="Calibri" w:cs="Calibri"/>
          <w:b/>
          <w:bCs/>
          <w:sz w:val="32"/>
          <w:szCs w:val="32"/>
          <w:u w:val="single"/>
        </w:rPr>
      </w:pPr>
      <w:r w:rsidRPr="005F368D">
        <w:rPr>
          <w:rFonts w:ascii="Calibri" w:hAnsi="Calibri" w:cs="Calibri"/>
          <w:b/>
          <w:bCs/>
          <w:sz w:val="32"/>
          <w:szCs w:val="32"/>
          <w:u w:val="single"/>
        </w:rPr>
        <w:lastRenderedPageBreak/>
        <w:t>Declaration</w:t>
      </w:r>
    </w:p>
    <w:p w14:paraId="5FC8AD82" w14:textId="77777777" w:rsidR="00D07D62" w:rsidRDefault="00D07D62" w:rsidP="005F368D">
      <w:pPr>
        <w:rPr>
          <w:rFonts w:ascii="Calibri" w:hAnsi="Calibri" w:cs="Calibri"/>
          <w:b/>
          <w:bCs/>
          <w:sz w:val="32"/>
          <w:szCs w:val="32"/>
          <w:u w:val="single"/>
        </w:rPr>
      </w:pPr>
    </w:p>
    <w:p w14:paraId="1CE3437F" w14:textId="58E4D9DA" w:rsidR="0039408C" w:rsidRDefault="00D033CB" w:rsidP="005F368D">
      <w:pPr>
        <w:rPr>
          <w:rFonts w:ascii="Calibri" w:hAnsi="Calibri" w:cs="Calibri"/>
        </w:rPr>
      </w:pPr>
      <w:r>
        <w:rPr>
          <w:rFonts w:ascii="Calibri" w:hAnsi="Calibri" w:cs="Calibri"/>
          <w:noProof/>
        </w:rPr>
        <w:drawing>
          <wp:anchor distT="0" distB="0" distL="114300" distR="114300" simplePos="0" relativeHeight="251662336" behindDoc="0" locked="0" layoutInCell="1" allowOverlap="1" wp14:anchorId="72B6F53A" wp14:editId="4E4DE6D8">
            <wp:simplePos x="0" y="0"/>
            <wp:positionH relativeFrom="column">
              <wp:posOffset>577850</wp:posOffset>
            </wp:positionH>
            <wp:positionV relativeFrom="paragraph">
              <wp:posOffset>422275</wp:posOffset>
            </wp:positionV>
            <wp:extent cx="755015" cy="400050"/>
            <wp:effectExtent l="0" t="0" r="6985" b="0"/>
            <wp:wrapSquare wrapText="bothSides"/>
            <wp:docPr id="42127393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5015" cy="400050"/>
                    </a:xfrm>
                    <a:prstGeom prst="rect">
                      <a:avLst/>
                    </a:prstGeom>
                    <a:noFill/>
                  </pic:spPr>
                </pic:pic>
              </a:graphicData>
            </a:graphic>
            <wp14:sizeRelH relativeFrom="margin">
              <wp14:pctWidth>0</wp14:pctWidth>
            </wp14:sizeRelH>
            <wp14:sizeRelV relativeFrom="margin">
              <wp14:pctHeight>0</wp14:pctHeight>
            </wp14:sizeRelV>
          </wp:anchor>
        </w:drawing>
      </w:r>
      <w:r w:rsidR="005F368D" w:rsidRPr="005F368D">
        <w:rPr>
          <w:rFonts w:ascii="Calibri" w:hAnsi="Calibri" w:cs="Calibri"/>
        </w:rPr>
        <w:t xml:space="preserve">This work has not previously been accepted in substance for any degree and is not being concurrently submitted in candidature for any degree.   </w:t>
      </w:r>
    </w:p>
    <w:p w14:paraId="22F17911" w14:textId="14E60F47" w:rsidR="0039408C" w:rsidRDefault="005F368D" w:rsidP="005F368D">
      <w:pPr>
        <w:rPr>
          <w:rFonts w:ascii="Calibri" w:hAnsi="Calibri" w:cs="Calibri"/>
        </w:rPr>
      </w:pPr>
      <w:r w:rsidRPr="005F368D">
        <w:rPr>
          <w:rFonts w:ascii="Calibri" w:hAnsi="Calibri" w:cs="Calibri"/>
        </w:rPr>
        <w:t xml:space="preserve">Signed: </w:t>
      </w:r>
    </w:p>
    <w:p w14:paraId="01D90CC9" w14:textId="12AB1D06" w:rsidR="005F368D" w:rsidRPr="00D07D62" w:rsidRDefault="005F368D" w:rsidP="005F368D">
      <w:pPr>
        <w:rPr>
          <w:rFonts w:ascii="Calibri" w:hAnsi="Calibri" w:cs="Calibri"/>
          <w:b/>
          <w:bCs/>
          <w:sz w:val="32"/>
          <w:szCs w:val="32"/>
          <w:u w:val="single"/>
        </w:rPr>
      </w:pPr>
      <w:r w:rsidRPr="005F368D">
        <w:rPr>
          <w:rFonts w:ascii="Calibri" w:hAnsi="Calibri" w:cs="Calibri"/>
        </w:rPr>
        <w:t xml:space="preserve">Date: </w:t>
      </w:r>
      <w:r w:rsidR="000F3A50">
        <w:rPr>
          <w:rFonts w:ascii="Calibri" w:hAnsi="Calibri" w:cs="Calibri"/>
        </w:rPr>
        <w:t>15/06/2026</w:t>
      </w:r>
    </w:p>
    <w:p w14:paraId="358C279E" w14:textId="77777777" w:rsidR="00D07D62" w:rsidRDefault="00D07D62" w:rsidP="00D07D62">
      <w:pPr>
        <w:rPr>
          <w:rFonts w:ascii="Calibri" w:hAnsi="Calibri" w:cs="Calibri"/>
          <w:u w:val="single"/>
        </w:rPr>
      </w:pPr>
    </w:p>
    <w:p w14:paraId="28BE48F3" w14:textId="77777777" w:rsidR="0039408C" w:rsidRDefault="005F368D" w:rsidP="00D07D62">
      <w:pPr>
        <w:rPr>
          <w:rFonts w:ascii="Calibri" w:hAnsi="Calibri" w:cs="Calibri"/>
        </w:rPr>
      </w:pPr>
      <w:r w:rsidRPr="005F368D">
        <w:rPr>
          <w:rFonts w:ascii="Calibri" w:hAnsi="Calibri" w:cs="Calibri"/>
          <w:u w:val="single"/>
        </w:rPr>
        <w:t>Statement 1</w:t>
      </w:r>
      <w:r w:rsidRPr="005F368D">
        <w:rPr>
          <w:rFonts w:ascii="Calibri" w:hAnsi="Calibri" w:cs="Calibri"/>
        </w:rPr>
        <w:t xml:space="preserve"> - This dissertation is being submitted in partial fulfilment of the requirements for the degree of BSc</w:t>
      </w:r>
      <w:r w:rsidR="0039408C">
        <w:rPr>
          <w:rFonts w:ascii="Calibri" w:hAnsi="Calibri" w:cs="Calibri"/>
        </w:rPr>
        <w:t xml:space="preserve"> Professional Policing Practice</w:t>
      </w:r>
      <w:r w:rsidRPr="005F368D">
        <w:rPr>
          <w:rFonts w:ascii="Calibri" w:hAnsi="Calibri" w:cs="Calibri"/>
        </w:rPr>
        <w:t xml:space="preserve">. </w:t>
      </w:r>
    </w:p>
    <w:p w14:paraId="7CC8AAA1" w14:textId="2D7CCC50" w:rsidR="0039408C" w:rsidRDefault="00D033CB" w:rsidP="00D07D62">
      <w:pPr>
        <w:rPr>
          <w:rFonts w:ascii="Calibri" w:hAnsi="Calibri" w:cs="Calibri"/>
        </w:rPr>
      </w:pPr>
      <w:r>
        <w:rPr>
          <w:rFonts w:ascii="Calibri" w:hAnsi="Calibri" w:cs="Calibri"/>
          <w:noProof/>
        </w:rPr>
        <mc:AlternateContent>
          <mc:Choice Requires="wpi">
            <w:drawing>
              <wp:anchor distT="0" distB="0" distL="114300" distR="114300" simplePos="0" relativeHeight="251661312" behindDoc="0" locked="0" layoutInCell="1" allowOverlap="1" wp14:anchorId="2C1369E9" wp14:editId="3DAA6569">
                <wp:simplePos x="0" y="0"/>
                <wp:positionH relativeFrom="column">
                  <wp:posOffset>586105</wp:posOffset>
                </wp:positionH>
                <wp:positionV relativeFrom="paragraph">
                  <wp:posOffset>-107315</wp:posOffset>
                </wp:positionV>
                <wp:extent cx="633095" cy="310515"/>
                <wp:effectExtent l="38100" t="38100" r="0" b="51435"/>
                <wp:wrapNone/>
                <wp:docPr id="1773613258" name="Ink 15"/>
                <wp:cNvGraphicFramePr/>
                <a:graphic xmlns:a="http://schemas.openxmlformats.org/drawingml/2006/main">
                  <a:graphicData uri="http://schemas.microsoft.com/office/word/2010/wordprocessingInk">
                    <w14:contentPart bwMode="auto" r:id="rId8">
                      <w14:nvContentPartPr>
                        <w14:cNvContentPartPr/>
                      </w14:nvContentPartPr>
                      <w14:xfrm>
                        <a:off x="0" y="0"/>
                        <a:ext cx="633095" cy="310515"/>
                      </w14:xfrm>
                    </w14:contentPart>
                  </a:graphicData>
                </a:graphic>
                <wp14:sizeRelH relativeFrom="margin">
                  <wp14:pctWidth>0</wp14:pctWidth>
                </wp14:sizeRelH>
                <wp14:sizeRelV relativeFrom="margin">
                  <wp14:pctHeight>0</wp14:pctHeight>
                </wp14:sizeRelV>
              </wp:anchor>
            </w:drawing>
          </mc:Choice>
          <mc:Fallback>
            <w:pict>
              <v:shapetype w14:anchorId="5242CC3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5" o:spid="_x0000_s1026" type="#_x0000_t75" style="position:absolute;margin-left:45.65pt;margin-top:-8.95pt;width:50.8pt;height:2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">
                <v:imagedata r:id="rId9" o:title=""/>
              </v:shape>
            </w:pict>
          </mc:Fallback>
        </mc:AlternateContent>
      </w:r>
      <w:r w:rsidR="005F368D" w:rsidRPr="005F368D">
        <w:rPr>
          <w:rFonts w:ascii="Calibri" w:hAnsi="Calibri" w:cs="Calibri"/>
        </w:rPr>
        <w:t xml:space="preserve">Signed: </w:t>
      </w:r>
    </w:p>
    <w:p w14:paraId="7ECC3370" w14:textId="53FAC30D" w:rsidR="005F368D" w:rsidRPr="005F368D" w:rsidRDefault="005F368D" w:rsidP="00D07D62">
      <w:pPr>
        <w:rPr>
          <w:rFonts w:ascii="Calibri" w:hAnsi="Calibri" w:cs="Calibri"/>
        </w:rPr>
      </w:pPr>
      <w:r w:rsidRPr="005F368D">
        <w:rPr>
          <w:rFonts w:ascii="Calibri" w:hAnsi="Calibri" w:cs="Calibri"/>
        </w:rPr>
        <w:t xml:space="preserve">Date: </w:t>
      </w:r>
      <w:r w:rsidR="000F3A50">
        <w:rPr>
          <w:rFonts w:ascii="Calibri" w:hAnsi="Calibri" w:cs="Calibri"/>
        </w:rPr>
        <w:t>15/06/2026</w:t>
      </w:r>
    </w:p>
    <w:p w14:paraId="5D750086" w14:textId="77777777" w:rsidR="0039408C" w:rsidRDefault="0039408C" w:rsidP="00D07D62">
      <w:pPr>
        <w:rPr>
          <w:rFonts w:ascii="Calibri" w:hAnsi="Calibri" w:cs="Calibri"/>
          <w:u w:val="single"/>
        </w:rPr>
      </w:pPr>
    </w:p>
    <w:p w14:paraId="324121F5" w14:textId="1CF8F169" w:rsidR="0039408C" w:rsidRDefault="00D033CB" w:rsidP="00D07D62">
      <w:pPr>
        <w:rPr>
          <w:rFonts w:ascii="Calibri" w:hAnsi="Calibri" w:cs="Calibri"/>
        </w:rPr>
      </w:pPr>
      <w:r>
        <w:rPr>
          <w:rFonts w:ascii="Calibri" w:hAnsi="Calibri" w:cs="Calibri"/>
          <w:noProof/>
        </w:rPr>
        <w:drawing>
          <wp:anchor distT="0" distB="0" distL="114300" distR="114300" simplePos="0" relativeHeight="251663360" behindDoc="0" locked="0" layoutInCell="1" allowOverlap="1" wp14:anchorId="3260706F" wp14:editId="5BF0E864">
            <wp:simplePos x="0" y="0"/>
            <wp:positionH relativeFrom="margin">
              <wp:posOffset>571500</wp:posOffset>
            </wp:positionH>
            <wp:positionV relativeFrom="paragraph">
              <wp:posOffset>661035</wp:posOffset>
            </wp:positionV>
            <wp:extent cx="671195" cy="355600"/>
            <wp:effectExtent l="0" t="0" r="0" b="6350"/>
            <wp:wrapSquare wrapText="bothSides"/>
            <wp:docPr id="21737257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1195" cy="355600"/>
                    </a:xfrm>
                    <a:prstGeom prst="rect">
                      <a:avLst/>
                    </a:prstGeom>
                    <a:noFill/>
                  </pic:spPr>
                </pic:pic>
              </a:graphicData>
            </a:graphic>
          </wp:anchor>
        </w:drawing>
      </w:r>
      <w:r w:rsidR="00D07D62">
        <w:rPr>
          <w:rFonts w:ascii="Calibri" w:hAnsi="Calibri" w:cs="Calibri"/>
          <w:u w:val="single"/>
        </w:rPr>
        <w:t>S</w:t>
      </w:r>
      <w:r w:rsidR="005F368D" w:rsidRPr="005F368D">
        <w:rPr>
          <w:rFonts w:ascii="Calibri" w:hAnsi="Calibri" w:cs="Calibri"/>
          <w:u w:val="single"/>
        </w:rPr>
        <w:t>tatement 2</w:t>
      </w:r>
      <w:r w:rsidR="005F368D" w:rsidRPr="005F368D">
        <w:rPr>
          <w:rFonts w:ascii="Calibri" w:hAnsi="Calibri" w:cs="Calibri"/>
        </w:rPr>
        <w:t xml:space="preserve"> - This dissertation is the result of my own independent work/investigation, except where otherwise stated. Other sources are acknowledged by footnotes giving explicit references.  A bibliography is appended. </w:t>
      </w:r>
    </w:p>
    <w:p w14:paraId="017BA43B" w14:textId="715D2247" w:rsidR="0039408C" w:rsidRDefault="005F368D" w:rsidP="00D07D62">
      <w:pPr>
        <w:rPr>
          <w:rFonts w:ascii="Calibri" w:hAnsi="Calibri" w:cs="Calibri"/>
        </w:rPr>
      </w:pPr>
      <w:r w:rsidRPr="005F368D">
        <w:rPr>
          <w:rFonts w:ascii="Calibri" w:hAnsi="Calibri" w:cs="Calibri"/>
        </w:rPr>
        <w:t xml:space="preserve">Signed:  </w:t>
      </w:r>
      <w:r w:rsidR="00D033CB">
        <w:rPr>
          <w:rFonts w:ascii="Calibri" w:hAnsi="Calibri" w:cs="Calibri"/>
        </w:rPr>
        <w:t xml:space="preserve"> </w:t>
      </w:r>
    </w:p>
    <w:p w14:paraId="7ADE4746" w14:textId="76BFD25D" w:rsidR="005F368D" w:rsidRPr="005F368D" w:rsidRDefault="005F368D" w:rsidP="00D07D62">
      <w:pPr>
        <w:rPr>
          <w:rFonts w:ascii="Calibri" w:hAnsi="Calibri" w:cs="Calibri"/>
        </w:rPr>
      </w:pPr>
      <w:r w:rsidRPr="005F368D">
        <w:rPr>
          <w:rFonts w:ascii="Calibri" w:hAnsi="Calibri" w:cs="Calibri"/>
        </w:rPr>
        <w:t xml:space="preserve">Date: </w:t>
      </w:r>
      <w:r w:rsidR="000F3A50">
        <w:rPr>
          <w:rFonts w:ascii="Calibri" w:hAnsi="Calibri" w:cs="Calibri"/>
        </w:rPr>
        <w:t>15/06/2026</w:t>
      </w:r>
    </w:p>
    <w:p w14:paraId="4DE753C9" w14:textId="77777777" w:rsidR="00D07D62" w:rsidRDefault="00D07D62" w:rsidP="00D07D62">
      <w:pPr>
        <w:rPr>
          <w:rFonts w:ascii="Calibri" w:hAnsi="Calibri" w:cs="Calibri"/>
          <w:u w:val="single"/>
        </w:rPr>
      </w:pPr>
    </w:p>
    <w:p w14:paraId="721CA886" w14:textId="5EE525FD" w:rsidR="0039408C" w:rsidRDefault="000F3A50" w:rsidP="00D07D62">
      <w:pPr>
        <w:rPr>
          <w:rFonts w:ascii="Calibri" w:hAnsi="Calibri" w:cs="Calibri"/>
        </w:rPr>
      </w:pPr>
      <w:r>
        <w:rPr>
          <w:rFonts w:ascii="Calibri" w:hAnsi="Calibri" w:cs="Calibri"/>
          <w:noProof/>
        </w:rPr>
        <w:drawing>
          <wp:anchor distT="0" distB="0" distL="114300" distR="114300" simplePos="0" relativeHeight="251664384" behindDoc="0" locked="0" layoutInCell="1" allowOverlap="1" wp14:anchorId="36A6106E" wp14:editId="1730EC4C">
            <wp:simplePos x="0" y="0"/>
            <wp:positionH relativeFrom="column">
              <wp:posOffset>605790</wp:posOffset>
            </wp:positionH>
            <wp:positionV relativeFrom="paragraph">
              <wp:posOffset>631825</wp:posOffset>
            </wp:positionV>
            <wp:extent cx="659130" cy="349250"/>
            <wp:effectExtent l="0" t="0" r="7620" b="0"/>
            <wp:wrapSquare wrapText="bothSides"/>
            <wp:docPr id="210429287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9130" cy="349250"/>
                    </a:xfrm>
                    <a:prstGeom prst="rect">
                      <a:avLst/>
                    </a:prstGeom>
                    <a:noFill/>
                  </pic:spPr>
                </pic:pic>
              </a:graphicData>
            </a:graphic>
            <wp14:sizeRelH relativeFrom="margin">
              <wp14:pctWidth>0</wp14:pctWidth>
            </wp14:sizeRelH>
            <wp14:sizeRelV relativeFrom="margin">
              <wp14:pctHeight>0</wp14:pctHeight>
            </wp14:sizeRelV>
          </wp:anchor>
        </w:drawing>
      </w:r>
      <w:r w:rsidR="005F368D" w:rsidRPr="005F368D">
        <w:rPr>
          <w:rFonts w:ascii="Calibri" w:hAnsi="Calibri" w:cs="Calibri"/>
          <w:u w:val="single"/>
        </w:rPr>
        <w:t>Statement 3</w:t>
      </w:r>
      <w:r w:rsidR="005F368D" w:rsidRPr="005F368D">
        <w:rPr>
          <w:rFonts w:ascii="Calibri" w:hAnsi="Calibri" w:cs="Calibri"/>
        </w:rPr>
        <w:t xml:space="preserve"> - I hereby give consent for my dissertation, if accepted, to be available for photocopying and for interlibrary loan, and for the title and summary to be made available to outside organisations. </w:t>
      </w:r>
    </w:p>
    <w:p w14:paraId="74828093" w14:textId="180A517F" w:rsidR="0039408C" w:rsidRDefault="005F368D" w:rsidP="00D07D62">
      <w:pPr>
        <w:rPr>
          <w:rFonts w:ascii="Calibri" w:hAnsi="Calibri" w:cs="Calibri"/>
        </w:rPr>
      </w:pPr>
      <w:r w:rsidRPr="005F368D">
        <w:rPr>
          <w:rFonts w:ascii="Calibri" w:hAnsi="Calibri" w:cs="Calibri"/>
        </w:rPr>
        <w:t>Signed</w:t>
      </w:r>
      <w:r w:rsidR="0039408C">
        <w:rPr>
          <w:rFonts w:ascii="Calibri" w:hAnsi="Calibri" w:cs="Calibri"/>
        </w:rPr>
        <w:t>:</w:t>
      </w:r>
      <w:r w:rsidRPr="005F368D">
        <w:rPr>
          <w:rFonts w:ascii="Calibri" w:hAnsi="Calibri" w:cs="Calibri"/>
        </w:rPr>
        <w:t xml:space="preserve"> </w:t>
      </w:r>
      <w:r w:rsidR="000F3A50">
        <w:rPr>
          <w:rFonts w:ascii="Calibri" w:hAnsi="Calibri" w:cs="Calibri"/>
        </w:rPr>
        <w:t xml:space="preserve"> </w:t>
      </w:r>
    </w:p>
    <w:p w14:paraId="3C613573" w14:textId="763DBE35" w:rsidR="005F368D" w:rsidRPr="005F368D" w:rsidRDefault="000F3A50" w:rsidP="00D07D62">
      <w:pPr>
        <w:rPr>
          <w:rFonts w:ascii="Calibri" w:hAnsi="Calibri" w:cs="Calibri"/>
        </w:rPr>
      </w:pPr>
      <w:r w:rsidRPr="005F368D">
        <w:rPr>
          <w:rFonts w:ascii="Calibri" w:hAnsi="Calibri" w:cs="Calibri"/>
        </w:rPr>
        <w:t>D</w:t>
      </w:r>
      <w:r>
        <w:rPr>
          <w:rFonts w:ascii="Calibri" w:hAnsi="Calibri" w:cs="Calibri"/>
        </w:rPr>
        <w:t>a</w:t>
      </w:r>
      <w:r w:rsidRPr="005F368D">
        <w:rPr>
          <w:rFonts w:ascii="Calibri" w:hAnsi="Calibri" w:cs="Calibri"/>
        </w:rPr>
        <w:t>te</w:t>
      </w:r>
      <w:r w:rsidR="005F368D" w:rsidRPr="005F368D">
        <w:rPr>
          <w:rFonts w:ascii="Calibri" w:hAnsi="Calibri" w:cs="Calibri"/>
        </w:rPr>
        <w:t>:</w:t>
      </w:r>
      <w:r>
        <w:rPr>
          <w:rFonts w:ascii="Calibri" w:hAnsi="Calibri" w:cs="Calibri"/>
        </w:rPr>
        <w:t xml:space="preserve"> 15/06/2026</w:t>
      </w:r>
    </w:p>
    <w:p w14:paraId="3CCE5215" w14:textId="77777777" w:rsidR="00D07D62" w:rsidRDefault="00D07D62" w:rsidP="00D07D62">
      <w:pPr>
        <w:rPr>
          <w:rFonts w:ascii="Calibri" w:hAnsi="Calibri" w:cs="Calibri"/>
          <w:u w:val="single"/>
        </w:rPr>
      </w:pPr>
    </w:p>
    <w:p w14:paraId="7B03CC77" w14:textId="142DACC4" w:rsidR="0039408C" w:rsidRDefault="000F3A50" w:rsidP="00D07D62">
      <w:pPr>
        <w:rPr>
          <w:rFonts w:ascii="Calibri" w:hAnsi="Calibri" w:cs="Calibri"/>
        </w:rPr>
      </w:pPr>
      <w:r>
        <w:rPr>
          <w:rFonts w:ascii="Calibri" w:hAnsi="Calibri" w:cs="Calibri"/>
          <w:noProof/>
        </w:rPr>
        <w:drawing>
          <wp:anchor distT="0" distB="0" distL="114300" distR="114300" simplePos="0" relativeHeight="251665408" behindDoc="0" locked="0" layoutInCell="1" allowOverlap="1" wp14:anchorId="513FDEF8" wp14:editId="47114564">
            <wp:simplePos x="0" y="0"/>
            <wp:positionH relativeFrom="column">
              <wp:posOffset>596900</wp:posOffset>
            </wp:positionH>
            <wp:positionV relativeFrom="paragraph">
              <wp:posOffset>443865</wp:posOffset>
            </wp:positionV>
            <wp:extent cx="706755" cy="374650"/>
            <wp:effectExtent l="0" t="0" r="0" b="6350"/>
            <wp:wrapSquare wrapText="bothSides"/>
            <wp:docPr id="117300229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6755" cy="374650"/>
                    </a:xfrm>
                    <a:prstGeom prst="rect">
                      <a:avLst/>
                    </a:prstGeom>
                    <a:noFill/>
                  </pic:spPr>
                </pic:pic>
              </a:graphicData>
            </a:graphic>
          </wp:anchor>
        </w:drawing>
      </w:r>
      <w:r w:rsidR="005F368D" w:rsidRPr="005F368D">
        <w:rPr>
          <w:rFonts w:ascii="Calibri" w:hAnsi="Calibri" w:cs="Calibri"/>
          <w:u w:val="single"/>
        </w:rPr>
        <w:t>Statement 4</w:t>
      </w:r>
      <w:r w:rsidR="005F368D" w:rsidRPr="005F368D">
        <w:rPr>
          <w:rFonts w:ascii="Calibri" w:hAnsi="Calibri" w:cs="Calibri"/>
        </w:rPr>
        <w:t xml:space="preserve"> - I hereby give consent for my dissertation, if accepted, to be available on the university’s IT system to those who have consent to use the system. </w:t>
      </w:r>
    </w:p>
    <w:p w14:paraId="20F61C1B" w14:textId="14080ED5" w:rsidR="0039408C" w:rsidRDefault="005F368D" w:rsidP="00D07D62">
      <w:pPr>
        <w:rPr>
          <w:rFonts w:ascii="Calibri" w:hAnsi="Calibri" w:cs="Calibri"/>
        </w:rPr>
      </w:pPr>
      <w:r w:rsidRPr="005F368D">
        <w:rPr>
          <w:rFonts w:ascii="Calibri" w:hAnsi="Calibri" w:cs="Calibri"/>
        </w:rPr>
        <w:t xml:space="preserve">Signed:  </w:t>
      </w:r>
    </w:p>
    <w:p w14:paraId="784C61B4" w14:textId="529EBB27" w:rsidR="005F368D" w:rsidRDefault="005F368D" w:rsidP="00D07D62">
      <w:pPr>
        <w:rPr>
          <w:rFonts w:ascii="Calibri" w:hAnsi="Calibri" w:cs="Calibri"/>
        </w:rPr>
      </w:pPr>
      <w:r w:rsidRPr="005F368D">
        <w:rPr>
          <w:rFonts w:ascii="Calibri" w:hAnsi="Calibri" w:cs="Calibri"/>
        </w:rPr>
        <w:t>Date:</w:t>
      </w:r>
      <w:r w:rsidR="000F3A50">
        <w:rPr>
          <w:rFonts w:ascii="Calibri" w:hAnsi="Calibri" w:cs="Calibri"/>
        </w:rPr>
        <w:t xml:space="preserve"> 15/06/2026</w:t>
      </w:r>
    </w:p>
    <w:p w14:paraId="0C9C1A7D" w14:textId="77777777" w:rsidR="00C75098" w:rsidRDefault="00C75098" w:rsidP="00D07D62">
      <w:pPr>
        <w:rPr>
          <w:rFonts w:ascii="Calibri" w:hAnsi="Calibri" w:cs="Calibri"/>
        </w:rPr>
      </w:pPr>
    </w:p>
    <w:p w14:paraId="2ADE5F94" w14:textId="77777777" w:rsidR="00C75098" w:rsidRDefault="00C75098" w:rsidP="00D07D62">
      <w:pPr>
        <w:rPr>
          <w:rFonts w:ascii="Calibri" w:hAnsi="Calibri" w:cs="Calibri"/>
        </w:rPr>
      </w:pPr>
    </w:p>
    <w:p w14:paraId="5EA9193B" w14:textId="74E20D00" w:rsidR="00C75098" w:rsidRDefault="00AC2EFD" w:rsidP="00AC2EFD">
      <w:pPr>
        <w:jc w:val="center"/>
        <w:rPr>
          <w:rFonts w:ascii="Calibri" w:hAnsi="Calibri" w:cs="Calibri"/>
          <w:b/>
          <w:bCs/>
          <w:sz w:val="32"/>
          <w:szCs w:val="32"/>
          <w:u w:val="single"/>
        </w:rPr>
      </w:pPr>
      <w:r>
        <w:rPr>
          <w:rFonts w:ascii="Calibri" w:hAnsi="Calibri" w:cs="Calibri"/>
          <w:b/>
          <w:bCs/>
          <w:sz w:val="32"/>
          <w:szCs w:val="32"/>
          <w:u w:val="single"/>
        </w:rPr>
        <w:lastRenderedPageBreak/>
        <w:t>Abstract</w:t>
      </w:r>
    </w:p>
    <w:p w14:paraId="02A9525B" w14:textId="77777777" w:rsidR="00AC2EFD" w:rsidRDefault="00AC2EFD" w:rsidP="00AC2EFD">
      <w:pPr>
        <w:jc w:val="center"/>
        <w:rPr>
          <w:rFonts w:ascii="Calibri" w:hAnsi="Calibri" w:cs="Calibri"/>
        </w:rPr>
      </w:pPr>
    </w:p>
    <w:p w14:paraId="475478C3" w14:textId="77777777" w:rsidR="002E6EAE" w:rsidRDefault="002E6EAE" w:rsidP="00AC2EFD">
      <w:pPr>
        <w:jc w:val="center"/>
        <w:rPr>
          <w:rFonts w:ascii="Calibri" w:hAnsi="Calibri" w:cs="Calibri"/>
        </w:rPr>
      </w:pPr>
    </w:p>
    <w:p w14:paraId="63038D9F" w14:textId="5ACFA470" w:rsidR="00AC2EFD" w:rsidRDefault="00AC2EFD" w:rsidP="00AC2EFD">
      <w:pPr>
        <w:jc w:val="center"/>
        <w:rPr>
          <w:rFonts w:ascii="Calibri" w:hAnsi="Calibri" w:cs="Calibri"/>
        </w:rPr>
      </w:pPr>
      <w:r>
        <w:rPr>
          <w:rFonts w:ascii="Calibri" w:hAnsi="Calibri" w:cs="Calibri"/>
        </w:rPr>
        <w:t xml:space="preserve">This research </w:t>
      </w:r>
      <w:r w:rsidR="00B04472">
        <w:rPr>
          <w:rFonts w:ascii="Calibri" w:hAnsi="Calibri" w:cs="Calibri"/>
        </w:rPr>
        <w:t xml:space="preserve">examined the study of frontline policing on Police officers’ mental health and the subsequent effects on their interpersonal relationships. Existing literature demonstrates that police officers experience </w:t>
      </w:r>
      <w:r w:rsidR="00B556BA">
        <w:rPr>
          <w:rFonts w:ascii="Calibri" w:hAnsi="Calibri" w:cs="Calibri"/>
        </w:rPr>
        <w:t xml:space="preserve">elevated levels of stress, anxiety, depression and trauma, however, </w:t>
      </w:r>
      <w:r w:rsidR="00241C1B">
        <w:rPr>
          <w:rFonts w:ascii="Calibri" w:hAnsi="Calibri" w:cs="Calibri"/>
        </w:rPr>
        <w:t xml:space="preserve">limited research has explored how these psychological impacts can extend into </w:t>
      </w:r>
      <w:r w:rsidR="006C50DC">
        <w:rPr>
          <w:rFonts w:ascii="Calibri" w:hAnsi="Calibri" w:cs="Calibri"/>
        </w:rPr>
        <w:t>those officers’ personal lives.</w:t>
      </w:r>
    </w:p>
    <w:p w14:paraId="4FEA719E" w14:textId="77777777" w:rsidR="004D0540" w:rsidRDefault="004D0540" w:rsidP="00AC2EFD">
      <w:pPr>
        <w:jc w:val="center"/>
        <w:rPr>
          <w:rFonts w:ascii="Calibri" w:hAnsi="Calibri" w:cs="Calibri"/>
        </w:rPr>
      </w:pPr>
    </w:p>
    <w:p w14:paraId="54B14546" w14:textId="26DD329C" w:rsidR="006C50DC" w:rsidRDefault="006C50DC" w:rsidP="00AC2EFD">
      <w:pPr>
        <w:jc w:val="center"/>
        <w:rPr>
          <w:rFonts w:ascii="Calibri" w:hAnsi="Calibri" w:cs="Calibri"/>
        </w:rPr>
      </w:pPr>
      <w:r>
        <w:rPr>
          <w:rFonts w:ascii="Calibri" w:hAnsi="Calibri" w:cs="Calibri"/>
        </w:rPr>
        <w:t>Using a mixed methods approach, data</w:t>
      </w:r>
      <w:r w:rsidR="00980DB5">
        <w:rPr>
          <w:rFonts w:ascii="Calibri" w:hAnsi="Calibri" w:cs="Calibri"/>
        </w:rPr>
        <w:t xml:space="preserve"> was collected through an anonymous questionnaire completed by 38 serving police officers from varying ranks, departments and lengths of </w:t>
      </w:r>
      <w:r w:rsidR="00EB5A6C">
        <w:rPr>
          <w:rFonts w:ascii="Calibri" w:hAnsi="Calibri" w:cs="Calibri"/>
        </w:rPr>
        <w:t xml:space="preserve">service. Findings revealed that frontline officers reported high levels of occupational </w:t>
      </w:r>
      <w:r w:rsidR="00F52FDC">
        <w:rPr>
          <w:rFonts w:ascii="Calibri" w:hAnsi="Calibri" w:cs="Calibri"/>
        </w:rPr>
        <w:t xml:space="preserve">stress, anxiety and burnout with many participants identifying </w:t>
      </w:r>
      <w:r w:rsidR="002669E1">
        <w:rPr>
          <w:rFonts w:ascii="Calibri" w:hAnsi="Calibri" w:cs="Calibri"/>
        </w:rPr>
        <w:t xml:space="preserve">difficulties maintaining personal relationships as well as separating work from home life. </w:t>
      </w:r>
    </w:p>
    <w:p w14:paraId="40D8A038" w14:textId="77777777" w:rsidR="004D0540" w:rsidRDefault="004D0540" w:rsidP="00AC2EFD">
      <w:pPr>
        <w:jc w:val="center"/>
        <w:rPr>
          <w:rFonts w:ascii="Calibri" w:hAnsi="Calibri" w:cs="Calibri"/>
        </w:rPr>
      </w:pPr>
    </w:p>
    <w:p w14:paraId="32DD958D" w14:textId="6D09C81F" w:rsidR="002669E1" w:rsidRDefault="002D364F" w:rsidP="00AC2EFD">
      <w:pPr>
        <w:jc w:val="center"/>
        <w:rPr>
          <w:rFonts w:ascii="Calibri" w:hAnsi="Calibri" w:cs="Calibri"/>
        </w:rPr>
      </w:pPr>
      <w:r>
        <w:rPr>
          <w:rFonts w:ascii="Calibri" w:hAnsi="Calibri" w:cs="Calibri"/>
        </w:rPr>
        <w:t>The results support the Job Demands-Resources Model and spillover theory</w:t>
      </w:r>
      <w:r w:rsidR="00C60954">
        <w:rPr>
          <w:rFonts w:ascii="Calibri" w:hAnsi="Calibri" w:cs="Calibri"/>
        </w:rPr>
        <w:t>, showing how occupational stre</w:t>
      </w:r>
      <w:r w:rsidR="00D43964">
        <w:rPr>
          <w:rFonts w:ascii="Calibri" w:hAnsi="Calibri" w:cs="Calibri"/>
        </w:rPr>
        <w:t>ss can negatively effect both wellbeing and relationship quality.</w:t>
      </w:r>
    </w:p>
    <w:p w14:paraId="08DBC334" w14:textId="77777777" w:rsidR="004D0540" w:rsidRDefault="004D0540" w:rsidP="00AC2EFD">
      <w:pPr>
        <w:jc w:val="center"/>
        <w:rPr>
          <w:rFonts w:ascii="Calibri" w:hAnsi="Calibri" w:cs="Calibri"/>
        </w:rPr>
      </w:pPr>
    </w:p>
    <w:p w14:paraId="1B646B1A" w14:textId="4BD5D046" w:rsidR="00D43964" w:rsidRDefault="00D43964" w:rsidP="00AC2EFD">
      <w:pPr>
        <w:jc w:val="center"/>
        <w:rPr>
          <w:rFonts w:ascii="Calibri" w:hAnsi="Calibri" w:cs="Calibri"/>
        </w:rPr>
      </w:pPr>
      <w:r>
        <w:rPr>
          <w:rFonts w:ascii="Calibri" w:hAnsi="Calibri" w:cs="Calibri"/>
        </w:rPr>
        <w:t xml:space="preserve">This study helps to contribute to </w:t>
      </w:r>
      <w:r w:rsidR="00680744">
        <w:rPr>
          <w:rFonts w:ascii="Calibri" w:hAnsi="Calibri" w:cs="Calibri"/>
        </w:rPr>
        <w:t xml:space="preserve">the growing body of UK policing research by highlighting the interconnected nature of mental health and </w:t>
      </w:r>
      <w:r w:rsidR="00D26495">
        <w:rPr>
          <w:rFonts w:ascii="Calibri" w:hAnsi="Calibri" w:cs="Calibri"/>
        </w:rPr>
        <w:t>relationships and emphasises the importance of organisational support.</w:t>
      </w:r>
    </w:p>
    <w:p w14:paraId="3A363492" w14:textId="77777777" w:rsidR="006C69C5" w:rsidRDefault="006C69C5" w:rsidP="00AC2EFD">
      <w:pPr>
        <w:jc w:val="center"/>
        <w:rPr>
          <w:rFonts w:ascii="Calibri" w:hAnsi="Calibri" w:cs="Calibri"/>
        </w:rPr>
      </w:pPr>
    </w:p>
    <w:p w14:paraId="1FDA2EC4" w14:textId="77777777" w:rsidR="006C69C5" w:rsidRDefault="006C69C5" w:rsidP="00AC2EFD">
      <w:pPr>
        <w:jc w:val="center"/>
        <w:rPr>
          <w:rFonts w:ascii="Calibri" w:hAnsi="Calibri" w:cs="Calibri"/>
        </w:rPr>
      </w:pPr>
    </w:p>
    <w:p w14:paraId="21E95B2B" w14:textId="77777777" w:rsidR="006C69C5" w:rsidRDefault="006C69C5" w:rsidP="00AC2EFD">
      <w:pPr>
        <w:jc w:val="center"/>
        <w:rPr>
          <w:rFonts w:ascii="Calibri" w:hAnsi="Calibri" w:cs="Calibri"/>
        </w:rPr>
      </w:pPr>
    </w:p>
    <w:p w14:paraId="177A02C8" w14:textId="77777777" w:rsidR="006C69C5" w:rsidRDefault="006C69C5" w:rsidP="00AC2EFD">
      <w:pPr>
        <w:jc w:val="center"/>
        <w:rPr>
          <w:rFonts w:ascii="Calibri" w:hAnsi="Calibri" w:cs="Calibri"/>
        </w:rPr>
      </w:pPr>
    </w:p>
    <w:p w14:paraId="4FB35446" w14:textId="77777777" w:rsidR="006C69C5" w:rsidRDefault="006C69C5" w:rsidP="00AC2EFD">
      <w:pPr>
        <w:jc w:val="center"/>
        <w:rPr>
          <w:rFonts w:ascii="Calibri" w:hAnsi="Calibri" w:cs="Calibri"/>
        </w:rPr>
      </w:pPr>
    </w:p>
    <w:p w14:paraId="0D91E026" w14:textId="77777777" w:rsidR="006C69C5" w:rsidRDefault="006C69C5" w:rsidP="00AC2EFD">
      <w:pPr>
        <w:jc w:val="center"/>
        <w:rPr>
          <w:rFonts w:ascii="Calibri" w:hAnsi="Calibri" w:cs="Calibri"/>
        </w:rPr>
      </w:pPr>
    </w:p>
    <w:p w14:paraId="25820EC5" w14:textId="77777777" w:rsidR="006C69C5" w:rsidRDefault="006C69C5" w:rsidP="00AC2EFD">
      <w:pPr>
        <w:jc w:val="center"/>
        <w:rPr>
          <w:rFonts w:ascii="Calibri" w:hAnsi="Calibri" w:cs="Calibri"/>
        </w:rPr>
      </w:pPr>
    </w:p>
    <w:p w14:paraId="2AC0A2F7" w14:textId="77777777" w:rsidR="006C69C5" w:rsidRDefault="006C69C5" w:rsidP="00AC2EFD">
      <w:pPr>
        <w:jc w:val="center"/>
        <w:rPr>
          <w:rFonts w:ascii="Calibri" w:hAnsi="Calibri" w:cs="Calibri"/>
        </w:rPr>
      </w:pPr>
    </w:p>
    <w:p w14:paraId="09F58D11" w14:textId="77777777" w:rsidR="006C69C5" w:rsidRDefault="006C69C5" w:rsidP="00AC2EFD">
      <w:pPr>
        <w:jc w:val="center"/>
        <w:rPr>
          <w:rFonts w:ascii="Calibri" w:hAnsi="Calibri" w:cs="Calibri"/>
        </w:rPr>
      </w:pPr>
    </w:p>
    <w:p w14:paraId="58ABF38A" w14:textId="77777777" w:rsidR="006C69C5" w:rsidRDefault="006C69C5" w:rsidP="004D45EB">
      <w:pPr>
        <w:rPr>
          <w:rFonts w:ascii="Calibri" w:hAnsi="Calibri" w:cs="Calibri"/>
        </w:rPr>
      </w:pPr>
    </w:p>
    <w:p w14:paraId="504FD6F4" w14:textId="7CAF43B3" w:rsidR="006C69C5" w:rsidRDefault="00900614" w:rsidP="00AC2EFD">
      <w:pPr>
        <w:jc w:val="center"/>
        <w:rPr>
          <w:rFonts w:ascii="Calibri" w:hAnsi="Calibri" w:cs="Calibri"/>
          <w:b/>
          <w:bCs/>
          <w:sz w:val="32"/>
          <w:szCs w:val="32"/>
          <w:u w:val="single"/>
        </w:rPr>
      </w:pPr>
      <w:r>
        <w:rPr>
          <w:rFonts w:ascii="Calibri" w:hAnsi="Calibri" w:cs="Calibri"/>
          <w:b/>
          <w:bCs/>
          <w:sz w:val="32"/>
          <w:szCs w:val="32"/>
          <w:u w:val="single"/>
        </w:rPr>
        <w:lastRenderedPageBreak/>
        <w:t>Table of Contents</w:t>
      </w:r>
    </w:p>
    <w:sdt>
      <w:sdtPr>
        <w:rPr>
          <w:rFonts w:asciiTheme="minorHAnsi" w:eastAsiaTheme="minorHAnsi" w:hAnsiTheme="minorHAnsi" w:cstheme="minorBidi"/>
          <w:color w:val="auto"/>
          <w:kern w:val="2"/>
          <w:sz w:val="24"/>
          <w:szCs w:val="24"/>
          <w:lang w:val="en-GB"/>
          <w14:ligatures w14:val="standardContextual"/>
        </w:rPr>
        <w:id w:val="1003933202"/>
        <w:docPartObj>
          <w:docPartGallery w:val="Table of Contents"/>
          <w:docPartUnique/>
        </w:docPartObj>
      </w:sdtPr>
      <w:sdtEndPr>
        <w:rPr>
          <w:b/>
          <w:bCs/>
          <w:noProof/>
        </w:rPr>
      </w:sdtEndPr>
      <w:sdtContent>
        <w:p w14:paraId="2A3CC721" w14:textId="7A6F610E" w:rsidR="00675D3E" w:rsidRDefault="00675D3E">
          <w:pPr>
            <w:pStyle w:val="TOCHeading"/>
          </w:pPr>
          <w:r>
            <w:t>Contents</w:t>
          </w:r>
        </w:p>
        <w:p w14:paraId="00DD5967" w14:textId="01F9B43B" w:rsidR="00945A97" w:rsidRDefault="00675D3E">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32439520" w:history="1">
            <w:r w:rsidR="00945A97" w:rsidRPr="007D7EBB">
              <w:rPr>
                <w:rStyle w:val="Hyperlink"/>
                <w:noProof/>
              </w:rPr>
              <w:t>1.</w:t>
            </w:r>
            <w:r w:rsidR="00945A97">
              <w:rPr>
                <w:rFonts w:eastAsiaTheme="minorEastAsia"/>
                <w:noProof/>
                <w:lang w:eastAsia="en-GB"/>
              </w:rPr>
              <w:tab/>
            </w:r>
            <w:r w:rsidR="00945A97" w:rsidRPr="007D7EBB">
              <w:rPr>
                <w:rStyle w:val="Hyperlink"/>
                <w:noProof/>
              </w:rPr>
              <w:t>Introduction</w:t>
            </w:r>
            <w:r w:rsidR="00945A97">
              <w:rPr>
                <w:noProof/>
                <w:webHidden/>
              </w:rPr>
              <w:tab/>
            </w:r>
            <w:r w:rsidR="00945A97">
              <w:rPr>
                <w:noProof/>
                <w:webHidden/>
              </w:rPr>
              <w:fldChar w:fldCharType="begin"/>
            </w:r>
            <w:r w:rsidR="00945A97">
              <w:rPr>
                <w:noProof/>
                <w:webHidden/>
              </w:rPr>
              <w:instrText xml:space="preserve"> PAGEREF _Toc232439520 \h </w:instrText>
            </w:r>
            <w:r w:rsidR="00945A97">
              <w:rPr>
                <w:noProof/>
                <w:webHidden/>
              </w:rPr>
            </w:r>
            <w:r w:rsidR="00945A97">
              <w:rPr>
                <w:noProof/>
                <w:webHidden/>
              </w:rPr>
              <w:fldChar w:fldCharType="separate"/>
            </w:r>
            <w:r w:rsidR="00945A97">
              <w:rPr>
                <w:noProof/>
                <w:webHidden/>
              </w:rPr>
              <w:t>6</w:t>
            </w:r>
            <w:r w:rsidR="00945A97">
              <w:rPr>
                <w:noProof/>
                <w:webHidden/>
              </w:rPr>
              <w:fldChar w:fldCharType="end"/>
            </w:r>
          </w:hyperlink>
        </w:p>
        <w:p w14:paraId="46BB8681" w14:textId="5588884E" w:rsidR="00945A97" w:rsidRDefault="00945A97">
          <w:pPr>
            <w:pStyle w:val="TOC1"/>
            <w:tabs>
              <w:tab w:val="right" w:leader="dot" w:pos="9016"/>
            </w:tabs>
            <w:rPr>
              <w:rFonts w:eastAsiaTheme="minorEastAsia"/>
              <w:noProof/>
              <w:lang w:eastAsia="en-GB"/>
            </w:rPr>
          </w:pPr>
          <w:hyperlink w:anchor="_Toc232439521" w:history="1">
            <w:r w:rsidRPr="007D7EBB">
              <w:rPr>
                <w:rStyle w:val="Hyperlink"/>
                <w:noProof/>
              </w:rPr>
              <w:t>2. Literature Review</w:t>
            </w:r>
            <w:r>
              <w:rPr>
                <w:noProof/>
                <w:webHidden/>
              </w:rPr>
              <w:tab/>
            </w:r>
            <w:r>
              <w:rPr>
                <w:noProof/>
                <w:webHidden/>
              </w:rPr>
              <w:fldChar w:fldCharType="begin"/>
            </w:r>
            <w:r>
              <w:rPr>
                <w:noProof/>
                <w:webHidden/>
              </w:rPr>
              <w:instrText xml:space="preserve"> PAGEREF _Toc232439521 \h </w:instrText>
            </w:r>
            <w:r>
              <w:rPr>
                <w:noProof/>
                <w:webHidden/>
              </w:rPr>
            </w:r>
            <w:r>
              <w:rPr>
                <w:noProof/>
                <w:webHidden/>
              </w:rPr>
              <w:fldChar w:fldCharType="separate"/>
            </w:r>
            <w:r>
              <w:rPr>
                <w:noProof/>
                <w:webHidden/>
              </w:rPr>
              <w:t>9</w:t>
            </w:r>
            <w:r>
              <w:rPr>
                <w:noProof/>
                <w:webHidden/>
              </w:rPr>
              <w:fldChar w:fldCharType="end"/>
            </w:r>
          </w:hyperlink>
        </w:p>
        <w:p w14:paraId="2323E4A6" w14:textId="033723FB" w:rsidR="00945A97" w:rsidRDefault="00945A97">
          <w:pPr>
            <w:pStyle w:val="TOC2"/>
            <w:tabs>
              <w:tab w:val="right" w:leader="dot" w:pos="9016"/>
            </w:tabs>
            <w:rPr>
              <w:rFonts w:eastAsiaTheme="minorEastAsia"/>
              <w:noProof/>
              <w:lang w:eastAsia="en-GB"/>
            </w:rPr>
          </w:pPr>
          <w:hyperlink w:anchor="_Toc232439522" w:history="1">
            <w:r w:rsidRPr="007D7EBB">
              <w:rPr>
                <w:rStyle w:val="Hyperlink"/>
                <w:noProof/>
              </w:rPr>
              <w:t>2.1 Policing and its Effects on Mental Health</w:t>
            </w:r>
            <w:r>
              <w:rPr>
                <w:noProof/>
                <w:webHidden/>
              </w:rPr>
              <w:tab/>
            </w:r>
            <w:r>
              <w:rPr>
                <w:noProof/>
                <w:webHidden/>
              </w:rPr>
              <w:fldChar w:fldCharType="begin"/>
            </w:r>
            <w:r>
              <w:rPr>
                <w:noProof/>
                <w:webHidden/>
              </w:rPr>
              <w:instrText xml:space="preserve"> PAGEREF _Toc232439522 \h </w:instrText>
            </w:r>
            <w:r>
              <w:rPr>
                <w:noProof/>
                <w:webHidden/>
              </w:rPr>
            </w:r>
            <w:r>
              <w:rPr>
                <w:noProof/>
                <w:webHidden/>
              </w:rPr>
              <w:fldChar w:fldCharType="separate"/>
            </w:r>
            <w:r>
              <w:rPr>
                <w:noProof/>
                <w:webHidden/>
              </w:rPr>
              <w:t>9</w:t>
            </w:r>
            <w:r>
              <w:rPr>
                <w:noProof/>
                <w:webHidden/>
              </w:rPr>
              <w:fldChar w:fldCharType="end"/>
            </w:r>
          </w:hyperlink>
        </w:p>
        <w:p w14:paraId="330774D2" w14:textId="4DEFDEBD" w:rsidR="00945A97" w:rsidRDefault="00945A97">
          <w:pPr>
            <w:pStyle w:val="TOC2"/>
            <w:tabs>
              <w:tab w:val="right" w:leader="dot" w:pos="9016"/>
            </w:tabs>
            <w:rPr>
              <w:rFonts w:eastAsiaTheme="minorEastAsia"/>
              <w:noProof/>
              <w:lang w:eastAsia="en-GB"/>
            </w:rPr>
          </w:pPr>
          <w:hyperlink w:anchor="_Toc232439523" w:history="1">
            <w:r w:rsidRPr="007D7EBB">
              <w:rPr>
                <w:rStyle w:val="Hyperlink"/>
                <w:noProof/>
              </w:rPr>
              <w:t>2.2 Mental Health Effects of Policing the Public</w:t>
            </w:r>
            <w:r>
              <w:rPr>
                <w:noProof/>
                <w:webHidden/>
              </w:rPr>
              <w:tab/>
            </w:r>
            <w:r>
              <w:rPr>
                <w:noProof/>
                <w:webHidden/>
              </w:rPr>
              <w:fldChar w:fldCharType="begin"/>
            </w:r>
            <w:r>
              <w:rPr>
                <w:noProof/>
                <w:webHidden/>
              </w:rPr>
              <w:instrText xml:space="preserve"> PAGEREF _Toc232439523 \h </w:instrText>
            </w:r>
            <w:r>
              <w:rPr>
                <w:noProof/>
                <w:webHidden/>
              </w:rPr>
            </w:r>
            <w:r>
              <w:rPr>
                <w:noProof/>
                <w:webHidden/>
              </w:rPr>
              <w:fldChar w:fldCharType="separate"/>
            </w:r>
            <w:r>
              <w:rPr>
                <w:noProof/>
                <w:webHidden/>
              </w:rPr>
              <w:t>10</w:t>
            </w:r>
            <w:r>
              <w:rPr>
                <w:noProof/>
                <w:webHidden/>
              </w:rPr>
              <w:fldChar w:fldCharType="end"/>
            </w:r>
          </w:hyperlink>
        </w:p>
        <w:p w14:paraId="40195ED3" w14:textId="00F7BD3E" w:rsidR="00945A97" w:rsidRDefault="00945A97">
          <w:pPr>
            <w:pStyle w:val="TOC2"/>
            <w:tabs>
              <w:tab w:val="right" w:leader="dot" w:pos="9016"/>
            </w:tabs>
            <w:rPr>
              <w:rFonts w:eastAsiaTheme="minorEastAsia"/>
              <w:noProof/>
              <w:lang w:eastAsia="en-GB"/>
            </w:rPr>
          </w:pPr>
          <w:hyperlink w:anchor="_Toc232439524" w:history="1">
            <w:r w:rsidRPr="007D7EBB">
              <w:rPr>
                <w:rStyle w:val="Hyperlink"/>
                <w:noProof/>
              </w:rPr>
              <w:t>2.3 The Link Between Policing and Personal relationships</w:t>
            </w:r>
            <w:r>
              <w:rPr>
                <w:noProof/>
                <w:webHidden/>
              </w:rPr>
              <w:tab/>
            </w:r>
            <w:r>
              <w:rPr>
                <w:noProof/>
                <w:webHidden/>
              </w:rPr>
              <w:fldChar w:fldCharType="begin"/>
            </w:r>
            <w:r>
              <w:rPr>
                <w:noProof/>
                <w:webHidden/>
              </w:rPr>
              <w:instrText xml:space="preserve"> PAGEREF _Toc232439524 \h </w:instrText>
            </w:r>
            <w:r>
              <w:rPr>
                <w:noProof/>
                <w:webHidden/>
              </w:rPr>
            </w:r>
            <w:r>
              <w:rPr>
                <w:noProof/>
                <w:webHidden/>
              </w:rPr>
              <w:fldChar w:fldCharType="separate"/>
            </w:r>
            <w:r>
              <w:rPr>
                <w:noProof/>
                <w:webHidden/>
              </w:rPr>
              <w:t>11</w:t>
            </w:r>
            <w:r>
              <w:rPr>
                <w:noProof/>
                <w:webHidden/>
              </w:rPr>
              <w:fldChar w:fldCharType="end"/>
            </w:r>
          </w:hyperlink>
        </w:p>
        <w:p w14:paraId="2857A9E2" w14:textId="6334AC60" w:rsidR="00945A97" w:rsidRDefault="00945A97">
          <w:pPr>
            <w:pStyle w:val="TOC2"/>
            <w:tabs>
              <w:tab w:val="right" w:leader="dot" w:pos="9016"/>
            </w:tabs>
            <w:rPr>
              <w:rFonts w:eastAsiaTheme="minorEastAsia"/>
              <w:noProof/>
              <w:lang w:eastAsia="en-GB"/>
            </w:rPr>
          </w:pPr>
          <w:hyperlink w:anchor="_Toc232439525" w:history="1">
            <w:r w:rsidRPr="007D7EBB">
              <w:rPr>
                <w:rStyle w:val="Hyperlink"/>
                <w:noProof/>
              </w:rPr>
              <w:t>2.4 Gaps within Existing Literature and Summary</w:t>
            </w:r>
            <w:r>
              <w:rPr>
                <w:noProof/>
                <w:webHidden/>
              </w:rPr>
              <w:tab/>
            </w:r>
            <w:r>
              <w:rPr>
                <w:noProof/>
                <w:webHidden/>
              </w:rPr>
              <w:fldChar w:fldCharType="begin"/>
            </w:r>
            <w:r>
              <w:rPr>
                <w:noProof/>
                <w:webHidden/>
              </w:rPr>
              <w:instrText xml:space="preserve"> PAGEREF _Toc232439525 \h </w:instrText>
            </w:r>
            <w:r>
              <w:rPr>
                <w:noProof/>
                <w:webHidden/>
              </w:rPr>
            </w:r>
            <w:r>
              <w:rPr>
                <w:noProof/>
                <w:webHidden/>
              </w:rPr>
              <w:fldChar w:fldCharType="separate"/>
            </w:r>
            <w:r>
              <w:rPr>
                <w:noProof/>
                <w:webHidden/>
              </w:rPr>
              <w:t>13</w:t>
            </w:r>
            <w:r>
              <w:rPr>
                <w:noProof/>
                <w:webHidden/>
              </w:rPr>
              <w:fldChar w:fldCharType="end"/>
            </w:r>
          </w:hyperlink>
        </w:p>
        <w:p w14:paraId="461D05CA" w14:textId="1E9EC45D" w:rsidR="00945A97" w:rsidRDefault="00945A97">
          <w:pPr>
            <w:pStyle w:val="TOC1"/>
            <w:tabs>
              <w:tab w:val="right" w:leader="dot" w:pos="9016"/>
            </w:tabs>
            <w:rPr>
              <w:rFonts w:eastAsiaTheme="minorEastAsia"/>
              <w:noProof/>
              <w:lang w:eastAsia="en-GB"/>
            </w:rPr>
          </w:pPr>
          <w:hyperlink w:anchor="_Toc232439526" w:history="1">
            <w:r w:rsidRPr="007D7EBB">
              <w:rPr>
                <w:rStyle w:val="Hyperlink"/>
                <w:noProof/>
              </w:rPr>
              <w:t>3. Methodology</w:t>
            </w:r>
            <w:r>
              <w:rPr>
                <w:noProof/>
                <w:webHidden/>
              </w:rPr>
              <w:tab/>
            </w:r>
            <w:r>
              <w:rPr>
                <w:noProof/>
                <w:webHidden/>
              </w:rPr>
              <w:fldChar w:fldCharType="begin"/>
            </w:r>
            <w:r>
              <w:rPr>
                <w:noProof/>
                <w:webHidden/>
              </w:rPr>
              <w:instrText xml:space="preserve"> PAGEREF _Toc232439526 \h </w:instrText>
            </w:r>
            <w:r>
              <w:rPr>
                <w:noProof/>
                <w:webHidden/>
              </w:rPr>
            </w:r>
            <w:r>
              <w:rPr>
                <w:noProof/>
                <w:webHidden/>
              </w:rPr>
              <w:fldChar w:fldCharType="separate"/>
            </w:r>
            <w:r>
              <w:rPr>
                <w:noProof/>
                <w:webHidden/>
              </w:rPr>
              <w:t>14</w:t>
            </w:r>
            <w:r>
              <w:rPr>
                <w:noProof/>
                <w:webHidden/>
              </w:rPr>
              <w:fldChar w:fldCharType="end"/>
            </w:r>
          </w:hyperlink>
        </w:p>
        <w:p w14:paraId="6273E32F" w14:textId="68F54D1C" w:rsidR="00945A97" w:rsidRDefault="00945A97">
          <w:pPr>
            <w:pStyle w:val="TOC2"/>
            <w:tabs>
              <w:tab w:val="right" w:leader="dot" w:pos="9016"/>
            </w:tabs>
            <w:rPr>
              <w:rFonts w:eastAsiaTheme="minorEastAsia"/>
              <w:noProof/>
              <w:lang w:eastAsia="en-GB"/>
            </w:rPr>
          </w:pPr>
          <w:hyperlink w:anchor="_Toc232439527" w:history="1">
            <w:r w:rsidRPr="007D7EBB">
              <w:rPr>
                <w:rStyle w:val="Hyperlink"/>
                <w:noProof/>
              </w:rPr>
              <w:t>3.1 Research Strategies</w:t>
            </w:r>
            <w:r>
              <w:rPr>
                <w:noProof/>
                <w:webHidden/>
              </w:rPr>
              <w:tab/>
            </w:r>
            <w:r>
              <w:rPr>
                <w:noProof/>
                <w:webHidden/>
              </w:rPr>
              <w:fldChar w:fldCharType="begin"/>
            </w:r>
            <w:r>
              <w:rPr>
                <w:noProof/>
                <w:webHidden/>
              </w:rPr>
              <w:instrText xml:space="preserve"> PAGEREF _Toc232439527 \h </w:instrText>
            </w:r>
            <w:r>
              <w:rPr>
                <w:noProof/>
                <w:webHidden/>
              </w:rPr>
            </w:r>
            <w:r>
              <w:rPr>
                <w:noProof/>
                <w:webHidden/>
              </w:rPr>
              <w:fldChar w:fldCharType="separate"/>
            </w:r>
            <w:r>
              <w:rPr>
                <w:noProof/>
                <w:webHidden/>
              </w:rPr>
              <w:t>15</w:t>
            </w:r>
            <w:r>
              <w:rPr>
                <w:noProof/>
                <w:webHidden/>
              </w:rPr>
              <w:fldChar w:fldCharType="end"/>
            </w:r>
          </w:hyperlink>
        </w:p>
        <w:p w14:paraId="12DF62E2" w14:textId="6E87499A" w:rsidR="00945A97" w:rsidRDefault="00945A97">
          <w:pPr>
            <w:pStyle w:val="TOC2"/>
            <w:tabs>
              <w:tab w:val="right" w:leader="dot" w:pos="9016"/>
            </w:tabs>
            <w:rPr>
              <w:rFonts w:eastAsiaTheme="minorEastAsia"/>
              <w:noProof/>
              <w:lang w:eastAsia="en-GB"/>
            </w:rPr>
          </w:pPr>
          <w:hyperlink w:anchor="_Toc232439528" w:history="1">
            <w:r w:rsidRPr="007D7EBB">
              <w:rPr>
                <w:rStyle w:val="Hyperlink"/>
                <w:noProof/>
              </w:rPr>
              <w:t>3.2 Reliability and Validity</w:t>
            </w:r>
            <w:r>
              <w:rPr>
                <w:noProof/>
                <w:webHidden/>
              </w:rPr>
              <w:tab/>
            </w:r>
            <w:r>
              <w:rPr>
                <w:noProof/>
                <w:webHidden/>
              </w:rPr>
              <w:fldChar w:fldCharType="begin"/>
            </w:r>
            <w:r>
              <w:rPr>
                <w:noProof/>
                <w:webHidden/>
              </w:rPr>
              <w:instrText xml:space="preserve"> PAGEREF _Toc232439528 \h </w:instrText>
            </w:r>
            <w:r>
              <w:rPr>
                <w:noProof/>
                <w:webHidden/>
              </w:rPr>
            </w:r>
            <w:r>
              <w:rPr>
                <w:noProof/>
                <w:webHidden/>
              </w:rPr>
              <w:fldChar w:fldCharType="separate"/>
            </w:r>
            <w:r>
              <w:rPr>
                <w:noProof/>
                <w:webHidden/>
              </w:rPr>
              <w:t>16</w:t>
            </w:r>
            <w:r>
              <w:rPr>
                <w:noProof/>
                <w:webHidden/>
              </w:rPr>
              <w:fldChar w:fldCharType="end"/>
            </w:r>
          </w:hyperlink>
        </w:p>
        <w:p w14:paraId="1EE145A8" w14:textId="71A21FCA" w:rsidR="00945A97" w:rsidRDefault="00945A97">
          <w:pPr>
            <w:pStyle w:val="TOC1"/>
            <w:tabs>
              <w:tab w:val="left" w:pos="480"/>
              <w:tab w:val="right" w:leader="dot" w:pos="9016"/>
            </w:tabs>
            <w:rPr>
              <w:rFonts w:eastAsiaTheme="minorEastAsia"/>
              <w:noProof/>
              <w:lang w:eastAsia="en-GB"/>
            </w:rPr>
          </w:pPr>
          <w:hyperlink w:anchor="_Toc232439529" w:history="1">
            <w:r w:rsidRPr="007D7EBB">
              <w:rPr>
                <w:rStyle w:val="Hyperlink"/>
                <w:noProof/>
              </w:rPr>
              <w:t>4.</w:t>
            </w:r>
            <w:r>
              <w:rPr>
                <w:rFonts w:eastAsiaTheme="minorEastAsia"/>
                <w:noProof/>
                <w:lang w:eastAsia="en-GB"/>
              </w:rPr>
              <w:tab/>
            </w:r>
            <w:r w:rsidRPr="007D7EBB">
              <w:rPr>
                <w:rStyle w:val="Hyperlink"/>
                <w:noProof/>
              </w:rPr>
              <w:t>Analysis</w:t>
            </w:r>
            <w:r>
              <w:rPr>
                <w:noProof/>
                <w:webHidden/>
              </w:rPr>
              <w:tab/>
            </w:r>
            <w:r>
              <w:rPr>
                <w:noProof/>
                <w:webHidden/>
              </w:rPr>
              <w:fldChar w:fldCharType="begin"/>
            </w:r>
            <w:r>
              <w:rPr>
                <w:noProof/>
                <w:webHidden/>
              </w:rPr>
              <w:instrText xml:space="preserve"> PAGEREF _Toc232439529 \h </w:instrText>
            </w:r>
            <w:r>
              <w:rPr>
                <w:noProof/>
                <w:webHidden/>
              </w:rPr>
            </w:r>
            <w:r>
              <w:rPr>
                <w:noProof/>
                <w:webHidden/>
              </w:rPr>
              <w:fldChar w:fldCharType="separate"/>
            </w:r>
            <w:r>
              <w:rPr>
                <w:noProof/>
                <w:webHidden/>
              </w:rPr>
              <w:t>17</w:t>
            </w:r>
            <w:r>
              <w:rPr>
                <w:noProof/>
                <w:webHidden/>
              </w:rPr>
              <w:fldChar w:fldCharType="end"/>
            </w:r>
          </w:hyperlink>
        </w:p>
        <w:p w14:paraId="4339F16F" w14:textId="7157C806" w:rsidR="00945A97" w:rsidRDefault="00945A97">
          <w:pPr>
            <w:pStyle w:val="TOC2"/>
            <w:tabs>
              <w:tab w:val="right" w:leader="dot" w:pos="9016"/>
            </w:tabs>
            <w:rPr>
              <w:rFonts w:eastAsiaTheme="minorEastAsia"/>
              <w:noProof/>
              <w:lang w:eastAsia="en-GB"/>
            </w:rPr>
          </w:pPr>
          <w:hyperlink w:anchor="_Toc232439530" w:history="1">
            <w:r w:rsidRPr="007D7EBB">
              <w:rPr>
                <w:rStyle w:val="Hyperlink"/>
                <w:noProof/>
              </w:rPr>
              <w:t>4.1 Occupational Stress and Exposure</w:t>
            </w:r>
            <w:r>
              <w:rPr>
                <w:noProof/>
                <w:webHidden/>
              </w:rPr>
              <w:tab/>
            </w:r>
            <w:r>
              <w:rPr>
                <w:noProof/>
                <w:webHidden/>
              </w:rPr>
              <w:fldChar w:fldCharType="begin"/>
            </w:r>
            <w:r>
              <w:rPr>
                <w:noProof/>
                <w:webHidden/>
              </w:rPr>
              <w:instrText xml:space="preserve"> PAGEREF _Toc232439530 \h </w:instrText>
            </w:r>
            <w:r>
              <w:rPr>
                <w:noProof/>
                <w:webHidden/>
              </w:rPr>
            </w:r>
            <w:r>
              <w:rPr>
                <w:noProof/>
                <w:webHidden/>
              </w:rPr>
              <w:fldChar w:fldCharType="separate"/>
            </w:r>
            <w:r>
              <w:rPr>
                <w:noProof/>
                <w:webHidden/>
              </w:rPr>
              <w:t>17</w:t>
            </w:r>
            <w:r>
              <w:rPr>
                <w:noProof/>
                <w:webHidden/>
              </w:rPr>
              <w:fldChar w:fldCharType="end"/>
            </w:r>
          </w:hyperlink>
        </w:p>
        <w:p w14:paraId="20EFFA08" w14:textId="04BA8D86" w:rsidR="00945A97" w:rsidRDefault="00945A97">
          <w:pPr>
            <w:pStyle w:val="TOC2"/>
            <w:tabs>
              <w:tab w:val="right" w:leader="dot" w:pos="9016"/>
            </w:tabs>
            <w:rPr>
              <w:rFonts w:eastAsiaTheme="minorEastAsia"/>
              <w:noProof/>
              <w:lang w:eastAsia="en-GB"/>
            </w:rPr>
          </w:pPr>
          <w:hyperlink w:anchor="_Toc232439531" w:history="1">
            <w:r w:rsidRPr="007D7EBB">
              <w:rPr>
                <w:rStyle w:val="Hyperlink"/>
                <w:noProof/>
              </w:rPr>
              <w:t>4.2 Mental health outcomes</w:t>
            </w:r>
            <w:r>
              <w:rPr>
                <w:noProof/>
                <w:webHidden/>
              </w:rPr>
              <w:tab/>
            </w:r>
            <w:r>
              <w:rPr>
                <w:noProof/>
                <w:webHidden/>
              </w:rPr>
              <w:fldChar w:fldCharType="begin"/>
            </w:r>
            <w:r>
              <w:rPr>
                <w:noProof/>
                <w:webHidden/>
              </w:rPr>
              <w:instrText xml:space="preserve"> PAGEREF _Toc232439531 \h </w:instrText>
            </w:r>
            <w:r>
              <w:rPr>
                <w:noProof/>
                <w:webHidden/>
              </w:rPr>
            </w:r>
            <w:r>
              <w:rPr>
                <w:noProof/>
                <w:webHidden/>
              </w:rPr>
              <w:fldChar w:fldCharType="separate"/>
            </w:r>
            <w:r>
              <w:rPr>
                <w:noProof/>
                <w:webHidden/>
              </w:rPr>
              <w:t>18</w:t>
            </w:r>
            <w:r>
              <w:rPr>
                <w:noProof/>
                <w:webHidden/>
              </w:rPr>
              <w:fldChar w:fldCharType="end"/>
            </w:r>
          </w:hyperlink>
        </w:p>
        <w:p w14:paraId="3157BC0E" w14:textId="7745CCD0" w:rsidR="00945A97" w:rsidRDefault="00945A97">
          <w:pPr>
            <w:pStyle w:val="TOC2"/>
            <w:tabs>
              <w:tab w:val="right" w:leader="dot" w:pos="9016"/>
            </w:tabs>
            <w:rPr>
              <w:rFonts w:eastAsiaTheme="minorEastAsia"/>
              <w:noProof/>
              <w:lang w:eastAsia="en-GB"/>
            </w:rPr>
          </w:pPr>
          <w:hyperlink w:anchor="_Toc232439532" w:history="1">
            <w:r w:rsidRPr="007D7EBB">
              <w:rPr>
                <w:rStyle w:val="Hyperlink"/>
                <w:noProof/>
              </w:rPr>
              <w:t>4.3 Impact on Interpersonal relationships</w:t>
            </w:r>
            <w:r>
              <w:rPr>
                <w:noProof/>
                <w:webHidden/>
              </w:rPr>
              <w:tab/>
            </w:r>
            <w:r>
              <w:rPr>
                <w:noProof/>
                <w:webHidden/>
              </w:rPr>
              <w:fldChar w:fldCharType="begin"/>
            </w:r>
            <w:r>
              <w:rPr>
                <w:noProof/>
                <w:webHidden/>
              </w:rPr>
              <w:instrText xml:space="preserve"> PAGEREF _Toc232439532 \h </w:instrText>
            </w:r>
            <w:r>
              <w:rPr>
                <w:noProof/>
                <w:webHidden/>
              </w:rPr>
            </w:r>
            <w:r>
              <w:rPr>
                <w:noProof/>
                <w:webHidden/>
              </w:rPr>
              <w:fldChar w:fldCharType="separate"/>
            </w:r>
            <w:r>
              <w:rPr>
                <w:noProof/>
                <w:webHidden/>
              </w:rPr>
              <w:t>19</w:t>
            </w:r>
            <w:r>
              <w:rPr>
                <w:noProof/>
                <w:webHidden/>
              </w:rPr>
              <w:fldChar w:fldCharType="end"/>
            </w:r>
          </w:hyperlink>
        </w:p>
        <w:p w14:paraId="0DD632F1" w14:textId="681571FD" w:rsidR="00945A97" w:rsidRDefault="00945A97">
          <w:pPr>
            <w:pStyle w:val="TOC1"/>
            <w:tabs>
              <w:tab w:val="right" w:leader="dot" w:pos="9016"/>
            </w:tabs>
            <w:rPr>
              <w:rFonts w:eastAsiaTheme="minorEastAsia"/>
              <w:noProof/>
              <w:lang w:eastAsia="en-GB"/>
            </w:rPr>
          </w:pPr>
          <w:hyperlink w:anchor="_Toc232439533" w:history="1">
            <w:r w:rsidRPr="007D7EBB">
              <w:rPr>
                <w:rStyle w:val="Hyperlink"/>
                <w:noProof/>
              </w:rPr>
              <w:t>5. Conclusion</w:t>
            </w:r>
            <w:r>
              <w:rPr>
                <w:noProof/>
                <w:webHidden/>
              </w:rPr>
              <w:tab/>
            </w:r>
            <w:r>
              <w:rPr>
                <w:noProof/>
                <w:webHidden/>
              </w:rPr>
              <w:fldChar w:fldCharType="begin"/>
            </w:r>
            <w:r>
              <w:rPr>
                <w:noProof/>
                <w:webHidden/>
              </w:rPr>
              <w:instrText xml:space="preserve"> PAGEREF _Toc232439533 \h </w:instrText>
            </w:r>
            <w:r>
              <w:rPr>
                <w:noProof/>
                <w:webHidden/>
              </w:rPr>
            </w:r>
            <w:r>
              <w:rPr>
                <w:noProof/>
                <w:webHidden/>
              </w:rPr>
              <w:fldChar w:fldCharType="separate"/>
            </w:r>
            <w:r>
              <w:rPr>
                <w:noProof/>
                <w:webHidden/>
              </w:rPr>
              <w:t>20</w:t>
            </w:r>
            <w:r>
              <w:rPr>
                <w:noProof/>
                <w:webHidden/>
              </w:rPr>
              <w:fldChar w:fldCharType="end"/>
            </w:r>
          </w:hyperlink>
        </w:p>
        <w:p w14:paraId="6D6CF076" w14:textId="63DD2FC1" w:rsidR="00945A97" w:rsidRDefault="00945A97">
          <w:pPr>
            <w:pStyle w:val="TOC2"/>
            <w:tabs>
              <w:tab w:val="right" w:leader="dot" w:pos="9016"/>
            </w:tabs>
            <w:rPr>
              <w:rFonts w:eastAsiaTheme="minorEastAsia"/>
              <w:noProof/>
              <w:lang w:eastAsia="en-GB"/>
            </w:rPr>
          </w:pPr>
          <w:hyperlink w:anchor="_Toc232439534" w:history="1">
            <w:r w:rsidRPr="007D7EBB">
              <w:rPr>
                <w:rStyle w:val="Hyperlink"/>
                <w:noProof/>
              </w:rPr>
              <w:t>5.1 Achievement and links to existing literature</w:t>
            </w:r>
            <w:r>
              <w:rPr>
                <w:noProof/>
                <w:webHidden/>
              </w:rPr>
              <w:tab/>
            </w:r>
            <w:r>
              <w:rPr>
                <w:noProof/>
                <w:webHidden/>
              </w:rPr>
              <w:fldChar w:fldCharType="begin"/>
            </w:r>
            <w:r>
              <w:rPr>
                <w:noProof/>
                <w:webHidden/>
              </w:rPr>
              <w:instrText xml:space="preserve"> PAGEREF _Toc232439534 \h </w:instrText>
            </w:r>
            <w:r>
              <w:rPr>
                <w:noProof/>
                <w:webHidden/>
              </w:rPr>
            </w:r>
            <w:r>
              <w:rPr>
                <w:noProof/>
                <w:webHidden/>
              </w:rPr>
              <w:fldChar w:fldCharType="separate"/>
            </w:r>
            <w:r>
              <w:rPr>
                <w:noProof/>
                <w:webHidden/>
              </w:rPr>
              <w:t>20</w:t>
            </w:r>
            <w:r>
              <w:rPr>
                <w:noProof/>
                <w:webHidden/>
              </w:rPr>
              <w:fldChar w:fldCharType="end"/>
            </w:r>
          </w:hyperlink>
        </w:p>
        <w:p w14:paraId="0751BF74" w14:textId="73DEA474" w:rsidR="00945A97" w:rsidRDefault="00945A97">
          <w:pPr>
            <w:pStyle w:val="TOC2"/>
            <w:tabs>
              <w:tab w:val="right" w:leader="dot" w:pos="9016"/>
            </w:tabs>
            <w:rPr>
              <w:rFonts w:eastAsiaTheme="minorEastAsia"/>
              <w:noProof/>
              <w:lang w:eastAsia="en-GB"/>
            </w:rPr>
          </w:pPr>
          <w:hyperlink w:anchor="_Toc232439535" w:history="1">
            <w:r w:rsidRPr="007D7EBB">
              <w:rPr>
                <w:rStyle w:val="Hyperlink"/>
                <w:noProof/>
              </w:rPr>
              <w:t>5.2 Contribution to existing knowledge</w:t>
            </w:r>
            <w:r>
              <w:rPr>
                <w:noProof/>
                <w:webHidden/>
              </w:rPr>
              <w:tab/>
            </w:r>
            <w:r>
              <w:rPr>
                <w:noProof/>
                <w:webHidden/>
              </w:rPr>
              <w:fldChar w:fldCharType="begin"/>
            </w:r>
            <w:r>
              <w:rPr>
                <w:noProof/>
                <w:webHidden/>
              </w:rPr>
              <w:instrText xml:space="preserve"> PAGEREF _Toc232439535 \h </w:instrText>
            </w:r>
            <w:r>
              <w:rPr>
                <w:noProof/>
                <w:webHidden/>
              </w:rPr>
            </w:r>
            <w:r>
              <w:rPr>
                <w:noProof/>
                <w:webHidden/>
              </w:rPr>
              <w:fldChar w:fldCharType="separate"/>
            </w:r>
            <w:r>
              <w:rPr>
                <w:noProof/>
                <w:webHidden/>
              </w:rPr>
              <w:t>21</w:t>
            </w:r>
            <w:r>
              <w:rPr>
                <w:noProof/>
                <w:webHidden/>
              </w:rPr>
              <w:fldChar w:fldCharType="end"/>
            </w:r>
          </w:hyperlink>
        </w:p>
        <w:p w14:paraId="662A7DDC" w14:textId="2B9E0AC9" w:rsidR="00945A97" w:rsidRDefault="00945A97">
          <w:pPr>
            <w:pStyle w:val="TOC2"/>
            <w:tabs>
              <w:tab w:val="right" w:leader="dot" w:pos="9016"/>
            </w:tabs>
            <w:rPr>
              <w:rFonts w:eastAsiaTheme="minorEastAsia"/>
              <w:noProof/>
              <w:lang w:eastAsia="en-GB"/>
            </w:rPr>
          </w:pPr>
          <w:hyperlink w:anchor="_Toc232439536" w:history="1">
            <w:r w:rsidRPr="007D7EBB">
              <w:rPr>
                <w:rStyle w:val="Hyperlink"/>
                <w:noProof/>
              </w:rPr>
              <w:t>5.3 Limitations</w:t>
            </w:r>
            <w:r>
              <w:rPr>
                <w:noProof/>
                <w:webHidden/>
              </w:rPr>
              <w:tab/>
            </w:r>
            <w:r>
              <w:rPr>
                <w:noProof/>
                <w:webHidden/>
              </w:rPr>
              <w:fldChar w:fldCharType="begin"/>
            </w:r>
            <w:r>
              <w:rPr>
                <w:noProof/>
                <w:webHidden/>
              </w:rPr>
              <w:instrText xml:space="preserve"> PAGEREF _Toc232439536 \h </w:instrText>
            </w:r>
            <w:r>
              <w:rPr>
                <w:noProof/>
                <w:webHidden/>
              </w:rPr>
            </w:r>
            <w:r>
              <w:rPr>
                <w:noProof/>
                <w:webHidden/>
              </w:rPr>
              <w:fldChar w:fldCharType="separate"/>
            </w:r>
            <w:r>
              <w:rPr>
                <w:noProof/>
                <w:webHidden/>
              </w:rPr>
              <w:t>22</w:t>
            </w:r>
            <w:r>
              <w:rPr>
                <w:noProof/>
                <w:webHidden/>
              </w:rPr>
              <w:fldChar w:fldCharType="end"/>
            </w:r>
          </w:hyperlink>
        </w:p>
        <w:p w14:paraId="072B4E05" w14:textId="3A17FDDE" w:rsidR="00945A97" w:rsidRDefault="00945A97">
          <w:pPr>
            <w:pStyle w:val="TOC2"/>
            <w:tabs>
              <w:tab w:val="right" w:leader="dot" w:pos="9016"/>
            </w:tabs>
            <w:rPr>
              <w:rFonts w:eastAsiaTheme="minorEastAsia"/>
              <w:noProof/>
              <w:lang w:eastAsia="en-GB"/>
            </w:rPr>
          </w:pPr>
          <w:hyperlink w:anchor="_Toc232439537" w:history="1">
            <w:r w:rsidRPr="007D7EBB">
              <w:rPr>
                <w:rStyle w:val="Hyperlink"/>
                <w:noProof/>
              </w:rPr>
              <w:t>5.4 Recommendations for future research</w:t>
            </w:r>
            <w:r>
              <w:rPr>
                <w:noProof/>
                <w:webHidden/>
              </w:rPr>
              <w:tab/>
            </w:r>
            <w:r>
              <w:rPr>
                <w:noProof/>
                <w:webHidden/>
              </w:rPr>
              <w:fldChar w:fldCharType="begin"/>
            </w:r>
            <w:r>
              <w:rPr>
                <w:noProof/>
                <w:webHidden/>
              </w:rPr>
              <w:instrText xml:space="preserve"> PAGEREF _Toc232439537 \h </w:instrText>
            </w:r>
            <w:r>
              <w:rPr>
                <w:noProof/>
                <w:webHidden/>
              </w:rPr>
            </w:r>
            <w:r>
              <w:rPr>
                <w:noProof/>
                <w:webHidden/>
              </w:rPr>
              <w:fldChar w:fldCharType="separate"/>
            </w:r>
            <w:r>
              <w:rPr>
                <w:noProof/>
                <w:webHidden/>
              </w:rPr>
              <w:t>22</w:t>
            </w:r>
            <w:r>
              <w:rPr>
                <w:noProof/>
                <w:webHidden/>
              </w:rPr>
              <w:fldChar w:fldCharType="end"/>
            </w:r>
          </w:hyperlink>
        </w:p>
        <w:p w14:paraId="235CDB47" w14:textId="65D11C29" w:rsidR="00945A97" w:rsidRDefault="00945A97">
          <w:pPr>
            <w:pStyle w:val="TOC1"/>
            <w:tabs>
              <w:tab w:val="right" w:leader="dot" w:pos="9016"/>
            </w:tabs>
            <w:rPr>
              <w:rFonts w:eastAsiaTheme="minorEastAsia"/>
              <w:noProof/>
              <w:lang w:eastAsia="en-GB"/>
            </w:rPr>
          </w:pPr>
          <w:hyperlink w:anchor="_Toc232439538" w:history="1">
            <w:r w:rsidRPr="007D7EBB">
              <w:rPr>
                <w:rStyle w:val="Hyperlink"/>
                <w:noProof/>
              </w:rPr>
              <w:t>Bibliography</w:t>
            </w:r>
            <w:r>
              <w:rPr>
                <w:noProof/>
                <w:webHidden/>
              </w:rPr>
              <w:tab/>
            </w:r>
            <w:r>
              <w:rPr>
                <w:noProof/>
                <w:webHidden/>
              </w:rPr>
              <w:fldChar w:fldCharType="begin"/>
            </w:r>
            <w:r>
              <w:rPr>
                <w:noProof/>
                <w:webHidden/>
              </w:rPr>
              <w:instrText xml:space="preserve"> PAGEREF _Toc232439538 \h </w:instrText>
            </w:r>
            <w:r>
              <w:rPr>
                <w:noProof/>
                <w:webHidden/>
              </w:rPr>
            </w:r>
            <w:r>
              <w:rPr>
                <w:noProof/>
                <w:webHidden/>
              </w:rPr>
              <w:fldChar w:fldCharType="separate"/>
            </w:r>
            <w:r>
              <w:rPr>
                <w:noProof/>
                <w:webHidden/>
              </w:rPr>
              <w:t>24</w:t>
            </w:r>
            <w:r>
              <w:rPr>
                <w:noProof/>
                <w:webHidden/>
              </w:rPr>
              <w:fldChar w:fldCharType="end"/>
            </w:r>
          </w:hyperlink>
        </w:p>
        <w:p w14:paraId="3C54F4E1" w14:textId="7F21A077" w:rsidR="00945A97" w:rsidRDefault="00945A97">
          <w:pPr>
            <w:pStyle w:val="TOC1"/>
            <w:tabs>
              <w:tab w:val="right" w:leader="dot" w:pos="9016"/>
            </w:tabs>
            <w:rPr>
              <w:rFonts w:eastAsiaTheme="minorEastAsia"/>
              <w:noProof/>
              <w:lang w:eastAsia="en-GB"/>
            </w:rPr>
          </w:pPr>
          <w:hyperlink w:anchor="_Toc232439539" w:history="1">
            <w:r w:rsidRPr="007D7EBB">
              <w:rPr>
                <w:rStyle w:val="Hyperlink"/>
                <w:noProof/>
              </w:rPr>
              <w:t>Appendix</w:t>
            </w:r>
            <w:r>
              <w:rPr>
                <w:noProof/>
                <w:webHidden/>
              </w:rPr>
              <w:tab/>
            </w:r>
            <w:r>
              <w:rPr>
                <w:noProof/>
                <w:webHidden/>
              </w:rPr>
              <w:fldChar w:fldCharType="begin"/>
            </w:r>
            <w:r>
              <w:rPr>
                <w:noProof/>
                <w:webHidden/>
              </w:rPr>
              <w:instrText xml:space="preserve"> PAGEREF _Toc232439539 \h </w:instrText>
            </w:r>
            <w:r>
              <w:rPr>
                <w:noProof/>
                <w:webHidden/>
              </w:rPr>
            </w:r>
            <w:r>
              <w:rPr>
                <w:noProof/>
                <w:webHidden/>
              </w:rPr>
              <w:fldChar w:fldCharType="separate"/>
            </w:r>
            <w:r>
              <w:rPr>
                <w:noProof/>
                <w:webHidden/>
              </w:rPr>
              <w:t>28</w:t>
            </w:r>
            <w:r>
              <w:rPr>
                <w:noProof/>
                <w:webHidden/>
              </w:rPr>
              <w:fldChar w:fldCharType="end"/>
            </w:r>
          </w:hyperlink>
        </w:p>
        <w:p w14:paraId="78B011E1" w14:textId="22433D86" w:rsidR="00675D3E" w:rsidRDefault="00675D3E">
          <w:r>
            <w:rPr>
              <w:b/>
              <w:bCs/>
              <w:noProof/>
            </w:rPr>
            <w:fldChar w:fldCharType="end"/>
          </w:r>
        </w:p>
      </w:sdtContent>
    </w:sdt>
    <w:p w14:paraId="2F47257C" w14:textId="77777777" w:rsidR="00CD6929" w:rsidRDefault="00CD6929" w:rsidP="00457BD4">
      <w:pPr>
        <w:rPr>
          <w:rFonts w:ascii="Calibri" w:hAnsi="Calibri" w:cs="Calibri"/>
        </w:rPr>
      </w:pPr>
    </w:p>
    <w:p w14:paraId="0199C9EE" w14:textId="77777777" w:rsidR="008878A9" w:rsidRPr="008878A9" w:rsidRDefault="008878A9" w:rsidP="008878A9">
      <w:pPr>
        <w:jc w:val="center"/>
        <w:rPr>
          <w:rFonts w:ascii="Calibri" w:hAnsi="Calibri" w:cs="Calibri"/>
        </w:rPr>
      </w:pPr>
    </w:p>
    <w:p w14:paraId="216B5057" w14:textId="77777777" w:rsidR="00900614" w:rsidRDefault="00900614" w:rsidP="00AC2EFD">
      <w:pPr>
        <w:jc w:val="center"/>
        <w:rPr>
          <w:rFonts w:ascii="Calibri" w:hAnsi="Calibri" w:cs="Calibri"/>
        </w:rPr>
      </w:pPr>
    </w:p>
    <w:p w14:paraId="5C63E556" w14:textId="77777777" w:rsidR="009718CB" w:rsidRDefault="009718CB" w:rsidP="00AC2EFD">
      <w:pPr>
        <w:jc w:val="center"/>
        <w:rPr>
          <w:rFonts w:ascii="Calibri" w:hAnsi="Calibri" w:cs="Calibri"/>
        </w:rPr>
      </w:pPr>
    </w:p>
    <w:p w14:paraId="4555D15F" w14:textId="77777777" w:rsidR="00D84A65" w:rsidRDefault="00D84A65" w:rsidP="004A2464">
      <w:pPr>
        <w:rPr>
          <w:rFonts w:ascii="Calibri" w:hAnsi="Calibri" w:cs="Calibri"/>
        </w:rPr>
      </w:pPr>
    </w:p>
    <w:p w14:paraId="51BCF5E2" w14:textId="77777777" w:rsidR="004D45EB" w:rsidRDefault="004D45EB" w:rsidP="004A2464">
      <w:pPr>
        <w:rPr>
          <w:rFonts w:ascii="Calibri" w:hAnsi="Calibri" w:cs="Calibri"/>
        </w:rPr>
      </w:pPr>
    </w:p>
    <w:p w14:paraId="639C46B4" w14:textId="77777777" w:rsidR="004D45EB" w:rsidRDefault="004D45EB" w:rsidP="004A2464">
      <w:pPr>
        <w:rPr>
          <w:rFonts w:ascii="Calibri" w:hAnsi="Calibri" w:cs="Calibri"/>
        </w:rPr>
      </w:pPr>
    </w:p>
    <w:p w14:paraId="4195BA4C" w14:textId="6F5A0348" w:rsidR="0078780D" w:rsidRPr="00CD6929" w:rsidRDefault="0078780D" w:rsidP="00D84A65">
      <w:pPr>
        <w:pStyle w:val="Heading1"/>
        <w:numPr>
          <w:ilvl w:val="0"/>
          <w:numId w:val="7"/>
        </w:numPr>
      </w:pPr>
      <w:bookmarkStart w:id="0" w:name="_Toc232439520"/>
      <w:r w:rsidRPr="00CD6929">
        <w:lastRenderedPageBreak/>
        <w:t>Introduction</w:t>
      </w:r>
      <w:bookmarkEnd w:id="0"/>
    </w:p>
    <w:p w14:paraId="5CC3EA76" w14:textId="77777777" w:rsidR="0078780D" w:rsidRDefault="0078780D" w:rsidP="0078780D">
      <w:pPr>
        <w:jc w:val="both"/>
        <w:rPr>
          <w:rFonts w:cs="Arial"/>
          <w:sz w:val="22"/>
          <w:szCs w:val="22"/>
        </w:rPr>
      </w:pPr>
    </w:p>
    <w:p w14:paraId="55BF8489" w14:textId="4EB7995B" w:rsidR="0078780D" w:rsidRDefault="0078780D" w:rsidP="0078780D">
      <w:pPr>
        <w:jc w:val="both"/>
        <w:rPr>
          <w:rFonts w:cs="Arial"/>
          <w:sz w:val="22"/>
          <w:szCs w:val="22"/>
        </w:rPr>
      </w:pPr>
      <w:r>
        <w:rPr>
          <w:rFonts w:cs="Arial"/>
          <w:sz w:val="22"/>
          <w:szCs w:val="22"/>
        </w:rPr>
        <w:t xml:space="preserve">Frontline policing will commonly expose frontline officers to a number of occupational stressors, with these being traumatic incidents, violence, administrative pressure and shift work. These stressors can lead to profound effects on officers’ mental health both in the workplace and on the relationships with </w:t>
      </w:r>
      <w:r w:rsidR="00B97BBA">
        <w:rPr>
          <w:rFonts w:cs="Arial"/>
          <w:sz w:val="22"/>
          <w:szCs w:val="22"/>
        </w:rPr>
        <w:t>officers’</w:t>
      </w:r>
      <w:r>
        <w:rPr>
          <w:rFonts w:cs="Arial"/>
          <w:sz w:val="22"/>
          <w:szCs w:val="22"/>
        </w:rPr>
        <w:t xml:space="preserve"> family, colleagues and friends.  </w:t>
      </w:r>
    </w:p>
    <w:p w14:paraId="2F4C657F" w14:textId="77777777" w:rsidR="0078780D" w:rsidRDefault="0078780D" w:rsidP="0078780D">
      <w:pPr>
        <w:jc w:val="both"/>
        <w:rPr>
          <w:rFonts w:cs="Arial"/>
          <w:sz w:val="22"/>
          <w:szCs w:val="22"/>
        </w:rPr>
      </w:pPr>
    </w:p>
    <w:p w14:paraId="005332A3" w14:textId="4DE4A307" w:rsidR="0078780D" w:rsidRPr="00051616" w:rsidRDefault="0078780D" w:rsidP="0078780D">
      <w:pPr>
        <w:jc w:val="both"/>
        <w:rPr>
          <w:rFonts w:cs="Arial"/>
          <w:sz w:val="22"/>
          <w:szCs w:val="22"/>
        </w:rPr>
      </w:pPr>
      <w:r>
        <w:rPr>
          <w:rFonts w:cs="Arial"/>
          <w:sz w:val="22"/>
          <w:szCs w:val="22"/>
        </w:rPr>
        <w:t xml:space="preserve">There is a substantial amount of research and literature on post-traumatic stress disorder and the occupational stress within the role of policing, including research by Valazquez and Hernandez (2019) who claim that first responders have identified the main individuals likely to be exposed to repeated occupational stressors, however, much less is known about the link between the exposure of frontline policing and the officers relationships. </w:t>
      </w:r>
      <w:r w:rsidRPr="00051616">
        <w:rPr>
          <w:rFonts w:cs="Arial"/>
          <w:sz w:val="22"/>
          <w:szCs w:val="22"/>
        </w:rPr>
        <w:t>According to Gachter, Savage &amp; Torgler (2011) social capital</w:t>
      </w:r>
      <w:r>
        <w:rPr>
          <w:rFonts w:cs="Arial"/>
          <w:sz w:val="22"/>
          <w:szCs w:val="22"/>
        </w:rPr>
        <w:t>, which they define as the “strength of social networks and support” has been found to ease or in some cases, mitigate the negative effects of psychological strain felt by frontline officers. Previous studies have found that a higher social capital and strong social networks can aid in limiting the impacts of occupational stressors</w:t>
      </w:r>
    </w:p>
    <w:p w14:paraId="12CA514A" w14:textId="77777777" w:rsidR="0078780D" w:rsidRDefault="0078780D" w:rsidP="0078780D">
      <w:pPr>
        <w:jc w:val="both"/>
        <w:rPr>
          <w:rFonts w:cs="Arial"/>
          <w:sz w:val="22"/>
          <w:szCs w:val="22"/>
        </w:rPr>
      </w:pPr>
    </w:p>
    <w:p w14:paraId="1DCA13ED" w14:textId="7CDBA7CC" w:rsidR="00EA50B1" w:rsidRDefault="0078780D" w:rsidP="006F1DEE">
      <w:pPr>
        <w:jc w:val="both"/>
        <w:rPr>
          <w:rFonts w:cs="Arial"/>
          <w:sz w:val="22"/>
          <w:szCs w:val="22"/>
        </w:rPr>
      </w:pPr>
      <w:r>
        <w:rPr>
          <w:rFonts w:cs="Arial"/>
          <w:sz w:val="22"/>
          <w:szCs w:val="22"/>
        </w:rPr>
        <w:t xml:space="preserve">Understanding the link is essential to build effective mental health interventions and policies that can support both frontline officers and as a result their social networks. </w:t>
      </w:r>
    </w:p>
    <w:p w14:paraId="3EA768CF" w14:textId="77777777" w:rsidR="006F1DEE" w:rsidRDefault="006F1DEE" w:rsidP="006F1DEE">
      <w:pPr>
        <w:jc w:val="both"/>
        <w:rPr>
          <w:rFonts w:cs="Arial"/>
          <w:sz w:val="22"/>
          <w:szCs w:val="22"/>
        </w:rPr>
      </w:pPr>
    </w:p>
    <w:p w14:paraId="6C6B34AD" w14:textId="7DF3F202" w:rsidR="00EA50B1" w:rsidRDefault="006F1DEE" w:rsidP="00EA50B1">
      <w:pPr>
        <w:rPr>
          <w:rFonts w:cs="Arial"/>
          <w:sz w:val="22"/>
          <w:szCs w:val="22"/>
        </w:rPr>
      </w:pPr>
      <w:r>
        <w:rPr>
          <w:rFonts w:cs="Arial"/>
          <w:sz w:val="22"/>
          <w:szCs w:val="22"/>
        </w:rPr>
        <w:t>To help understand the link, t</w:t>
      </w:r>
      <w:r w:rsidR="00EA50B1">
        <w:rPr>
          <w:rFonts w:cs="Arial"/>
          <w:sz w:val="22"/>
          <w:szCs w:val="22"/>
        </w:rPr>
        <w:t>his research looks to ask the following questions –</w:t>
      </w:r>
    </w:p>
    <w:p w14:paraId="67D0B8EC" w14:textId="77777777" w:rsidR="00EA50B1" w:rsidRDefault="00EA50B1" w:rsidP="00EA50B1">
      <w:pPr>
        <w:rPr>
          <w:rFonts w:cs="Arial"/>
          <w:sz w:val="22"/>
          <w:szCs w:val="22"/>
        </w:rPr>
      </w:pPr>
    </w:p>
    <w:p w14:paraId="4D531B1D" w14:textId="77777777" w:rsidR="00EA50B1" w:rsidRPr="00357C37" w:rsidRDefault="00EA50B1" w:rsidP="00EA50B1">
      <w:pPr>
        <w:pStyle w:val="ListParagraph"/>
        <w:numPr>
          <w:ilvl w:val="0"/>
          <w:numId w:val="3"/>
        </w:numPr>
        <w:spacing w:after="0" w:line="240" w:lineRule="auto"/>
        <w:rPr>
          <w:rFonts w:cs="Arial"/>
          <w:sz w:val="22"/>
          <w:szCs w:val="22"/>
        </w:rPr>
      </w:pPr>
      <w:r w:rsidRPr="00357C37">
        <w:rPr>
          <w:rFonts w:cs="Arial"/>
          <w:sz w:val="22"/>
          <w:szCs w:val="22"/>
        </w:rPr>
        <w:t>What is the association between frontline exposures and mental health outcomes?</w:t>
      </w:r>
    </w:p>
    <w:p w14:paraId="0843F829" w14:textId="77777777" w:rsidR="00EA50B1" w:rsidRDefault="00EA50B1" w:rsidP="00EA50B1">
      <w:pPr>
        <w:rPr>
          <w:rFonts w:cs="Arial"/>
          <w:sz w:val="22"/>
          <w:szCs w:val="22"/>
        </w:rPr>
      </w:pPr>
    </w:p>
    <w:p w14:paraId="32940174" w14:textId="77777777" w:rsidR="00EA50B1" w:rsidRDefault="00EA50B1" w:rsidP="00EA50B1">
      <w:pPr>
        <w:rPr>
          <w:rFonts w:cs="Arial"/>
          <w:sz w:val="22"/>
          <w:szCs w:val="22"/>
        </w:rPr>
      </w:pPr>
      <w:r>
        <w:rPr>
          <w:rFonts w:cs="Arial"/>
          <w:sz w:val="22"/>
          <w:szCs w:val="22"/>
        </w:rPr>
        <w:t>Investigating the link between occupational stressors is essential to this research as the current culture of policing will often normalise the exposure to trauma within the frontline role, this can at times, lead to sufferers attempting to mask any mental health issues. Further research into this will help to provide evidence on the topic of research and advise organisations on the best way to identify, prioritise and ultimately help those who may be suffering in silence.</w:t>
      </w:r>
    </w:p>
    <w:p w14:paraId="7308A0B2" w14:textId="77777777" w:rsidR="00EA50B1" w:rsidRDefault="00EA50B1" w:rsidP="00EA50B1">
      <w:pPr>
        <w:rPr>
          <w:rFonts w:cs="Arial"/>
          <w:sz w:val="22"/>
          <w:szCs w:val="22"/>
        </w:rPr>
      </w:pPr>
    </w:p>
    <w:p w14:paraId="2D09B989" w14:textId="77777777" w:rsidR="00EA50B1" w:rsidRPr="008F0E1C" w:rsidRDefault="00EA50B1" w:rsidP="00EA50B1">
      <w:pPr>
        <w:pStyle w:val="ListParagraph"/>
        <w:numPr>
          <w:ilvl w:val="0"/>
          <w:numId w:val="3"/>
        </w:numPr>
        <w:spacing w:after="0" w:line="240" w:lineRule="auto"/>
        <w:rPr>
          <w:rFonts w:cs="Arial"/>
          <w:sz w:val="22"/>
          <w:szCs w:val="22"/>
        </w:rPr>
      </w:pPr>
      <w:r w:rsidRPr="008F0E1C">
        <w:rPr>
          <w:rFonts w:cs="Arial"/>
          <w:sz w:val="22"/>
          <w:szCs w:val="22"/>
        </w:rPr>
        <w:t>How do changes in mental health effect the relationship outcomes of officers?</w:t>
      </w:r>
    </w:p>
    <w:p w14:paraId="691F93C2" w14:textId="77777777" w:rsidR="00EA50B1" w:rsidRDefault="00EA50B1" w:rsidP="00EA50B1">
      <w:pPr>
        <w:rPr>
          <w:rFonts w:cs="Arial"/>
          <w:sz w:val="22"/>
          <w:szCs w:val="22"/>
        </w:rPr>
      </w:pPr>
      <w:r>
        <w:rPr>
          <w:rFonts w:cs="Arial"/>
          <w:sz w:val="22"/>
          <w:szCs w:val="22"/>
        </w:rPr>
        <w:t xml:space="preserve"> </w:t>
      </w:r>
    </w:p>
    <w:p w14:paraId="7B747541" w14:textId="77777777" w:rsidR="00EA50B1" w:rsidRDefault="00EA50B1" w:rsidP="00EA50B1">
      <w:pPr>
        <w:rPr>
          <w:rFonts w:cs="Arial"/>
          <w:sz w:val="22"/>
          <w:szCs w:val="22"/>
        </w:rPr>
      </w:pPr>
      <w:r>
        <w:rPr>
          <w:rFonts w:cs="Arial"/>
          <w:sz w:val="22"/>
          <w:szCs w:val="22"/>
        </w:rPr>
        <w:t xml:space="preserve">Mental health within policing does not only effect or exist within the officer alone, but it will also almost always have spillover that will directly impact those closest to that officer, </w:t>
      </w:r>
      <w:proofErr w:type="gramStart"/>
      <w:r>
        <w:rPr>
          <w:rFonts w:cs="Arial"/>
          <w:sz w:val="22"/>
          <w:szCs w:val="22"/>
        </w:rPr>
        <w:t>families</w:t>
      </w:r>
      <w:proofErr w:type="gramEnd"/>
      <w:r>
        <w:rPr>
          <w:rFonts w:cs="Arial"/>
          <w:sz w:val="22"/>
          <w:szCs w:val="22"/>
        </w:rPr>
        <w:t xml:space="preserve"> friends and partners. High job stress will often cause decreased communication and emotional availability. Further research on this can offer to identify interventions to combat the spillover rather than combat the symptoms alone. </w:t>
      </w:r>
    </w:p>
    <w:p w14:paraId="3DC34183" w14:textId="77777777" w:rsidR="00EA50B1" w:rsidRDefault="00EA50B1" w:rsidP="00EA50B1">
      <w:pPr>
        <w:rPr>
          <w:rFonts w:cs="Arial"/>
          <w:sz w:val="22"/>
          <w:szCs w:val="22"/>
        </w:rPr>
      </w:pPr>
    </w:p>
    <w:p w14:paraId="06B52505" w14:textId="77777777" w:rsidR="00EA50B1" w:rsidRPr="00800FB4" w:rsidRDefault="00EA50B1" w:rsidP="00EA50B1">
      <w:pPr>
        <w:pStyle w:val="ListParagraph"/>
        <w:numPr>
          <w:ilvl w:val="0"/>
          <w:numId w:val="3"/>
        </w:numPr>
        <w:spacing w:after="0" w:line="240" w:lineRule="auto"/>
        <w:rPr>
          <w:rFonts w:cs="Arial"/>
          <w:sz w:val="22"/>
          <w:szCs w:val="22"/>
        </w:rPr>
      </w:pPr>
      <w:r w:rsidRPr="00800FB4">
        <w:rPr>
          <w:rFonts w:cs="Arial"/>
          <w:sz w:val="22"/>
          <w:szCs w:val="22"/>
        </w:rPr>
        <w:t>Which individual and organisational factors can moderate these relationships?</w:t>
      </w:r>
    </w:p>
    <w:p w14:paraId="6E59EFE7" w14:textId="77777777" w:rsidR="00EA50B1" w:rsidRDefault="00EA50B1" w:rsidP="00EA50B1">
      <w:pPr>
        <w:jc w:val="both"/>
        <w:rPr>
          <w:rFonts w:cs="Arial"/>
          <w:sz w:val="22"/>
          <w:szCs w:val="22"/>
        </w:rPr>
      </w:pPr>
    </w:p>
    <w:p w14:paraId="471B82A1" w14:textId="4FA2BA46" w:rsidR="00D92965" w:rsidRPr="00CD6929" w:rsidRDefault="00EA50B1" w:rsidP="00EA50B1">
      <w:pPr>
        <w:jc w:val="both"/>
        <w:rPr>
          <w:rFonts w:cs="Arial"/>
          <w:sz w:val="22"/>
          <w:szCs w:val="22"/>
        </w:rPr>
      </w:pPr>
      <w:r>
        <w:rPr>
          <w:rFonts w:cs="Arial"/>
          <w:sz w:val="22"/>
          <w:szCs w:val="22"/>
        </w:rPr>
        <w:t>There is a clear need for the identification of both the individual and organisational factors that can strengthen and weaken relationships of frontline officers. The individual factors seek to help officers personally process the stress in a way that limits the effects on their interpersonal relationships. On the other hand, improved organisational factors such as a supportive leadership and access to supportive services can make the personal process far easier with the support behind them.</w:t>
      </w:r>
    </w:p>
    <w:p w14:paraId="5F5CC373" w14:textId="77777777" w:rsidR="00D92965" w:rsidRDefault="00D92965" w:rsidP="00EA50B1">
      <w:pPr>
        <w:jc w:val="both"/>
        <w:rPr>
          <w:rFonts w:cs="Arial"/>
          <w:sz w:val="22"/>
          <w:szCs w:val="22"/>
        </w:rPr>
      </w:pPr>
    </w:p>
    <w:p w14:paraId="581A0076" w14:textId="2C3879A6" w:rsidR="00CA47D8" w:rsidRDefault="00CA47D8" w:rsidP="00CA47D8">
      <w:pPr>
        <w:jc w:val="both"/>
        <w:rPr>
          <w:rStyle w:val="lookup-resultcontent"/>
          <w:rFonts w:cs="Arial"/>
          <w:sz w:val="22"/>
          <w:szCs w:val="22"/>
        </w:rPr>
      </w:pPr>
      <w:r>
        <w:rPr>
          <w:rStyle w:val="lookup-resultcontent"/>
          <w:rFonts w:cs="Arial"/>
          <w:sz w:val="22"/>
          <w:szCs w:val="22"/>
        </w:rPr>
        <w:t xml:space="preserve">The effects of frontline policing on interpersonal relationships and family outcomes often receives attention within existing research and literature, however the topic is not fully tested. There are many studies whereby the link between officers’ personal relationships with fellow officers and stressors of the job have been researched, including but not limited to Schantz, Coxe &amp; Bruk-Lee (2021), Sherwood et. al (2019) and Gachter &amp; Torgler (2011). The above, among other tend to lean it to link between occupational stress and relationships with fellow officers rather than social capital from outside factors for example, the officer’s </w:t>
      </w:r>
      <w:r w:rsidR="008456EF">
        <w:rPr>
          <w:rStyle w:val="lookup-resultcontent"/>
          <w:rFonts w:cs="Arial"/>
          <w:sz w:val="22"/>
          <w:szCs w:val="22"/>
        </w:rPr>
        <w:t>families</w:t>
      </w:r>
      <w:r>
        <w:rPr>
          <w:rStyle w:val="lookup-resultcontent"/>
          <w:rFonts w:cs="Arial"/>
          <w:sz w:val="22"/>
          <w:szCs w:val="22"/>
        </w:rPr>
        <w:t xml:space="preserve">. </w:t>
      </w:r>
    </w:p>
    <w:p w14:paraId="789097B0" w14:textId="77777777" w:rsidR="00CA47D8" w:rsidRDefault="00CA47D8" w:rsidP="00CA47D8">
      <w:pPr>
        <w:jc w:val="both"/>
        <w:rPr>
          <w:rStyle w:val="lookup-resultcontent"/>
          <w:rFonts w:cs="Arial"/>
          <w:sz w:val="22"/>
          <w:szCs w:val="22"/>
        </w:rPr>
      </w:pPr>
    </w:p>
    <w:p w14:paraId="5E183F8F" w14:textId="77777777" w:rsidR="00CA47D8" w:rsidRDefault="00CA47D8" w:rsidP="00CA47D8">
      <w:pPr>
        <w:jc w:val="both"/>
        <w:rPr>
          <w:rStyle w:val="lookup-resultcontent"/>
          <w:sz w:val="22"/>
          <w:szCs w:val="22"/>
        </w:rPr>
      </w:pPr>
      <w:r w:rsidRPr="00740AF9">
        <w:rPr>
          <w:rStyle w:val="lookup-resultcontent"/>
          <w:sz w:val="22"/>
          <w:szCs w:val="22"/>
        </w:rPr>
        <w:t>Often mentioned within existing research is the JD-R model (Job Demands – Resources model), this model can be described as a theoretical framework that allows aspects of a job to characterised. According to</w:t>
      </w:r>
      <w:r>
        <w:rPr>
          <w:rStyle w:val="lookup-resultcontent"/>
        </w:rPr>
        <w:t xml:space="preserve"> </w:t>
      </w:r>
      <w:r>
        <w:rPr>
          <w:rStyle w:val="lookup-resultcontent"/>
          <w:sz w:val="22"/>
          <w:szCs w:val="22"/>
        </w:rPr>
        <w:t xml:space="preserve">Bakker and Demerouti (2007), job demands are aspects of a job described as needing continued effort and often result in substantial psychological and physical costs, whereas job resources are aspects that can result in the reduction of job demands and ultimately help to accomplish job goals and allow development. </w:t>
      </w:r>
    </w:p>
    <w:p w14:paraId="3F1B0921" w14:textId="77777777" w:rsidR="008456EF" w:rsidRDefault="008456EF" w:rsidP="00CA47D8">
      <w:pPr>
        <w:jc w:val="both"/>
        <w:rPr>
          <w:rStyle w:val="lookup-resultcontent"/>
          <w:sz w:val="22"/>
          <w:szCs w:val="22"/>
        </w:rPr>
      </w:pPr>
    </w:p>
    <w:p w14:paraId="13911B1C" w14:textId="77777777" w:rsidR="008456EF" w:rsidRDefault="008456EF" w:rsidP="008456EF">
      <w:pPr>
        <w:jc w:val="both"/>
        <w:rPr>
          <w:rStyle w:val="lookup-resultcontent"/>
          <w:sz w:val="22"/>
          <w:szCs w:val="22"/>
        </w:rPr>
      </w:pPr>
      <w:r>
        <w:rPr>
          <w:rStyle w:val="lookup-resultcontent"/>
          <w:sz w:val="22"/>
          <w:szCs w:val="22"/>
        </w:rPr>
        <w:t xml:space="preserve">When linked to frontline policing, the JD-R model offers to highlight the role of social capital as a resource and protective component from emotional and psychological strain. Santa Maria et. al. claim that within a study conducted with German police officers, resources including social support and shared values of colleagues and positive leadership relationships acted to buffer the negative strains on officers such as workload, shift patterns and high stress environments. </w:t>
      </w:r>
    </w:p>
    <w:p w14:paraId="40C9D026" w14:textId="77777777" w:rsidR="008456EF" w:rsidRDefault="008456EF" w:rsidP="008456EF">
      <w:pPr>
        <w:jc w:val="both"/>
        <w:rPr>
          <w:rStyle w:val="lookup-resultcontent"/>
          <w:sz w:val="22"/>
          <w:szCs w:val="22"/>
        </w:rPr>
      </w:pPr>
    </w:p>
    <w:p w14:paraId="4DAA266E" w14:textId="2A18A20E" w:rsidR="008456EF" w:rsidRPr="008456EF" w:rsidRDefault="008456EF" w:rsidP="00CA47D8">
      <w:pPr>
        <w:jc w:val="both"/>
        <w:rPr>
          <w:rStyle w:val="lookup-resultcontent"/>
          <w:rFonts w:cs="Arial"/>
          <w:sz w:val="22"/>
          <w:szCs w:val="22"/>
        </w:rPr>
      </w:pPr>
      <w:r>
        <w:rPr>
          <w:rStyle w:val="lookup-resultcontent"/>
          <w:sz w:val="22"/>
          <w:szCs w:val="22"/>
        </w:rPr>
        <w:t xml:space="preserve">Current research conducted on this topic shows that officers with positive personal relationships within their organisation have a greater chance of mitigating the negative demands placed upon them. This research will look to expand that theory based on </w:t>
      </w:r>
      <w:proofErr w:type="gramStart"/>
      <w:r>
        <w:rPr>
          <w:rStyle w:val="lookup-resultcontent"/>
          <w:sz w:val="22"/>
          <w:szCs w:val="22"/>
        </w:rPr>
        <w:t>officers</w:t>
      </w:r>
      <w:proofErr w:type="gramEnd"/>
      <w:r>
        <w:rPr>
          <w:rStyle w:val="lookup-resultcontent"/>
          <w:sz w:val="22"/>
          <w:szCs w:val="22"/>
        </w:rPr>
        <w:t xml:space="preserve"> personal relationships outside of the organisation and how these relationships, combined with those outside of the work environment can offer to enhance that mitigating effect. </w:t>
      </w:r>
    </w:p>
    <w:p w14:paraId="3E3BA98A" w14:textId="77777777" w:rsidR="00CA47D8" w:rsidRDefault="00CA47D8" w:rsidP="00EA50B1">
      <w:pPr>
        <w:jc w:val="both"/>
        <w:rPr>
          <w:rFonts w:cs="Arial"/>
          <w:sz w:val="22"/>
          <w:szCs w:val="22"/>
        </w:rPr>
      </w:pPr>
    </w:p>
    <w:p w14:paraId="2F0B8063" w14:textId="77777777" w:rsidR="00417924" w:rsidRDefault="00417924" w:rsidP="00417924">
      <w:pPr>
        <w:rPr>
          <w:rFonts w:cs="Arial"/>
          <w:sz w:val="22"/>
          <w:szCs w:val="22"/>
        </w:rPr>
      </w:pPr>
      <w:r>
        <w:rPr>
          <w:rFonts w:cs="Arial"/>
          <w:sz w:val="22"/>
          <w:szCs w:val="22"/>
        </w:rPr>
        <w:lastRenderedPageBreak/>
        <w:t xml:space="preserve">This research will look to offer a questionnaire to a number of serving police officers as a way of gathering an insight into the effects of mental health outcomes, and interpersonal relationship dynamics, however, these topics can be both complex and unique to each officer. </w:t>
      </w:r>
    </w:p>
    <w:p w14:paraId="674930A0" w14:textId="77777777" w:rsidR="00417924" w:rsidRDefault="00417924" w:rsidP="00417924">
      <w:pPr>
        <w:rPr>
          <w:rFonts w:cs="Arial"/>
          <w:sz w:val="22"/>
          <w:szCs w:val="22"/>
        </w:rPr>
      </w:pPr>
    </w:p>
    <w:p w14:paraId="39313002" w14:textId="72214413" w:rsidR="00417924" w:rsidRDefault="00417924" w:rsidP="00417924">
      <w:pPr>
        <w:rPr>
          <w:rFonts w:cs="Arial"/>
          <w:sz w:val="22"/>
          <w:szCs w:val="22"/>
        </w:rPr>
      </w:pPr>
      <w:r>
        <w:rPr>
          <w:rFonts w:cs="Arial"/>
          <w:sz w:val="22"/>
          <w:szCs w:val="22"/>
        </w:rPr>
        <w:t xml:space="preserve">Therefore, as well as a questionnaire, the survey sent to those officers will also include a space for free writing in which the officers can provide they’re thoughts and feelings in their own words. The quantitative method alone can show links between the topics however </w:t>
      </w:r>
      <w:proofErr w:type="gramStart"/>
      <w:r>
        <w:rPr>
          <w:rFonts w:cs="Arial"/>
          <w:sz w:val="22"/>
          <w:szCs w:val="22"/>
        </w:rPr>
        <w:t>alone,</w:t>
      </w:r>
      <w:proofErr w:type="gramEnd"/>
      <w:r>
        <w:rPr>
          <w:rFonts w:cs="Arial"/>
          <w:sz w:val="22"/>
          <w:szCs w:val="22"/>
        </w:rPr>
        <w:t xml:space="preserve"> will struggle to really show how deeply it effects each officer. This researcher feels that giving each participant the opportunity to provide their experience in their own words will likely enrich the research as a whole.     </w:t>
      </w:r>
    </w:p>
    <w:p w14:paraId="3D046E06" w14:textId="77777777" w:rsidR="00417924" w:rsidRDefault="00417924" w:rsidP="00EA50B1">
      <w:pPr>
        <w:jc w:val="both"/>
        <w:rPr>
          <w:rFonts w:cs="Arial"/>
          <w:sz w:val="22"/>
          <w:szCs w:val="22"/>
        </w:rPr>
      </w:pPr>
    </w:p>
    <w:p w14:paraId="70A801C9" w14:textId="5C604D01" w:rsidR="005A37E0" w:rsidRDefault="005A37E0" w:rsidP="005A37E0">
      <w:pPr>
        <w:rPr>
          <w:rFonts w:cs="Arial"/>
          <w:sz w:val="22"/>
          <w:szCs w:val="22"/>
        </w:rPr>
      </w:pPr>
      <w:r>
        <w:rPr>
          <w:rFonts w:cs="Arial"/>
          <w:sz w:val="22"/>
          <w:szCs w:val="22"/>
        </w:rPr>
        <w:t xml:space="preserve">The objectives of the questions mentioned above enable this researcher to quantify the associations between frontline exposures and mental health via data collection from serving police officers, which will be collected through force communications. Data and opinions from a sample of 20 frontline police officers with varying length of service and rank will be sought for this research with the inclusion criteria being those with at least 6 months service. </w:t>
      </w:r>
    </w:p>
    <w:p w14:paraId="67682EB0" w14:textId="77777777" w:rsidR="00626828" w:rsidRDefault="00626828" w:rsidP="005A37E0">
      <w:pPr>
        <w:rPr>
          <w:rFonts w:cs="Arial"/>
          <w:sz w:val="22"/>
          <w:szCs w:val="22"/>
        </w:rPr>
      </w:pPr>
    </w:p>
    <w:p w14:paraId="5F24CCDD" w14:textId="395A432E" w:rsidR="00626828" w:rsidRDefault="00626828" w:rsidP="00626828">
      <w:pPr>
        <w:rPr>
          <w:rFonts w:cs="Arial"/>
          <w:sz w:val="22"/>
          <w:szCs w:val="22"/>
        </w:rPr>
      </w:pPr>
      <w:r>
        <w:rPr>
          <w:rFonts w:cs="Arial"/>
          <w:sz w:val="22"/>
          <w:szCs w:val="22"/>
        </w:rPr>
        <w:t xml:space="preserve">This research will also seek to gain data from 20 officers that are currently on desk-based roles, the reason for this would be to gain valuable insight into the current difference in mental health between officers who are desk based and those on the frontline. </w:t>
      </w:r>
    </w:p>
    <w:p w14:paraId="21D4140D" w14:textId="77777777" w:rsidR="00626828" w:rsidRDefault="00626828" w:rsidP="00626828">
      <w:pPr>
        <w:rPr>
          <w:rFonts w:cs="Arial"/>
          <w:sz w:val="22"/>
          <w:szCs w:val="22"/>
        </w:rPr>
      </w:pPr>
    </w:p>
    <w:p w14:paraId="6012016D" w14:textId="77777777" w:rsidR="00626828" w:rsidRDefault="00626828" w:rsidP="00626828">
      <w:pPr>
        <w:rPr>
          <w:rFonts w:cs="Arial"/>
          <w:sz w:val="22"/>
          <w:szCs w:val="22"/>
        </w:rPr>
      </w:pPr>
      <w:r>
        <w:rPr>
          <w:rFonts w:cs="Arial"/>
          <w:sz w:val="22"/>
          <w:szCs w:val="22"/>
        </w:rPr>
        <w:t>There will then be the opportunity to assess the role of mental health on relationship outcomes for the officers involved and from that data this research will be able to identify any factors that can strengthen or weaken the effects.</w:t>
      </w:r>
    </w:p>
    <w:p w14:paraId="742E446D" w14:textId="77777777" w:rsidR="0018393D" w:rsidRDefault="0018393D" w:rsidP="005A37E0">
      <w:pPr>
        <w:rPr>
          <w:rFonts w:cs="Arial"/>
          <w:sz w:val="22"/>
          <w:szCs w:val="22"/>
        </w:rPr>
      </w:pPr>
    </w:p>
    <w:p w14:paraId="7859703B" w14:textId="6918F053" w:rsidR="005A37E0" w:rsidRDefault="005A37E0" w:rsidP="005A37E0">
      <w:pPr>
        <w:jc w:val="both"/>
        <w:rPr>
          <w:rFonts w:cs="Arial"/>
          <w:sz w:val="22"/>
          <w:szCs w:val="22"/>
        </w:rPr>
      </w:pPr>
      <w:r>
        <w:rPr>
          <w:rFonts w:cs="Arial"/>
          <w:sz w:val="22"/>
          <w:szCs w:val="22"/>
        </w:rPr>
        <w:t xml:space="preserve">From the collected data, </w:t>
      </w:r>
      <w:r w:rsidR="0018393D">
        <w:rPr>
          <w:rFonts w:cs="Arial"/>
          <w:sz w:val="22"/>
          <w:szCs w:val="22"/>
        </w:rPr>
        <w:t>evidence-based</w:t>
      </w:r>
      <w:r>
        <w:rPr>
          <w:rFonts w:cs="Arial"/>
          <w:sz w:val="22"/>
          <w:szCs w:val="22"/>
        </w:rPr>
        <w:t xml:space="preserve"> recommendations can be made for changes or implantation of both policies and interventions to protect the mental health and strengthen the interpersonal relationships of officers currently serving on the frontline and those that will serve in the future</w:t>
      </w:r>
    </w:p>
    <w:p w14:paraId="168BA0F4" w14:textId="77777777" w:rsidR="002619AE" w:rsidRDefault="002619AE" w:rsidP="005A37E0">
      <w:pPr>
        <w:jc w:val="both"/>
        <w:rPr>
          <w:rFonts w:cs="Arial"/>
          <w:sz w:val="22"/>
          <w:szCs w:val="22"/>
        </w:rPr>
      </w:pPr>
    </w:p>
    <w:p w14:paraId="13BEBA9C" w14:textId="77777777" w:rsidR="002619AE" w:rsidRDefault="002619AE" w:rsidP="002619AE">
      <w:pPr>
        <w:jc w:val="both"/>
        <w:rPr>
          <w:rFonts w:cs="Arial"/>
          <w:sz w:val="22"/>
          <w:szCs w:val="22"/>
        </w:rPr>
      </w:pPr>
      <w:r>
        <w:rPr>
          <w:rFonts w:cs="Arial"/>
          <w:sz w:val="22"/>
          <w:szCs w:val="22"/>
        </w:rPr>
        <w:t xml:space="preserve">This research has the potential to expose the participants to a number of distressing topics that could bring back memories of negative situations. </w:t>
      </w:r>
    </w:p>
    <w:p w14:paraId="1709B13D" w14:textId="77777777" w:rsidR="002619AE" w:rsidRDefault="002619AE" w:rsidP="002619AE">
      <w:pPr>
        <w:jc w:val="both"/>
        <w:rPr>
          <w:rFonts w:cs="Arial"/>
          <w:sz w:val="22"/>
          <w:szCs w:val="22"/>
        </w:rPr>
      </w:pPr>
    </w:p>
    <w:p w14:paraId="69E13E56" w14:textId="77777777" w:rsidR="002619AE" w:rsidRDefault="002619AE" w:rsidP="002619AE">
      <w:pPr>
        <w:jc w:val="both"/>
        <w:rPr>
          <w:rFonts w:cs="Arial"/>
          <w:sz w:val="22"/>
          <w:szCs w:val="22"/>
        </w:rPr>
      </w:pPr>
      <w:r>
        <w:rPr>
          <w:rFonts w:cs="Arial"/>
          <w:sz w:val="22"/>
          <w:szCs w:val="22"/>
        </w:rPr>
        <w:t xml:space="preserve">As a result, this researcher will attempt to employ a number of safeguards which would include ethical approval sought from the university itself by way of an ethics form. </w:t>
      </w:r>
    </w:p>
    <w:p w14:paraId="01214688" w14:textId="77777777" w:rsidR="002619AE" w:rsidRDefault="002619AE" w:rsidP="002619AE">
      <w:pPr>
        <w:jc w:val="both"/>
        <w:rPr>
          <w:rFonts w:cs="Arial"/>
          <w:sz w:val="22"/>
          <w:szCs w:val="22"/>
        </w:rPr>
      </w:pPr>
    </w:p>
    <w:p w14:paraId="749B8859" w14:textId="77777777" w:rsidR="002619AE" w:rsidRDefault="002619AE" w:rsidP="002619AE">
      <w:pPr>
        <w:jc w:val="both"/>
        <w:rPr>
          <w:rFonts w:cs="Arial"/>
          <w:sz w:val="22"/>
          <w:szCs w:val="22"/>
        </w:rPr>
      </w:pPr>
      <w:r>
        <w:rPr>
          <w:rFonts w:cs="Arial"/>
          <w:sz w:val="22"/>
          <w:szCs w:val="22"/>
        </w:rPr>
        <w:lastRenderedPageBreak/>
        <w:t xml:space="preserve">This researcher will require informed consent prior to participation offer the right to withdraw from participation at any point during the research. </w:t>
      </w:r>
    </w:p>
    <w:p w14:paraId="0DCAC056" w14:textId="77777777" w:rsidR="002619AE" w:rsidRDefault="002619AE" w:rsidP="002619AE">
      <w:pPr>
        <w:jc w:val="both"/>
        <w:rPr>
          <w:rFonts w:cs="Arial"/>
          <w:sz w:val="22"/>
          <w:szCs w:val="22"/>
        </w:rPr>
      </w:pPr>
    </w:p>
    <w:p w14:paraId="364167F4" w14:textId="77777777" w:rsidR="002619AE" w:rsidRDefault="002619AE" w:rsidP="002619AE">
      <w:pPr>
        <w:jc w:val="both"/>
        <w:rPr>
          <w:rFonts w:cs="Arial"/>
          <w:sz w:val="22"/>
          <w:szCs w:val="22"/>
        </w:rPr>
      </w:pPr>
      <w:r>
        <w:rPr>
          <w:rFonts w:cs="Arial"/>
          <w:sz w:val="22"/>
          <w:szCs w:val="22"/>
        </w:rPr>
        <w:t>Upon conclusion of the research and upon request this researcher will signpost participants to mental health support for both the participants and their families.</w:t>
      </w:r>
    </w:p>
    <w:p w14:paraId="063DC4C6" w14:textId="77777777" w:rsidR="002619AE" w:rsidRDefault="002619AE" w:rsidP="002619AE">
      <w:pPr>
        <w:jc w:val="both"/>
        <w:rPr>
          <w:rFonts w:cs="Arial"/>
          <w:sz w:val="22"/>
          <w:szCs w:val="22"/>
        </w:rPr>
      </w:pPr>
    </w:p>
    <w:p w14:paraId="76A42F7D" w14:textId="36024134" w:rsidR="002619AE" w:rsidRPr="002619AE" w:rsidRDefault="002619AE" w:rsidP="005A37E0">
      <w:pPr>
        <w:jc w:val="both"/>
        <w:rPr>
          <w:rFonts w:cs="Arial"/>
          <w:sz w:val="22"/>
          <w:szCs w:val="22"/>
        </w:rPr>
      </w:pPr>
      <w:r>
        <w:rPr>
          <w:rFonts w:cs="Arial"/>
          <w:sz w:val="22"/>
          <w:szCs w:val="22"/>
        </w:rPr>
        <w:t xml:space="preserve">As well as complete anonymity throughout the research and after.   </w:t>
      </w:r>
    </w:p>
    <w:p w14:paraId="412B1AB1" w14:textId="77777777" w:rsidR="005A37E0" w:rsidRPr="00D012E7" w:rsidRDefault="005A37E0" w:rsidP="00EA50B1">
      <w:pPr>
        <w:jc w:val="both"/>
        <w:rPr>
          <w:rFonts w:cs="Arial"/>
          <w:sz w:val="22"/>
          <w:szCs w:val="22"/>
        </w:rPr>
      </w:pPr>
    </w:p>
    <w:p w14:paraId="1E04EC5F" w14:textId="0776A98E" w:rsidR="00220319" w:rsidRPr="00B71F45" w:rsidRDefault="00D84A65" w:rsidP="008D7EF1">
      <w:pPr>
        <w:pStyle w:val="Heading1"/>
      </w:pPr>
      <w:r>
        <w:t xml:space="preserve">       </w:t>
      </w:r>
      <w:bookmarkStart w:id="1" w:name="_Toc232439521"/>
      <w:r w:rsidR="008D7EF1">
        <w:t xml:space="preserve">2. </w:t>
      </w:r>
      <w:r w:rsidR="00220319" w:rsidRPr="00B71F45">
        <w:t>Literature Review</w:t>
      </w:r>
      <w:bookmarkEnd w:id="1"/>
    </w:p>
    <w:p w14:paraId="3E6EB97A" w14:textId="77777777" w:rsidR="00220319" w:rsidRDefault="00220319" w:rsidP="00220319"/>
    <w:p w14:paraId="42690FF4" w14:textId="3DECBF2B" w:rsidR="00220319" w:rsidRDefault="00220319" w:rsidP="00220319">
      <w:r>
        <w:t xml:space="preserve">This chapter of work aims to critically examine and review the existing body of research on how policing in the UK can affect the mental health of officers and how that will further affect the interpersonal relationships between officers and those in their social network. Both officers and members of the public are subjected to high stress and emotional interactions on a daily basis given the nature of police work. The psychological effects of policing have received far more scholarly attention in recent years, however the extent to which these effects can extend into personal and relational circles has received considerably less attention. This chapter will aim to serve three purposes. Firstly, it will investigate how the role of policing can directly affect police officers and the publics mental health. Secondly, it will investigate the many ways these mental health outcomes can indirectly impact the intimate partnerships and family life of officers. Lastly, this research will look to highlight the gaps in the literature and potential directions for aiding mechanisms and the expansion on existing study. This chapter will lay the groundwork for the current goal by reviewing existing research. </w:t>
      </w:r>
    </w:p>
    <w:p w14:paraId="5395D7DC" w14:textId="77777777" w:rsidR="00220319" w:rsidRDefault="00220319" w:rsidP="00220319"/>
    <w:p w14:paraId="3686F30E" w14:textId="40A66437" w:rsidR="00220319" w:rsidRDefault="00220319" w:rsidP="008D7EF1">
      <w:pPr>
        <w:pStyle w:val="Heading2"/>
      </w:pPr>
      <w:bookmarkStart w:id="2" w:name="_Toc232439522"/>
      <w:r>
        <w:t xml:space="preserve">2.1 </w:t>
      </w:r>
      <w:r w:rsidRPr="00C45D33">
        <w:t>Policing and</w:t>
      </w:r>
      <w:r>
        <w:t xml:space="preserve"> its Effects on</w:t>
      </w:r>
      <w:r w:rsidRPr="00C45D33">
        <w:t xml:space="preserve"> Mental Health</w:t>
      </w:r>
      <w:bookmarkEnd w:id="2"/>
    </w:p>
    <w:p w14:paraId="72273BA5" w14:textId="77777777" w:rsidR="00220319" w:rsidRPr="00C45D33" w:rsidRDefault="00220319" w:rsidP="00220319">
      <w:pPr>
        <w:rPr>
          <w:b/>
          <w:bCs/>
          <w:u w:val="single"/>
        </w:rPr>
      </w:pPr>
    </w:p>
    <w:p w14:paraId="662827CB" w14:textId="36981138" w:rsidR="00220319" w:rsidRDefault="00220319" w:rsidP="00220319">
      <w:r>
        <w:t xml:space="preserve">The detrimental effects of UK policing on mental health are well documented. Repeated exposure to violent and often traumatic events and experiences such as violence, sudden death and general human suffering is often considered a defining feature of policing. Existing research often shows that police officers will usually have higher than normal levels of depression, </w:t>
      </w:r>
      <w:r w:rsidR="00E1123D">
        <w:t>post-traumatic</w:t>
      </w:r>
      <w:r>
        <w:t xml:space="preserve"> stress disorder (PTSD) and anxiety. According to Gullon-Scott &amp; Longstaff (2022) a study focusing on the relationship between stress levels and length of service within the force which involved 177 serving police officers from varying forces showed many of the officers had rates of depression </w:t>
      </w:r>
      <w:r>
        <w:lastRenderedPageBreak/>
        <w:t>and anxiety around six times higher than the general population. Another survey by the University of Cambridge (2022) showed that during a study of over 12000 officers, 12% of them showed symptoms of complex PTSD.</w:t>
      </w:r>
    </w:p>
    <w:p w14:paraId="2D8B8484" w14:textId="77777777" w:rsidR="00220319" w:rsidRDefault="00220319" w:rsidP="00220319"/>
    <w:p w14:paraId="5C6799C3" w14:textId="77777777" w:rsidR="00220319" w:rsidRDefault="00220319" w:rsidP="00220319">
      <w:r>
        <w:t xml:space="preserve">According to existing research, police officers are consistently exposed to traumatic events, these events are often exacerbated by organisational stressors, these stressors are but not limited to, long working hours, erratic shift patterns, staff shortages and a lack of support from management, all of which serve to elevate stress levels (Jackman et.al, 2021). Additionally, existing research proposes that an existing policing culture will discourage officers from seeking support for their psychological needs and maintains a stigma that is associated with suffering from a mental illness. The act of resisting help for mental health can only raise the risk of developing long term mental health issues and the delay of recovery. </w:t>
      </w:r>
    </w:p>
    <w:p w14:paraId="0D82B791" w14:textId="77777777" w:rsidR="00220319" w:rsidRDefault="00220319" w:rsidP="00220319"/>
    <w:p w14:paraId="6AC8F477" w14:textId="77777777" w:rsidR="00220319" w:rsidRDefault="00220319" w:rsidP="00220319">
      <w:r>
        <w:t>Some literature also suggests that psychological stress may be significantly worsened by a poor balance between work and personal life, officers who experience a limited control over shifts and a low recovery time between them, will often report a poorer wellbeing in their mental health, this would suggest that the outcomes of mental health issues are not only be shaped by the officers’ exposure to the frontline but the conditions within the organisation in general, this is often referred to as the Job Demands-Resources model (JD-R), this model is described as a framework which would help to understand the well-being and performance of an employee by taking into account various work conditions, it takes into account both the job demands and job resources in an attempt to understand how these affect job outcomes (Demerouti, E. &amp; Bakker, A. B., 2011).</w:t>
      </w:r>
    </w:p>
    <w:p w14:paraId="3A575B50" w14:textId="77777777" w:rsidR="00220319" w:rsidRDefault="00220319" w:rsidP="00220319"/>
    <w:p w14:paraId="4456DD0F" w14:textId="7A78A080" w:rsidR="00220319" w:rsidRPr="006625B3" w:rsidRDefault="00A75D5F" w:rsidP="008D7EF1">
      <w:pPr>
        <w:pStyle w:val="Heading2"/>
      </w:pPr>
      <w:bookmarkStart w:id="3" w:name="_Toc232439523"/>
      <w:r>
        <w:t xml:space="preserve">2.2 </w:t>
      </w:r>
      <w:r w:rsidR="00220319" w:rsidRPr="006625B3">
        <w:t>Mental Health Effects of Policing the Public</w:t>
      </w:r>
      <w:bookmarkEnd w:id="3"/>
      <w:r w:rsidR="00220319" w:rsidRPr="006625B3">
        <w:t xml:space="preserve">  </w:t>
      </w:r>
    </w:p>
    <w:p w14:paraId="536B6FD9" w14:textId="77777777" w:rsidR="00220319" w:rsidRDefault="00220319" w:rsidP="00220319"/>
    <w:p w14:paraId="5BAECB25" w14:textId="77777777" w:rsidR="00220319" w:rsidRDefault="00220319" w:rsidP="00220319">
      <w:r>
        <w:t xml:space="preserve">There is a psychological impact on the public that stems from interactions with the police; however, this is still being explored and is receiving an increased amount of attention from scholars. Existing research would suggest that encounters with police that are considered unfair or discriminatory have a profound impact on the psychological distress of the receiving individual. </w:t>
      </w:r>
    </w:p>
    <w:p w14:paraId="5BB4392F" w14:textId="77777777" w:rsidR="00220319" w:rsidRDefault="00220319" w:rsidP="00220319"/>
    <w:p w14:paraId="2C02ABBF" w14:textId="77777777" w:rsidR="00220319" w:rsidRDefault="00220319" w:rsidP="00220319">
      <w:r>
        <w:t xml:space="preserve">Agnew-Pauley et al. (2025) state that arrests, uses of force and stop search practices have been directly linked to increased fear and trauma related symptoms, this is </w:t>
      </w:r>
      <w:r>
        <w:lastRenderedPageBreak/>
        <w:t xml:space="preserve">particularly prevalent within marginalised communities who tend to have disproportionate contact with police. It is important to mention that research also suggests that mental health for the public will not only be affected by the amount of police contact but the quality of that contact. </w:t>
      </w:r>
    </w:p>
    <w:p w14:paraId="7D8398E6" w14:textId="77777777" w:rsidR="00220319" w:rsidRDefault="00220319" w:rsidP="00220319"/>
    <w:p w14:paraId="3C8D9994" w14:textId="77777777" w:rsidR="00220319" w:rsidRDefault="00220319" w:rsidP="00220319">
      <w:r>
        <w:t xml:space="preserve">McLeod et. Al. (2020) conducted a review of existing research based on the connection between black and ethnic communities, dealings with police officers and the resulting mental health outcomes. It was found that there was a significant association between people who have had interactions with police suffering from poorer mental health outcomes compared to those who had little to no interactions with police. In recent years, surveys have been conducted that found that the public’s confidence in police has reached in lowest level which is believed to have a variety of negative mental health effects within officers, Baker et al. (2023) claim that officers are “literally worried sick about poor police-public relations”, implying that the officers are developing mental health issues just from the worry about dealings with members of the public. Even though this research does not directly link with this papers research topic, it helps to provide an understanding of how police interaction affects those around them, whether in inner social circles or the general public. </w:t>
      </w:r>
    </w:p>
    <w:p w14:paraId="1F499D82" w14:textId="77777777" w:rsidR="00220319" w:rsidRDefault="00220319" w:rsidP="00220319"/>
    <w:p w14:paraId="662C366D" w14:textId="77777777" w:rsidR="00220319" w:rsidRDefault="00220319" w:rsidP="00220319">
      <w:r>
        <w:t xml:space="preserve">Disrespectful encounters with police are far more likely to result in negative outcomes which reinforces the importance of respect within policing. Adverse interactions can cause resentment or a withdrawal from community engagement, although literature will often focus heavily on these public relations with officers rather than their interpersonal relationships, it is possible that these behaviours and practices could subconsciously influence the trust and wellbeing within the officers’ social networks. </w:t>
      </w:r>
    </w:p>
    <w:p w14:paraId="4930E843" w14:textId="77777777" w:rsidR="00220319" w:rsidRDefault="00220319" w:rsidP="00220319"/>
    <w:p w14:paraId="744B250F" w14:textId="1721353D" w:rsidR="00220319" w:rsidRDefault="00A75D5F" w:rsidP="00E1123D">
      <w:pPr>
        <w:pStyle w:val="Heading2"/>
      </w:pPr>
      <w:bookmarkStart w:id="4" w:name="_Toc232439524"/>
      <w:r>
        <w:t xml:space="preserve">2.3 </w:t>
      </w:r>
      <w:r w:rsidR="00220319">
        <w:t xml:space="preserve">The Link Between </w:t>
      </w:r>
      <w:r w:rsidR="00220319" w:rsidRPr="00921FF9">
        <w:t>Policing and Personal relationships</w:t>
      </w:r>
      <w:bookmarkEnd w:id="4"/>
    </w:p>
    <w:p w14:paraId="01D99EAC" w14:textId="77777777" w:rsidR="00220319" w:rsidRDefault="00220319" w:rsidP="00220319">
      <w:pPr>
        <w:rPr>
          <w:b/>
          <w:bCs/>
          <w:u w:val="single"/>
        </w:rPr>
      </w:pPr>
    </w:p>
    <w:p w14:paraId="14A8E775" w14:textId="77777777" w:rsidR="00220319" w:rsidRDefault="00220319" w:rsidP="00220319">
      <w:r>
        <w:t>It is believed by some researchers that the consequences of mental health issues within policing can extend far beyond the individual officers, leading to them indirectly affecting both family members and intimate relationships. Occupational stress and high trauma exposure can and usually will in some way spillover into the officer’s home life, this can greatly influence emotional availability, communication and relationship satisfaction, this process is often described as Secondary traumatic stress (STS). STS refers to the psychological condition that arises from indirect exposure to traumatic events, typically through repeated hearing or engagement with the traumatic experiences of others (Hensel et al., 2015)</w:t>
      </w:r>
    </w:p>
    <w:p w14:paraId="2EC4251C" w14:textId="77777777" w:rsidR="00220319" w:rsidRDefault="00220319" w:rsidP="00220319"/>
    <w:p w14:paraId="35D07718" w14:textId="77777777" w:rsidR="00220319" w:rsidRDefault="00220319" w:rsidP="00220319">
      <w:r>
        <w:t>Shift work, unpredictable shift patterns, job demand and pressure are often claimed to be key stressors (Purba &amp; Demou, 2019) that can alter parenting roles and routines within the family. Partners of police officers appear to suffer with increased emotional labour and feelings of isolation. These feelings can often cause those partners to adopt coping mechanisms such as emotional withdrawal; these ways of coping could potentially cause further relationship strain within a domestic setting. There are several coping mechanisms that serve to alleviate the symptoms of STS, one being to use adaptive coping strategies, benefiting from flexible family roles and intentional communication. These, according to existing research have been found to reduce the impact of STS within a home environment (Schwartz et al., 2025). Literature suggests that over time, unresolved feelings of resentment and stress, mixed with the lack of organisational support from police forces can serve to erode a relationship. This would ultimately lead to a risk of conflict and therefore relationship breakdown. A study by Friese, K. M (2020) confirms the theory of STS by studying a group of 171 law enforcement officer spouses (LEOS), his study found that 70% of individuals reported significant stress, related to their partner’s work. Also claiming that the respondents reported using negative coping strategies twice as often as positive ones.</w:t>
      </w:r>
    </w:p>
    <w:p w14:paraId="197597FB" w14:textId="77777777" w:rsidR="00220319" w:rsidRDefault="00220319" w:rsidP="00220319"/>
    <w:p w14:paraId="4F543DDE" w14:textId="77777777" w:rsidR="00220319" w:rsidRDefault="00220319" w:rsidP="00220319">
      <w:r>
        <w:t xml:space="preserve">The negative culture within a police force would of course play a crucial role in shaping the mental health outcomes and thus the effects of spillover. Studies show that supportive leadership, access to mental health and peer support can mitigate long term psychological harm. However, when cultures discourage seeking mental health support in fear of seeming weak, there is a risk this could cause further distress. There are a number of support initiatives in place however, these tend to differ from force to force, the more prevalent support initiatives include a range of online resources, training and assessments implemented by the National Police Chiefs Council (NPCC, 2019) as </w:t>
      </w:r>
      <w:proofErr w:type="spellStart"/>
      <w:r>
        <w:t>apart</w:t>
      </w:r>
      <w:proofErr w:type="spellEnd"/>
      <w:r>
        <w:t xml:space="preserve"> of the National Wellbeing Service (2023) also available is therapy dogs and the introduction of therapy rooms. According to Harkin et al. (2025) the home office claimed that “by 2021, policing will ensure that every member of the police service feels confident that their welfare and wellbeing is actively supported by their police force” even though the above is nice idea, this outcome still remains to be seen almost 5 years later, with a study claiming that only 39% of 17,000 officers receiving help for their mental health issues linked to police work.</w:t>
      </w:r>
    </w:p>
    <w:p w14:paraId="6DD644A3" w14:textId="77777777" w:rsidR="00220319" w:rsidRDefault="00220319" w:rsidP="00220319"/>
    <w:p w14:paraId="50141CFF" w14:textId="77777777" w:rsidR="00220319" w:rsidRDefault="00220319" w:rsidP="00220319">
      <w:r>
        <w:t xml:space="preserve">With poor organisational support systems in place this can affect the officer’s ability to maintain their homelife relationships. Therefore, the support systems implemented by the organisations, or the lack there of, are key when linking policing with relationship </w:t>
      </w:r>
      <w:r>
        <w:lastRenderedPageBreak/>
        <w:t xml:space="preserve">outcomes. The spillover model can provide a useful basis for understanding how traumatic events can affect personal relationships and is particularly relevant for individuals within policing given the emotional intensity and unpredictable nature of the role. The literature does support the view that unmanaged stress and trauma can negatively affect good family functioning and personal relationship quality.  </w:t>
      </w:r>
    </w:p>
    <w:p w14:paraId="2DE96156" w14:textId="77777777" w:rsidR="00220319" w:rsidRDefault="00220319" w:rsidP="00220319"/>
    <w:p w14:paraId="6D47FEB9" w14:textId="77777777" w:rsidR="00220319" w:rsidRDefault="00220319" w:rsidP="00220319">
      <w:r>
        <w:t xml:space="preserve">Sharp et al. (2022) provided a systematic review of a number of studies that showed that the children of first responders, including police, would often demonstrate higher rates of PTSD and mental health issues, often up to 10.8% of them compared to 1.9% with no emergency responders in the family. Children’s emotional and behavioural issues have been connected to parental trauma, even though police parents’ PTSD had a severe impact on the wellbeing of their children. Furthermore, some research indicates that emergency responder families have a higher likelihood hood of adapting coping strategies that serve to lessen the negative outcomes on the family’s mental health. This review draws attention to the limited evidence and the need for more research and study on the topic of occupational stressors linked to family dynamics.  </w:t>
      </w:r>
    </w:p>
    <w:p w14:paraId="7E040147" w14:textId="77777777" w:rsidR="00220319" w:rsidRDefault="00220319" w:rsidP="00220319"/>
    <w:p w14:paraId="7AB20D94" w14:textId="4224CFA2" w:rsidR="00220319" w:rsidRPr="008A60E4" w:rsidRDefault="00A75D5F" w:rsidP="00E1123D">
      <w:pPr>
        <w:pStyle w:val="Heading2"/>
      </w:pPr>
      <w:bookmarkStart w:id="5" w:name="_Toc232439525"/>
      <w:r>
        <w:t xml:space="preserve">2.4 </w:t>
      </w:r>
      <w:r w:rsidR="00220319" w:rsidRPr="008A60E4">
        <w:t>Gaps within Existing Literature</w:t>
      </w:r>
      <w:r w:rsidR="00220319">
        <w:t xml:space="preserve"> and Summary</w:t>
      </w:r>
      <w:bookmarkEnd w:id="5"/>
    </w:p>
    <w:p w14:paraId="1BBFF2A9" w14:textId="77777777" w:rsidR="00220319" w:rsidRDefault="00220319" w:rsidP="00220319"/>
    <w:p w14:paraId="2DCCF5AB" w14:textId="77777777" w:rsidR="00220319" w:rsidRDefault="00220319" w:rsidP="00220319">
      <w:r>
        <w:t xml:space="preserve">Despite the growing amount of research surrounding the link between mental health issues in policing and the knock-on effects on family and friends, there appears to be several gaps that remain. Firstly, there seems to be a lack of long-term studies conducted within the UK, those studies that already exist seem to be focused on short term outcomes with a limited cross-section of participants. Secondly, there is limited amount of research that takes into account the variation of stress levels based on such things as rank and gender and how these may affect the outcomes. </w:t>
      </w:r>
    </w:p>
    <w:p w14:paraId="2AF96469" w14:textId="77777777" w:rsidR="00220319" w:rsidRDefault="00220319" w:rsidP="00220319"/>
    <w:p w14:paraId="3C8DC7F7" w14:textId="77777777" w:rsidR="00220319" w:rsidRPr="00BB3318" w:rsidRDefault="00220319" w:rsidP="00220319">
      <w:r>
        <w:t>Addressing these gaps is crucial for learning and adapting a new, and more comprehensive understanding of the effects on police officers, this understanding can help to create more in-depth support mechanisms for both the officers and their interpersonal relationships.</w:t>
      </w:r>
    </w:p>
    <w:p w14:paraId="263D34EF" w14:textId="77777777" w:rsidR="00220319" w:rsidRDefault="00220319" w:rsidP="00220319"/>
    <w:p w14:paraId="15248560" w14:textId="77777777" w:rsidR="00220319" w:rsidRDefault="00220319" w:rsidP="00220319">
      <w:r>
        <w:t xml:space="preserve">This chapter has reviewed existing literature that examines the effects of mental health issues on personal relationships of police officers in the UK, the evidence found has demonstrated that policing has profound psychological consequences for officers and the members of the public that they serve. These consequences will often spillover and </w:t>
      </w:r>
      <w:r>
        <w:lastRenderedPageBreak/>
        <w:t>extend into family or home life, greatly effecting intimate relationships. Culture within an organisation and the above-mentioned spillover appear to be key factors when linking policing to mental health and relational health.</w:t>
      </w:r>
    </w:p>
    <w:p w14:paraId="351D7178" w14:textId="77777777" w:rsidR="00220319" w:rsidRDefault="00220319" w:rsidP="00220319"/>
    <w:p w14:paraId="4596C7E8" w14:textId="77777777" w:rsidR="00220319" w:rsidRDefault="00220319" w:rsidP="00220319">
      <w:r>
        <w:t xml:space="preserve">This research paper will look to fill these gaps using research taking rank and gender into consideration where possible. Future research has a potential to close any gaps by centring on lived experiences and experienced relational outcomes. Applying models such as the spillover framework could potentially improve clarity and strengthen the understanding of how significant trauma effects the relationships of those who directly and indirectly experience them. </w:t>
      </w:r>
    </w:p>
    <w:p w14:paraId="3AAA09C7" w14:textId="77777777" w:rsidR="00FF7B4F" w:rsidRDefault="00FF7B4F" w:rsidP="00764C76">
      <w:pPr>
        <w:rPr>
          <w:rFonts w:ascii="Calibri" w:hAnsi="Calibri" w:cs="Calibri"/>
        </w:rPr>
      </w:pPr>
    </w:p>
    <w:p w14:paraId="4A1D2311" w14:textId="1D5D6F3A" w:rsidR="00A43E7F" w:rsidRPr="004919E0" w:rsidRDefault="004919E0" w:rsidP="004919E0">
      <w:pPr>
        <w:pStyle w:val="Heading1"/>
        <w:ind w:left="360"/>
      </w:pPr>
      <w:bookmarkStart w:id="6" w:name="_Toc232439526"/>
      <w:r w:rsidRPr="004919E0">
        <w:t>3.</w:t>
      </w:r>
      <w:r>
        <w:t xml:space="preserve"> </w:t>
      </w:r>
      <w:r w:rsidR="00A43E7F" w:rsidRPr="004919E0">
        <w:t>Methodology</w:t>
      </w:r>
      <w:bookmarkEnd w:id="6"/>
    </w:p>
    <w:p w14:paraId="5AD72841" w14:textId="77777777" w:rsidR="00A43E7F" w:rsidRDefault="00A43E7F" w:rsidP="00A43E7F"/>
    <w:p w14:paraId="0B3020BB" w14:textId="025C9D9C" w:rsidR="00A43E7F" w:rsidRDefault="00A43E7F" w:rsidP="00A43E7F">
      <w:r>
        <w:t xml:space="preserve">This chapter will seek to define and justify the methodological framework employed to examine the correlation between the mental health of police officers in the United Kingdom and its subsequent impact on the interpersonal relationships of those officers. Policing is widely regarded as a dangerous and high stress occupation as officers are often exposed to traumatic events and stressful work environments. These job-related stressors have been previously linked to a higher risk of anxiety, depression and continued symptoms similar to those of </w:t>
      </w:r>
      <w:r w:rsidR="0004300F">
        <w:t>post-traumatic</w:t>
      </w:r>
      <w:r>
        <w:t xml:space="preserve"> stress disorder (PTSD). Mental health issues can make it difficult to keep healthy relationships with family members, co-workers and often the public (Harkin et al., 2025). To investigate this relationship, this study will utilise both a quantitative and qualitative research design, employing structured questionnaires disseminated through internal email, this chapter will clarify the justification for this methodology and differentiates between the two. It will also explain the steps taken to make sure that the process by which the data is collected is both reliable and valid. </w:t>
      </w:r>
    </w:p>
    <w:p w14:paraId="5064549D" w14:textId="77777777" w:rsidR="00A43E7F" w:rsidRDefault="00A43E7F" w:rsidP="00A43E7F"/>
    <w:p w14:paraId="340EEB18" w14:textId="77777777" w:rsidR="00A43E7F" w:rsidRDefault="00A43E7F" w:rsidP="00A43E7F">
      <w:r>
        <w:t>The motivation for conducting this research is both academic and practical. There is a distinct necessity to broaden the research beyond the individual mental health needs and outcomes to include the relational consequences. From a practical perspective, law enforcement organisations are investing more into support systems which will often focus on the individual needs of officers; however, those systems will often fail to recognise how the stressors of work can connect to home life. Understanding the connection is essential in guiding development for more comprehensive interventions which involve the whole family.</w:t>
      </w:r>
    </w:p>
    <w:p w14:paraId="3B5DCC50" w14:textId="77777777" w:rsidR="00A43E7F" w:rsidRDefault="00A43E7F" w:rsidP="00A43E7F"/>
    <w:p w14:paraId="1873F5AD" w14:textId="46FE51C8" w:rsidR="00A43E7F" w:rsidRPr="002117E7" w:rsidRDefault="006A069E" w:rsidP="006A069E">
      <w:pPr>
        <w:pStyle w:val="Heading2"/>
      </w:pPr>
      <w:bookmarkStart w:id="7" w:name="_Toc232439527"/>
      <w:r>
        <w:t xml:space="preserve">3.1 </w:t>
      </w:r>
      <w:r w:rsidR="00A43E7F" w:rsidRPr="002117E7">
        <w:t>Research Strategies</w:t>
      </w:r>
      <w:bookmarkEnd w:id="7"/>
    </w:p>
    <w:p w14:paraId="33A4B4CE" w14:textId="77777777" w:rsidR="00A43E7F" w:rsidRDefault="00A43E7F" w:rsidP="00A43E7F"/>
    <w:p w14:paraId="50B91D33" w14:textId="77777777" w:rsidR="00A43E7F" w:rsidRDefault="00A43E7F" w:rsidP="00A43E7F">
      <w:r>
        <w:t xml:space="preserve">This research will employ a cross-sectional quantitative and qualitative approach by sending a structured questionnaire to current serving police officers of South Wales police via internal email. The questionnaire will look to assess two primary concepts, the first being the indicators of mental health (stress, anxiety and depression) and secondly, the perceived impact of these mental health experiences on the officers own interpersonal relationships. </w:t>
      </w:r>
    </w:p>
    <w:p w14:paraId="68A2099D" w14:textId="77777777" w:rsidR="00A43E7F" w:rsidRDefault="00A43E7F" w:rsidP="00A43E7F"/>
    <w:p w14:paraId="2B57AEF1" w14:textId="77777777" w:rsidR="00A43E7F" w:rsidRDefault="00A43E7F" w:rsidP="00A43E7F">
      <w:r>
        <w:t>The questionnaires will also contain sections within, which the participants can write freely, this design allows the study to gather quantifiable indicators of mental health while also affording participants the opportunity to articulate, in their own words, their own lived experiences. The justification for integrating both methodologies is based on the intricacy of mental health and interpersonal experiences. Quantitative measures can assist in finding patterns and connections, however qualitive responses offer a better understanding of how officers navigate and deal with the intersection of their work and personal lives.</w:t>
      </w:r>
    </w:p>
    <w:p w14:paraId="5DDF2466" w14:textId="77777777" w:rsidR="00A43E7F" w:rsidRDefault="00A43E7F" w:rsidP="00A43E7F"/>
    <w:p w14:paraId="54843685" w14:textId="77777777" w:rsidR="00A43E7F" w:rsidRDefault="00A43E7F" w:rsidP="00A43E7F">
      <w:r>
        <w:t xml:space="preserve">While this study will use both quantitative and qualitative approaches, the two are quite different. Quantitative research aims to measure, quantify and test hypotheses through statistical analysis, it emphasises the importance of reliability, replicability and generalisability (Schoonenboom, 2023). Within this research, the quantitative aspect will allow the analysis of the relationship between mental health scores and relationship outcomes. </w:t>
      </w:r>
    </w:p>
    <w:p w14:paraId="6F2C6182" w14:textId="77777777" w:rsidR="00A43E7F" w:rsidRDefault="00A43E7F" w:rsidP="00A43E7F"/>
    <w:p w14:paraId="14A5A639" w14:textId="77777777" w:rsidR="00A43E7F" w:rsidRDefault="00A43E7F" w:rsidP="00A43E7F">
      <w:r>
        <w:t xml:space="preserve">However, in contrast qualitative research is based more towards an interpretation of how people feel and what a topic means to them (Liu, 2022), interviews with willing participants could produce a more in-depth exploration of the trauma felt upon personal relationships and the regulation of that trauma. However, interviews in this instance would not be possible within the time constraints.  </w:t>
      </w:r>
    </w:p>
    <w:p w14:paraId="31E6A50F" w14:textId="77777777" w:rsidR="00A43E7F" w:rsidRDefault="00A43E7F" w:rsidP="00A43E7F"/>
    <w:p w14:paraId="78570DCF" w14:textId="77777777" w:rsidR="00A43E7F" w:rsidRDefault="00A43E7F" w:rsidP="00A43E7F">
      <w:r>
        <w:t xml:space="preserve">The decision to use questionnaires via email can be justified on several practical, ethical and methodological grounds. Firstly, the accessibility and reach are important factors, officers within any force will often work shift patterns that are rarely the same, </w:t>
      </w:r>
      <w:r>
        <w:lastRenderedPageBreak/>
        <w:t>they will also be spread over a vast geographical area. Email questionnaires allow participants to complete the survey whenever is convenient to them, subsequently allowing more people to take part, it also includes people from various ranks and departments. Secondly, when you delve into the area of mental health, it is increasingly important to keep opinions and answers of the participants secure and anonymous. Officers may not wish to discuss their mental health challenges as they may be worried about the stigma, given the culture surrounding mental health and policing (Porter &amp; Lee, 2024). The use of an anonymous online survey lowers any chance of being recognised and may lead to more truthful and accurate answers than other collection procedures such as in person interviews. Thirdly, the use of electronic surveys reduces the administrative burden when entering and correlating results.</w:t>
      </w:r>
    </w:p>
    <w:p w14:paraId="3EB9A47A" w14:textId="77777777" w:rsidR="00A43E7F" w:rsidRDefault="00A43E7F" w:rsidP="00A43E7F"/>
    <w:p w14:paraId="72E7B3E9" w14:textId="77777777" w:rsidR="00A43E7F" w:rsidRDefault="00A43E7F" w:rsidP="00A43E7F">
      <w:r>
        <w:t xml:space="preserve">However, this researcher also recognises the limits of this method. Email surveys may fail to get the desired response rate and has a possibility to exhibit self-selection bias (Sakshaug et al, 2019). Those experiencing considerable stress or mental health issues, could be more or less likely to take part, this could possibly lead to a disparity in representation. To reduce the risk of this, the questionnaire will be followed up with a reminder email, the questionnaire will also be concise and user friendly. </w:t>
      </w:r>
    </w:p>
    <w:p w14:paraId="3DEDD872" w14:textId="77777777" w:rsidR="00A43E7F" w:rsidRDefault="00A43E7F" w:rsidP="00A43E7F"/>
    <w:p w14:paraId="68956F58" w14:textId="127D48B1" w:rsidR="00A43E7F" w:rsidRDefault="006A069E" w:rsidP="006A069E">
      <w:pPr>
        <w:pStyle w:val="Heading2"/>
      </w:pPr>
      <w:bookmarkStart w:id="8" w:name="_Toc232439528"/>
      <w:r>
        <w:t xml:space="preserve">3.2 </w:t>
      </w:r>
      <w:r w:rsidR="00A43E7F" w:rsidRPr="00FE6F34">
        <w:t>Reliability and Validity</w:t>
      </w:r>
      <w:bookmarkEnd w:id="8"/>
      <w:r w:rsidR="00A43E7F" w:rsidRPr="00FE6F34">
        <w:t xml:space="preserve"> </w:t>
      </w:r>
    </w:p>
    <w:p w14:paraId="47DD6C51" w14:textId="77777777" w:rsidR="00A43E7F" w:rsidRDefault="00A43E7F" w:rsidP="00A43E7F">
      <w:pPr>
        <w:rPr>
          <w:b/>
          <w:bCs/>
          <w:u w:val="single"/>
        </w:rPr>
      </w:pPr>
    </w:p>
    <w:p w14:paraId="1491481B" w14:textId="77777777" w:rsidR="00A43E7F" w:rsidRDefault="00A43E7F" w:rsidP="00A43E7F">
      <w:r>
        <w:t xml:space="preserve">Reliability is the degree to which a measurement tool is stable and consistent, to increase reliability, this study will employ established scales whenever feasible, including the depression anxiety stress scale and burnout measures (Warneke et al, 2025). Using tools that have already been tested and found reliable improves consistency in turn will make it easier for the comparison of other studies. Standardised online forms will also guarantee that all participants receive uniform question. </w:t>
      </w:r>
    </w:p>
    <w:p w14:paraId="2487DDC5" w14:textId="77777777" w:rsidR="00A43E7F" w:rsidRDefault="00A43E7F" w:rsidP="00A43E7F"/>
    <w:p w14:paraId="0B539D9F" w14:textId="77777777" w:rsidR="00A43E7F" w:rsidRDefault="00A43E7F" w:rsidP="00A43E7F">
      <w:r>
        <w:t>Validity refers to whether the tool can accurately measure the elements that it was made to. Validity can be examined by assessing whether higher levels of stress etc are associated with greater relationship struggles and if the findings are consistent with previous studies (Newton, P., 2012). Internal validity can be bolstered with the implementation of statistical controls, for example, rank, department and years of service.</w:t>
      </w:r>
    </w:p>
    <w:p w14:paraId="21D28214" w14:textId="77777777" w:rsidR="00A43E7F" w:rsidRDefault="00A43E7F" w:rsidP="00A43E7F"/>
    <w:p w14:paraId="23D4FE47" w14:textId="77777777" w:rsidR="00A43E7F" w:rsidRDefault="00A43E7F" w:rsidP="00A43E7F">
      <w:r>
        <w:lastRenderedPageBreak/>
        <w:t xml:space="preserve">Within this chapter, it has been found that a quantitative and qualitative design using email distributed surveys is suitable, effective and considerate. While also keeping the results as reliable and valid as possible. This approach seeks to produce more robust findings that will assist in enhancing the understanding of mental health issues within British policing as well as the relational wellbeing of the officers involved.   </w:t>
      </w:r>
    </w:p>
    <w:p w14:paraId="182C1EEE" w14:textId="77777777" w:rsidR="00DF7742" w:rsidRDefault="00DF7742" w:rsidP="00A43E7F"/>
    <w:p w14:paraId="3D111B2F" w14:textId="01D69687" w:rsidR="00DF7742" w:rsidRDefault="00DF7742" w:rsidP="0002467F">
      <w:pPr>
        <w:pStyle w:val="Heading1"/>
        <w:numPr>
          <w:ilvl w:val="0"/>
          <w:numId w:val="3"/>
        </w:numPr>
      </w:pPr>
      <w:bookmarkStart w:id="9" w:name="_Toc232419014"/>
      <w:bookmarkStart w:id="10" w:name="_Toc232439529"/>
      <w:r>
        <w:t>Analysis</w:t>
      </w:r>
      <w:bookmarkEnd w:id="9"/>
      <w:bookmarkEnd w:id="10"/>
    </w:p>
    <w:p w14:paraId="1F1498DF" w14:textId="77777777" w:rsidR="00DF7742" w:rsidRDefault="00DF7742" w:rsidP="00DF7742"/>
    <w:p w14:paraId="6B76E242" w14:textId="04FB7055" w:rsidR="00DF7742" w:rsidRDefault="00DF7742" w:rsidP="00DF7742">
      <w:r>
        <w:t xml:space="preserve">This chapter will present the findings from the questionnaire exploring the impact of policing on the mental of officers and their interpersonal relationships. The results will be organised into key themes which align with the aims of this research, including occupational stress, mental health outcomes, and relational impacts. Where appropriate, these findings will be compared across demographic groups and will be analysed as to whether they confirm or challenge existing literature. A total of 38 participants responded to the questionnaire, providing a diverse sample across rank, department and years of service. As shown in Table 1 (see appendix), the majority of respondents were constables (57.9%), with smaller representations from staff, sergeants and inspectors. In terms of experience, the sample was relatively evenly distributed although a slightly higher proportion of participants had between six and twenty years’ service. This demographic distribution is important as it reflects operational realities. As such, this dataset can provide a relevant basis to examine how exposure to operational stressors may influence mental health and relationships. Furthermore, the inclusion of levels of experience will allow for a comparison to be made between newer and more experienced officers, addressing a gap found within existing research. </w:t>
      </w:r>
    </w:p>
    <w:p w14:paraId="4AD2E993" w14:textId="77777777" w:rsidR="00DF7742" w:rsidRDefault="00DF7742" w:rsidP="00DF7742">
      <w:pPr>
        <w:rPr>
          <w:b/>
          <w:bCs/>
          <w:u w:val="single"/>
        </w:rPr>
      </w:pPr>
    </w:p>
    <w:p w14:paraId="18577FF3" w14:textId="491A1242" w:rsidR="00DF7742" w:rsidRDefault="0002467F" w:rsidP="0002467F">
      <w:pPr>
        <w:pStyle w:val="Heading2"/>
      </w:pPr>
      <w:bookmarkStart w:id="11" w:name="_Toc232419015"/>
      <w:bookmarkStart w:id="12" w:name="_Toc232439530"/>
      <w:r>
        <w:t xml:space="preserve">4.1 </w:t>
      </w:r>
      <w:r w:rsidR="00DF7742" w:rsidRPr="00947681">
        <w:t>Occupational Stress and Exposure</w:t>
      </w:r>
      <w:bookmarkEnd w:id="11"/>
      <w:bookmarkEnd w:id="12"/>
    </w:p>
    <w:p w14:paraId="6FD4550E" w14:textId="77777777" w:rsidR="00DF7742" w:rsidRDefault="00DF7742" w:rsidP="00DF7742">
      <w:pPr>
        <w:rPr>
          <w:b/>
          <w:bCs/>
          <w:u w:val="single"/>
        </w:rPr>
      </w:pPr>
    </w:p>
    <w:p w14:paraId="3FCFFABD" w14:textId="77777777" w:rsidR="00DF7742" w:rsidRDefault="00DF7742" w:rsidP="00DF7742">
      <w:r>
        <w:t xml:space="preserve">The results show that police work is directly linked to elevated levels of stress within the role, especially for those officers that are frontline. Most of the respondents claimed to have moderate to high levels of job-related stress and were often exposed to traumatic events such as violence or death. Figure 2 (see appendix) shows that officers working on the frontline were more stressed than those who worked in non-operational roles. Participants also outlined several major stressors, such as demands of their work, shift patterns and public scrutiny. These findings confirm those of previous studies including those of Jackman et al. (2021) and the prevalence of shift work as a stressor </w:t>
      </w:r>
      <w:r>
        <w:lastRenderedPageBreak/>
        <w:t xml:space="preserve">corroborates the findings of Purba &amp; Demou (2019) who contend that irregular shift patterns diminish mental wellbeing. </w:t>
      </w:r>
    </w:p>
    <w:p w14:paraId="28D2F9DB" w14:textId="77777777" w:rsidR="00DF7742" w:rsidRDefault="00DF7742" w:rsidP="00DF7742">
      <w:r>
        <w:t xml:space="preserve">Analysis of the data revealed notable differences between the groups of respondents, especially when it came to years of service, type of role and working patterns. Officers with longer than service, in this case more than 10 years, reported elevated stress levels and increased emotional detachment, indicating that prolonged exposure to policing may worsen mental health issues. Frontline officers also stated that their mental health was worse and their relationships more strained than those of non-frontline staff. This shows how operational exposure can contribute to mental health outcomes. </w:t>
      </w:r>
    </w:p>
    <w:p w14:paraId="40C80E31" w14:textId="77777777" w:rsidR="00DF7742" w:rsidRDefault="00DF7742" w:rsidP="00DF7742"/>
    <w:p w14:paraId="55D53A27" w14:textId="77777777" w:rsidR="00DF7742" w:rsidRDefault="00DF7742" w:rsidP="00DF7742">
      <w:r>
        <w:t xml:space="preserve">Overall, these results strongly confirm the relevance of the Job Demands-Resources (JD-R) Model as outlined in the literature review. High job demands with a perceived lack of organisational support appear to lead to elevated stress levels. Therefore, these findings were largely expected and reinforce already existing frameworks. The consistency between the current findings and previous research suggests that the psychological impact of policing is both established and significant, however this study adds depth by demonstrating how these outcomes are experienced across separate roles and levels of service. In particular, the evidence that frontline officers and those with longer service report higher levels of stress supports the argument that cumulative exposure to trauma plays a critical role in shaping mental health outcomes. </w:t>
      </w:r>
    </w:p>
    <w:p w14:paraId="7024C787" w14:textId="77777777" w:rsidR="00DF7742" w:rsidRDefault="00DF7742" w:rsidP="00DF7742"/>
    <w:p w14:paraId="4E076C52" w14:textId="164B9FCA" w:rsidR="00DF7742" w:rsidRDefault="0002467F" w:rsidP="0002467F">
      <w:pPr>
        <w:pStyle w:val="Heading2"/>
      </w:pPr>
      <w:bookmarkStart w:id="13" w:name="_Toc232419016"/>
      <w:bookmarkStart w:id="14" w:name="_Toc232439531"/>
      <w:r>
        <w:t xml:space="preserve">4.2 </w:t>
      </w:r>
      <w:r w:rsidR="00DF7742" w:rsidRPr="00284218">
        <w:t>Mental health outcomes</w:t>
      </w:r>
      <w:bookmarkEnd w:id="13"/>
      <w:bookmarkEnd w:id="14"/>
      <w:r w:rsidR="00DF7742" w:rsidRPr="00284218">
        <w:t xml:space="preserve">  </w:t>
      </w:r>
    </w:p>
    <w:p w14:paraId="0DD35D62" w14:textId="77777777" w:rsidR="00DF7742" w:rsidRDefault="00DF7742" w:rsidP="00DF7742"/>
    <w:p w14:paraId="00B2390B" w14:textId="77777777" w:rsidR="00DF7742" w:rsidRDefault="00DF7742" w:rsidP="00DF7742">
      <w:r>
        <w:t xml:space="preserve">The data shows a clear link between policing and negative mental health outcomes. A notable percentage of respondents reported symptoms including anxiety, sleep disturbances and burnout, while a smaller yet considerable number of participants exhibited symptoms indicative of </w:t>
      </w:r>
      <w:proofErr w:type="spellStart"/>
      <w:r>
        <w:t>post traumatic</w:t>
      </w:r>
      <w:proofErr w:type="spellEnd"/>
      <w:r>
        <w:t xml:space="preserve"> stress. Figure 3 shows anxiety and sleep issues were two of the most common problems reported. Most who took part in the study agreed that their role has a negative effect on their mental health, while also acknowledging the presence of stigma, fewer respondents reported being comfortable discussing mental health or seeking support, suggesting that there are significant cultural barriers for support within policing. </w:t>
      </w:r>
    </w:p>
    <w:p w14:paraId="50431690" w14:textId="77777777" w:rsidR="00DF7742" w:rsidRDefault="00DF7742" w:rsidP="00DF7742"/>
    <w:p w14:paraId="38C57BAA" w14:textId="77777777" w:rsidR="00DF7742" w:rsidRDefault="00DF7742" w:rsidP="00DF7742">
      <w:r>
        <w:t xml:space="preserve">This suggests that despite the existence of wellbeing initiatives within many police forces, there remains a disconnect between policy and practice. Participants experiences indicate that wellbeing frameworks may not be as accessible or </w:t>
      </w:r>
      <w:r>
        <w:lastRenderedPageBreak/>
        <w:t>implemented as police chiefs believe, as suggested by Harkin et al. (2025) in previous research. This raises important questions about the effectiveness of current support systems and suggest that further work is needed to ensure the support available and culturally acceptable. These findings are also highly consistent with prior research by Gullon-Scott and Longstaff (2022), who identified higher levels of stress and depression among police officers and the University of Cambridge (2022), which reported notable rates of PTSD symptoms.</w:t>
      </w:r>
    </w:p>
    <w:p w14:paraId="0B25F689" w14:textId="77777777" w:rsidR="00DF7742" w:rsidRDefault="00DF7742" w:rsidP="00DF7742"/>
    <w:p w14:paraId="4A6FAE13" w14:textId="0CA5456F" w:rsidR="00DF7742" w:rsidRDefault="0002467F" w:rsidP="0002467F">
      <w:pPr>
        <w:pStyle w:val="Heading2"/>
      </w:pPr>
      <w:bookmarkStart w:id="15" w:name="_Toc232419017"/>
      <w:bookmarkStart w:id="16" w:name="_Toc232439532"/>
      <w:r>
        <w:t xml:space="preserve">4.3 </w:t>
      </w:r>
      <w:r w:rsidR="00DF7742" w:rsidRPr="001E05A6">
        <w:t>Impact o</w:t>
      </w:r>
      <w:r w:rsidR="00DF7742">
        <w:t>n</w:t>
      </w:r>
      <w:r w:rsidR="00DF7742" w:rsidRPr="001E05A6">
        <w:t xml:space="preserve"> Interpersonal relationships</w:t>
      </w:r>
      <w:bookmarkEnd w:id="15"/>
      <w:bookmarkEnd w:id="16"/>
      <w:r w:rsidR="00DF7742" w:rsidRPr="001E05A6">
        <w:t xml:space="preserve">  </w:t>
      </w:r>
    </w:p>
    <w:p w14:paraId="3975F39B" w14:textId="77777777" w:rsidR="00DF7742" w:rsidRDefault="00DF7742" w:rsidP="00DF7742"/>
    <w:p w14:paraId="7D0F5FF1" w14:textId="77777777" w:rsidR="00DF7742" w:rsidRDefault="00DF7742" w:rsidP="00DF7742">
      <w:r>
        <w:t xml:space="preserve">One of the key contributions of this study is its exploration of how mental health issues within policing can spillover into personal relationships. The findings demonstrate a clear link between occupational stress and relational strain, with participants claiming difficulties in maintaining relationships, emotional detachment and conflict within the home. These results strongly support the theory of the spillover model, which suggests that stress experienced in one domain can spill into another. The concept of secondary traumatic stress (Hensel et al., 2015) is particularly relevant in explaining these findings. Participants report of emotional numbness and difficulty “switching off” suggest that repeated trauma may reduce emotional availability within personal relationships (see Fig 4 on appendix). This is also consistent with Friese (2020) who found that spouses of law enforcement officers can often experience significant stress as a result of their partner’s work. </w:t>
      </w:r>
    </w:p>
    <w:p w14:paraId="51E08A33" w14:textId="77777777" w:rsidR="00DF7742" w:rsidRDefault="00DF7742" w:rsidP="00DF7742"/>
    <w:p w14:paraId="1EC15CF5" w14:textId="6A1B2819" w:rsidR="00DF7742" w:rsidRDefault="00DF7742" w:rsidP="00D84A65">
      <w:r>
        <w:t xml:space="preserve">The qualitative responses offered significant insight into the participants lived experiences and corroborated the quantitative findings. Many key themes emerged, including emotional detachment, work-home spillover, relationship strain, and organisational frustration. Many officers said that they feel “numb” or disconnected, with others claiming it was difficult to separate work from personal life. Participants also voiced dissatisfaction with organisational support, often claiming stigma and a lack of comprehension with management. These raised themes closely correspond to existing literature, especially Harkin et al. (2025) and further substantiate the spillover model and the notion of secondary traumatic stress. </w:t>
      </w:r>
      <w:r w:rsidRPr="00C920AD">
        <w:t xml:space="preserve"> </w:t>
      </w:r>
    </w:p>
    <w:p w14:paraId="7B17E90F" w14:textId="77777777" w:rsidR="00DF7742" w:rsidRDefault="00DF7742" w:rsidP="00DF7742">
      <w:pPr>
        <w:rPr>
          <w:b/>
          <w:bCs/>
          <w:u w:val="single"/>
        </w:rPr>
      </w:pPr>
    </w:p>
    <w:p w14:paraId="5F54DE48" w14:textId="77777777" w:rsidR="00DF7742" w:rsidRPr="00C920AD" w:rsidRDefault="00DF7742" w:rsidP="00DF7742">
      <w:r>
        <w:t xml:space="preserve">In conclusion, this study provides convincing evidence that frontline policing has significant implications for both the mental and interpersonal relationships. The findings largely confirm existing literature and theoretical frameworks, including the JD-R and spillover models, while also contributing new insights into the lived experiences </w:t>
      </w:r>
      <w:r>
        <w:lastRenderedPageBreak/>
        <w:t xml:space="preserve">of police officers and staff. Importantly, the study highlights the ongoing need for an improvement in organisational support and a greater focus on relational outcomes, suggesting that future research and policies need to be more holistic when approaching officer wellbeing. </w:t>
      </w:r>
    </w:p>
    <w:p w14:paraId="1C791066" w14:textId="77777777" w:rsidR="00DF7742" w:rsidRDefault="00DF7742" w:rsidP="00A43E7F"/>
    <w:p w14:paraId="1FB775A0" w14:textId="77777777" w:rsidR="00D65986" w:rsidRDefault="00D65986" w:rsidP="00D65986">
      <w:pPr>
        <w:pStyle w:val="Heading1"/>
      </w:pPr>
      <w:bookmarkStart w:id="17" w:name="_Toc232439533"/>
      <w:r>
        <w:t>5. Conclusion</w:t>
      </w:r>
      <w:bookmarkEnd w:id="17"/>
    </w:p>
    <w:p w14:paraId="5C284082" w14:textId="77777777" w:rsidR="00D65986" w:rsidRDefault="00D65986" w:rsidP="00D65986"/>
    <w:p w14:paraId="0F3F9CB6" w14:textId="77777777" w:rsidR="00D65986" w:rsidRDefault="00D65986" w:rsidP="00D65986">
      <w:r>
        <w:t xml:space="preserve">This study was aimed towards understanding and exploring the impact of frontline policing on officers’ mental health. The research was primarily guided by three goals, firstly to identify the impact of policing on the front-line officers, secondly, to explore how these mental health outcomes can impact the officers’ relationships with partners, family members and friends and thirdly, to explore the role of organisational and occupational factors in influencing these outcomes. This study has provided some valuable insight into the lived experiences of officers working within UK policing through a mixed methods approach by way of a questionnaire. </w:t>
      </w:r>
    </w:p>
    <w:p w14:paraId="166BB1A9" w14:textId="77777777" w:rsidR="00D65986" w:rsidRDefault="00D65986" w:rsidP="00D65986"/>
    <w:p w14:paraId="3C8B5512" w14:textId="77777777" w:rsidR="00D65986" w:rsidRDefault="00D65986" w:rsidP="00D65986">
      <w:pPr>
        <w:pStyle w:val="Heading2"/>
      </w:pPr>
      <w:bookmarkStart w:id="18" w:name="_Toc232439534"/>
      <w:r>
        <w:t>5.1 Achievement and links to existing literature</w:t>
      </w:r>
      <w:bookmarkEnd w:id="18"/>
    </w:p>
    <w:p w14:paraId="484B619D" w14:textId="77777777" w:rsidR="00D65986" w:rsidRDefault="00D65986" w:rsidP="00D65986"/>
    <w:p w14:paraId="0EECA838" w14:textId="77777777" w:rsidR="00D65986" w:rsidRDefault="00D65986" w:rsidP="00D65986">
      <w:r>
        <w:t xml:space="preserve">The findings of the research indicate that the primary aim of the study has been successfully achieved. The results found that frontline policing is associated with significant psychological challenges, with participants frequently reporting elevated stress levels, anxiety, burnout and sleep disturbances. Officers working in frontline positions reported on a consistent basis, higher levels of stress than those in non-operational roles, this would suggest that repeated exposure to traumatic events and demanding work conditions play a substantial role in shaping mental health outcomes for officers. These findings have largely confirmed what existing research had already identified. Consistent with Gullon-Scott and Longstaff (2022), participants reported elevated levels of stress. Similarly, the presence of trauma related symptoms supports findings from the University of Cambridge (2022), which identified substantial levels of PTSD symptoms within Policing.  </w:t>
      </w:r>
    </w:p>
    <w:p w14:paraId="27FE1A34" w14:textId="77777777" w:rsidR="00D65986" w:rsidRDefault="00D65986" w:rsidP="00D65986"/>
    <w:p w14:paraId="5A3FF6A9" w14:textId="77777777" w:rsidR="00D65986" w:rsidRDefault="00D65986" w:rsidP="00D65986"/>
    <w:p w14:paraId="62E68CF5" w14:textId="77777777" w:rsidR="00D65986" w:rsidRDefault="00D65986" w:rsidP="00D65986">
      <w:r>
        <w:t xml:space="preserve">The second objective sought to examine the relationship between the affected officer’s mental health and the interpersonal relationships. The findings revealed that there is a </w:t>
      </w:r>
      <w:r>
        <w:lastRenderedPageBreak/>
        <w:t>clear connection between occupational stress and relationship strain. Many of the respondents reported a difficulty switching off from work, emotional detachment from loved ones and a conflict within their relationships with partners and spouses being the identified as the most effected group, although impacts on friendships and wider family members were also evident. These findings support the concept of emotional spillover, whereby stress encountered in one area of life can often extend to another. This significantly supports existing theories concerning emotional spillover, supported by Friese (2020) and Schwartz et al. (2025).</w:t>
      </w:r>
    </w:p>
    <w:p w14:paraId="27DF980C" w14:textId="77777777" w:rsidR="00D65986" w:rsidRDefault="00D65986" w:rsidP="00D65986"/>
    <w:p w14:paraId="41BA6B7F" w14:textId="77777777" w:rsidR="00D65986" w:rsidRDefault="00D65986" w:rsidP="00D65986">
      <w:r>
        <w:t>The final objective explored the organisational influences on mental wellbeing. Respondents frequently identified a number of significant factors of stress such as workload pressures, shift work, staffing levels and lack of support. Furthermore, many participants highlighted a continuing stigma surrounding mental health discussions within the policing world. Consequently, this study demonstrates that the above-mentioned factors play a crucial role in both the development and management of mental health outcomes. These findings are consistent with Purba and Demou’s (2019) argument that organisational stressors contribute to a decline on mental health.</w:t>
      </w:r>
    </w:p>
    <w:p w14:paraId="27BAAE78" w14:textId="77777777" w:rsidR="00D65986" w:rsidRDefault="00D65986" w:rsidP="00D65986"/>
    <w:p w14:paraId="3FC40870" w14:textId="77777777" w:rsidR="00D65986" w:rsidRDefault="00D65986" w:rsidP="00D65986">
      <w:pPr>
        <w:pStyle w:val="Heading2"/>
      </w:pPr>
      <w:bookmarkStart w:id="19" w:name="_Toc232439535"/>
      <w:r>
        <w:t>5.2 Contribution to existing knowledge</w:t>
      </w:r>
      <w:bookmarkEnd w:id="19"/>
    </w:p>
    <w:p w14:paraId="5E84782B" w14:textId="77777777" w:rsidR="00D65986" w:rsidRDefault="00D65986" w:rsidP="00D65986"/>
    <w:p w14:paraId="1B02EE67" w14:textId="77777777" w:rsidR="00D65986" w:rsidRDefault="00D65986" w:rsidP="00D65986">
      <w:r>
        <w:t>Although substantial research already exists regarding mental health within policing, little attention is given to the impact of these issues on personal relationships, particularly within the context of the United Kingdom. This study has been able to contribute to the field by examining both the mental health outcomes and relationship consequences simultaneously, providing a more holistic understanding of the topic.</w:t>
      </w:r>
    </w:p>
    <w:p w14:paraId="5A80A4A8" w14:textId="77777777" w:rsidR="00D65986" w:rsidRDefault="00D65986" w:rsidP="00D65986">
      <w:r>
        <w:t xml:space="preserve"> </w:t>
      </w:r>
    </w:p>
    <w:p w14:paraId="1439A690" w14:textId="77777777" w:rsidR="00D65986" w:rsidRDefault="00D65986" w:rsidP="00D65986">
      <w:r>
        <w:t xml:space="preserve">Furthermore, this study has been able to close the gap identified within the literature review by comparing experiences across different ranks, departments and lengths of service, however while the sample size of participants limits the ability to make generalisations, the findings do provide a valuable insight into how different occupational stressors can be experienced across different groups. </w:t>
      </w:r>
    </w:p>
    <w:p w14:paraId="02B79A83" w14:textId="77777777" w:rsidR="00D65986" w:rsidRDefault="00D65986" w:rsidP="00D65986"/>
    <w:p w14:paraId="58AF4FE8" w14:textId="77777777" w:rsidR="00D65986" w:rsidRDefault="00D65986" w:rsidP="00D65986">
      <w:r>
        <w:t xml:space="preserve">The inclusion of qualitative responses also contributes to existing knowledge by providing the lived accounts of officers. These personal reflections offer a context to the quantitative findings and offer to highlight the human impact of occupational stress in ways that numerical data alone would not achieve. </w:t>
      </w:r>
    </w:p>
    <w:p w14:paraId="58995997" w14:textId="77777777" w:rsidR="00D65986" w:rsidRDefault="00D65986" w:rsidP="00D65986"/>
    <w:p w14:paraId="0E0ECC53" w14:textId="77777777" w:rsidR="00D65986" w:rsidRDefault="00D65986" w:rsidP="00D65986">
      <w:pPr>
        <w:pStyle w:val="Heading2"/>
      </w:pPr>
      <w:bookmarkStart w:id="20" w:name="_Toc232439536"/>
      <w:r>
        <w:t>5.3 Limitations</w:t>
      </w:r>
      <w:bookmarkEnd w:id="20"/>
    </w:p>
    <w:p w14:paraId="68C15727" w14:textId="77777777" w:rsidR="00D65986" w:rsidRDefault="00D65986" w:rsidP="00D65986"/>
    <w:p w14:paraId="5C396C8D" w14:textId="77777777" w:rsidR="00D65986" w:rsidRDefault="00D65986" w:rsidP="00D65986">
      <w:r>
        <w:t xml:space="preserve">However, this study was not without its own limitations and these need to be acknowledged when interpreting the findings. Firstly, the study utilised a relatively small portion of police officers with 38 respondents to the questionnaire. While this sample size more than expected, it does still limit the extent to which the findings can be generalised across all police forces within the United Kingdom. </w:t>
      </w:r>
    </w:p>
    <w:p w14:paraId="220640F4" w14:textId="77777777" w:rsidR="00D65986" w:rsidRDefault="00D65986" w:rsidP="00D65986">
      <w:r>
        <w:t xml:space="preserve">Secondly, the use of self-report questionnaires introduces the potential for response bias. Participants may have underreported their mental health difficulties due to concerns surrounding the ever-present stigma or reputational issues of reporting, even though the questionnaire was assured to be anonymous. Equally, some may have differing interpretations of the questions themselves, possibly effecting consistency across responses. </w:t>
      </w:r>
    </w:p>
    <w:p w14:paraId="64F6A169" w14:textId="77777777" w:rsidR="00D65986" w:rsidRDefault="00D65986" w:rsidP="00D65986"/>
    <w:p w14:paraId="649B3201" w14:textId="77777777" w:rsidR="00D65986" w:rsidRDefault="00D65986" w:rsidP="00D65986">
      <w:r>
        <w:t xml:space="preserve">Thirdly, this study adopted a cross-sectional design which meant that data was only collected during a single point of time. Whilst on one hand this allows the identification of associations, it does not allow for the identification of cause. With some respondents possibly feeling particularly negative on the day they responded, this does not give an accurate account of their feelings over time. Therefore, it cannot be said for certain that policing directly effects relationships, only that there is a significant relationship between the two. </w:t>
      </w:r>
    </w:p>
    <w:p w14:paraId="30DA29AE" w14:textId="77777777" w:rsidR="00D65986" w:rsidRDefault="00D65986" w:rsidP="00D65986"/>
    <w:p w14:paraId="3C7DBF78" w14:textId="77777777" w:rsidR="00D65986" w:rsidRDefault="00D65986" w:rsidP="00D65986">
      <w:r>
        <w:t xml:space="preserve">Finally, the study did not explore demographic variables such as gender or ethnicity, factors that may influence an individual’s experience of stress and wellbeing that others may not. In future studies, this could show the unique challenges on certain officers and allow for targeted support interventions when necessary. </w:t>
      </w:r>
    </w:p>
    <w:p w14:paraId="3F272E78" w14:textId="77777777" w:rsidR="00D65986" w:rsidRDefault="00D65986" w:rsidP="00D65986"/>
    <w:p w14:paraId="5D2E7D32" w14:textId="77777777" w:rsidR="00D65986" w:rsidRDefault="00D65986" w:rsidP="00D65986">
      <w:pPr>
        <w:pStyle w:val="Heading2"/>
      </w:pPr>
      <w:bookmarkStart w:id="21" w:name="_Toc232439537"/>
      <w:r>
        <w:t>5.4 Recommendations for future research</w:t>
      </w:r>
      <w:bookmarkEnd w:id="21"/>
      <w:r>
        <w:t xml:space="preserve"> </w:t>
      </w:r>
    </w:p>
    <w:p w14:paraId="5B85CB91" w14:textId="77777777" w:rsidR="00D65986" w:rsidRDefault="00D65986" w:rsidP="00D65986"/>
    <w:p w14:paraId="36DF62CD" w14:textId="77777777" w:rsidR="00D65986" w:rsidRDefault="00D65986" w:rsidP="00D65986">
      <w:r>
        <w:t>From this study, it has been deduced that future research should seek to build upon these findings through larger scale studies, potentially involving numerous police forces across the United Kingdom. This larger sample size would benefit the ability for a more detailed statistical comparison between demographic groups.</w:t>
      </w:r>
    </w:p>
    <w:p w14:paraId="32DE263E" w14:textId="77777777" w:rsidR="00D65986" w:rsidRDefault="00D65986" w:rsidP="00D65986"/>
    <w:p w14:paraId="0F6DF537" w14:textId="77777777" w:rsidR="00D65986" w:rsidRDefault="00D65986" w:rsidP="00D65986">
      <w:r>
        <w:t xml:space="preserve">Tracking officers over a number of months or years would also be beneficial, this longitudinal research would offer a greater understanding of how occupational stress can accumulate over time or throughout a policing career, on the other hand it may show the decrease or change of stress when transferring to a different sector or department </w:t>
      </w:r>
    </w:p>
    <w:p w14:paraId="0864E68C" w14:textId="77777777" w:rsidR="00D65986" w:rsidRDefault="00D65986" w:rsidP="00D65986"/>
    <w:p w14:paraId="21ED38BE" w14:textId="77777777" w:rsidR="00D65986" w:rsidRDefault="00D65986" w:rsidP="00D65986">
      <w:r>
        <w:t xml:space="preserve">While conducting this research there have been a number of practical recommendations that could be made by policing organisations. Forces should continue to expand on mental health support mechanisms while actively working to reduce the stigma surrounding the seeking of help. Also, greater consideration should be given to the management of workload for frontline officers as well as introducing new officers to frontline roles in order to address the lack of staff as these factors were found to be major factors in stress levels. Strong leadership should also prioritise awareness around wellbeing and encourage supportive workplace cultures, allowing officers to feel comfortable discussing the struggles of mental health. Secondly, wellbeing initiatives should extend past the individual officers to include family support programs. Given the evidence found of relationship strain, providing resources for partners and their families could help to mitigate effects of stress. </w:t>
      </w:r>
    </w:p>
    <w:p w14:paraId="24A68720" w14:textId="77777777" w:rsidR="00D65986" w:rsidRDefault="00D65986" w:rsidP="00D65986"/>
    <w:p w14:paraId="239A8FA6" w14:textId="77777777" w:rsidR="00D65986" w:rsidRDefault="00D65986" w:rsidP="00D65986">
      <w:r>
        <w:t xml:space="preserve">This research project has successfully achieved its aims and objectives by demonstrating the interconnected relationship between policing, mental health and interpersonal functioning. Whilst limitations exist, the findings contribute valuable insight into an under researched area and reinforces the need for organisational and academic attention. Ultimately, the importance of officer wellbeing cannot be understated, without healthy and focussed officers, the future of policing is truly bleak. </w:t>
      </w:r>
    </w:p>
    <w:p w14:paraId="5735E849" w14:textId="77777777" w:rsidR="00A43E7F" w:rsidRDefault="00A43E7F" w:rsidP="00764C76">
      <w:pPr>
        <w:rPr>
          <w:rFonts w:ascii="Calibri" w:hAnsi="Calibri" w:cs="Calibri"/>
        </w:rPr>
      </w:pPr>
    </w:p>
    <w:p w14:paraId="107E7DD3" w14:textId="77777777" w:rsidR="004D45EB" w:rsidRDefault="004D45EB" w:rsidP="00764C76">
      <w:pPr>
        <w:rPr>
          <w:rFonts w:ascii="Calibri" w:hAnsi="Calibri" w:cs="Calibri"/>
        </w:rPr>
      </w:pPr>
    </w:p>
    <w:p w14:paraId="4DD52BB8" w14:textId="77777777" w:rsidR="004D45EB" w:rsidRDefault="004D45EB" w:rsidP="00764C76">
      <w:pPr>
        <w:rPr>
          <w:rFonts w:ascii="Calibri" w:hAnsi="Calibri" w:cs="Calibri"/>
        </w:rPr>
      </w:pPr>
    </w:p>
    <w:p w14:paraId="0D381083" w14:textId="77777777" w:rsidR="004D45EB" w:rsidRDefault="004D45EB" w:rsidP="00764C76">
      <w:pPr>
        <w:rPr>
          <w:rFonts w:ascii="Calibri" w:hAnsi="Calibri" w:cs="Calibri"/>
        </w:rPr>
      </w:pPr>
    </w:p>
    <w:p w14:paraId="7AC4865E" w14:textId="77777777" w:rsidR="004D45EB" w:rsidRDefault="004D45EB" w:rsidP="00764C76">
      <w:pPr>
        <w:rPr>
          <w:rFonts w:ascii="Calibri" w:hAnsi="Calibri" w:cs="Calibri"/>
        </w:rPr>
      </w:pPr>
    </w:p>
    <w:p w14:paraId="6ACA4C8C" w14:textId="77777777" w:rsidR="004D45EB" w:rsidRDefault="004D45EB" w:rsidP="00764C76">
      <w:pPr>
        <w:rPr>
          <w:rFonts w:ascii="Calibri" w:hAnsi="Calibri" w:cs="Calibri"/>
        </w:rPr>
      </w:pPr>
    </w:p>
    <w:p w14:paraId="645F6363" w14:textId="77777777" w:rsidR="004D45EB" w:rsidRDefault="004D45EB" w:rsidP="00764C76">
      <w:pPr>
        <w:rPr>
          <w:rFonts w:ascii="Calibri" w:hAnsi="Calibri" w:cs="Calibri"/>
        </w:rPr>
      </w:pPr>
    </w:p>
    <w:p w14:paraId="2D154620" w14:textId="77777777" w:rsidR="004D45EB" w:rsidRDefault="004D45EB" w:rsidP="00764C76">
      <w:pPr>
        <w:rPr>
          <w:rFonts w:ascii="Calibri" w:hAnsi="Calibri" w:cs="Calibri"/>
        </w:rPr>
      </w:pPr>
    </w:p>
    <w:p w14:paraId="5E880607" w14:textId="66A21AD4" w:rsidR="004D45EB" w:rsidRDefault="004D45EB" w:rsidP="004D45EB">
      <w:pPr>
        <w:pStyle w:val="Heading1"/>
      </w:pPr>
      <w:bookmarkStart w:id="22" w:name="_Toc232439538"/>
      <w:r>
        <w:lastRenderedPageBreak/>
        <w:t>Bibliography</w:t>
      </w:r>
      <w:bookmarkEnd w:id="22"/>
      <w:r>
        <w:t xml:space="preserve"> </w:t>
      </w:r>
    </w:p>
    <w:p w14:paraId="23C48F39" w14:textId="77777777" w:rsidR="004D45EB" w:rsidRDefault="004D45EB" w:rsidP="004D45EB"/>
    <w:p w14:paraId="5BDB3F0F" w14:textId="77777777" w:rsidR="005710CB" w:rsidRDefault="005710CB" w:rsidP="004F318B">
      <w:pPr>
        <w:rPr>
          <w:rFonts w:ascii="Calibri" w:hAnsi="Calibri" w:cs="Calibri"/>
        </w:rPr>
      </w:pPr>
      <w:r w:rsidRPr="008748CC">
        <w:rPr>
          <w:rFonts w:ascii="Calibri" w:hAnsi="Calibri" w:cs="Calibri"/>
        </w:rPr>
        <w:t>Baker, D. B, Marier, C. J. and Cheek, M. (2023) Worried Sick: Perceptions of Low Public Support, Stress and Somatic Health Problems in Law Enforcement, Policing: A Journal of Policy and Practice, 17, pp. 118.</w:t>
      </w:r>
    </w:p>
    <w:p w14:paraId="3330F31F" w14:textId="77777777" w:rsidR="005710CB" w:rsidRPr="008748CC" w:rsidRDefault="005710CB" w:rsidP="004F318B">
      <w:pPr>
        <w:rPr>
          <w:rFonts w:ascii="Calibri" w:hAnsi="Calibri" w:cs="Calibri"/>
        </w:rPr>
      </w:pPr>
    </w:p>
    <w:p w14:paraId="050EF8EC" w14:textId="77777777" w:rsidR="005710CB" w:rsidRDefault="005710CB" w:rsidP="004D45EB">
      <w:pPr>
        <w:rPr>
          <w:rFonts w:ascii="Calibri" w:hAnsi="Calibri" w:cs="Calibri"/>
        </w:rPr>
      </w:pPr>
      <w:r w:rsidRPr="008748CC">
        <w:rPr>
          <w:rFonts w:ascii="Calibri" w:hAnsi="Calibri" w:cs="Calibri"/>
        </w:rPr>
        <w:t xml:space="preserve">Bakker, A. B. and Demerouti, E., (2007) The Job Demands-Resources model: State of the art. Journal of Managerial Psychology, 22(3), pp. 309-328. </w:t>
      </w:r>
    </w:p>
    <w:p w14:paraId="293E88F9" w14:textId="77777777" w:rsidR="005710CB" w:rsidRPr="008748CC" w:rsidRDefault="005710CB" w:rsidP="004D45EB">
      <w:pPr>
        <w:rPr>
          <w:rFonts w:ascii="Calibri" w:hAnsi="Calibri" w:cs="Calibri"/>
        </w:rPr>
      </w:pPr>
    </w:p>
    <w:p w14:paraId="2A701A60" w14:textId="77777777" w:rsidR="005710CB" w:rsidRPr="008748CC" w:rsidRDefault="005710CB" w:rsidP="004F318B">
      <w:pPr>
        <w:rPr>
          <w:rFonts w:ascii="Calibri" w:hAnsi="Calibri" w:cs="Calibri"/>
        </w:rPr>
      </w:pPr>
      <w:r w:rsidRPr="008748CC">
        <w:rPr>
          <w:rFonts w:ascii="Calibri" w:hAnsi="Calibri" w:cs="Calibri"/>
        </w:rPr>
        <w:t>Demerouti, E. and Bakker, A. B. (2011) The Job Demands-Resources model: Challenges for Future Research</w:t>
      </w:r>
      <w:r w:rsidRPr="008748CC">
        <w:rPr>
          <w:rFonts w:ascii="Calibri" w:hAnsi="Calibri" w:cs="Calibri"/>
          <w:i/>
          <w:iCs/>
        </w:rPr>
        <w:t>. SA Journal of Industrial Psychology</w:t>
      </w:r>
      <w:r w:rsidRPr="008748CC">
        <w:rPr>
          <w:rFonts w:ascii="Calibri" w:hAnsi="Calibri" w:cs="Calibri"/>
        </w:rPr>
        <w:t>, 37(2) pp. 1-9.</w:t>
      </w:r>
    </w:p>
    <w:p w14:paraId="714DD374" w14:textId="77777777" w:rsidR="005710CB" w:rsidRDefault="005710CB" w:rsidP="004F318B">
      <w:pPr>
        <w:rPr>
          <w:rFonts w:ascii="Calibri" w:hAnsi="Calibri" w:cs="Calibri"/>
        </w:rPr>
      </w:pPr>
    </w:p>
    <w:p w14:paraId="29B0A7E6" w14:textId="5F19869B" w:rsidR="005710CB" w:rsidRPr="008748CC" w:rsidRDefault="005710CB" w:rsidP="004F318B">
      <w:pPr>
        <w:rPr>
          <w:rFonts w:ascii="Calibri" w:hAnsi="Calibri" w:cs="Calibri"/>
        </w:rPr>
      </w:pPr>
      <w:r w:rsidRPr="008748CC">
        <w:rPr>
          <w:rFonts w:ascii="Calibri" w:hAnsi="Calibri" w:cs="Calibri"/>
        </w:rPr>
        <w:t xml:space="preserve">Frieze, K. M. (2020) Cuffed together: A study on how law enforcement work impacts the officer’s spouse. </w:t>
      </w:r>
      <w:r w:rsidRPr="008748CC">
        <w:rPr>
          <w:rFonts w:ascii="Calibri" w:hAnsi="Calibri" w:cs="Calibri"/>
          <w:i/>
          <w:iCs/>
        </w:rPr>
        <w:t>International Journal of Police Science &amp; Management</w:t>
      </w:r>
      <w:r w:rsidRPr="008748CC">
        <w:rPr>
          <w:rFonts w:ascii="Calibri" w:hAnsi="Calibri" w:cs="Calibri"/>
        </w:rPr>
        <w:t xml:space="preserve">, 22(4), pp. 407-418. </w:t>
      </w:r>
    </w:p>
    <w:p w14:paraId="4E1B9787" w14:textId="77777777" w:rsidR="005710CB" w:rsidRDefault="005710CB" w:rsidP="004D45EB">
      <w:pPr>
        <w:rPr>
          <w:rFonts w:ascii="Calibri" w:hAnsi="Calibri" w:cs="Calibri"/>
        </w:rPr>
      </w:pPr>
    </w:p>
    <w:p w14:paraId="7925DFEB" w14:textId="51B5FF9A" w:rsidR="005710CB" w:rsidRPr="008748CC" w:rsidRDefault="005710CB" w:rsidP="004D45EB">
      <w:pPr>
        <w:rPr>
          <w:rFonts w:ascii="Calibri" w:hAnsi="Calibri" w:cs="Calibri"/>
        </w:rPr>
      </w:pPr>
      <w:r w:rsidRPr="008748CC">
        <w:rPr>
          <w:rFonts w:ascii="Calibri" w:hAnsi="Calibri" w:cs="Calibri"/>
        </w:rPr>
        <w:t xml:space="preserve">Gachter, M., Savage, D. A. and Torgler, B., (2011) The relationship between stress, strain and social capital. Policing, 34(3), pp. 515-540. </w:t>
      </w:r>
    </w:p>
    <w:p w14:paraId="6CF7E6E9" w14:textId="77777777" w:rsidR="006B1565" w:rsidRDefault="006B1565" w:rsidP="004F318B">
      <w:pPr>
        <w:rPr>
          <w:rFonts w:ascii="Calibri" w:hAnsi="Calibri" w:cs="Calibri"/>
        </w:rPr>
      </w:pPr>
    </w:p>
    <w:p w14:paraId="3D0C3182" w14:textId="7CB954D2" w:rsidR="005710CB" w:rsidRPr="008748CC" w:rsidRDefault="005710CB" w:rsidP="004F318B">
      <w:pPr>
        <w:rPr>
          <w:rFonts w:ascii="Calibri" w:hAnsi="Calibri" w:cs="Calibri"/>
        </w:rPr>
      </w:pPr>
      <w:r w:rsidRPr="008748CC">
        <w:rPr>
          <w:rFonts w:ascii="Calibri" w:hAnsi="Calibri" w:cs="Calibri"/>
        </w:rPr>
        <w:t xml:space="preserve">Gullon-Scott, P. &amp; Longstaff, L. (2022) The prevalence of depression, anxiety, stress and their relationship to length of service in the UK police force. </w:t>
      </w:r>
      <w:r w:rsidRPr="008748CC">
        <w:rPr>
          <w:rFonts w:ascii="Calibri" w:hAnsi="Calibri" w:cs="Calibri"/>
          <w:i/>
          <w:iCs/>
        </w:rPr>
        <w:t>The Police Journal: Theory, Practice and Principles</w:t>
      </w:r>
      <w:r w:rsidRPr="008748CC">
        <w:rPr>
          <w:rFonts w:ascii="Calibri" w:hAnsi="Calibri" w:cs="Calibri"/>
        </w:rPr>
        <w:t>, 97(1), pp. 131-149.</w:t>
      </w:r>
    </w:p>
    <w:p w14:paraId="42C0913D" w14:textId="77777777" w:rsidR="006B1565" w:rsidRDefault="006B1565" w:rsidP="004F318B">
      <w:pPr>
        <w:rPr>
          <w:rFonts w:ascii="Calibri" w:hAnsi="Calibri" w:cs="Calibri"/>
        </w:rPr>
      </w:pPr>
    </w:p>
    <w:p w14:paraId="17D41AE0" w14:textId="7D6264C3" w:rsidR="005710CB" w:rsidRPr="008748CC" w:rsidRDefault="005710CB" w:rsidP="004F318B">
      <w:pPr>
        <w:rPr>
          <w:rFonts w:ascii="Calibri" w:hAnsi="Calibri" w:cs="Calibri"/>
        </w:rPr>
      </w:pPr>
      <w:r w:rsidRPr="008748CC">
        <w:rPr>
          <w:rFonts w:ascii="Calibri" w:hAnsi="Calibri" w:cs="Calibri"/>
        </w:rPr>
        <w:t xml:space="preserve">Harkin, B., Rawlinson, L., Davies, L. E. and Yates A. J. (2025) Beyond the badge: Organizational barriers to Police Anxiety and Mental Health Support, </w:t>
      </w:r>
      <w:r w:rsidRPr="008748CC">
        <w:rPr>
          <w:rFonts w:ascii="Calibri" w:hAnsi="Calibri" w:cs="Calibri"/>
          <w:i/>
          <w:iCs/>
        </w:rPr>
        <w:t>Policing: A Journal of Policy and Practice</w:t>
      </w:r>
      <w:r w:rsidRPr="008748CC">
        <w:rPr>
          <w:rFonts w:ascii="Calibri" w:hAnsi="Calibri" w:cs="Calibri"/>
        </w:rPr>
        <w:t>, 19.</w:t>
      </w:r>
    </w:p>
    <w:p w14:paraId="57C2F40B" w14:textId="77777777" w:rsidR="006B1565" w:rsidRDefault="006B1565" w:rsidP="004F318B">
      <w:pPr>
        <w:rPr>
          <w:rFonts w:ascii="Calibri" w:hAnsi="Calibri" w:cs="Calibri"/>
        </w:rPr>
      </w:pPr>
    </w:p>
    <w:p w14:paraId="0DD123B9" w14:textId="733BCA0B" w:rsidR="005710CB" w:rsidRPr="008748CC" w:rsidRDefault="005710CB" w:rsidP="004F318B">
      <w:pPr>
        <w:rPr>
          <w:rFonts w:ascii="Calibri" w:hAnsi="Calibri" w:cs="Calibri"/>
        </w:rPr>
      </w:pPr>
      <w:r w:rsidRPr="008748CC">
        <w:rPr>
          <w:rFonts w:ascii="Calibri" w:hAnsi="Calibri" w:cs="Calibri"/>
        </w:rPr>
        <w:t xml:space="preserve">Hensel, J. M., Ruiz, C., Finney, C. and Dewa, C. S. (2015) Meta-Analysis of Risk Factors for Secondary Traumatic Stress in Therapeutic Work with Trauma Victims, </w:t>
      </w:r>
      <w:r w:rsidRPr="008748CC">
        <w:rPr>
          <w:rFonts w:ascii="Calibri" w:hAnsi="Calibri" w:cs="Calibri"/>
          <w:i/>
          <w:iCs/>
        </w:rPr>
        <w:t>Journal of Traumatic Stress</w:t>
      </w:r>
      <w:r w:rsidRPr="008748CC">
        <w:rPr>
          <w:rFonts w:ascii="Calibri" w:hAnsi="Calibri" w:cs="Calibri"/>
        </w:rPr>
        <w:t>, 28(2), pp. 83-91.</w:t>
      </w:r>
    </w:p>
    <w:p w14:paraId="3DA80E5D" w14:textId="77777777" w:rsidR="006B1565" w:rsidRDefault="006B1565" w:rsidP="004F318B">
      <w:pPr>
        <w:rPr>
          <w:rFonts w:ascii="Calibri" w:hAnsi="Calibri" w:cs="Calibri"/>
        </w:rPr>
      </w:pPr>
    </w:p>
    <w:p w14:paraId="2B541A78" w14:textId="7D298A35" w:rsidR="005710CB" w:rsidRPr="008748CC" w:rsidRDefault="005710CB" w:rsidP="004F318B">
      <w:pPr>
        <w:rPr>
          <w:rFonts w:ascii="Calibri" w:hAnsi="Calibri" w:cs="Calibri"/>
        </w:rPr>
      </w:pPr>
      <w:r w:rsidRPr="008748CC">
        <w:rPr>
          <w:rFonts w:ascii="Calibri" w:hAnsi="Calibri" w:cs="Calibri"/>
        </w:rPr>
        <w:lastRenderedPageBreak/>
        <w:t xml:space="preserve">Jackman, P. C., Clay, G., Coussens, A. H., Bird, M. D., &amp; Henderson, H. (2021) ‘We are fighting a tide that keeps coming against us’: a mixed method exploration of stressors in an English county police force. </w:t>
      </w:r>
      <w:r w:rsidRPr="008748CC">
        <w:rPr>
          <w:rFonts w:ascii="Calibri" w:hAnsi="Calibri" w:cs="Calibri"/>
          <w:i/>
          <w:iCs/>
        </w:rPr>
        <w:t>Police Practice and Research</w:t>
      </w:r>
      <w:r w:rsidRPr="008748CC">
        <w:rPr>
          <w:rFonts w:ascii="Calibri" w:hAnsi="Calibri" w:cs="Calibri"/>
        </w:rPr>
        <w:t>, 22(1), pp. 370-388.</w:t>
      </w:r>
    </w:p>
    <w:p w14:paraId="78191F11" w14:textId="77777777" w:rsidR="006B1565" w:rsidRDefault="006B1565" w:rsidP="00041E5C">
      <w:pPr>
        <w:rPr>
          <w:rFonts w:ascii="Calibri" w:hAnsi="Calibri" w:cs="Calibri"/>
        </w:rPr>
      </w:pPr>
    </w:p>
    <w:p w14:paraId="54883227" w14:textId="6D192123" w:rsidR="005710CB" w:rsidRPr="008748CC" w:rsidRDefault="005710CB" w:rsidP="00041E5C">
      <w:pPr>
        <w:rPr>
          <w:rFonts w:ascii="Calibri" w:hAnsi="Calibri" w:cs="Calibri"/>
        </w:rPr>
      </w:pPr>
      <w:r w:rsidRPr="008748CC">
        <w:rPr>
          <w:rFonts w:ascii="Calibri" w:hAnsi="Calibri" w:cs="Calibri"/>
        </w:rPr>
        <w:t xml:space="preserve">Liu, Y. (2022) Paradigmatic Compatibility Matters: A Critical Review of Qualitative – Quantitative Debate in Mixed Methods Research. </w:t>
      </w:r>
      <w:r w:rsidRPr="008748CC">
        <w:rPr>
          <w:rFonts w:ascii="Calibri" w:hAnsi="Calibri" w:cs="Calibri"/>
          <w:i/>
          <w:iCs/>
        </w:rPr>
        <w:t>Sage open</w:t>
      </w:r>
      <w:r w:rsidRPr="008748CC">
        <w:rPr>
          <w:rFonts w:ascii="Calibri" w:hAnsi="Calibri" w:cs="Calibri"/>
        </w:rPr>
        <w:t xml:space="preserve">, 12(1). </w:t>
      </w:r>
    </w:p>
    <w:p w14:paraId="3656974C" w14:textId="77777777" w:rsidR="006B1565" w:rsidRDefault="006B1565" w:rsidP="004F318B">
      <w:pPr>
        <w:rPr>
          <w:rFonts w:ascii="Calibri" w:hAnsi="Calibri" w:cs="Calibri"/>
        </w:rPr>
      </w:pPr>
    </w:p>
    <w:p w14:paraId="07F8E3BA" w14:textId="76C9C9FB" w:rsidR="005710CB" w:rsidRPr="008748CC" w:rsidRDefault="005710CB" w:rsidP="004F318B">
      <w:pPr>
        <w:rPr>
          <w:rFonts w:ascii="Calibri" w:hAnsi="Calibri" w:cs="Calibri"/>
        </w:rPr>
      </w:pPr>
      <w:r w:rsidRPr="008748CC">
        <w:rPr>
          <w:rFonts w:ascii="Calibri" w:hAnsi="Calibri" w:cs="Calibri"/>
        </w:rPr>
        <w:t xml:space="preserve">McLeod, M. N., Heller, D., Manze, M. G. and Echieverria, S. E. (2020) Police Interactions and the Mental Health of Black Americans: A Systematic Review. </w:t>
      </w:r>
      <w:r w:rsidRPr="008748CC">
        <w:rPr>
          <w:rFonts w:ascii="Calibri" w:hAnsi="Calibri" w:cs="Calibri"/>
          <w:i/>
          <w:iCs/>
        </w:rPr>
        <w:t>Journal of Racial and Ethnic Health Disparities</w:t>
      </w:r>
      <w:r w:rsidRPr="008748CC">
        <w:rPr>
          <w:rFonts w:ascii="Calibri" w:hAnsi="Calibri" w:cs="Calibri"/>
        </w:rPr>
        <w:t>, 7(1), pp. 10-27.</w:t>
      </w:r>
    </w:p>
    <w:p w14:paraId="4BE7CBA8" w14:textId="77777777" w:rsidR="006B1565" w:rsidRDefault="006B1565" w:rsidP="00041E5C">
      <w:pPr>
        <w:rPr>
          <w:rFonts w:ascii="Calibri" w:hAnsi="Calibri" w:cs="Calibri"/>
        </w:rPr>
      </w:pPr>
    </w:p>
    <w:p w14:paraId="72451D13" w14:textId="32F714DA" w:rsidR="005710CB" w:rsidRPr="002D6950" w:rsidRDefault="005710CB" w:rsidP="00041E5C">
      <w:r w:rsidRPr="008748CC">
        <w:rPr>
          <w:rFonts w:ascii="Calibri" w:hAnsi="Calibri" w:cs="Calibri"/>
        </w:rPr>
        <w:t>Newton, P. E. (2012) Clarifying the Consensus Definition of Validity. Measurement: Interdisciplinary Research and Perspectives, 10(1-2), pp. 1 – 29.</w:t>
      </w:r>
      <w:r>
        <w:t xml:space="preserve"> </w:t>
      </w:r>
    </w:p>
    <w:p w14:paraId="4C94841D" w14:textId="77777777" w:rsidR="006B1565" w:rsidRDefault="006B1565" w:rsidP="004F318B">
      <w:pPr>
        <w:rPr>
          <w:rFonts w:ascii="Calibri" w:hAnsi="Calibri" w:cs="Calibri"/>
        </w:rPr>
      </w:pPr>
    </w:p>
    <w:p w14:paraId="60795F2E" w14:textId="167CCB6B" w:rsidR="005710CB" w:rsidRPr="008748CC" w:rsidRDefault="005710CB" w:rsidP="004F318B">
      <w:pPr>
        <w:rPr>
          <w:rFonts w:ascii="Calibri" w:hAnsi="Calibri" w:cs="Calibri"/>
        </w:rPr>
      </w:pPr>
      <w:r w:rsidRPr="008748CC">
        <w:rPr>
          <w:rFonts w:ascii="Calibri" w:hAnsi="Calibri" w:cs="Calibri"/>
        </w:rPr>
        <w:t xml:space="preserve">NPCC (2019) The National Police Chiefs Council. </w:t>
      </w:r>
      <w:r w:rsidRPr="008748CC">
        <w:rPr>
          <w:rFonts w:ascii="Calibri" w:hAnsi="Calibri" w:cs="Calibri"/>
          <w:i/>
          <w:iCs/>
        </w:rPr>
        <w:t xml:space="preserve">Police.uk. </w:t>
      </w:r>
      <w:r w:rsidRPr="008748CC">
        <w:rPr>
          <w:rFonts w:ascii="Calibri" w:hAnsi="Calibri" w:cs="Calibri"/>
        </w:rPr>
        <w:t xml:space="preserve">Available at:   </w:t>
      </w:r>
      <w:hyperlink r:id="rId10" w:history="1">
        <w:r w:rsidRPr="008748CC">
          <w:rPr>
            <w:rStyle w:val="Hyperlink"/>
            <w:rFonts w:ascii="Calibri" w:hAnsi="Calibri" w:cs="Calibri"/>
          </w:rPr>
          <w:t>https://www.npcc.police.uk/</w:t>
        </w:r>
      </w:hyperlink>
      <w:r w:rsidRPr="008748CC">
        <w:rPr>
          <w:rFonts w:ascii="Calibri" w:hAnsi="Calibri" w:cs="Calibri"/>
        </w:rPr>
        <w:t xml:space="preserve">. Accessed 22 January 2026. </w:t>
      </w:r>
    </w:p>
    <w:p w14:paraId="400F7FF6" w14:textId="77777777" w:rsidR="006B1565" w:rsidRDefault="006B1565" w:rsidP="00041E5C">
      <w:pPr>
        <w:rPr>
          <w:rFonts w:ascii="Calibri" w:hAnsi="Calibri" w:cs="Calibri"/>
        </w:rPr>
      </w:pPr>
    </w:p>
    <w:p w14:paraId="2B455C87" w14:textId="789D27DF" w:rsidR="005710CB" w:rsidRPr="008748CC" w:rsidRDefault="005710CB" w:rsidP="00041E5C">
      <w:pPr>
        <w:rPr>
          <w:rFonts w:ascii="Calibri" w:hAnsi="Calibri" w:cs="Calibri"/>
        </w:rPr>
      </w:pPr>
      <w:r w:rsidRPr="008748CC">
        <w:rPr>
          <w:rFonts w:ascii="Calibri" w:hAnsi="Calibri" w:cs="Calibri"/>
        </w:rPr>
        <w:t xml:space="preserve">Porter, C. N. and Lee, R. (2024) The Policing Culture: An Exploration into the Mental Health of Former British Police Officers: Research and Reviews, Current Psychology, 43(3), pp. 2214 – 2228. </w:t>
      </w:r>
    </w:p>
    <w:p w14:paraId="5A55FF45" w14:textId="77777777" w:rsidR="006B1565" w:rsidRDefault="006B1565" w:rsidP="004F318B">
      <w:pPr>
        <w:rPr>
          <w:rFonts w:ascii="Calibri" w:hAnsi="Calibri" w:cs="Calibri"/>
        </w:rPr>
      </w:pPr>
    </w:p>
    <w:p w14:paraId="1EFB6157" w14:textId="2DACD437" w:rsidR="005710CB" w:rsidRPr="008748CC" w:rsidRDefault="005710CB" w:rsidP="004F318B">
      <w:pPr>
        <w:rPr>
          <w:rFonts w:ascii="Calibri" w:hAnsi="Calibri" w:cs="Calibri"/>
        </w:rPr>
      </w:pPr>
      <w:r w:rsidRPr="008748CC">
        <w:rPr>
          <w:rFonts w:ascii="Calibri" w:hAnsi="Calibri" w:cs="Calibri"/>
        </w:rPr>
        <w:t xml:space="preserve">Purba, A. and Demou, E. (2019) The Relationship between Organisational Stressors and Mental Wellbeing within Police Officers: A Systematic Review. </w:t>
      </w:r>
      <w:r w:rsidRPr="008748CC">
        <w:rPr>
          <w:rFonts w:ascii="Calibri" w:hAnsi="Calibri" w:cs="Calibri"/>
          <w:i/>
          <w:iCs/>
        </w:rPr>
        <w:t>BMC Public Health</w:t>
      </w:r>
      <w:r w:rsidRPr="008748CC">
        <w:rPr>
          <w:rFonts w:ascii="Calibri" w:hAnsi="Calibri" w:cs="Calibri"/>
        </w:rPr>
        <w:t xml:space="preserve">, 19. </w:t>
      </w:r>
    </w:p>
    <w:p w14:paraId="12DCD66B" w14:textId="77777777" w:rsidR="006B1565" w:rsidRDefault="006B1565" w:rsidP="00041E5C">
      <w:pPr>
        <w:rPr>
          <w:rFonts w:ascii="Calibri" w:hAnsi="Calibri" w:cs="Calibri"/>
        </w:rPr>
      </w:pPr>
    </w:p>
    <w:p w14:paraId="2CD20639" w14:textId="302EEA3C" w:rsidR="005710CB" w:rsidRPr="008748CC" w:rsidRDefault="005710CB" w:rsidP="00041E5C">
      <w:pPr>
        <w:rPr>
          <w:rFonts w:ascii="Calibri" w:hAnsi="Calibri" w:cs="Calibri"/>
        </w:rPr>
      </w:pPr>
      <w:r w:rsidRPr="008748CC">
        <w:rPr>
          <w:rFonts w:ascii="Calibri" w:hAnsi="Calibri" w:cs="Calibri"/>
        </w:rPr>
        <w:t>Sakshaug, J. W., Vicari, B., and Couper, M. P. (2019) Paper, E-mail or Both? Effects of Contact Mode on Participation in a Web Survey of Establishments, Social Science Computer Review, 37(6), pp. 750 – 765.</w:t>
      </w:r>
    </w:p>
    <w:p w14:paraId="3BB1FB8E" w14:textId="77777777" w:rsidR="006B1565" w:rsidRDefault="006B1565" w:rsidP="004D45EB">
      <w:pPr>
        <w:rPr>
          <w:rFonts w:ascii="Calibri" w:hAnsi="Calibri" w:cs="Calibri"/>
        </w:rPr>
      </w:pPr>
    </w:p>
    <w:p w14:paraId="1045745A" w14:textId="3D1A7973" w:rsidR="005710CB" w:rsidRPr="008748CC" w:rsidRDefault="005710CB" w:rsidP="004D45EB">
      <w:pPr>
        <w:rPr>
          <w:rFonts w:ascii="Calibri" w:hAnsi="Calibri" w:cs="Calibri"/>
        </w:rPr>
      </w:pPr>
      <w:r w:rsidRPr="008748CC">
        <w:rPr>
          <w:rFonts w:ascii="Calibri" w:hAnsi="Calibri" w:cs="Calibri"/>
        </w:rPr>
        <w:t>Santa Maria, A., Worfel, F., Wolter, C., Gusy, B. Rotter, M., Stark, S., Kleiber, D., and Renneberg, B. (2017). The Role of Job Demands and Job Resources in the Development of Emotional Exhaustion, Depression and Anxiety Among Police Officers. Police Quarterly, 21(1), pp. 109-134.</w:t>
      </w:r>
    </w:p>
    <w:p w14:paraId="130E64E9" w14:textId="77777777" w:rsidR="006B1565" w:rsidRDefault="006B1565" w:rsidP="004D45EB">
      <w:pPr>
        <w:rPr>
          <w:rFonts w:ascii="Calibri" w:hAnsi="Calibri" w:cs="Calibri"/>
        </w:rPr>
      </w:pPr>
    </w:p>
    <w:p w14:paraId="538D6AA6" w14:textId="360C5B11" w:rsidR="005710CB" w:rsidRPr="008748CC" w:rsidRDefault="005710CB" w:rsidP="004D45EB">
      <w:pPr>
        <w:rPr>
          <w:rFonts w:ascii="Calibri" w:hAnsi="Calibri" w:cs="Calibri"/>
        </w:rPr>
      </w:pPr>
      <w:r w:rsidRPr="008748CC">
        <w:rPr>
          <w:rFonts w:ascii="Calibri" w:hAnsi="Calibri" w:cs="Calibri"/>
        </w:rPr>
        <w:lastRenderedPageBreak/>
        <w:t xml:space="preserve">Schantz, A. D., Coxe, S. and Bruk-Lee, V., (2021) From where does my support come? Unpacking the Contribution of Support for Police. </w:t>
      </w:r>
      <w:r w:rsidRPr="008748CC">
        <w:rPr>
          <w:rFonts w:ascii="Calibri" w:hAnsi="Calibri" w:cs="Calibri"/>
          <w:i/>
          <w:iCs/>
        </w:rPr>
        <w:t>Policing</w:t>
      </w:r>
      <w:r w:rsidRPr="008748CC">
        <w:rPr>
          <w:rFonts w:ascii="Calibri" w:hAnsi="Calibri" w:cs="Calibri"/>
        </w:rPr>
        <w:t>, 44(2), pp. 343-360.</w:t>
      </w:r>
    </w:p>
    <w:p w14:paraId="3D6B7286" w14:textId="77777777" w:rsidR="006B1565" w:rsidRDefault="006B1565" w:rsidP="00041E5C">
      <w:pPr>
        <w:rPr>
          <w:rFonts w:ascii="Calibri" w:hAnsi="Calibri" w:cs="Calibri"/>
        </w:rPr>
      </w:pPr>
    </w:p>
    <w:p w14:paraId="734146DB" w14:textId="2A41E7EF" w:rsidR="005710CB" w:rsidRPr="008748CC" w:rsidRDefault="005710CB" w:rsidP="00041E5C">
      <w:pPr>
        <w:rPr>
          <w:rFonts w:ascii="Calibri" w:hAnsi="Calibri" w:cs="Calibri"/>
        </w:rPr>
      </w:pPr>
      <w:r w:rsidRPr="008748CC">
        <w:rPr>
          <w:rFonts w:ascii="Calibri" w:hAnsi="Calibri" w:cs="Calibri"/>
        </w:rPr>
        <w:t xml:space="preserve">Schoonenboom, J. (2023) The Fundamental Difference Between Qualitative and Quantitative Data in Mixed Methods Research. </w:t>
      </w:r>
      <w:r w:rsidRPr="008748CC">
        <w:rPr>
          <w:rFonts w:ascii="Calibri" w:hAnsi="Calibri" w:cs="Calibri"/>
          <w:i/>
          <w:iCs/>
        </w:rPr>
        <w:t>Forum: Qualitative Social Research</w:t>
      </w:r>
      <w:r w:rsidRPr="008748CC">
        <w:rPr>
          <w:rFonts w:ascii="Calibri" w:hAnsi="Calibri" w:cs="Calibri"/>
        </w:rPr>
        <w:t xml:space="preserve">, 24(1). </w:t>
      </w:r>
    </w:p>
    <w:p w14:paraId="71A192A0" w14:textId="77777777" w:rsidR="006B1565" w:rsidRDefault="006B1565" w:rsidP="004F318B">
      <w:pPr>
        <w:rPr>
          <w:rFonts w:ascii="Calibri" w:hAnsi="Calibri" w:cs="Calibri"/>
        </w:rPr>
      </w:pPr>
    </w:p>
    <w:p w14:paraId="2A48369F" w14:textId="5E154915" w:rsidR="005710CB" w:rsidRPr="008748CC" w:rsidRDefault="005710CB" w:rsidP="004F318B">
      <w:pPr>
        <w:rPr>
          <w:rFonts w:ascii="Calibri" w:hAnsi="Calibri" w:cs="Calibri"/>
        </w:rPr>
      </w:pPr>
      <w:r w:rsidRPr="008748CC">
        <w:rPr>
          <w:rFonts w:ascii="Calibri" w:hAnsi="Calibri" w:cs="Calibri"/>
        </w:rPr>
        <w:t xml:space="preserve">Schwartz, K. D., Redekop, M., Duffy, H., Harris, D., Stelnicki, A. and McElheran, M. (2025) Perceptions of the Impact of Operational Stress in Emergency first Responder Families: A Qualitative Analysis. </w:t>
      </w:r>
      <w:r w:rsidRPr="008748CC">
        <w:rPr>
          <w:rFonts w:ascii="Calibri" w:hAnsi="Calibri" w:cs="Calibri"/>
          <w:i/>
          <w:iCs/>
        </w:rPr>
        <w:t>Family Relations</w:t>
      </w:r>
      <w:r w:rsidRPr="008748CC">
        <w:rPr>
          <w:rFonts w:ascii="Calibri" w:hAnsi="Calibri" w:cs="Calibri"/>
        </w:rPr>
        <w:t>, 75(1), pp. 499-516.</w:t>
      </w:r>
    </w:p>
    <w:p w14:paraId="63F65480" w14:textId="77777777" w:rsidR="006B1565" w:rsidRDefault="006B1565" w:rsidP="004F318B">
      <w:pPr>
        <w:rPr>
          <w:rFonts w:ascii="Calibri" w:hAnsi="Calibri" w:cs="Calibri"/>
        </w:rPr>
      </w:pPr>
    </w:p>
    <w:p w14:paraId="2F643D5E" w14:textId="5E8308D2" w:rsidR="005710CB" w:rsidRPr="008748CC" w:rsidRDefault="005710CB" w:rsidP="004F318B">
      <w:pPr>
        <w:rPr>
          <w:rFonts w:ascii="Calibri" w:hAnsi="Calibri" w:cs="Calibri"/>
        </w:rPr>
      </w:pPr>
      <w:r w:rsidRPr="008748CC">
        <w:rPr>
          <w:rFonts w:ascii="Calibri" w:hAnsi="Calibri" w:cs="Calibri"/>
        </w:rPr>
        <w:t xml:space="preserve">Sharp, M., Solomon, N., Harrison, V., Gribble, R., Cramm, H., Pike, G. and Fear, N. T. (2022) The Mental Health and Wellbeing of Spouses, Partners and Children of Emergency Responders: A systematic Review. </w:t>
      </w:r>
      <w:r w:rsidRPr="008748CC">
        <w:rPr>
          <w:rFonts w:ascii="Calibri" w:hAnsi="Calibri" w:cs="Calibri"/>
          <w:i/>
          <w:iCs/>
        </w:rPr>
        <w:t>PLoS One</w:t>
      </w:r>
      <w:r w:rsidRPr="008748CC">
        <w:rPr>
          <w:rFonts w:ascii="Calibri" w:hAnsi="Calibri" w:cs="Calibri"/>
        </w:rPr>
        <w:t>, 17(6).</w:t>
      </w:r>
    </w:p>
    <w:p w14:paraId="3F83274C" w14:textId="77777777" w:rsidR="006B1565" w:rsidRDefault="006B1565" w:rsidP="004D45EB">
      <w:pPr>
        <w:rPr>
          <w:rFonts w:ascii="Calibri" w:hAnsi="Calibri" w:cs="Calibri"/>
        </w:rPr>
      </w:pPr>
    </w:p>
    <w:p w14:paraId="3392FD31" w14:textId="7C14A822" w:rsidR="005710CB" w:rsidRPr="008748CC" w:rsidRDefault="005710CB" w:rsidP="004D45EB">
      <w:pPr>
        <w:rPr>
          <w:rFonts w:ascii="Calibri" w:hAnsi="Calibri" w:cs="Calibri"/>
        </w:rPr>
      </w:pPr>
      <w:r w:rsidRPr="008748CC">
        <w:rPr>
          <w:rFonts w:ascii="Calibri" w:hAnsi="Calibri" w:cs="Calibri"/>
        </w:rPr>
        <w:t xml:space="preserve">Sherwood, L. et al. (2019) Identifying the Key Risk Factors for Adverse Psychological Outcomes Among Police Officers: A Systematic Literature Review, Journal of Traumatic Stress, 32(5), pp. 688-700. </w:t>
      </w:r>
    </w:p>
    <w:p w14:paraId="57880C65" w14:textId="77777777" w:rsidR="006B1565" w:rsidRDefault="006B1565" w:rsidP="004F318B">
      <w:pPr>
        <w:rPr>
          <w:rFonts w:ascii="Calibri" w:hAnsi="Calibri" w:cs="Calibri"/>
        </w:rPr>
      </w:pPr>
    </w:p>
    <w:p w14:paraId="29080390" w14:textId="25876DB2" w:rsidR="005710CB" w:rsidRPr="008748CC" w:rsidRDefault="005710CB" w:rsidP="004F318B">
      <w:pPr>
        <w:rPr>
          <w:rFonts w:ascii="Calibri" w:hAnsi="Calibri" w:cs="Calibri"/>
        </w:rPr>
      </w:pPr>
      <w:r w:rsidRPr="008748CC">
        <w:rPr>
          <w:rFonts w:ascii="Calibri" w:hAnsi="Calibri" w:cs="Calibri"/>
        </w:rPr>
        <w:t xml:space="preserve">University of Cambridge (2022) UK policing: Psychological damage among officers heightened by bad working conditions. Available at: </w:t>
      </w:r>
      <w:hyperlink r:id="rId11" w:history="1">
        <w:r w:rsidRPr="008748CC">
          <w:rPr>
            <w:rStyle w:val="Hyperlink"/>
            <w:rFonts w:ascii="Calibri" w:hAnsi="Calibri" w:cs="Calibri"/>
          </w:rPr>
          <w:t>UK policing: psychological damage among officers heightened by bad working conditions | University of Cambridge</w:t>
        </w:r>
      </w:hyperlink>
      <w:r w:rsidRPr="008748CC">
        <w:rPr>
          <w:rFonts w:ascii="Calibri" w:hAnsi="Calibri" w:cs="Calibri"/>
        </w:rPr>
        <w:t xml:space="preserve"> (Accessed 19 Jan 2026).</w:t>
      </w:r>
    </w:p>
    <w:p w14:paraId="3D130C0A" w14:textId="77777777" w:rsidR="006B1565" w:rsidRDefault="006B1565" w:rsidP="004D45EB">
      <w:pPr>
        <w:rPr>
          <w:rFonts w:ascii="Calibri" w:hAnsi="Calibri" w:cs="Calibri"/>
        </w:rPr>
      </w:pPr>
    </w:p>
    <w:p w14:paraId="337D7F15" w14:textId="19506A84" w:rsidR="005710CB" w:rsidRPr="008748CC" w:rsidRDefault="005710CB" w:rsidP="004D45EB">
      <w:pPr>
        <w:rPr>
          <w:rFonts w:ascii="Calibri" w:hAnsi="Calibri" w:cs="Calibri"/>
        </w:rPr>
      </w:pPr>
      <w:r w:rsidRPr="008748CC">
        <w:rPr>
          <w:rFonts w:ascii="Calibri" w:hAnsi="Calibri" w:cs="Calibri"/>
        </w:rPr>
        <w:t xml:space="preserve">Velazquez, E. and Hernandez, M., (2019). Effects on police officer exposure to traumatic experiences and recognising the stigma associated with police officer mental health: A state-of-the-art review. </w:t>
      </w:r>
      <w:r w:rsidRPr="008748CC">
        <w:rPr>
          <w:rFonts w:ascii="Calibri" w:hAnsi="Calibri" w:cs="Calibri"/>
          <w:i/>
          <w:iCs/>
        </w:rPr>
        <w:t>Policing</w:t>
      </w:r>
      <w:r w:rsidRPr="008748CC">
        <w:rPr>
          <w:rFonts w:ascii="Calibri" w:hAnsi="Calibri" w:cs="Calibri"/>
        </w:rPr>
        <w:t>, 42(4), pp. 711-724.</w:t>
      </w:r>
    </w:p>
    <w:p w14:paraId="098C66ED" w14:textId="77777777" w:rsidR="006B1565" w:rsidRDefault="006B1565" w:rsidP="00041E5C">
      <w:pPr>
        <w:rPr>
          <w:rFonts w:ascii="Calibri" w:hAnsi="Calibri" w:cs="Calibri"/>
        </w:rPr>
      </w:pPr>
    </w:p>
    <w:p w14:paraId="70812550" w14:textId="1EC1BD6B" w:rsidR="005710CB" w:rsidRPr="008748CC" w:rsidRDefault="005710CB" w:rsidP="00041E5C">
      <w:pPr>
        <w:rPr>
          <w:rFonts w:ascii="Calibri" w:hAnsi="Calibri" w:cs="Calibri"/>
        </w:rPr>
      </w:pPr>
      <w:r w:rsidRPr="008748CC">
        <w:rPr>
          <w:rFonts w:ascii="Calibri" w:hAnsi="Calibri" w:cs="Calibri"/>
        </w:rPr>
        <w:t xml:space="preserve">Warneke, K., Keiner, M., Wallot, S., Siegel, S. D., Gunther, C., Wirth, K., and Puschkasch-Mock, S. (2025) The Impact of Sample Size on Reliability Metrics Stability in Isokinetic Strength Assessments: Does Size Matter? Measurement in Physical Education and Exercise Science, 29(4), pp. 422 – 433. </w:t>
      </w:r>
    </w:p>
    <w:p w14:paraId="46974FF3" w14:textId="77777777" w:rsidR="00041E5C" w:rsidRDefault="00041E5C" w:rsidP="004D45EB"/>
    <w:p w14:paraId="7D90F0F3" w14:textId="77777777" w:rsidR="00945A97" w:rsidRDefault="00945A97" w:rsidP="004D45EB"/>
    <w:p w14:paraId="7AC8270C" w14:textId="77777777" w:rsidR="00945A97" w:rsidRDefault="00945A97" w:rsidP="004D45EB"/>
    <w:p w14:paraId="651B53E2" w14:textId="77777777" w:rsidR="00945A97" w:rsidRDefault="00945A97" w:rsidP="004D45EB"/>
    <w:p w14:paraId="6B66D7A9" w14:textId="77777777" w:rsidR="00945A97" w:rsidRDefault="00945A97" w:rsidP="004D45EB"/>
    <w:p w14:paraId="5106FEE6" w14:textId="77777777" w:rsidR="00945A97" w:rsidRDefault="00945A97" w:rsidP="004D45EB"/>
    <w:p w14:paraId="4C052779" w14:textId="77777777" w:rsidR="00945A97" w:rsidRDefault="00945A97" w:rsidP="004D45EB"/>
    <w:p w14:paraId="280634F1" w14:textId="77777777" w:rsidR="00945A97" w:rsidRDefault="00945A97" w:rsidP="004D45EB"/>
    <w:p w14:paraId="0E061AAD" w14:textId="77777777" w:rsidR="00945A97" w:rsidRDefault="00945A97" w:rsidP="004D45EB"/>
    <w:p w14:paraId="1E2E4835" w14:textId="77777777" w:rsidR="00945A97" w:rsidRDefault="00945A97" w:rsidP="004D45EB"/>
    <w:p w14:paraId="176234E7" w14:textId="77777777" w:rsidR="00945A97" w:rsidRDefault="00945A97" w:rsidP="004D45EB"/>
    <w:p w14:paraId="2A2D313A" w14:textId="77777777" w:rsidR="00945A97" w:rsidRDefault="00945A97" w:rsidP="004D45EB"/>
    <w:p w14:paraId="2B923510" w14:textId="77777777" w:rsidR="00945A97" w:rsidRDefault="00945A97" w:rsidP="004D45EB"/>
    <w:p w14:paraId="6335EC83" w14:textId="77777777" w:rsidR="00945A97" w:rsidRDefault="00945A97" w:rsidP="004D45EB"/>
    <w:p w14:paraId="1508573C" w14:textId="77777777" w:rsidR="00945A97" w:rsidRDefault="00945A97" w:rsidP="004D45EB"/>
    <w:p w14:paraId="3EC0EE35" w14:textId="77777777" w:rsidR="00945A97" w:rsidRDefault="00945A97" w:rsidP="004D45EB"/>
    <w:p w14:paraId="4C78A3D8" w14:textId="77777777" w:rsidR="00945A97" w:rsidRDefault="00945A97" w:rsidP="004D45EB"/>
    <w:p w14:paraId="66B75475" w14:textId="77777777" w:rsidR="00945A97" w:rsidRDefault="00945A97" w:rsidP="004D45EB"/>
    <w:p w14:paraId="276758CF" w14:textId="77777777" w:rsidR="00945A97" w:rsidRDefault="00945A97" w:rsidP="004D45EB"/>
    <w:p w14:paraId="5DFE514A" w14:textId="77777777" w:rsidR="00945A97" w:rsidRDefault="00945A97" w:rsidP="004D45EB"/>
    <w:p w14:paraId="020BA4CF" w14:textId="77777777" w:rsidR="00945A97" w:rsidRDefault="00945A97" w:rsidP="004D45EB"/>
    <w:p w14:paraId="05E9AD86" w14:textId="77777777" w:rsidR="00945A97" w:rsidRDefault="00945A97" w:rsidP="004D45EB"/>
    <w:p w14:paraId="0FDEBD24" w14:textId="77777777" w:rsidR="00945A97" w:rsidRDefault="00945A97" w:rsidP="004D45EB"/>
    <w:p w14:paraId="0D34194B" w14:textId="77777777" w:rsidR="00945A97" w:rsidRDefault="00945A97" w:rsidP="004D45EB"/>
    <w:p w14:paraId="7B6FE088" w14:textId="77777777" w:rsidR="00945A97" w:rsidRDefault="00945A97" w:rsidP="004D45EB"/>
    <w:p w14:paraId="0D0C98FE" w14:textId="77777777" w:rsidR="00945A97" w:rsidRDefault="00945A97" w:rsidP="004D45EB"/>
    <w:p w14:paraId="62108474" w14:textId="77777777" w:rsidR="006B1565" w:rsidRDefault="006B1565" w:rsidP="00945A97">
      <w:pPr>
        <w:pStyle w:val="Heading1"/>
        <w:jc w:val="center"/>
      </w:pPr>
      <w:bookmarkStart w:id="23" w:name="_Toc232439539"/>
    </w:p>
    <w:p w14:paraId="67D74B3C" w14:textId="6A553649" w:rsidR="00945A97" w:rsidRDefault="00945A97" w:rsidP="00945A97">
      <w:pPr>
        <w:pStyle w:val="Heading1"/>
        <w:jc w:val="center"/>
      </w:pPr>
      <w:r>
        <w:t>Appendix</w:t>
      </w:r>
      <w:bookmarkEnd w:id="23"/>
    </w:p>
    <w:p w14:paraId="206CD11F" w14:textId="77777777" w:rsidR="00945A97" w:rsidRDefault="00945A97" w:rsidP="00945A97"/>
    <w:p w14:paraId="150F07D3" w14:textId="232BF15D" w:rsidR="00945A97" w:rsidRDefault="00945A97" w:rsidP="00945A97">
      <w:r>
        <w:t>Table 1 - Participants demographics (n=38)</w:t>
      </w:r>
    </w:p>
    <w:tbl>
      <w:tblPr>
        <w:tblStyle w:val="TableGrid"/>
        <w:tblW w:w="9268" w:type="dxa"/>
        <w:tblLook w:val="04A0" w:firstRow="1" w:lastRow="0" w:firstColumn="1" w:lastColumn="0" w:noHBand="0" w:noVBand="1"/>
      </w:tblPr>
      <w:tblGrid>
        <w:gridCol w:w="2192"/>
        <w:gridCol w:w="2727"/>
        <w:gridCol w:w="2163"/>
        <w:gridCol w:w="2186"/>
      </w:tblGrid>
      <w:tr w:rsidR="00945A97" w14:paraId="3A7095B4" w14:textId="77777777" w:rsidTr="009B6D08">
        <w:trPr>
          <w:trHeight w:val="113"/>
        </w:trPr>
        <w:tc>
          <w:tcPr>
            <w:tcW w:w="2192" w:type="dxa"/>
          </w:tcPr>
          <w:p w14:paraId="7CABF733" w14:textId="77777777" w:rsidR="00945A97" w:rsidRPr="002A29C9" w:rsidRDefault="00945A97" w:rsidP="009B6D08">
            <w:pPr>
              <w:rPr>
                <w:b/>
                <w:bCs/>
              </w:rPr>
            </w:pPr>
            <w:r>
              <w:rPr>
                <w:b/>
                <w:bCs/>
              </w:rPr>
              <w:t>Variable</w:t>
            </w:r>
          </w:p>
        </w:tc>
        <w:tc>
          <w:tcPr>
            <w:tcW w:w="2727" w:type="dxa"/>
          </w:tcPr>
          <w:p w14:paraId="6C375FA7" w14:textId="77777777" w:rsidR="00945A97" w:rsidRPr="002A29C9" w:rsidRDefault="00945A97" w:rsidP="009B6D08">
            <w:pPr>
              <w:rPr>
                <w:b/>
                <w:bCs/>
              </w:rPr>
            </w:pPr>
            <w:r>
              <w:rPr>
                <w:b/>
                <w:bCs/>
              </w:rPr>
              <w:t>Category</w:t>
            </w:r>
          </w:p>
        </w:tc>
        <w:tc>
          <w:tcPr>
            <w:tcW w:w="2163" w:type="dxa"/>
          </w:tcPr>
          <w:p w14:paraId="235D7AE3" w14:textId="77777777" w:rsidR="00945A97" w:rsidRPr="002A29C9" w:rsidRDefault="00945A97" w:rsidP="009B6D08">
            <w:pPr>
              <w:rPr>
                <w:b/>
                <w:bCs/>
              </w:rPr>
            </w:pPr>
            <w:r w:rsidRPr="002A29C9">
              <w:rPr>
                <w:b/>
                <w:bCs/>
              </w:rPr>
              <w:t>Frequency (n)</w:t>
            </w:r>
          </w:p>
        </w:tc>
        <w:tc>
          <w:tcPr>
            <w:tcW w:w="2186" w:type="dxa"/>
          </w:tcPr>
          <w:p w14:paraId="54401B9F" w14:textId="77777777" w:rsidR="00945A97" w:rsidRDefault="00945A97" w:rsidP="009B6D08">
            <w:r w:rsidRPr="002A29C9">
              <w:rPr>
                <w:b/>
                <w:bCs/>
              </w:rPr>
              <w:t>Percentage (%)</w:t>
            </w:r>
          </w:p>
        </w:tc>
      </w:tr>
      <w:tr w:rsidR="00945A97" w14:paraId="1B7DF53C" w14:textId="77777777" w:rsidTr="009B6D08">
        <w:trPr>
          <w:trHeight w:val="113"/>
        </w:trPr>
        <w:tc>
          <w:tcPr>
            <w:tcW w:w="2192" w:type="dxa"/>
          </w:tcPr>
          <w:p w14:paraId="0C2BE64C" w14:textId="77777777" w:rsidR="00945A97" w:rsidRDefault="00945A97" w:rsidP="009B6D08">
            <w:pPr>
              <w:rPr>
                <w:b/>
                <w:bCs/>
              </w:rPr>
            </w:pPr>
          </w:p>
        </w:tc>
        <w:tc>
          <w:tcPr>
            <w:tcW w:w="2727" w:type="dxa"/>
          </w:tcPr>
          <w:p w14:paraId="0B2EA52A" w14:textId="77777777" w:rsidR="00945A97" w:rsidRDefault="00945A97" w:rsidP="009B6D08">
            <w:pPr>
              <w:rPr>
                <w:b/>
                <w:bCs/>
              </w:rPr>
            </w:pPr>
          </w:p>
        </w:tc>
        <w:tc>
          <w:tcPr>
            <w:tcW w:w="2163" w:type="dxa"/>
          </w:tcPr>
          <w:p w14:paraId="1782EE8A" w14:textId="77777777" w:rsidR="00945A97" w:rsidRPr="002A29C9" w:rsidRDefault="00945A97" w:rsidP="009B6D08">
            <w:pPr>
              <w:rPr>
                <w:b/>
                <w:bCs/>
              </w:rPr>
            </w:pPr>
          </w:p>
        </w:tc>
        <w:tc>
          <w:tcPr>
            <w:tcW w:w="2186" w:type="dxa"/>
          </w:tcPr>
          <w:p w14:paraId="1505D30A" w14:textId="77777777" w:rsidR="00945A97" w:rsidRPr="002A29C9" w:rsidRDefault="00945A97" w:rsidP="009B6D08">
            <w:pPr>
              <w:rPr>
                <w:b/>
                <w:bCs/>
              </w:rPr>
            </w:pPr>
          </w:p>
        </w:tc>
      </w:tr>
      <w:tr w:rsidR="00945A97" w14:paraId="78AE0D21" w14:textId="77777777" w:rsidTr="009B6D08">
        <w:trPr>
          <w:trHeight w:val="117"/>
        </w:trPr>
        <w:tc>
          <w:tcPr>
            <w:tcW w:w="2192" w:type="dxa"/>
          </w:tcPr>
          <w:p w14:paraId="4A35C707" w14:textId="77777777" w:rsidR="00945A97" w:rsidRDefault="00945A97" w:rsidP="009B6D08">
            <w:r>
              <w:t>Rank</w:t>
            </w:r>
          </w:p>
        </w:tc>
        <w:tc>
          <w:tcPr>
            <w:tcW w:w="2727" w:type="dxa"/>
          </w:tcPr>
          <w:p w14:paraId="0C213548" w14:textId="77777777" w:rsidR="00945A97" w:rsidRDefault="00945A97" w:rsidP="009B6D08">
            <w:r>
              <w:t>Constable</w:t>
            </w:r>
          </w:p>
        </w:tc>
        <w:tc>
          <w:tcPr>
            <w:tcW w:w="2163" w:type="dxa"/>
          </w:tcPr>
          <w:p w14:paraId="7105C78C" w14:textId="77777777" w:rsidR="00945A97" w:rsidRDefault="00945A97" w:rsidP="009B6D08">
            <w:r>
              <w:t>22</w:t>
            </w:r>
          </w:p>
        </w:tc>
        <w:tc>
          <w:tcPr>
            <w:tcW w:w="2186" w:type="dxa"/>
          </w:tcPr>
          <w:p w14:paraId="05C52F23" w14:textId="77777777" w:rsidR="00945A97" w:rsidRDefault="00945A97" w:rsidP="009B6D08">
            <w:r>
              <w:t>57.9</w:t>
            </w:r>
          </w:p>
        </w:tc>
      </w:tr>
      <w:tr w:rsidR="00945A97" w14:paraId="54EC7373" w14:textId="77777777" w:rsidTr="009B6D08">
        <w:trPr>
          <w:trHeight w:val="113"/>
        </w:trPr>
        <w:tc>
          <w:tcPr>
            <w:tcW w:w="2192" w:type="dxa"/>
          </w:tcPr>
          <w:p w14:paraId="483AACC4" w14:textId="77777777" w:rsidR="00945A97" w:rsidRDefault="00945A97" w:rsidP="009B6D08"/>
        </w:tc>
        <w:tc>
          <w:tcPr>
            <w:tcW w:w="2727" w:type="dxa"/>
          </w:tcPr>
          <w:p w14:paraId="0E02A5C3" w14:textId="77777777" w:rsidR="00945A97" w:rsidRDefault="00945A97" w:rsidP="009B6D08">
            <w:r>
              <w:t>Sergeant</w:t>
            </w:r>
          </w:p>
        </w:tc>
        <w:tc>
          <w:tcPr>
            <w:tcW w:w="2163" w:type="dxa"/>
          </w:tcPr>
          <w:p w14:paraId="169DD30E" w14:textId="77777777" w:rsidR="00945A97" w:rsidRDefault="00945A97" w:rsidP="009B6D08">
            <w:r>
              <w:t>8</w:t>
            </w:r>
          </w:p>
        </w:tc>
        <w:tc>
          <w:tcPr>
            <w:tcW w:w="2186" w:type="dxa"/>
          </w:tcPr>
          <w:p w14:paraId="3FB66FD1" w14:textId="77777777" w:rsidR="00945A97" w:rsidRDefault="00945A97" w:rsidP="009B6D08">
            <w:r>
              <w:t>21.1</w:t>
            </w:r>
          </w:p>
        </w:tc>
      </w:tr>
      <w:tr w:rsidR="00945A97" w14:paraId="624EA987" w14:textId="77777777" w:rsidTr="009B6D08">
        <w:trPr>
          <w:trHeight w:val="113"/>
        </w:trPr>
        <w:tc>
          <w:tcPr>
            <w:tcW w:w="2192" w:type="dxa"/>
          </w:tcPr>
          <w:p w14:paraId="0E15EA68" w14:textId="77777777" w:rsidR="00945A97" w:rsidRDefault="00945A97" w:rsidP="009B6D08"/>
        </w:tc>
        <w:tc>
          <w:tcPr>
            <w:tcW w:w="2727" w:type="dxa"/>
          </w:tcPr>
          <w:p w14:paraId="79CE5345" w14:textId="77777777" w:rsidR="00945A97" w:rsidRDefault="00945A97" w:rsidP="009B6D08">
            <w:r>
              <w:t>Inspector +</w:t>
            </w:r>
          </w:p>
        </w:tc>
        <w:tc>
          <w:tcPr>
            <w:tcW w:w="2163" w:type="dxa"/>
          </w:tcPr>
          <w:p w14:paraId="7B5D86CF" w14:textId="77777777" w:rsidR="00945A97" w:rsidRDefault="00945A97" w:rsidP="009B6D08">
            <w:r>
              <w:t>4</w:t>
            </w:r>
          </w:p>
        </w:tc>
        <w:tc>
          <w:tcPr>
            <w:tcW w:w="2186" w:type="dxa"/>
          </w:tcPr>
          <w:p w14:paraId="4E09A012" w14:textId="77777777" w:rsidR="00945A97" w:rsidRDefault="00945A97" w:rsidP="009B6D08">
            <w:r>
              <w:t>10.5</w:t>
            </w:r>
          </w:p>
        </w:tc>
      </w:tr>
      <w:tr w:rsidR="00945A97" w14:paraId="20CF4241" w14:textId="77777777" w:rsidTr="009B6D08">
        <w:trPr>
          <w:trHeight w:val="113"/>
        </w:trPr>
        <w:tc>
          <w:tcPr>
            <w:tcW w:w="2192" w:type="dxa"/>
          </w:tcPr>
          <w:p w14:paraId="7ECA9BD2" w14:textId="77777777" w:rsidR="00945A97" w:rsidRDefault="00945A97" w:rsidP="009B6D08"/>
        </w:tc>
        <w:tc>
          <w:tcPr>
            <w:tcW w:w="2727" w:type="dxa"/>
          </w:tcPr>
          <w:p w14:paraId="3DC8CA30" w14:textId="77777777" w:rsidR="00945A97" w:rsidRDefault="00945A97" w:rsidP="009B6D08">
            <w:r>
              <w:t>Staff</w:t>
            </w:r>
          </w:p>
        </w:tc>
        <w:tc>
          <w:tcPr>
            <w:tcW w:w="2163" w:type="dxa"/>
          </w:tcPr>
          <w:p w14:paraId="5B0179DD" w14:textId="77777777" w:rsidR="00945A97" w:rsidRDefault="00945A97" w:rsidP="009B6D08">
            <w:r>
              <w:t>4</w:t>
            </w:r>
          </w:p>
        </w:tc>
        <w:tc>
          <w:tcPr>
            <w:tcW w:w="2186" w:type="dxa"/>
          </w:tcPr>
          <w:p w14:paraId="62ACF8BC" w14:textId="77777777" w:rsidR="00945A97" w:rsidRDefault="00945A97" w:rsidP="009B6D08">
            <w:r>
              <w:t>10.5</w:t>
            </w:r>
          </w:p>
        </w:tc>
      </w:tr>
      <w:tr w:rsidR="00945A97" w14:paraId="06908864" w14:textId="77777777" w:rsidTr="009B6D08">
        <w:trPr>
          <w:trHeight w:val="113"/>
        </w:trPr>
        <w:tc>
          <w:tcPr>
            <w:tcW w:w="2192" w:type="dxa"/>
          </w:tcPr>
          <w:p w14:paraId="4A2D780D" w14:textId="77777777" w:rsidR="00945A97" w:rsidRDefault="00945A97" w:rsidP="009B6D08"/>
        </w:tc>
        <w:tc>
          <w:tcPr>
            <w:tcW w:w="2727" w:type="dxa"/>
          </w:tcPr>
          <w:p w14:paraId="4D636CA7" w14:textId="77777777" w:rsidR="00945A97" w:rsidRDefault="00945A97" w:rsidP="009B6D08"/>
        </w:tc>
        <w:tc>
          <w:tcPr>
            <w:tcW w:w="2163" w:type="dxa"/>
          </w:tcPr>
          <w:p w14:paraId="7A4C2C04" w14:textId="77777777" w:rsidR="00945A97" w:rsidRDefault="00945A97" w:rsidP="009B6D08"/>
        </w:tc>
        <w:tc>
          <w:tcPr>
            <w:tcW w:w="2186" w:type="dxa"/>
          </w:tcPr>
          <w:p w14:paraId="57417E20" w14:textId="77777777" w:rsidR="00945A97" w:rsidRDefault="00945A97" w:rsidP="009B6D08"/>
        </w:tc>
      </w:tr>
      <w:tr w:rsidR="00945A97" w14:paraId="5A542219" w14:textId="77777777" w:rsidTr="009B6D08">
        <w:trPr>
          <w:trHeight w:val="113"/>
        </w:trPr>
        <w:tc>
          <w:tcPr>
            <w:tcW w:w="2192" w:type="dxa"/>
          </w:tcPr>
          <w:p w14:paraId="71CD13FB" w14:textId="77777777" w:rsidR="00945A97" w:rsidRDefault="00945A97" w:rsidP="009B6D08">
            <w:r>
              <w:t>Years of Service</w:t>
            </w:r>
          </w:p>
        </w:tc>
        <w:tc>
          <w:tcPr>
            <w:tcW w:w="2727" w:type="dxa"/>
          </w:tcPr>
          <w:p w14:paraId="6384721A" w14:textId="77777777" w:rsidR="00945A97" w:rsidRDefault="00945A97" w:rsidP="009B6D08">
            <w:r>
              <w:t>0-5 years</w:t>
            </w:r>
          </w:p>
        </w:tc>
        <w:tc>
          <w:tcPr>
            <w:tcW w:w="2163" w:type="dxa"/>
          </w:tcPr>
          <w:p w14:paraId="6B1A3B44" w14:textId="77777777" w:rsidR="00945A97" w:rsidRDefault="00945A97" w:rsidP="009B6D08">
            <w:r>
              <w:t>10</w:t>
            </w:r>
          </w:p>
        </w:tc>
        <w:tc>
          <w:tcPr>
            <w:tcW w:w="2186" w:type="dxa"/>
          </w:tcPr>
          <w:p w14:paraId="68608827" w14:textId="77777777" w:rsidR="00945A97" w:rsidRDefault="00945A97" w:rsidP="009B6D08">
            <w:r>
              <w:t>26.3</w:t>
            </w:r>
          </w:p>
        </w:tc>
      </w:tr>
      <w:tr w:rsidR="00945A97" w14:paraId="7AD1BAC0" w14:textId="77777777" w:rsidTr="009B6D08">
        <w:trPr>
          <w:trHeight w:val="113"/>
        </w:trPr>
        <w:tc>
          <w:tcPr>
            <w:tcW w:w="2192" w:type="dxa"/>
          </w:tcPr>
          <w:p w14:paraId="68AD026E" w14:textId="77777777" w:rsidR="00945A97" w:rsidRDefault="00945A97" w:rsidP="009B6D08"/>
        </w:tc>
        <w:tc>
          <w:tcPr>
            <w:tcW w:w="2727" w:type="dxa"/>
          </w:tcPr>
          <w:p w14:paraId="50431EA3" w14:textId="77777777" w:rsidR="00945A97" w:rsidRDefault="00945A97" w:rsidP="009B6D08">
            <w:r>
              <w:t>6-10 years</w:t>
            </w:r>
          </w:p>
        </w:tc>
        <w:tc>
          <w:tcPr>
            <w:tcW w:w="2163" w:type="dxa"/>
          </w:tcPr>
          <w:p w14:paraId="39FB238A" w14:textId="77777777" w:rsidR="00945A97" w:rsidRDefault="00945A97" w:rsidP="009B6D08">
            <w:r>
              <w:t>11</w:t>
            </w:r>
          </w:p>
        </w:tc>
        <w:tc>
          <w:tcPr>
            <w:tcW w:w="2186" w:type="dxa"/>
          </w:tcPr>
          <w:p w14:paraId="728F342E" w14:textId="77777777" w:rsidR="00945A97" w:rsidRDefault="00945A97" w:rsidP="009B6D08">
            <w:r>
              <w:t>28.9</w:t>
            </w:r>
          </w:p>
        </w:tc>
      </w:tr>
      <w:tr w:rsidR="00945A97" w14:paraId="37396743" w14:textId="77777777" w:rsidTr="009B6D08">
        <w:trPr>
          <w:trHeight w:val="113"/>
        </w:trPr>
        <w:tc>
          <w:tcPr>
            <w:tcW w:w="2192" w:type="dxa"/>
          </w:tcPr>
          <w:p w14:paraId="5AF64345" w14:textId="77777777" w:rsidR="00945A97" w:rsidRDefault="00945A97" w:rsidP="009B6D08"/>
        </w:tc>
        <w:tc>
          <w:tcPr>
            <w:tcW w:w="2727" w:type="dxa"/>
          </w:tcPr>
          <w:p w14:paraId="347FA115" w14:textId="77777777" w:rsidR="00945A97" w:rsidRDefault="00945A97" w:rsidP="009B6D08">
            <w:r>
              <w:t>11-20 years</w:t>
            </w:r>
          </w:p>
        </w:tc>
        <w:tc>
          <w:tcPr>
            <w:tcW w:w="2163" w:type="dxa"/>
          </w:tcPr>
          <w:p w14:paraId="1F537580" w14:textId="77777777" w:rsidR="00945A97" w:rsidRDefault="00945A97" w:rsidP="009B6D08">
            <w:r>
              <w:t>12</w:t>
            </w:r>
          </w:p>
        </w:tc>
        <w:tc>
          <w:tcPr>
            <w:tcW w:w="2186" w:type="dxa"/>
          </w:tcPr>
          <w:p w14:paraId="5FCF854B" w14:textId="77777777" w:rsidR="00945A97" w:rsidRDefault="00945A97" w:rsidP="009B6D08">
            <w:r>
              <w:t>31.6</w:t>
            </w:r>
          </w:p>
        </w:tc>
      </w:tr>
      <w:tr w:rsidR="00945A97" w14:paraId="5E837958" w14:textId="77777777" w:rsidTr="009B6D08">
        <w:trPr>
          <w:trHeight w:val="113"/>
        </w:trPr>
        <w:tc>
          <w:tcPr>
            <w:tcW w:w="2192" w:type="dxa"/>
          </w:tcPr>
          <w:p w14:paraId="303B4717" w14:textId="77777777" w:rsidR="00945A97" w:rsidRDefault="00945A97" w:rsidP="009B6D08"/>
        </w:tc>
        <w:tc>
          <w:tcPr>
            <w:tcW w:w="2727" w:type="dxa"/>
          </w:tcPr>
          <w:p w14:paraId="6D22F759" w14:textId="77777777" w:rsidR="00945A97" w:rsidRDefault="00945A97" w:rsidP="009B6D08">
            <w:r>
              <w:t>20+ years</w:t>
            </w:r>
          </w:p>
        </w:tc>
        <w:tc>
          <w:tcPr>
            <w:tcW w:w="2163" w:type="dxa"/>
          </w:tcPr>
          <w:p w14:paraId="717801CC" w14:textId="77777777" w:rsidR="00945A97" w:rsidRDefault="00945A97" w:rsidP="009B6D08">
            <w:r>
              <w:t>5</w:t>
            </w:r>
          </w:p>
        </w:tc>
        <w:tc>
          <w:tcPr>
            <w:tcW w:w="2186" w:type="dxa"/>
          </w:tcPr>
          <w:p w14:paraId="23E9E1AD" w14:textId="77777777" w:rsidR="00945A97" w:rsidRDefault="00945A97" w:rsidP="009B6D08">
            <w:r>
              <w:t>13.2</w:t>
            </w:r>
          </w:p>
        </w:tc>
      </w:tr>
      <w:tr w:rsidR="00945A97" w14:paraId="0A9877E6" w14:textId="77777777" w:rsidTr="009B6D08">
        <w:trPr>
          <w:trHeight w:val="113"/>
        </w:trPr>
        <w:tc>
          <w:tcPr>
            <w:tcW w:w="2192" w:type="dxa"/>
          </w:tcPr>
          <w:p w14:paraId="74D31A74" w14:textId="77777777" w:rsidR="00945A97" w:rsidRDefault="00945A97" w:rsidP="009B6D08"/>
        </w:tc>
        <w:tc>
          <w:tcPr>
            <w:tcW w:w="2727" w:type="dxa"/>
          </w:tcPr>
          <w:p w14:paraId="61AACD26" w14:textId="77777777" w:rsidR="00945A97" w:rsidRDefault="00945A97" w:rsidP="009B6D08"/>
        </w:tc>
        <w:tc>
          <w:tcPr>
            <w:tcW w:w="2163" w:type="dxa"/>
          </w:tcPr>
          <w:p w14:paraId="708D1221" w14:textId="77777777" w:rsidR="00945A97" w:rsidRDefault="00945A97" w:rsidP="009B6D08"/>
        </w:tc>
        <w:tc>
          <w:tcPr>
            <w:tcW w:w="2186" w:type="dxa"/>
          </w:tcPr>
          <w:p w14:paraId="6EFD6855" w14:textId="77777777" w:rsidR="00945A97" w:rsidRDefault="00945A97" w:rsidP="009B6D08"/>
        </w:tc>
      </w:tr>
      <w:tr w:rsidR="00945A97" w14:paraId="37E36D48" w14:textId="77777777" w:rsidTr="009B6D08">
        <w:trPr>
          <w:trHeight w:val="113"/>
        </w:trPr>
        <w:tc>
          <w:tcPr>
            <w:tcW w:w="2192" w:type="dxa"/>
          </w:tcPr>
          <w:p w14:paraId="163C5F24" w14:textId="77777777" w:rsidR="00945A97" w:rsidRDefault="00945A97" w:rsidP="009B6D08">
            <w:r>
              <w:t>Department</w:t>
            </w:r>
          </w:p>
        </w:tc>
        <w:tc>
          <w:tcPr>
            <w:tcW w:w="2727" w:type="dxa"/>
          </w:tcPr>
          <w:p w14:paraId="251A9E7A" w14:textId="77777777" w:rsidR="00945A97" w:rsidRDefault="00945A97" w:rsidP="009B6D08">
            <w:r>
              <w:t>Frontline/Response</w:t>
            </w:r>
          </w:p>
        </w:tc>
        <w:tc>
          <w:tcPr>
            <w:tcW w:w="2163" w:type="dxa"/>
          </w:tcPr>
          <w:p w14:paraId="093E8338" w14:textId="77777777" w:rsidR="00945A97" w:rsidRDefault="00945A97" w:rsidP="009B6D08">
            <w:r>
              <w:t>21</w:t>
            </w:r>
          </w:p>
        </w:tc>
        <w:tc>
          <w:tcPr>
            <w:tcW w:w="2186" w:type="dxa"/>
          </w:tcPr>
          <w:p w14:paraId="3E3CA71A" w14:textId="77777777" w:rsidR="00945A97" w:rsidRDefault="00945A97" w:rsidP="009B6D08">
            <w:r>
              <w:t>55.3</w:t>
            </w:r>
          </w:p>
        </w:tc>
      </w:tr>
      <w:tr w:rsidR="00945A97" w14:paraId="338B6AD8" w14:textId="77777777" w:rsidTr="009B6D08">
        <w:trPr>
          <w:trHeight w:val="113"/>
        </w:trPr>
        <w:tc>
          <w:tcPr>
            <w:tcW w:w="2192" w:type="dxa"/>
          </w:tcPr>
          <w:p w14:paraId="2AE43F05" w14:textId="77777777" w:rsidR="00945A97" w:rsidRDefault="00945A97" w:rsidP="009B6D08"/>
        </w:tc>
        <w:tc>
          <w:tcPr>
            <w:tcW w:w="2727" w:type="dxa"/>
          </w:tcPr>
          <w:p w14:paraId="115270D2" w14:textId="77777777" w:rsidR="00945A97" w:rsidRDefault="00945A97" w:rsidP="009B6D08">
            <w:r>
              <w:t>Other roles</w:t>
            </w:r>
          </w:p>
        </w:tc>
        <w:tc>
          <w:tcPr>
            <w:tcW w:w="2163" w:type="dxa"/>
          </w:tcPr>
          <w:p w14:paraId="22BEDF24" w14:textId="77777777" w:rsidR="00945A97" w:rsidRDefault="00945A97" w:rsidP="009B6D08">
            <w:r>
              <w:t>17</w:t>
            </w:r>
          </w:p>
        </w:tc>
        <w:tc>
          <w:tcPr>
            <w:tcW w:w="2186" w:type="dxa"/>
          </w:tcPr>
          <w:p w14:paraId="0F831A0F" w14:textId="77777777" w:rsidR="00945A97" w:rsidRDefault="00945A97" w:rsidP="009B6D08">
            <w:r>
              <w:t>44.7</w:t>
            </w:r>
          </w:p>
        </w:tc>
      </w:tr>
      <w:tr w:rsidR="00945A97" w14:paraId="112B1607" w14:textId="77777777" w:rsidTr="009B6D08">
        <w:trPr>
          <w:trHeight w:val="113"/>
        </w:trPr>
        <w:tc>
          <w:tcPr>
            <w:tcW w:w="2192" w:type="dxa"/>
          </w:tcPr>
          <w:p w14:paraId="068EBF8E" w14:textId="77777777" w:rsidR="00945A97" w:rsidRDefault="00945A97" w:rsidP="009B6D08"/>
        </w:tc>
        <w:tc>
          <w:tcPr>
            <w:tcW w:w="2727" w:type="dxa"/>
          </w:tcPr>
          <w:p w14:paraId="2D577152" w14:textId="77777777" w:rsidR="00945A97" w:rsidRDefault="00945A97" w:rsidP="009B6D08"/>
        </w:tc>
        <w:tc>
          <w:tcPr>
            <w:tcW w:w="2163" w:type="dxa"/>
          </w:tcPr>
          <w:p w14:paraId="0EA31C40" w14:textId="77777777" w:rsidR="00945A97" w:rsidRDefault="00945A97" w:rsidP="009B6D08"/>
        </w:tc>
        <w:tc>
          <w:tcPr>
            <w:tcW w:w="2186" w:type="dxa"/>
          </w:tcPr>
          <w:p w14:paraId="227F8557" w14:textId="77777777" w:rsidR="00945A97" w:rsidRDefault="00945A97" w:rsidP="009B6D08"/>
        </w:tc>
      </w:tr>
      <w:tr w:rsidR="00945A97" w14:paraId="422D1E87" w14:textId="77777777" w:rsidTr="009B6D08">
        <w:trPr>
          <w:trHeight w:val="113"/>
        </w:trPr>
        <w:tc>
          <w:tcPr>
            <w:tcW w:w="2192" w:type="dxa"/>
          </w:tcPr>
          <w:p w14:paraId="3CF8BF98" w14:textId="77777777" w:rsidR="00945A97" w:rsidRDefault="00945A97" w:rsidP="009B6D08">
            <w:r>
              <w:t>Working pattern</w:t>
            </w:r>
          </w:p>
        </w:tc>
        <w:tc>
          <w:tcPr>
            <w:tcW w:w="2727" w:type="dxa"/>
          </w:tcPr>
          <w:p w14:paraId="2DDAF4C6" w14:textId="77777777" w:rsidR="00945A97" w:rsidRDefault="00945A97" w:rsidP="009B6D08">
            <w:r>
              <w:t>Shift based</w:t>
            </w:r>
          </w:p>
        </w:tc>
        <w:tc>
          <w:tcPr>
            <w:tcW w:w="2163" w:type="dxa"/>
          </w:tcPr>
          <w:p w14:paraId="43ED1F81" w14:textId="77777777" w:rsidR="00945A97" w:rsidRDefault="00945A97" w:rsidP="009B6D08">
            <w:r>
              <w:t>29</w:t>
            </w:r>
          </w:p>
        </w:tc>
        <w:tc>
          <w:tcPr>
            <w:tcW w:w="2186" w:type="dxa"/>
          </w:tcPr>
          <w:p w14:paraId="7ADE6DF4" w14:textId="77777777" w:rsidR="00945A97" w:rsidRDefault="00945A97" w:rsidP="009B6D08">
            <w:r>
              <w:t>76.3</w:t>
            </w:r>
          </w:p>
        </w:tc>
      </w:tr>
      <w:tr w:rsidR="00945A97" w14:paraId="6064DB19" w14:textId="77777777" w:rsidTr="009B6D08">
        <w:trPr>
          <w:trHeight w:val="113"/>
        </w:trPr>
        <w:tc>
          <w:tcPr>
            <w:tcW w:w="2192" w:type="dxa"/>
          </w:tcPr>
          <w:p w14:paraId="57F908AB" w14:textId="77777777" w:rsidR="00945A97" w:rsidRDefault="00945A97" w:rsidP="009B6D08"/>
        </w:tc>
        <w:tc>
          <w:tcPr>
            <w:tcW w:w="2727" w:type="dxa"/>
          </w:tcPr>
          <w:p w14:paraId="07CE69FB" w14:textId="77777777" w:rsidR="00945A97" w:rsidRDefault="00945A97" w:rsidP="009B6D08">
            <w:r>
              <w:t>Daytime</w:t>
            </w:r>
          </w:p>
        </w:tc>
        <w:tc>
          <w:tcPr>
            <w:tcW w:w="2163" w:type="dxa"/>
          </w:tcPr>
          <w:p w14:paraId="14C47E34" w14:textId="77777777" w:rsidR="00945A97" w:rsidRDefault="00945A97" w:rsidP="009B6D08">
            <w:r>
              <w:t>9</w:t>
            </w:r>
          </w:p>
        </w:tc>
        <w:tc>
          <w:tcPr>
            <w:tcW w:w="2186" w:type="dxa"/>
          </w:tcPr>
          <w:p w14:paraId="512A5753" w14:textId="77777777" w:rsidR="00945A97" w:rsidRDefault="00945A97" w:rsidP="009B6D08">
            <w:r>
              <w:t>23.7</w:t>
            </w:r>
          </w:p>
        </w:tc>
      </w:tr>
    </w:tbl>
    <w:p w14:paraId="18364705" w14:textId="77777777" w:rsidR="00945A97" w:rsidRDefault="00945A97" w:rsidP="00945A97"/>
    <w:p w14:paraId="754F44BC" w14:textId="77777777" w:rsidR="00945A97" w:rsidRDefault="00945A97" w:rsidP="00945A97"/>
    <w:p w14:paraId="7D0CC9CB" w14:textId="77777777" w:rsidR="00945A97" w:rsidRDefault="00945A97" w:rsidP="00945A97">
      <w:r>
        <w:t xml:space="preserve">Figure 2. </w:t>
      </w:r>
    </w:p>
    <w:p w14:paraId="6EA6675B" w14:textId="77777777" w:rsidR="00945A97" w:rsidRDefault="00945A97" w:rsidP="00945A97">
      <w:pPr>
        <w:pStyle w:val="NormalWeb"/>
      </w:pPr>
      <w:r>
        <w:rPr>
          <w:noProof/>
        </w:rPr>
        <w:drawing>
          <wp:inline distT="0" distB="0" distL="0" distR="0" wp14:anchorId="3BAFBF84" wp14:editId="60530850">
            <wp:extent cx="3462867" cy="2597150"/>
            <wp:effectExtent l="0" t="0" r="444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64499" cy="2598374"/>
                    </a:xfrm>
                    <a:prstGeom prst="rect">
                      <a:avLst/>
                    </a:prstGeom>
                    <a:noFill/>
                    <a:ln>
                      <a:noFill/>
                    </a:ln>
                  </pic:spPr>
                </pic:pic>
              </a:graphicData>
            </a:graphic>
          </wp:inline>
        </w:drawing>
      </w:r>
    </w:p>
    <w:p w14:paraId="00D7FC95" w14:textId="77777777" w:rsidR="00945A97" w:rsidRDefault="00945A97" w:rsidP="00945A97"/>
    <w:p w14:paraId="7901909B" w14:textId="77777777" w:rsidR="00945A97" w:rsidRDefault="00945A97" w:rsidP="00945A97"/>
    <w:p w14:paraId="4C157827" w14:textId="77777777" w:rsidR="00945A97" w:rsidRDefault="00945A97" w:rsidP="00945A97"/>
    <w:p w14:paraId="77F6880D" w14:textId="77777777" w:rsidR="00945A97" w:rsidRDefault="00945A97" w:rsidP="00945A97"/>
    <w:p w14:paraId="53CAB91A" w14:textId="77777777" w:rsidR="00945A97" w:rsidRDefault="00945A97" w:rsidP="00945A97"/>
    <w:p w14:paraId="6EAF607C" w14:textId="47CE6377" w:rsidR="00945A97" w:rsidRDefault="00945A97" w:rsidP="00945A97">
      <w:r>
        <w:t>Figure 3.</w:t>
      </w:r>
    </w:p>
    <w:p w14:paraId="59155999" w14:textId="77777777" w:rsidR="00945A97" w:rsidRPr="00F022CA" w:rsidRDefault="00945A97" w:rsidP="00945A97">
      <w:r w:rsidRPr="00F022CA">
        <w:rPr>
          <w:noProof/>
        </w:rPr>
        <w:drawing>
          <wp:inline distT="0" distB="0" distL="0" distR="0" wp14:anchorId="6C72CB56" wp14:editId="0AEFA020">
            <wp:extent cx="4337050" cy="3253029"/>
            <wp:effectExtent l="0" t="0" r="6350" b="5080"/>
            <wp:docPr id="16548645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63931" cy="3273191"/>
                    </a:xfrm>
                    <a:prstGeom prst="rect">
                      <a:avLst/>
                    </a:prstGeom>
                    <a:noFill/>
                    <a:ln>
                      <a:noFill/>
                    </a:ln>
                  </pic:spPr>
                </pic:pic>
              </a:graphicData>
            </a:graphic>
          </wp:inline>
        </w:drawing>
      </w:r>
    </w:p>
    <w:p w14:paraId="231B39CC" w14:textId="77777777" w:rsidR="00945A97" w:rsidRDefault="00945A97" w:rsidP="00945A97"/>
    <w:p w14:paraId="6684FA35" w14:textId="77777777" w:rsidR="00945A97" w:rsidRDefault="00945A97" w:rsidP="00945A97">
      <w:r>
        <w:t>Figure 4.</w:t>
      </w:r>
    </w:p>
    <w:p w14:paraId="167FBED0" w14:textId="77777777" w:rsidR="00945A97" w:rsidRPr="001E05A6" w:rsidRDefault="00945A97" w:rsidP="00945A97">
      <w:r w:rsidRPr="001E05A6">
        <w:rPr>
          <w:noProof/>
        </w:rPr>
        <w:lastRenderedPageBreak/>
        <w:drawing>
          <wp:inline distT="0" distB="0" distL="0" distR="0" wp14:anchorId="25DEA519" wp14:editId="69706FC5">
            <wp:extent cx="4178300" cy="3133956"/>
            <wp:effectExtent l="0" t="0" r="0" b="9525"/>
            <wp:docPr id="18141454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86053" cy="3139771"/>
                    </a:xfrm>
                    <a:prstGeom prst="rect">
                      <a:avLst/>
                    </a:prstGeom>
                    <a:noFill/>
                    <a:ln>
                      <a:noFill/>
                    </a:ln>
                  </pic:spPr>
                </pic:pic>
              </a:graphicData>
            </a:graphic>
          </wp:inline>
        </w:drawing>
      </w:r>
    </w:p>
    <w:p w14:paraId="5FF842DE" w14:textId="77777777" w:rsidR="00945A97" w:rsidRPr="004D45EB" w:rsidRDefault="00945A97" w:rsidP="004D45EB"/>
    <w:sectPr w:rsidR="00945A97" w:rsidRPr="004D45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65B47"/>
    <w:multiLevelType w:val="hybridMultilevel"/>
    <w:tmpl w:val="C44C4C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054C2E"/>
    <w:multiLevelType w:val="hybridMultilevel"/>
    <w:tmpl w:val="7980BCAA"/>
    <w:lvl w:ilvl="0" w:tplc="6D50011A">
      <w:start w:val="1"/>
      <w:numFmt w:val="lowerLetter"/>
      <w:lvlText w:val="%1)"/>
      <w:lvlJc w:val="left"/>
      <w:pPr>
        <w:tabs>
          <w:tab w:val="num" w:pos="720"/>
        </w:tabs>
        <w:ind w:left="720" w:hanging="360"/>
      </w:pPr>
    </w:lvl>
    <w:lvl w:ilvl="1" w:tplc="96B28E0E" w:tentative="1">
      <w:start w:val="1"/>
      <w:numFmt w:val="lowerLetter"/>
      <w:lvlText w:val="%2)"/>
      <w:lvlJc w:val="left"/>
      <w:pPr>
        <w:tabs>
          <w:tab w:val="num" w:pos="1440"/>
        </w:tabs>
        <w:ind w:left="1440" w:hanging="360"/>
      </w:pPr>
    </w:lvl>
    <w:lvl w:ilvl="2" w:tplc="1374BA76" w:tentative="1">
      <w:start w:val="1"/>
      <w:numFmt w:val="lowerLetter"/>
      <w:lvlText w:val="%3)"/>
      <w:lvlJc w:val="left"/>
      <w:pPr>
        <w:tabs>
          <w:tab w:val="num" w:pos="2160"/>
        </w:tabs>
        <w:ind w:left="2160" w:hanging="360"/>
      </w:pPr>
    </w:lvl>
    <w:lvl w:ilvl="3" w:tplc="D1FA0506" w:tentative="1">
      <w:start w:val="1"/>
      <w:numFmt w:val="lowerLetter"/>
      <w:lvlText w:val="%4)"/>
      <w:lvlJc w:val="left"/>
      <w:pPr>
        <w:tabs>
          <w:tab w:val="num" w:pos="2880"/>
        </w:tabs>
        <w:ind w:left="2880" w:hanging="360"/>
      </w:pPr>
    </w:lvl>
    <w:lvl w:ilvl="4" w:tplc="F3BAC9D6" w:tentative="1">
      <w:start w:val="1"/>
      <w:numFmt w:val="lowerLetter"/>
      <w:lvlText w:val="%5)"/>
      <w:lvlJc w:val="left"/>
      <w:pPr>
        <w:tabs>
          <w:tab w:val="num" w:pos="3600"/>
        </w:tabs>
        <w:ind w:left="3600" w:hanging="360"/>
      </w:pPr>
    </w:lvl>
    <w:lvl w:ilvl="5" w:tplc="96909BCE" w:tentative="1">
      <w:start w:val="1"/>
      <w:numFmt w:val="lowerLetter"/>
      <w:lvlText w:val="%6)"/>
      <w:lvlJc w:val="left"/>
      <w:pPr>
        <w:tabs>
          <w:tab w:val="num" w:pos="4320"/>
        </w:tabs>
        <w:ind w:left="4320" w:hanging="360"/>
      </w:pPr>
    </w:lvl>
    <w:lvl w:ilvl="6" w:tplc="C374ADC6" w:tentative="1">
      <w:start w:val="1"/>
      <w:numFmt w:val="lowerLetter"/>
      <w:lvlText w:val="%7)"/>
      <w:lvlJc w:val="left"/>
      <w:pPr>
        <w:tabs>
          <w:tab w:val="num" w:pos="5040"/>
        </w:tabs>
        <w:ind w:left="5040" w:hanging="360"/>
      </w:pPr>
    </w:lvl>
    <w:lvl w:ilvl="7" w:tplc="02F25AA6" w:tentative="1">
      <w:start w:val="1"/>
      <w:numFmt w:val="lowerLetter"/>
      <w:lvlText w:val="%8)"/>
      <w:lvlJc w:val="left"/>
      <w:pPr>
        <w:tabs>
          <w:tab w:val="num" w:pos="5760"/>
        </w:tabs>
        <w:ind w:left="5760" w:hanging="360"/>
      </w:pPr>
    </w:lvl>
    <w:lvl w:ilvl="8" w:tplc="EB723C7C" w:tentative="1">
      <w:start w:val="1"/>
      <w:numFmt w:val="lowerLetter"/>
      <w:lvlText w:val="%9)"/>
      <w:lvlJc w:val="left"/>
      <w:pPr>
        <w:tabs>
          <w:tab w:val="num" w:pos="6480"/>
        </w:tabs>
        <w:ind w:left="6480" w:hanging="360"/>
      </w:pPr>
    </w:lvl>
  </w:abstractNum>
  <w:abstractNum w:abstractNumId="2" w15:restartNumberingAfterBreak="0">
    <w:nsid w:val="33BF744F"/>
    <w:multiLevelType w:val="hybridMultilevel"/>
    <w:tmpl w:val="DB8C0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681C28"/>
    <w:multiLevelType w:val="hybridMultilevel"/>
    <w:tmpl w:val="A4968A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546848"/>
    <w:multiLevelType w:val="hybridMultilevel"/>
    <w:tmpl w:val="C87E0F06"/>
    <w:lvl w:ilvl="0" w:tplc="D6E0F43A">
      <w:start w:val="1"/>
      <w:numFmt w:val="lowerLetter"/>
      <w:lvlText w:val="%1)"/>
      <w:lvlJc w:val="left"/>
      <w:pPr>
        <w:tabs>
          <w:tab w:val="num" w:pos="720"/>
        </w:tabs>
        <w:ind w:left="720" w:hanging="360"/>
      </w:pPr>
    </w:lvl>
    <w:lvl w:ilvl="1" w:tplc="E92CC2C8" w:tentative="1">
      <w:start w:val="1"/>
      <w:numFmt w:val="lowerLetter"/>
      <w:lvlText w:val="%2)"/>
      <w:lvlJc w:val="left"/>
      <w:pPr>
        <w:tabs>
          <w:tab w:val="num" w:pos="1440"/>
        </w:tabs>
        <w:ind w:left="1440" w:hanging="360"/>
      </w:pPr>
    </w:lvl>
    <w:lvl w:ilvl="2" w:tplc="13C00F32" w:tentative="1">
      <w:start w:val="1"/>
      <w:numFmt w:val="lowerLetter"/>
      <w:lvlText w:val="%3)"/>
      <w:lvlJc w:val="left"/>
      <w:pPr>
        <w:tabs>
          <w:tab w:val="num" w:pos="2160"/>
        </w:tabs>
        <w:ind w:left="2160" w:hanging="360"/>
      </w:pPr>
    </w:lvl>
    <w:lvl w:ilvl="3" w:tplc="69321336" w:tentative="1">
      <w:start w:val="1"/>
      <w:numFmt w:val="lowerLetter"/>
      <w:lvlText w:val="%4)"/>
      <w:lvlJc w:val="left"/>
      <w:pPr>
        <w:tabs>
          <w:tab w:val="num" w:pos="2880"/>
        </w:tabs>
        <w:ind w:left="2880" w:hanging="360"/>
      </w:pPr>
    </w:lvl>
    <w:lvl w:ilvl="4" w:tplc="3F10BC1E" w:tentative="1">
      <w:start w:val="1"/>
      <w:numFmt w:val="lowerLetter"/>
      <w:lvlText w:val="%5)"/>
      <w:lvlJc w:val="left"/>
      <w:pPr>
        <w:tabs>
          <w:tab w:val="num" w:pos="3600"/>
        </w:tabs>
        <w:ind w:left="3600" w:hanging="360"/>
      </w:pPr>
    </w:lvl>
    <w:lvl w:ilvl="5" w:tplc="624A2858" w:tentative="1">
      <w:start w:val="1"/>
      <w:numFmt w:val="lowerLetter"/>
      <w:lvlText w:val="%6)"/>
      <w:lvlJc w:val="left"/>
      <w:pPr>
        <w:tabs>
          <w:tab w:val="num" w:pos="4320"/>
        </w:tabs>
        <w:ind w:left="4320" w:hanging="360"/>
      </w:pPr>
    </w:lvl>
    <w:lvl w:ilvl="6" w:tplc="06D6C2DA" w:tentative="1">
      <w:start w:val="1"/>
      <w:numFmt w:val="lowerLetter"/>
      <w:lvlText w:val="%7)"/>
      <w:lvlJc w:val="left"/>
      <w:pPr>
        <w:tabs>
          <w:tab w:val="num" w:pos="5040"/>
        </w:tabs>
        <w:ind w:left="5040" w:hanging="360"/>
      </w:pPr>
    </w:lvl>
    <w:lvl w:ilvl="7" w:tplc="B94C0748" w:tentative="1">
      <w:start w:val="1"/>
      <w:numFmt w:val="lowerLetter"/>
      <w:lvlText w:val="%8)"/>
      <w:lvlJc w:val="left"/>
      <w:pPr>
        <w:tabs>
          <w:tab w:val="num" w:pos="5760"/>
        </w:tabs>
        <w:ind w:left="5760" w:hanging="360"/>
      </w:pPr>
    </w:lvl>
    <w:lvl w:ilvl="8" w:tplc="BE3CB92A" w:tentative="1">
      <w:start w:val="1"/>
      <w:numFmt w:val="lowerLetter"/>
      <w:lvlText w:val="%9)"/>
      <w:lvlJc w:val="left"/>
      <w:pPr>
        <w:tabs>
          <w:tab w:val="num" w:pos="6480"/>
        </w:tabs>
        <w:ind w:left="6480" w:hanging="360"/>
      </w:pPr>
    </w:lvl>
  </w:abstractNum>
  <w:abstractNum w:abstractNumId="5" w15:restartNumberingAfterBreak="0">
    <w:nsid w:val="5FD1294B"/>
    <w:multiLevelType w:val="hybridMultilevel"/>
    <w:tmpl w:val="244038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FC6EEF"/>
    <w:multiLevelType w:val="hybridMultilevel"/>
    <w:tmpl w:val="573C0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6319244">
    <w:abstractNumId w:val="4"/>
  </w:num>
  <w:num w:numId="2" w16cid:durableId="1612279574">
    <w:abstractNumId w:val="1"/>
  </w:num>
  <w:num w:numId="3" w16cid:durableId="223760250">
    <w:abstractNumId w:val="3"/>
  </w:num>
  <w:num w:numId="4" w16cid:durableId="659306909">
    <w:abstractNumId w:val="2"/>
  </w:num>
  <w:num w:numId="5" w16cid:durableId="1017273521">
    <w:abstractNumId w:val="6"/>
  </w:num>
  <w:num w:numId="6" w16cid:durableId="964966003">
    <w:abstractNumId w:val="5"/>
  </w:num>
  <w:num w:numId="7" w16cid:durableId="204365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70D"/>
    <w:rsid w:val="00002456"/>
    <w:rsid w:val="0002467F"/>
    <w:rsid w:val="00041E5C"/>
    <w:rsid w:val="0004300F"/>
    <w:rsid w:val="000C423F"/>
    <w:rsid w:val="000D4B9F"/>
    <w:rsid w:val="000E6717"/>
    <w:rsid w:val="000F3A50"/>
    <w:rsid w:val="0018393D"/>
    <w:rsid w:val="00220319"/>
    <w:rsid w:val="00241C1B"/>
    <w:rsid w:val="00246857"/>
    <w:rsid w:val="00252568"/>
    <w:rsid w:val="002619AE"/>
    <w:rsid w:val="002669E1"/>
    <w:rsid w:val="002D364F"/>
    <w:rsid w:val="002E6EAE"/>
    <w:rsid w:val="00364CCC"/>
    <w:rsid w:val="0039408C"/>
    <w:rsid w:val="003C3C63"/>
    <w:rsid w:val="003E4308"/>
    <w:rsid w:val="00417924"/>
    <w:rsid w:val="00457BD4"/>
    <w:rsid w:val="004919E0"/>
    <w:rsid w:val="004A2464"/>
    <w:rsid w:val="004B4481"/>
    <w:rsid w:val="004D0540"/>
    <w:rsid w:val="004D45EB"/>
    <w:rsid w:val="004F318B"/>
    <w:rsid w:val="00532CA3"/>
    <w:rsid w:val="005710CB"/>
    <w:rsid w:val="005A37E0"/>
    <w:rsid w:val="005F368D"/>
    <w:rsid w:val="00626828"/>
    <w:rsid w:val="00675D3E"/>
    <w:rsid w:val="00680744"/>
    <w:rsid w:val="006A069E"/>
    <w:rsid w:val="006B1565"/>
    <w:rsid w:val="006C4B8E"/>
    <w:rsid w:val="006C50DC"/>
    <w:rsid w:val="006C69C5"/>
    <w:rsid w:val="006D67B8"/>
    <w:rsid w:val="006F1DEE"/>
    <w:rsid w:val="00764C76"/>
    <w:rsid w:val="0078780D"/>
    <w:rsid w:val="00791E43"/>
    <w:rsid w:val="007A2C3F"/>
    <w:rsid w:val="007A3FB6"/>
    <w:rsid w:val="007D30F3"/>
    <w:rsid w:val="00804362"/>
    <w:rsid w:val="008456EF"/>
    <w:rsid w:val="008748CC"/>
    <w:rsid w:val="008878A9"/>
    <w:rsid w:val="008D236D"/>
    <w:rsid w:val="008D7EF1"/>
    <w:rsid w:val="00900614"/>
    <w:rsid w:val="00945A97"/>
    <w:rsid w:val="009718CB"/>
    <w:rsid w:val="00980DB5"/>
    <w:rsid w:val="009F1B83"/>
    <w:rsid w:val="00A43E7F"/>
    <w:rsid w:val="00A75D5F"/>
    <w:rsid w:val="00AC2EFD"/>
    <w:rsid w:val="00AC3CD1"/>
    <w:rsid w:val="00AC3DB5"/>
    <w:rsid w:val="00AF5637"/>
    <w:rsid w:val="00B002F5"/>
    <w:rsid w:val="00B04472"/>
    <w:rsid w:val="00B556BA"/>
    <w:rsid w:val="00B63487"/>
    <w:rsid w:val="00B664F5"/>
    <w:rsid w:val="00B71F45"/>
    <w:rsid w:val="00B97BBA"/>
    <w:rsid w:val="00C07734"/>
    <w:rsid w:val="00C60954"/>
    <w:rsid w:val="00C75098"/>
    <w:rsid w:val="00CA47D8"/>
    <w:rsid w:val="00CD6929"/>
    <w:rsid w:val="00D033CB"/>
    <w:rsid w:val="00D07D62"/>
    <w:rsid w:val="00D26495"/>
    <w:rsid w:val="00D42309"/>
    <w:rsid w:val="00D43964"/>
    <w:rsid w:val="00D65986"/>
    <w:rsid w:val="00D84A65"/>
    <w:rsid w:val="00D92965"/>
    <w:rsid w:val="00DB4D5B"/>
    <w:rsid w:val="00DF7742"/>
    <w:rsid w:val="00E1123D"/>
    <w:rsid w:val="00E14255"/>
    <w:rsid w:val="00E76E1C"/>
    <w:rsid w:val="00EA50B1"/>
    <w:rsid w:val="00EA78B0"/>
    <w:rsid w:val="00EB5A6C"/>
    <w:rsid w:val="00EF6476"/>
    <w:rsid w:val="00F12641"/>
    <w:rsid w:val="00F347FC"/>
    <w:rsid w:val="00F3750E"/>
    <w:rsid w:val="00F52FDC"/>
    <w:rsid w:val="00F5670D"/>
    <w:rsid w:val="00F57C62"/>
    <w:rsid w:val="00F848CA"/>
    <w:rsid w:val="00FF1CE1"/>
    <w:rsid w:val="00FF7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A605E"/>
  <w15:chartTrackingRefBased/>
  <w15:docId w15:val="{92F7EF1D-A7CD-46FB-8397-DEBF25F07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7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67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67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67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67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67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67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67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67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7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567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67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67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67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67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67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67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670D"/>
    <w:rPr>
      <w:rFonts w:eastAsiaTheme="majorEastAsia" w:cstheme="majorBidi"/>
      <w:color w:val="272727" w:themeColor="text1" w:themeTint="D8"/>
    </w:rPr>
  </w:style>
  <w:style w:type="paragraph" w:styleId="Title">
    <w:name w:val="Title"/>
    <w:basedOn w:val="Normal"/>
    <w:next w:val="Normal"/>
    <w:link w:val="TitleChar"/>
    <w:uiPriority w:val="10"/>
    <w:qFormat/>
    <w:rsid w:val="00F567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7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67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67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670D"/>
    <w:pPr>
      <w:spacing w:before="160"/>
      <w:jc w:val="center"/>
    </w:pPr>
    <w:rPr>
      <w:i/>
      <w:iCs/>
      <w:color w:val="404040" w:themeColor="text1" w:themeTint="BF"/>
    </w:rPr>
  </w:style>
  <w:style w:type="character" w:customStyle="1" w:styleId="QuoteChar">
    <w:name w:val="Quote Char"/>
    <w:basedOn w:val="DefaultParagraphFont"/>
    <w:link w:val="Quote"/>
    <w:uiPriority w:val="29"/>
    <w:rsid w:val="00F5670D"/>
    <w:rPr>
      <w:i/>
      <w:iCs/>
      <w:color w:val="404040" w:themeColor="text1" w:themeTint="BF"/>
    </w:rPr>
  </w:style>
  <w:style w:type="paragraph" w:styleId="ListParagraph">
    <w:name w:val="List Paragraph"/>
    <w:basedOn w:val="Normal"/>
    <w:link w:val="ListParagraphChar"/>
    <w:uiPriority w:val="34"/>
    <w:qFormat/>
    <w:rsid w:val="00F5670D"/>
    <w:pPr>
      <w:ind w:left="720"/>
      <w:contextualSpacing/>
    </w:pPr>
  </w:style>
  <w:style w:type="character" w:styleId="IntenseEmphasis">
    <w:name w:val="Intense Emphasis"/>
    <w:basedOn w:val="DefaultParagraphFont"/>
    <w:uiPriority w:val="21"/>
    <w:qFormat/>
    <w:rsid w:val="00F5670D"/>
    <w:rPr>
      <w:i/>
      <w:iCs/>
      <w:color w:val="0F4761" w:themeColor="accent1" w:themeShade="BF"/>
    </w:rPr>
  </w:style>
  <w:style w:type="paragraph" w:styleId="IntenseQuote">
    <w:name w:val="Intense Quote"/>
    <w:basedOn w:val="Normal"/>
    <w:next w:val="Normal"/>
    <w:link w:val="IntenseQuoteChar"/>
    <w:uiPriority w:val="30"/>
    <w:qFormat/>
    <w:rsid w:val="00F567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670D"/>
    <w:rPr>
      <w:i/>
      <w:iCs/>
      <w:color w:val="0F4761" w:themeColor="accent1" w:themeShade="BF"/>
    </w:rPr>
  </w:style>
  <w:style w:type="character" w:styleId="IntenseReference">
    <w:name w:val="Intense Reference"/>
    <w:basedOn w:val="DefaultParagraphFont"/>
    <w:uiPriority w:val="32"/>
    <w:qFormat/>
    <w:rsid w:val="00F5670D"/>
    <w:rPr>
      <w:b/>
      <w:bCs/>
      <w:smallCaps/>
      <w:color w:val="0F4761" w:themeColor="accent1" w:themeShade="BF"/>
      <w:spacing w:val="5"/>
    </w:rPr>
  </w:style>
  <w:style w:type="character" w:customStyle="1" w:styleId="ListParagraphChar">
    <w:name w:val="List Paragraph Char"/>
    <w:link w:val="ListParagraph"/>
    <w:uiPriority w:val="34"/>
    <w:locked/>
    <w:rsid w:val="00EA50B1"/>
  </w:style>
  <w:style w:type="paragraph" w:styleId="TOCHeading">
    <w:name w:val="TOC Heading"/>
    <w:basedOn w:val="Heading1"/>
    <w:next w:val="Normal"/>
    <w:uiPriority w:val="39"/>
    <w:unhideWhenUsed/>
    <w:qFormat/>
    <w:rsid w:val="00FF1CE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D7EF1"/>
    <w:pPr>
      <w:spacing w:after="100"/>
    </w:pPr>
  </w:style>
  <w:style w:type="paragraph" w:styleId="TOC2">
    <w:name w:val="toc 2"/>
    <w:basedOn w:val="Normal"/>
    <w:next w:val="Normal"/>
    <w:autoRedefine/>
    <w:uiPriority w:val="39"/>
    <w:unhideWhenUsed/>
    <w:rsid w:val="008D7EF1"/>
    <w:pPr>
      <w:spacing w:after="100"/>
      <w:ind w:left="240"/>
    </w:pPr>
  </w:style>
  <w:style w:type="character" w:styleId="Hyperlink">
    <w:name w:val="Hyperlink"/>
    <w:basedOn w:val="DefaultParagraphFont"/>
    <w:uiPriority w:val="99"/>
    <w:unhideWhenUsed/>
    <w:rsid w:val="008D7EF1"/>
    <w:rPr>
      <w:color w:val="467886" w:themeColor="hyperlink"/>
      <w:u w:val="single"/>
    </w:rPr>
  </w:style>
  <w:style w:type="character" w:customStyle="1" w:styleId="lookup-resultcontent">
    <w:name w:val="lookup-result__content"/>
    <w:rsid w:val="00CA47D8"/>
  </w:style>
  <w:style w:type="table" w:styleId="TableGrid">
    <w:name w:val="Table Grid"/>
    <w:basedOn w:val="TableNormal"/>
    <w:uiPriority w:val="39"/>
    <w:rsid w:val="00945A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45A97"/>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cam.ac.uk/research/news/uk-policing-psychological-damage-among-officers-heightened-by-bad-working-condition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pcc.police.uk/"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15T16:56:33.863"/>
    </inkml:context>
    <inkml:brush xml:id="br0">
      <inkml:brushProperty name="width" value="0.035" units="cm"/>
      <inkml:brushProperty name="height" value="0.035" units="cm"/>
    </inkml:brush>
  </inkml:definitions>
  <inkml:trace contextRef="#ctx0" brushRef="#br0">547 161 24575,'-1'10'0,"0"0"0,-1 0 0,0 0 0,-7 18 0,0 4 0,8-29 0,-127 442 0,124-435-1365</inkml:trace>
  <inkml:trace contextRef="#ctx0" brushRef="#br0" timeOffset="1660.75">0 286 24575,'5'-11'0,"-1"6"0,-1 0 0,1 0 0,0 1 0,0-1 0,1 1 0,8-7 0,34-19 0,-28 18 0,198-108 0,-185 105 0,1 2 0,1 1 0,0 2 0,69-11 0,-90 19 0,0 2 0,1-1 0,-1 2 0,1 0 0,-1 0 0,0 2 0,18 4 0,-24-5 0,-1 0 0,0 1 0,0-1 0,0 1 0,0 1 0,0-1 0,0 1 0,-1 0 0,0 0 0,0 1 0,0 0 0,0 0 0,-1 0 0,0 0 0,0 1 0,5 9 0,-7-11 0,-1 0 0,1 0 0,-1 0 0,0 0 0,0 0 0,-1 1 0,1-1 0,-1 0 0,0 1 0,0-1 0,-1 0 0,1 1 0,-1-1 0,0 0 0,0 0 0,-3 7 0,-2 4 0,-1 1 0,-16 26 0,0-5 0,-2-2 0,-1-1 0,-51 52 0,32-43 0,-96 71 0,105-89 0,-57 29 0,75-44 0,-1-2 0,-1-1 0,1 0 0,-1-1 0,-25 3 0,12-7 0,32-2 0,0 0 0,0 0 0,0 0 0,0 0 0,0 0 0,0 0 0,0 0 0,0 0 0,0-1 0,0 1 0,0-1 0,0 1 0,0 0 0,0-1 0,0 1 0,0-1 0,1 0 0,-1 1 0,0-1 0,0 0 0,1 0 0,-1 1 0,0-1 0,1 0 0,-1 0 0,1 0 0,-1 0 0,0-1 0,1 0 0,0 1 0,0 0 0,0 0 0,0-1 0,1 1 0,-1 0 0,0 0 0,1 0 0,-1-1 0,1 1 0,-1 0 0,1 0 0,-1 0 0,1 0 0,1-2 0,15-15 0,-15 16 0,32-27 0,0 2 0,1 1 0,2 2 0,60-29 0,-24 19 0,1 4 0,2 3 0,0 3 0,2 4 0,80-11 0,-126 26 0,-1 2 0,1 1 0,0 1 0,-1 1 0,42 7 0,-60-5 0,1 1 0,-1 1 0,0 0 0,0 0 0,0 1 0,-1 1 0,1 0 0,-1 1 0,-1 1 0,1-1 0,-1 2 0,-1 0 0,0 0 0,16 19 0,-22-24 0,-1 1 0,1-1 0,-1 1 0,0 0 0,-1 1 0,5 9 0,-7-13 0,1 1 0,0-1 0,-1 1 0,0-1 0,1 1 0,-1-1 0,0 1 0,-1 0 0,1-1 0,0 1 0,-1-1 0,1 1 0,-1-1 0,0 1 0,1-1 0,-1 1 0,-1-1 0,0 3 0,-6 6 0,0 0 0,0 0 0,-1-1 0,0 0 0,-16 12 0,-57 40 0,81-62 0,-46 33 0,-85 42 0,95-58 0,0-2 0,-1-1 0,-46 10 0,75-21 0,-1-1 0,0 0 0,0-1 0,0 0 0,0-1 0,0 0 0,-17-2 0,25 1 0,1 1 0,-1 0 0,1 0 0,-1-1 0,1 1 0,-1-1 0,1 1 0,0-1 0,-1 0 0,1 0 0,0 0 0,-1 1 0,1-1 0,0 0 0,0-1 0,0 1 0,0 0 0,0 0 0,0 0 0,0-1 0,0 1 0,1 0 0,-1-1 0,0 1 0,1-1 0,-1 1 0,1 0 0,-1-1 0,1 0 0,0 1 0,0-1 0,0 1 0,-1-1 0,2 1 0,-1-1 0,0 1 0,0-1 0,0 1 0,1-3 0,1-4 0,0 0 0,1 0 0,0 1 0,0-1 0,0 0 0,9-13 0,36-44 0,-6 17 0,2 1 0,2 2 0,76-57 0,-60 57 0,2 3 0,110-54 0,-123 72 0,74-23 0,-103 40 0,0 2 0,0 0 0,0 2 0,1 0 0,-1 1 0,28 2 0,-39 1-455,1 1 0,19 5 0,11 9-6371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BBD4B-E0AA-4501-BF1C-EC2159B66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30</Pages>
  <Words>8202</Words>
  <Characters>46755</Characters>
  <Application>Microsoft Office Word</Application>
  <DocSecurity>0</DocSecurity>
  <Lines>389</Lines>
  <Paragraphs>109</Paragraphs>
  <ScaleCrop>false</ScaleCrop>
  <Company/>
  <LinksUpToDate>false</LinksUpToDate>
  <CharactersWithSpaces>54848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Simons,Daniel swp8755</dc:creator>
  <cp:keywords/>
  <dc:description/>
  <cp:lastModifiedBy>Simons,Daniel swp8755</cp:lastModifiedBy>
  <cp:revision>100</cp:revision>
  <dcterms:created xsi:type="dcterms:W3CDTF">2026-06-15T09:42:00Z</dcterms:created>
  <dcterms:modified xsi:type="dcterms:W3CDTF">2026-06-29T18:38:00Z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2026-06-15T09:42:56Z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8c18dc4f-43c6-430c-a400-ffa0244fcd20</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