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83CAEB" w:themeColor="accent1" w:themeTint="66"/>
  <w:body>
    <w:p w14:paraId="01382298" w14:textId="77777777" w:rsidR="00DD5969" w:rsidRPr="008E4EB6" w:rsidRDefault="00DD5969" w:rsidP="00DD5969">
      <w:pPr>
        <w:spacing w:before="212"/>
        <w:jc w:val="center"/>
        <w:rPr>
          <w:rFonts w:ascii="Arial"/>
          <w:b/>
          <w:sz w:val="56"/>
          <w:lang w:val="cy-GB"/>
        </w:rPr>
      </w:pPr>
      <w:r w:rsidRPr="008E4EB6">
        <w:rPr>
          <w:rFonts w:ascii="Arial"/>
          <w:b/>
          <w:noProof/>
          <w:sz w:val="56"/>
          <w:lang w:val="cy-GB"/>
        </w:rPr>
        <w:drawing>
          <wp:inline distT="0" distB="0" distL="0" distR="0" wp14:anchorId="508580CF" wp14:editId="2CAB5AFE">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6193D1EC" w14:textId="77777777" w:rsidR="00DD5969" w:rsidRPr="008E4EB6" w:rsidRDefault="00DD5969" w:rsidP="00DD5969">
      <w:pPr>
        <w:spacing w:before="212"/>
        <w:jc w:val="center"/>
        <w:rPr>
          <w:rFonts w:ascii="Arial"/>
          <w:b/>
          <w:sz w:val="36"/>
          <w:szCs w:val="36"/>
          <w:lang w:val="cy-GB"/>
        </w:rPr>
      </w:pPr>
    </w:p>
    <w:p w14:paraId="5B9AE89A" w14:textId="77777777" w:rsidR="00DD5969" w:rsidRPr="008E4EB6" w:rsidRDefault="00DD5969" w:rsidP="00DD5969">
      <w:pPr>
        <w:spacing w:before="212"/>
        <w:rPr>
          <w:rFonts w:ascii="Arial"/>
          <w:b/>
          <w:sz w:val="56"/>
          <w:lang w:val="cy-GB"/>
        </w:rPr>
      </w:pPr>
    </w:p>
    <w:p w14:paraId="7EE9271E" w14:textId="6582997C" w:rsidR="00DD5969" w:rsidRPr="00800B96" w:rsidRDefault="00605CE3" w:rsidP="00DD5969">
      <w:pPr>
        <w:spacing w:before="212"/>
        <w:rPr>
          <w:rFonts w:ascii="Arial"/>
          <w:b/>
          <w:color w:val="FF0000"/>
          <w:sz w:val="48"/>
          <w:szCs w:val="48"/>
          <w:lang w:val="cy-GB"/>
        </w:rPr>
      </w:pPr>
      <w:r w:rsidRPr="008E4EB6">
        <w:rPr>
          <w:rFonts w:ascii="Arial"/>
          <w:b/>
          <w:sz w:val="48"/>
          <w:szCs w:val="48"/>
          <w:lang w:val="cy-GB"/>
        </w:rPr>
        <w:t>COD MODIWL</w:t>
      </w:r>
      <w:r w:rsidR="00DD5969" w:rsidRPr="008E4EB6">
        <w:rPr>
          <w:rFonts w:ascii="Arial"/>
          <w:b/>
          <w:sz w:val="48"/>
          <w:szCs w:val="48"/>
          <w:lang w:val="cy-GB"/>
        </w:rPr>
        <w:t>:</w:t>
      </w:r>
      <w:r w:rsidRPr="008E4EB6">
        <w:rPr>
          <w:rFonts w:ascii="Arial"/>
          <w:b/>
          <w:sz w:val="48"/>
          <w:szCs w:val="48"/>
          <w:lang w:val="cy-GB"/>
        </w:rPr>
        <w:t xml:space="preserve"> </w:t>
      </w:r>
      <w:r w:rsidR="0000375B" w:rsidRPr="00800B96">
        <w:rPr>
          <w:rFonts w:ascii="Arial"/>
          <w:b/>
          <w:color w:val="FF0000"/>
          <w:sz w:val="48"/>
          <w:szCs w:val="48"/>
          <w:lang w:val="cy-GB"/>
        </w:rPr>
        <w:t>ECAD</w:t>
      </w:r>
      <w:r w:rsidR="008A44FF">
        <w:rPr>
          <w:rFonts w:ascii="Arial"/>
          <w:b/>
          <w:color w:val="FF0000"/>
          <w:sz w:val="48"/>
          <w:szCs w:val="48"/>
          <w:lang w:val="cy-GB"/>
        </w:rPr>
        <w:t>6050C</w:t>
      </w:r>
    </w:p>
    <w:p w14:paraId="0D16D138" w14:textId="77777777" w:rsidR="00DD5969" w:rsidRPr="008E4EB6" w:rsidRDefault="00DD5969" w:rsidP="00DD5969">
      <w:pPr>
        <w:spacing w:before="3"/>
        <w:rPr>
          <w:rFonts w:ascii="Arial"/>
          <w:b/>
          <w:sz w:val="48"/>
          <w:szCs w:val="48"/>
          <w:lang w:val="cy-GB"/>
        </w:rPr>
      </w:pPr>
    </w:p>
    <w:p w14:paraId="18107AFF" w14:textId="0DFE343A" w:rsidR="00DD5969" w:rsidRPr="008E4EB6" w:rsidRDefault="00605CE3" w:rsidP="00DD5969">
      <w:pPr>
        <w:spacing w:before="3"/>
        <w:rPr>
          <w:rFonts w:ascii="Arial"/>
          <w:b/>
          <w:sz w:val="48"/>
          <w:szCs w:val="48"/>
          <w:lang w:val="cy-GB"/>
        </w:rPr>
      </w:pPr>
      <w:r w:rsidRPr="008E4EB6">
        <w:rPr>
          <w:rFonts w:ascii="Arial"/>
          <w:b/>
          <w:sz w:val="48"/>
          <w:szCs w:val="48"/>
          <w:lang w:val="cy-GB"/>
        </w:rPr>
        <w:t>RHIF MYFYRWYR</w:t>
      </w:r>
      <w:r w:rsidR="00DD5969" w:rsidRPr="008E4EB6">
        <w:rPr>
          <w:rFonts w:ascii="Arial"/>
          <w:b/>
          <w:sz w:val="48"/>
          <w:szCs w:val="48"/>
          <w:lang w:val="cy-GB"/>
        </w:rPr>
        <w:t>:</w:t>
      </w:r>
      <w:r w:rsidR="00FE48E1">
        <w:rPr>
          <w:rFonts w:ascii="Arial"/>
          <w:b/>
          <w:sz w:val="48"/>
          <w:szCs w:val="48"/>
          <w:lang w:val="cy-GB"/>
        </w:rPr>
        <w:t xml:space="preserve"> 2600191</w:t>
      </w:r>
    </w:p>
    <w:p w14:paraId="4FD52B0A" w14:textId="77777777" w:rsidR="00DD5969" w:rsidRPr="008E4EB6" w:rsidRDefault="00DD5969" w:rsidP="00347EA1">
      <w:pPr>
        <w:rPr>
          <w:rFonts w:ascii="Arial"/>
          <w:b/>
          <w:sz w:val="47"/>
          <w:lang w:val="cy-GB"/>
        </w:rPr>
      </w:pPr>
    </w:p>
    <w:p w14:paraId="33AC1703" w14:textId="77777777" w:rsidR="00DD5969" w:rsidRPr="008E4EB6" w:rsidRDefault="00DD5969" w:rsidP="00DD5969">
      <w:pPr>
        <w:ind w:left="100"/>
        <w:jc w:val="center"/>
        <w:rPr>
          <w:rFonts w:ascii="Arial"/>
          <w:b/>
          <w:sz w:val="47"/>
          <w:lang w:val="cy-GB"/>
        </w:rPr>
      </w:pPr>
    </w:p>
    <w:p w14:paraId="274DD003" w14:textId="77777777" w:rsidR="00DD5969" w:rsidRPr="008E4EB6" w:rsidRDefault="00DD5969" w:rsidP="00DD5969">
      <w:pPr>
        <w:ind w:left="100"/>
        <w:rPr>
          <w:rFonts w:ascii="Arial"/>
          <w:b/>
          <w:sz w:val="47"/>
          <w:lang w:val="cy-GB"/>
        </w:rPr>
      </w:pPr>
    </w:p>
    <w:p w14:paraId="467BE871" w14:textId="77777777" w:rsidR="00347EA1" w:rsidRPr="008E4EB6" w:rsidRDefault="00347EA1" w:rsidP="00DD5969">
      <w:pPr>
        <w:ind w:left="100"/>
        <w:rPr>
          <w:rFonts w:ascii="Arial"/>
          <w:b/>
          <w:sz w:val="47"/>
          <w:lang w:val="cy-GB"/>
        </w:rPr>
      </w:pPr>
    </w:p>
    <w:p w14:paraId="69F83F2B" w14:textId="77777777" w:rsidR="00DD5969" w:rsidRPr="008E4EB6" w:rsidRDefault="00DD5969" w:rsidP="00DD5969">
      <w:pPr>
        <w:jc w:val="center"/>
        <w:rPr>
          <w:rFonts w:ascii="Arial"/>
          <w:b/>
          <w:sz w:val="40"/>
          <w:lang w:val="cy-GB"/>
        </w:rPr>
      </w:pPr>
    </w:p>
    <w:p w14:paraId="3A56DF45" w14:textId="77777777" w:rsidR="0000375B" w:rsidRDefault="0000375B" w:rsidP="00DD5969">
      <w:pPr>
        <w:jc w:val="center"/>
        <w:rPr>
          <w:rFonts w:ascii="Arial"/>
          <w:b/>
          <w:sz w:val="40"/>
          <w:lang w:val="cy-GB"/>
        </w:rPr>
      </w:pPr>
    </w:p>
    <w:p w14:paraId="153CDB65" w14:textId="77777777" w:rsidR="008A44FF" w:rsidRDefault="008A44FF" w:rsidP="00DD5969">
      <w:pPr>
        <w:jc w:val="center"/>
        <w:rPr>
          <w:rFonts w:ascii="Arial"/>
          <w:b/>
          <w:sz w:val="40"/>
          <w:lang w:val="cy-GB"/>
        </w:rPr>
      </w:pPr>
    </w:p>
    <w:p w14:paraId="14C9FB8A" w14:textId="77777777" w:rsidR="008A44FF" w:rsidRDefault="008A44FF" w:rsidP="00DD5969">
      <w:pPr>
        <w:jc w:val="center"/>
        <w:rPr>
          <w:rFonts w:ascii="Arial"/>
          <w:b/>
          <w:sz w:val="40"/>
          <w:lang w:val="cy-GB"/>
        </w:rPr>
      </w:pPr>
    </w:p>
    <w:p w14:paraId="20954216" w14:textId="77777777" w:rsidR="008A44FF" w:rsidRPr="008E4EB6" w:rsidRDefault="008A44FF" w:rsidP="00DD5969">
      <w:pPr>
        <w:jc w:val="center"/>
        <w:rPr>
          <w:rFonts w:ascii="Arial"/>
          <w:b/>
          <w:sz w:val="40"/>
          <w:lang w:val="cy-GB"/>
        </w:rPr>
      </w:pPr>
    </w:p>
    <w:p w14:paraId="35E77934" w14:textId="77777777" w:rsidR="0000375B" w:rsidRPr="008E4EB6" w:rsidRDefault="0000375B" w:rsidP="00DD5969">
      <w:pPr>
        <w:jc w:val="center"/>
        <w:rPr>
          <w:rFonts w:ascii="Arial"/>
          <w:b/>
          <w:sz w:val="40"/>
          <w:lang w:val="cy-GB"/>
        </w:rPr>
      </w:pPr>
    </w:p>
    <w:p w14:paraId="4C9C9B74" w14:textId="32AE2462" w:rsidR="00B103B9" w:rsidRPr="008E4EB6" w:rsidRDefault="00B103B9" w:rsidP="00DD5969">
      <w:pPr>
        <w:rPr>
          <w:b/>
          <w:bCs/>
          <w:sz w:val="32"/>
          <w:szCs w:val="32"/>
          <w:u w:val="single"/>
          <w:lang w:val="cy-GB"/>
        </w:rPr>
      </w:pPr>
      <w:r w:rsidRPr="008E4EB6">
        <w:rPr>
          <w:b/>
          <w:bCs/>
          <w:sz w:val="32"/>
          <w:szCs w:val="32"/>
          <w:u w:val="single"/>
          <w:lang w:val="cy-GB"/>
        </w:rPr>
        <w:lastRenderedPageBreak/>
        <w:t xml:space="preserve">AI </w:t>
      </w:r>
      <w:proofErr w:type="spellStart"/>
      <w:r w:rsidRPr="008E4EB6">
        <w:rPr>
          <w:b/>
          <w:bCs/>
          <w:sz w:val="32"/>
          <w:szCs w:val="32"/>
          <w:u w:val="single"/>
          <w:lang w:val="cy-GB"/>
        </w:rPr>
        <w:t>Acknowledgement</w:t>
      </w:r>
      <w:proofErr w:type="spellEnd"/>
    </w:p>
    <w:p w14:paraId="5A38292B" w14:textId="77777777" w:rsidR="00B103B9" w:rsidRPr="008E4EB6" w:rsidRDefault="00B103B9" w:rsidP="00DD5969">
      <w:pPr>
        <w:rPr>
          <w:lang w:val="cy-GB"/>
        </w:rPr>
      </w:pPr>
    </w:p>
    <w:p w14:paraId="1ABC04AB" w14:textId="77777777" w:rsidR="00E654EB" w:rsidRPr="008E4EB6" w:rsidRDefault="00E654EB" w:rsidP="00E654EB">
      <w:pPr>
        <w:rPr>
          <w:lang w:val="cy-GB"/>
        </w:rPr>
      </w:pPr>
      <w:r w:rsidRPr="008E4EB6">
        <w:rPr>
          <w:lang w:val="cy-GB"/>
        </w:rPr>
        <w:t xml:space="preserve">Rwy’n cadarnhau nad wyf wedi defnyddio unrhyw offer AI wrth ymchwilio a chreu’r aseiniad hwn. </w:t>
      </w:r>
    </w:p>
    <w:p w14:paraId="72E37402" w14:textId="77777777" w:rsidR="00E654EB" w:rsidRPr="008E4EB6" w:rsidRDefault="00E654EB" w:rsidP="00E654EB">
      <w:pPr>
        <w:rPr>
          <w:lang w:val="cy-GB"/>
        </w:rPr>
      </w:pPr>
      <w:r w:rsidRPr="008E4EB6">
        <w:rPr>
          <w:lang w:val="cy-GB"/>
        </w:rPr>
        <w:t xml:space="preserve">Rwy’n cadarnhau nad wyf wedi cyflwyno unrhyw ddeunyddiau a gynhyrchwyd gan AI fel fy ngwaith fy hun. </w:t>
      </w:r>
    </w:p>
    <w:p w14:paraId="10466C31" w14:textId="3A0BD47C" w:rsidR="00E243A8" w:rsidRPr="008E4EB6" w:rsidRDefault="00E654EB" w:rsidP="00E654EB">
      <w:pPr>
        <w:rPr>
          <w:lang w:val="cy-GB"/>
        </w:rPr>
      </w:pPr>
      <w:r w:rsidRPr="008E4EB6">
        <w:rPr>
          <w:lang w:val="cy-GB"/>
        </w:rPr>
        <w:t>Rwy’n cadarnhau bod gennyf gopïau o’m drafftiau, fy nodiadau, ac adnoddau eraill a ddefnyddiais, y gellir gofyn i mi eu darparu fel tystiolaeth</w:t>
      </w:r>
    </w:p>
    <w:p w14:paraId="12B88C8B" w14:textId="77777777" w:rsidR="00E654EB" w:rsidRPr="008E4EB6" w:rsidRDefault="00E654EB" w:rsidP="00DD5969">
      <w:pPr>
        <w:rPr>
          <w:b/>
          <w:bCs/>
          <w:lang w:val="cy-GB"/>
        </w:rPr>
      </w:pPr>
    </w:p>
    <w:p w14:paraId="4121D0F7" w14:textId="49403C39" w:rsidR="00B103B9" w:rsidRPr="008E4EB6" w:rsidRDefault="00B103B9" w:rsidP="00E654EB">
      <w:pPr>
        <w:rPr>
          <w:lang w:val="cy-GB"/>
        </w:rPr>
      </w:pPr>
    </w:p>
    <w:p w14:paraId="154EB214" w14:textId="77777777" w:rsidR="00E243A8" w:rsidRPr="008E4EB6" w:rsidRDefault="00E243A8" w:rsidP="00DD5969">
      <w:pPr>
        <w:rPr>
          <w:lang w:val="cy-GB"/>
        </w:rPr>
      </w:pPr>
    </w:p>
    <w:p w14:paraId="187A0FDC" w14:textId="77777777" w:rsidR="00B103B9" w:rsidRPr="008E4EB6" w:rsidRDefault="00B103B9" w:rsidP="00DD5969">
      <w:pPr>
        <w:rPr>
          <w:lang w:val="cy-GB"/>
        </w:rPr>
      </w:pPr>
    </w:p>
    <w:p w14:paraId="5DE045AC" w14:textId="77777777" w:rsidR="00E10797" w:rsidRPr="008E4EB6" w:rsidRDefault="00E10797" w:rsidP="00DD5969">
      <w:pPr>
        <w:rPr>
          <w:lang w:val="cy-GB"/>
        </w:rPr>
      </w:pPr>
    </w:p>
    <w:p w14:paraId="790AB640" w14:textId="77777777" w:rsidR="00E10797" w:rsidRPr="008E4EB6" w:rsidRDefault="00E10797" w:rsidP="00DD5969">
      <w:pPr>
        <w:rPr>
          <w:lang w:val="cy-GB"/>
        </w:rPr>
      </w:pPr>
    </w:p>
    <w:p w14:paraId="31507470" w14:textId="77777777" w:rsidR="00C2550A" w:rsidRPr="008E4EB6" w:rsidRDefault="00C2550A" w:rsidP="00DD5969">
      <w:pPr>
        <w:rPr>
          <w:lang w:val="cy-GB"/>
        </w:rPr>
      </w:pPr>
    </w:p>
    <w:p w14:paraId="061710D3" w14:textId="77777777" w:rsidR="00E10797" w:rsidRDefault="00E10797" w:rsidP="00DD5969">
      <w:pPr>
        <w:rPr>
          <w:lang w:val="cy-GB"/>
        </w:rPr>
      </w:pPr>
    </w:p>
    <w:p w14:paraId="112D46E3" w14:textId="77777777" w:rsidR="00591C4B" w:rsidRDefault="00591C4B" w:rsidP="00DD5969">
      <w:pPr>
        <w:rPr>
          <w:lang w:val="cy-GB"/>
        </w:rPr>
      </w:pPr>
    </w:p>
    <w:p w14:paraId="0F900014" w14:textId="77777777" w:rsidR="00591C4B" w:rsidRDefault="00591C4B" w:rsidP="00DD5969">
      <w:pPr>
        <w:rPr>
          <w:lang w:val="cy-GB"/>
        </w:rPr>
      </w:pPr>
    </w:p>
    <w:p w14:paraId="4F5B5209" w14:textId="77777777" w:rsidR="00591C4B" w:rsidRDefault="00591C4B" w:rsidP="00DD5969">
      <w:pPr>
        <w:rPr>
          <w:lang w:val="cy-GB"/>
        </w:rPr>
      </w:pPr>
    </w:p>
    <w:p w14:paraId="742E1FA6" w14:textId="77777777" w:rsidR="00591C4B" w:rsidRDefault="00591C4B" w:rsidP="00DD5969">
      <w:pPr>
        <w:rPr>
          <w:lang w:val="cy-GB"/>
        </w:rPr>
      </w:pPr>
    </w:p>
    <w:p w14:paraId="7D6A01E7" w14:textId="77777777" w:rsidR="00591C4B" w:rsidRDefault="00591C4B" w:rsidP="00DD5969">
      <w:pPr>
        <w:rPr>
          <w:lang w:val="cy-GB"/>
        </w:rPr>
      </w:pPr>
    </w:p>
    <w:p w14:paraId="563587FE" w14:textId="77777777" w:rsidR="00B2496C" w:rsidRDefault="00B2496C" w:rsidP="002332B0"/>
    <w:p w14:paraId="7AF254B3" w14:textId="77777777" w:rsidR="00B2496C" w:rsidRDefault="00B2496C" w:rsidP="002332B0"/>
    <w:p w14:paraId="7FDC3085" w14:textId="77777777" w:rsidR="00B2496C" w:rsidRDefault="00B2496C" w:rsidP="002332B0"/>
    <w:p w14:paraId="1BD4109E" w14:textId="77777777" w:rsidR="00B2496C" w:rsidRDefault="00B2496C" w:rsidP="002332B0"/>
    <w:p w14:paraId="37436F8E" w14:textId="77777777" w:rsidR="00B2496C" w:rsidRDefault="00B2496C" w:rsidP="002332B0"/>
    <w:p w14:paraId="05CFA574" w14:textId="77777777" w:rsidR="00B2496C" w:rsidRDefault="00B2496C" w:rsidP="002332B0"/>
    <w:p w14:paraId="64ECC2DA" w14:textId="77777777" w:rsidR="00B2496C" w:rsidRDefault="00B2496C" w:rsidP="002332B0"/>
    <w:p w14:paraId="06568CB5" w14:textId="77777777" w:rsidR="00B2496C" w:rsidRDefault="00B2496C" w:rsidP="002332B0"/>
    <w:p w14:paraId="50E84604" w14:textId="0B525DC7" w:rsidR="00455E48" w:rsidRPr="00455E48" w:rsidRDefault="00455E48" w:rsidP="00455E48">
      <w:pPr>
        <w:jc w:val="both"/>
        <w:rPr>
          <w:rFonts w:ascii="Arial Nova" w:hAnsi="Arial Nova"/>
        </w:rPr>
      </w:pPr>
      <w:r w:rsidRPr="00455E48">
        <w:rPr>
          <w:rFonts w:ascii="Arial Nova" w:hAnsi="Arial Nova"/>
        </w:rPr>
        <w:lastRenderedPageBreak/>
        <w:t xml:space="preserve">An essay that critically reflects on a case study lesson through a critical </w:t>
      </w:r>
      <w:proofErr w:type="gramStart"/>
      <w:r w:rsidRPr="00455E48">
        <w:rPr>
          <w:rFonts w:ascii="Arial Nova" w:hAnsi="Arial Nova"/>
        </w:rPr>
        <w:t>incident  methodology</w:t>
      </w:r>
      <w:proofErr w:type="gramEnd"/>
      <w:r w:rsidRPr="00455E48">
        <w:rPr>
          <w:rFonts w:ascii="Arial Nova" w:hAnsi="Arial Nova"/>
        </w:rPr>
        <w:t>,</w:t>
      </w:r>
      <w:r>
        <w:rPr>
          <w:rFonts w:ascii="Arial Nova" w:hAnsi="Arial Nova"/>
        </w:rPr>
        <w:t xml:space="preserve"> </w:t>
      </w:r>
      <w:r w:rsidRPr="00455E48">
        <w:rPr>
          <w:rFonts w:ascii="Arial Nova" w:hAnsi="Arial Nova"/>
        </w:rPr>
        <w:t>offerin</w:t>
      </w:r>
      <w:r>
        <w:rPr>
          <w:rFonts w:ascii="Arial Nova" w:hAnsi="Arial Nova"/>
        </w:rPr>
        <w:t>g</w:t>
      </w:r>
      <w:r w:rsidRPr="00455E48">
        <w:rPr>
          <w:rFonts w:ascii="Arial Nova" w:hAnsi="Arial Nova"/>
        </w:rPr>
        <w:t xml:space="preserve"> appropriate pedagogical approaches, justifying choices and presents a personal stance on how they will meet the needs of a diverse range of learners in their own professional practice moving forward.</w:t>
      </w:r>
    </w:p>
    <w:p w14:paraId="375FC2E3" w14:textId="1D883318" w:rsidR="00B2496C" w:rsidRDefault="00B2496C" w:rsidP="00B2496C">
      <w:pPr>
        <w:jc w:val="both"/>
      </w:pPr>
    </w:p>
    <w:p w14:paraId="5AB8D74A" w14:textId="77777777" w:rsidR="00B2496C" w:rsidRDefault="00B2496C" w:rsidP="002332B0"/>
    <w:p w14:paraId="497B9027" w14:textId="6FC459E0" w:rsidR="002332B0" w:rsidRPr="000A521F" w:rsidRDefault="002332B0" w:rsidP="002332B0">
      <w:pPr>
        <w:rPr>
          <w:color w:val="C00000"/>
        </w:rPr>
      </w:pPr>
      <w:r w:rsidRPr="000A521F">
        <w:t>Intro</w:t>
      </w:r>
      <w:r w:rsidR="00492C9D">
        <w:t>duction</w:t>
      </w:r>
    </w:p>
    <w:p w14:paraId="2455F4BF" w14:textId="77777777" w:rsidR="002332B0" w:rsidRPr="000A521F" w:rsidRDefault="002332B0" w:rsidP="002332B0">
      <w:pPr>
        <w:spacing w:after="0" w:line="360" w:lineRule="auto"/>
        <w:jc w:val="both"/>
      </w:pPr>
      <w:r w:rsidRPr="000A521F">
        <w:t xml:space="preserve">Effective interventions play a significant role in supporting students with their academic, wellbeing, and social needs. Having early strategies in place to aid with the supporting of a student limits issues growing as they develop (WJEC, 2019). </w:t>
      </w:r>
      <w:r w:rsidRPr="000A521F">
        <w:rPr>
          <w:color w:val="242424"/>
        </w:rPr>
        <w:t xml:space="preserve">The Critical Incident which this reflection is based on is a Year 3 mathematics class involving the topic of money. The child whose behaviour influenced the critical incident will be identified as Child A. Due to BERA's (2024) anonymisation, there will be no identifiable details of the school or child involved. </w:t>
      </w:r>
      <w:r w:rsidRPr="000A521F">
        <w:t xml:space="preserve">The critical incident is child A who faces barriers towards verbally participating in class. Despite starting the session confidently, their self-belief lessened throughout the session. </w:t>
      </w:r>
      <w:r w:rsidRPr="000A521F">
        <w:rPr>
          <w:color w:val="242424"/>
        </w:rPr>
        <w:t>As previously discussed, there are a multitude of reasons why child A might become disengaged or uncooperative, such as fatigue, but it is important to consider other contributing factors.</w:t>
      </w:r>
      <w:r w:rsidRPr="000A521F">
        <w:rPr>
          <w:rFonts w:ascii="Segoe UI" w:eastAsia="Segoe UI" w:hAnsi="Segoe UI" w:cs="Segoe UI"/>
          <w:color w:val="242424"/>
          <w:sz w:val="21"/>
          <w:szCs w:val="21"/>
        </w:rPr>
        <w:t xml:space="preserve"> </w:t>
      </w:r>
      <w:r w:rsidRPr="000A521F">
        <w:t xml:space="preserve">This critical analysis explores the probability of lack of confidence and low self-esteem then suggests two interventions that might help a child experiencing some anxiety. </w:t>
      </w:r>
    </w:p>
    <w:p w14:paraId="109B0F4B" w14:textId="77777777" w:rsidR="002332B0" w:rsidRPr="000A521F" w:rsidRDefault="002332B0" w:rsidP="002332B0">
      <w:pPr>
        <w:spacing w:after="0" w:line="360" w:lineRule="auto"/>
        <w:jc w:val="both"/>
        <w:rPr>
          <w:color w:val="000000" w:themeColor="text1"/>
        </w:rPr>
      </w:pPr>
      <w:r w:rsidRPr="000A521F">
        <w:t xml:space="preserve">The first strategy is a class-based intervention which would also support other learners too. Think-Pair-Share is a proven educational tool to combat nervousness and confidence issues (Raba, 2017; Sharma, 2018). </w:t>
      </w:r>
      <w:r w:rsidRPr="000A521F">
        <w:rPr>
          <w:color w:val="000000" w:themeColor="text1"/>
        </w:rPr>
        <w:t xml:space="preserve">The second intervention that might be beneficial for a child with low self-esteem is the Emotional Literacy Support Assistant program (ELSA). ELSA is an educational psychology founded intervention that supports children with issues such as emotional regulation, emotional literacy, and growth mindset (ELSA, no date). This analysis uses Tripp’s (1993) methodology of critical analysis. While part A focused on observing and analysing potential causes, this essay will focus on the planning of what can be implemented to support the child. </w:t>
      </w:r>
    </w:p>
    <w:p w14:paraId="27A663CC" w14:textId="77777777" w:rsidR="002332B0" w:rsidRPr="000A521F" w:rsidRDefault="002332B0" w:rsidP="002332B0">
      <w:pPr>
        <w:spacing w:after="0" w:line="360" w:lineRule="auto"/>
        <w:jc w:val="both"/>
      </w:pPr>
    </w:p>
    <w:p w14:paraId="44B83268" w14:textId="77777777" w:rsidR="000D5D0C" w:rsidRPr="000A521F" w:rsidRDefault="000D5D0C" w:rsidP="000D5D0C">
      <w:pPr>
        <w:pStyle w:val="Default"/>
        <w:spacing w:line="360" w:lineRule="auto"/>
        <w:jc w:val="both"/>
        <w:rPr>
          <w:rFonts w:asciiTheme="minorHAnsi" w:hAnsiTheme="minorHAnsi" w:cstheme="minorBidi"/>
          <w:color w:val="A6A6A6" w:themeColor="background1" w:themeShade="A6"/>
        </w:rPr>
      </w:pPr>
      <w:r w:rsidRPr="000A521F">
        <w:rPr>
          <w:rFonts w:asciiTheme="minorHAnsi" w:hAnsiTheme="minorHAnsi" w:cstheme="minorBidi"/>
        </w:rPr>
        <w:t xml:space="preserve">Intervention/ Strategy 1: Think-Pair-Share </w:t>
      </w:r>
    </w:p>
    <w:p w14:paraId="69729832" w14:textId="77777777" w:rsidR="000D5D0C" w:rsidRPr="000A521F" w:rsidRDefault="000D5D0C" w:rsidP="000D5D0C">
      <w:pPr>
        <w:spacing w:after="0" w:line="360" w:lineRule="auto"/>
        <w:jc w:val="both"/>
        <w:rPr>
          <w:color w:val="000000" w:themeColor="text1"/>
        </w:rPr>
      </w:pPr>
      <w:r w:rsidRPr="000A521F">
        <w:rPr>
          <w:color w:val="242424"/>
        </w:rPr>
        <w:lastRenderedPageBreak/>
        <w:t>Think-Pair-Share, a strategy named and theorized by Frank Lyman in 1981, has been used since the 1980s (Lyman, 1981).</w:t>
      </w:r>
      <w:r w:rsidRPr="000A521F">
        <w:rPr>
          <w:rFonts w:ascii="Segoe UI" w:eastAsia="Segoe UI" w:hAnsi="Segoe UI" w:cs="Segoe UI"/>
          <w:color w:val="242424"/>
          <w:sz w:val="21"/>
          <w:szCs w:val="21"/>
        </w:rPr>
        <w:t xml:space="preserve"> </w:t>
      </w:r>
      <w:r w:rsidRPr="000A521F">
        <w:t>It</w:t>
      </w:r>
      <w:r w:rsidRPr="000A521F">
        <w:rPr>
          <w:color w:val="000000" w:themeColor="text1"/>
        </w:rPr>
        <w:t xml:space="preserve"> is a shared discussion strategy to increase pupils’ quality of responses through dedicated think time </w:t>
      </w:r>
      <w:r w:rsidRPr="000A521F">
        <w:t xml:space="preserve">(Kaddoura, 2013). This connects with Vygotsky’s model of Zone of </w:t>
      </w:r>
      <w:r w:rsidRPr="000A521F">
        <w:rPr>
          <w:color w:val="000000" w:themeColor="text1"/>
        </w:rPr>
        <w:t>Proximal Development, which emphasises how peer support from a more capable other can positively influence what a learner can do alone (</w:t>
      </w:r>
      <w:proofErr w:type="spellStart"/>
      <w:r w:rsidRPr="000A521F">
        <w:rPr>
          <w:color w:val="000000" w:themeColor="text1"/>
        </w:rPr>
        <w:t>Silalahi</w:t>
      </w:r>
      <w:proofErr w:type="spellEnd"/>
      <w:r w:rsidRPr="000A521F">
        <w:rPr>
          <w:color w:val="000000" w:themeColor="text1"/>
        </w:rPr>
        <w:t>, 2019).</w:t>
      </w:r>
    </w:p>
    <w:p w14:paraId="6C459CE3" w14:textId="77777777" w:rsidR="000D5D0C" w:rsidRPr="000A521F" w:rsidRDefault="000D5D0C" w:rsidP="000D5D0C">
      <w:pPr>
        <w:spacing w:after="0" w:line="360" w:lineRule="auto"/>
        <w:jc w:val="both"/>
        <w:rPr>
          <w:color w:val="000000" w:themeColor="text1"/>
        </w:rPr>
      </w:pPr>
    </w:p>
    <w:p w14:paraId="45A0B1CB" w14:textId="77777777" w:rsidR="000D5D0C" w:rsidRPr="000A521F" w:rsidRDefault="000D5D0C" w:rsidP="000D5D0C">
      <w:pPr>
        <w:pStyle w:val="TableParagraph"/>
        <w:tabs>
          <w:tab w:val="left" w:pos="286"/>
        </w:tabs>
        <w:spacing w:line="360" w:lineRule="auto"/>
        <w:ind w:left="0"/>
        <w:jc w:val="both"/>
        <w:rPr>
          <w:lang w:val="en-GB"/>
        </w:rPr>
      </w:pPr>
      <w:proofErr w:type="spellStart"/>
      <w:r w:rsidRPr="000A521F">
        <w:rPr>
          <w:rFonts w:asciiTheme="minorHAnsi" w:eastAsiaTheme="minorEastAsia" w:hAnsiTheme="minorHAnsi" w:cstheme="minorBidi"/>
          <w:color w:val="000000" w:themeColor="text1"/>
          <w:sz w:val="24"/>
          <w:szCs w:val="24"/>
          <w:lang w:val="en-GB"/>
        </w:rPr>
        <w:t>Kharbach</w:t>
      </w:r>
      <w:proofErr w:type="spellEnd"/>
      <w:r w:rsidRPr="000A521F">
        <w:rPr>
          <w:rFonts w:asciiTheme="minorHAnsi" w:eastAsiaTheme="minorEastAsia" w:hAnsiTheme="minorHAnsi" w:cstheme="minorBidi"/>
          <w:color w:val="000000" w:themeColor="text1"/>
          <w:sz w:val="24"/>
          <w:szCs w:val="24"/>
          <w:lang w:val="en-GB"/>
        </w:rPr>
        <w:t xml:space="preserve"> (2026) suggests following a 3-step process when implementing the strategy including ‘think’ where pupils are given a few minutes to consider an observation, question, or prompt independently. They are then paired with a more capable other to discuss their independent ideas and together formulate one response to share with the class. In practical terms, this will also rely on peer ability knowledge for the pairing to be effective. </w:t>
      </w:r>
    </w:p>
    <w:p w14:paraId="40D18001" w14:textId="77777777" w:rsidR="000D5D0C" w:rsidRPr="000A521F" w:rsidRDefault="000D5D0C" w:rsidP="000D5D0C">
      <w:pPr>
        <w:pStyle w:val="TableParagraph"/>
        <w:tabs>
          <w:tab w:val="left" w:pos="286"/>
        </w:tabs>
        <w:spacing w:line="360" w:lineRule="auto"/>
        <w:ind w:left="0"/>
        <w:jc w:val="both"/>
        <w:rPr>
          <w:lang w:val="en-GB"/>
        </w:rPr>
      </w:pPr>
      <w:r w:rsidRPr="000A521F">
        <w:rPr>
          <w:rFonts w:asciiTheme="minorHAnsi" w:eastAsiaTheme="minorEastAsia" w:hAnsiTheme="minorHAnsi" w:cstheme="minorBidi"/>
          <w:color w:val="000000" w:themeColor="text1"/>
          <w:sz w:val="24"/>
          <w:szCs w:val="24"/>
          <w:lang w:val="en-GB"/>
        </w:rPr>
        <w:t>Key challenges associated with the intervention include adequate timing of each step within the strategy</w:t>
      </w:r>
      <w:r w:rsidRPr="000A521F">
        <w:rPr>
          <w:rFonts w:asciiTheme="minorHAnsi" w:eastAsiaTheme="minorEastAsia" w:hAnsiTheme="minorHAnsi" w:cstheme="minorBidi"/>
          <w:sz w:val="24"/>
          <w:szCs w:val="24"/>
          <w:lang w:val="en-GB"/>
        </w:rPr>
        <w:t>,</w:t>
      </w:r>
      <w:r w:rsidRPr="000A521F">
        <w:rPr>
          <w:rFonts w:asciiTheme="minorHAnsi" w:eastAsiaTheme="minorEastAsia" w:hAnsiTheme="minorHAnsi" w:cstheme="minorBidi"/>
          <w:color w:val="FF0000"/>
          <w:sz w:val="24"/>
          <w:szCs w:val="24"/>
          <w:lang w:val="en-GB"/>
        </w:rPr>
        <w:t xml:space="preserve"> </w:t>
      </w:r>
      <w:r w:rsidRPr="000A521F">
        <w:rPr>
          <w:rFonts w:asciiTheme="minorHAnsi" w:eastAsiaTheme="minorEastAsia" w:hAnsiTheme="minorHAnsi" w:cstheme="minorBidi"/>
          <w:color w:val="000000" w:themeColor="text1"/>
          <w:sz w:val="24"/>
          <w:szCs w:val="24"/>
          <w:lang w:val="en-GB"/>
        </w:rPr>
        <w:t>as pupils require sufficient time to think and discuss (</w:t>
      </w:r>
      <w:proofErr w:type="spellStart"/>
      <w:r w:rsidRPr="000A521F">
        <w:rPr>
          <w:rFonts w:asciiTheme="minorHAnsi" w:eastAsiaTheme="minorEastAsia" w:hAnsiTheme="minorHAnsi" w:cstheme="minorBidi"/>
          <w:color w:val="000000" w:themeColor="text1"/>
          <w:sz w:val="24"/>
          <w:szCs w:val="24"/>
          <w:lang w:val="en-GB"/>
        </w:rPr>
        <w:t>Tondeur</w:t>
      </w:r>
      <w:proofErr w:type="spellEnd"/>
      <w:r w:rsidRPr="000A521F">
        <w:rPr>
          <w:rFonts w:asciiTheme="minorHAnsi" w:eastAsiaTheme="minorEastAsia" w:hAnsiTheme="minorHAnsi" w:cstheme="minorBidi"/>
          <w:color w:val="000000" w:themeColor="text1"/>
          <w:sz w:val="24"/>
          <w:szCs w:val="24"/>
          <w:lang w:val="en-GB"/>
        </w:rPr>
        <w:t xml:space="preserve"> </w:t>
      </w:r>
      <w:r w:rsidRPr="000A521F">
        <w:rPr>
          <w:rFonts w:asciiTheme="minorHAnsi" w:eastAsiaTheme="minorEastAsia" w:hAnsiTheme="minorHAnsi" w:cstheme="minorBidi"/>
          <w:i/>
          <w:iCs/>
          <w:color w:val="000000" w:themeColor="text1"/>
          <w:sz w:val="24"/>
          <w:szCs w:val="24"/>
          <w:lang w:val="en-GB"/>
        </w:rPr>
        <w:t>et al</w:t>
      </w:r>
      <w:r w:rsidRPr="000A521F">
        <w:rPr>
          <w:rFonts w:asciiTheme="minorHAnsi" w:eastAsiaTheme="minorEastAsia" w:hAnsiTheme="minorHAnsi" w:cstheme="minorBidi"/>
          <w:color w:val="000000" w:themeColor="text1"/>
          <w:sz w:val="24"/>
          <w:szCs w:val="24"/>
          <w:lang w:val="en-GB"/>
        </w:rPr>
        <w:t>., 2019). Second, influencing inactive pupils and preparing challenges that encourage critical thinking can be difficult for teachers</w:t>
      </w:r>
      <w:r w:rsidRPr="000A521F">
        <w:rPr>
          <w:rFonts w:asciiTheme="minorHAnsi" w:eastAsiaTheme="minorEastAsia" w:hAnsiTheme="minorHAnsi" w:cstheme="minorBidi"/>
          <w:color w:val="FF0000"/>
          <w:sz w:val="24"/>
          <w:szCs w:val="24"/>
          <w:lang w:val="en-GB"/>
        </w:rPr>
        <w:t xml:space="preserve">. </w:t>
      </w:r>
      <w:proofErr w:type="spellStart"/>
      <w:r w:rsidRPr="000A521F">
        <w:rPr>
          <w:rFonts w:asciiTheme="minorHAnsi" w:eastAsiaTheme="minorEastAsia" w:hAnsiTheme="minorHAnsi" w:cstheme="minorBidi"/>
          <w:color w:val="000000" w:themeColor="text1"/>
          <w:sz w:val="24"/>
          <w:szCs w:val="24"/>
          <w:lang w:val="en-GB"/>
        </w:rPr>
        <w:t>Aghbashlo</w:t>
      </w:r>
      <w:proofErr w:type="spellEnd"/>
      <w:r w:rsidRPr="000A521F">
        <w:rPr>
          <w:rFonts w:asciiTheme="minorHAnsi" w:eastAsiaTheme="minorEastAsia" w:hAnsiTheme="minorHAnsi" w:cstheme="minorBidi"/>
          <w:color w:val="000000" w:themeColor="text1"/>
          <w:sz w:val="24"/>
          <w:szCs w:val="24"/>
          <w:lang w:val="en-GB"/>
        </w:rPr>
        <w:t xml:space="preserve"> and Nasri (2021) assert that activities should be interactive as research says it increases student participation; therefore, the creativeness of the design of these challenges is imperative.  </w:t>
      </w:r>
    </w:p>
    <w:p w14:paraId="4028763D" w14:textId="77777777" w:rsidR="000D5D0C" w:rsidRPr="000A521F" w:rsidRDefault="000D5D0C" w:rsidP="000D5D0C">
      <w:pPr>
        <w:pStyle w:val="TableParagraph"/>
        <w:tabs>
          <w:tab w:val="left" w:pos="286"/>
        </w:tabs>
        <w:spacing w:line="360" w:lineRule="auto"/>
        <w:ind w:left="0"/>
        <w:jc w:val="both"/>
        <w:rPr>
          <w:rFonts w:asciiTheme="minorHAnsi" w:eastAsiaTheme="minorEastAsia" w:hAnsiTheme="minorHAnsi" w:cstheme="minorBidi"/>
          <w:sz w:val="24"/>
          <w:szCs w:val="24"/>
          <w:lang w:val="en-GB"/>
        </w:rPr>
      </w:pPr>
      <w:r w:rsidRPr="000A521F">
        <w:rPr>
          <w:rFonts w:asciiTheme="minorHAnsi" w:eastAsiaTheme="minorEastAsia" w:hAnsiTheme="minorHAnsi" w:cstheme="minorBidi"/>
          <w:color w:val="000000" w:themeColor="text1"/>
          <w:sz w:val="24"/>
          <w:szCs w:val="24"/>
          <w:lang w:val="en-GB"/>
        </w:rPr>
        <w:t xml:space="preserve">In Welsh medium schools most of the pupils will derive from English medium households, and the differences in Welsh language proficiency has been known to affect participation and confidence in less proficient pupils </w:t>
      </w:r>
      <w:r w:rsidRPr="000A521F">
        <w:rPr>
          <w:rFonts w:asciiTheme="minorHAnsi" w:eastAsiaTheme="minorEastAsia" w:hAnsiTheme="minorHAnsi" w:cstheme="minorBidi"/>
          <w:sz w:val="24"/>
          <w:szCs w:val="24"/>
          <w:lang w:val="en-GB"/>
        </w:rPr>
        <w:t>(</w:t>
      </w:r>
      <w:proofErr w:type="spellStart"/>
      <w:r w:rsidRPr="000A521F">
        <w:rPr>
          <w:rFonts w:asciiTheme="minorHAnsi" w:eastAsiaTheme="minorEastAsia" w:hAnsiTheme="minorHAnsi" w:cstheme="minorBidi"/>
          <w:color w:val="000000" w:themeColor="text1"/>
          <w:sz w:val="24"/>
          <w:szCs w:val="24"/>
          <w:lang w:val="en-GB"/>
        </w:rPr>
        <w:t>Namaziandost</w:t>
      </w:r>
      <w:proofErr w:type="spellEnd"/>
      <w:r w:rsidRPr="000A521F">
        <w:rPr>
          <w:rFonts w:asciiTheme="minorHAnsi" w:eastAsiaTheme="minorEastAsia" w:hAnsiTheme="minorHAnsi" w:cstheme="minorBidi"/>
          <w:color w:val="000000" w:themeColor="text1"/>
          <w:sz w:val="24"/>
          <w:szCs w:val="24"/>
          <w:lang w:val="en-GB"/>
        </w:rPr>
        <w:t xml:space="preserve"> &amp; Nasri, 2019). Cooper, Schinske and Tanner (2021) researched the purposefulness of the share element of the think–pair–share strategy. </w:t>
      </w:r>
      <w:r w:rsidRPr="000A521F">
        <w:rPr>
          <w:rFonts w:asciiTheme="minorHAnsi" w:eastAsiaTheme="minorEastAsia" w:hAnsiTheme="minorHAnsi" w:cstheme="minorBidi"/>
          <w:sz w:val="24"/>
          <w:szCs w:val="24"/>
          <w:lang w:val="en-GB"/>
        </w:rPr>
        <w:t xml:space="preserve">They theorised that there's no correct way to teach as people learn differently to each other, but they do address the limitations connected to the share element and how to adjust them.  A limitation of TPS is the sharing component, while it does enable confidence building and group work skills it does also need to be considered the possibility of anxiety spikes in students with low self-esteem. Nevertheless, with some modifications TPS is an invaluable tool when used correctly and with knowing the class and their needs. Furthermore, challenges arise regarding classroom sizes and weather the share element is effective in a large compared to smaller classes, especially when considering a student's emotional wellbeing.  </w:t>
      </w:r>
    </w:p>
    <w:p w14:paraId="03A1EA6E" w14:textId="77777777" w:rsidR="00591C4B" w:rsidRDefault="00591C4B" w:rsidP="00DD5969">
      <w:pPr>
        <w:rPr>
          <w:lang w:val="cy-GB"/>
        </w:rPr>
      </w:pPr>
    </w:p>
    <w:p w14:paraId="3A5F7D85" w14:textId="77777777" w:rsidR="006E3424" w:rsidRPr="000A521F" w:rsidRDefault="006E3424" w:rsidP="006E3424">
      <w:pPr>
        <w:rPr>
          <w:highlight w:val="green"/>
        </w:rPr>
      </w:pPr>
    </w:p>
    <w:p w14:paraId="7C5F2E74" w14:textId="77777777" w:rsidR="006E3424" w:rsidRPr="000A521F" w:rsidRDefault="006E3424" w:rsidP="006E3424">
      <w:pPr>
        <w:rPr>
          <w:color w:val="4C94D8" w:themeColor="text2" w:themeTint="80"/>
        </w:rPr>
      </w:pPr>
      <w:r w:rsidRPr="002A6F06">
        <w:t>Intervention 2: ELSA (Emotional</w:t>
      </w:r>
      <w:r w:rsidRPr="000A521F">
        <w:t xml:space="preserve"> literacy support assistant)  </w:t>
      </w:r>
    </w:p>
    <w:p w14:paraId="6A8621DB" w14:textId="77777777" w:rsidR="006E3424" w:rsidRDefault="006E3424" w:rsidP="006E3424">
      <w:pPr>
        <w:spacing w:line="360" w:lineRule="auto"/>
        <w:rPr>
          <w:color w:val="124F1A" w:themeColor="accent3" w:themeShade="BF"/>
        </w:rPr>
      </w:pPr>
      <w:r w:rsidRPr="000A521F">
        <w:t>The Emotional Literacy Support Assistant (ELSA</w:t>
      </w:r>
      <w:r w:rsidRPr="002A6F06">
        <w:t>) programme</w:t>
      </w:r>
      <w:r w:rsidRPr="000A521F">
        <w:t xml:space="preserve"> is an evidence-informed intervention delivered by </w:t>
      </w:r>
      <w:r w:rsidRPr="002A6F06">
        <w:t>teaching assistants</w:t>
      </w:r>
      <w:r w:rsidRPr="000A521F">
        <w:t xml:space="preserve"> and supervised by the ALNCo in schools (Welsh Government, 2021). The ELSA programme is connected to Vygotsky's Social Constructivist theory due to it being a developmental strategy that enhances the child’s learning and understanding of themselves and others (</w:t>
      </w:r>
      <w:proofErr w:type="spellStart"/>
      <w:r w:rsidRPr="000A521F">
        <w:t>Mbire-Chigumba</w:t>
      </w:r>
      <w:proofErr w:type="spellEnd"/>
      <w:r w:rsidRPr="000A521F">
        <w:t xml:space="preserve">, 2023). </w:t>
      </w:r>
    </w:p>
    <w:p w14:paraId="36CDC95E" w14:textId="77777777" w:rsidR="006E3424" w:rsidRPr="004C0008" w:rsidRDefault="006E3424" w:rsidP="006E3424">
      <w:pPr>
        <w:spacing w:line="360" w:lineRule="auto"/>
        <w:rPr>
          <w:color w:val="124F1A" w:themeColor="accent3" w:themeShade="BF"/>
        </w:rPr>
      </w:pPr>
      <w:r w:rsidRPr="00835C6B">
        <w:rPr>
          <w:color w:val="1A1A1A"/>
        </w:rPr>
        <w:t xml:space="preserve">The purpose of the intervention is to support the child in developing problem-solving skills by enabling them to identify and address their own difficulties through structured discussion and targeted activities with a trusted adult. This approach provides a safe and supportive environment in which the child can express their concerns and insecurities, while enhancing their emotional literacy and self-awareness. Furthermore, Krause, Blackwell and Claridge (2020) emphasise that positive pupil wellbeing is often associated with the development of a strong, trusting relationship between the student and the </w:t>
      </w:r>
      <w:r>
        <w:rPr>
          <w:color w:val="1A1A1A"/>
        </w:rPr>
        <w:t xml:space="preserve">ELSA support worker. </w:t>
      </w:r>
    </w:p>
    <w:p w14:paraId="0FB2E9D4" w14:textId="77777777" w:rsidR="006E3424" w:rsidRPr="000A521F" w:rsidRDefault="006E3424" w:rsidP="006E3424">
      <w:pPr>
        <w:pStyle w:val="TableParagraph"/>
        <w:tabs>
          <w:tab w:val="left" w:pos="286"/>
        </w:tabs>
        <w:spacing w:line="360" w:lineRule="auto"/>
        <w:ind w:left="0" w:right="588"/>
        <w:jc w:val="both"/>
        <w:rPr>
          <w:rFonts w:asciiTheme="minorHAnsi" w:hAnsiTheme="minorHAnsi"/>
          <w:sz w:val="24"/>
          <w:szCs w:val="24"/>
          <w:lang w:val="en-GB"/>
        </w:rPr>
      </w:pPr>
      <w:r w:rsidRPr="000A521F">
        <w:rPr>
          <w:rFonts w:asciiTheme="minorHAnsi" w:hAnsiTheme="minorHAnsi"/>
          <w:sz w:val="24"/>
          <w:szCs w:val="24"/>
          <w:lang w:val="en-GB"/>
        </w:rPr>
        <w:t xml:space="preserve"> A student with mild to intermedial self-esteem or challenges would be observed by the class teacher who would then refer the child to the ALNCO if additional needs are present or the safeguarding lead with recommendation for ELSA intervention (Nicholson</w:t>
      </w:r>
      <w:r>
        <w:rPr>
          <w:rFonts w:asciiTheme="minorHAnsi" w:hAnsiTheme="minorHAnsi"/>
          <w:sz w:val="24"/>
          <w:szCs w:val="24"/>
          <w:lang w:val="en-GB"/>
        </w:rPr>
        <w:t xml:space="preserve">, </w:t>
      </w:r>
      <w:r w:rsidRPr="000A521F">
        <w:rPr>
          <w:rFonts w:asciiTheme="minorHAnsi" w:hAnsiTheme="minorHAnsi"/>
          <w:sz w:val="24"/>
          <w:szCs w:val="24"/>
          <w:lang w:val="en-GB"/>
        </w:rPr>
        <w:t>Roberts and</w:t>
      </w:r>
      <w:r>
        <w:rPr>
          <w:rFonts w:asciiTheme="minorHAnsi" w:hAnsiTheme="minorHAnsi"/>
          <w:sz w:val="24"/>
          <w:szCs w:val="24"/>
          <w:lang w:val="en-GB"/>
        </w:rPr>
        <w:t xml:space="preserve"> </w:t>
      </w:r>
      <w:r w:rsidRPr="000A521F">
        <w:rPr>
          <w:rFonts w:asciiTheme="minorHAnsi" w:hAnsiTheme="minorHAnsi"/>
          <w:sz w:val="24"/>
          <w:szCs w:val="24"/>
          <w:lang w:val="en-GB"/>
        </w:rPr>
        <w:t>Somerville,2025). ELSA is designed to distribute short term assistance to students with issues such as social skills, emotional regulation and managing strong feelings (ELSA support, no date).</w:t>
      </w:r>
      <w:r w:rsidRPr="000A521F">
        <w:rPr>
          <w:rFonts w:asciiTheme="minorHAnsi" w:hAnsiTheme="minorHAnsi"/>
          <w:color w:val="124F1A" w:themeColor="accent3" w:themeShade="BF"/>
          <w:sz w:val="24"/>
          <w:szCs w:val="24"/>
          <w:lang w:val="en-GB"/>
        </w:rPr>
        <w:t xml:space="preserve"> </w:t>
      </w:r>
    </w:p>
    <w:p w14:paraId="5DC112DA" w14:textId="77777777" w:rsidR="006E3424" w:rsidRDefault="006E3424" w:rsidP="006E3424">
      <w:pPr>
        <w:pStyle w:val="TableParagraph"/>
        <w:tabs>
          <w:tab w:val="left" w:pos="286"/>
        </w:tabs>
        <w:spacing w:line="360" w:lineRule="auto"/>
        <w:ind w:left="0"/>
        <w:rPr>
          <w:rFonts w:asciiTheme="minorHAnsi" w:hAnsiTheme="minorHAnsi"/>
          <w:color w:val="FF0000"/>
          <w:sz w:val="24"/>
          <w:szCs w:val="24"/>
          <w:lang w:val="en-GB"/>
        </w:rPr>
      </w:pPr>
    </w:p>
    <w:p w14:paraId="1C2F7A4E" w14:textId="09FE9295" w:rsidR="00DD715C" w:rsidRDefault="006E3424" w:rsidP="00E9440D">
      <w:pPr>
        <w:pStyle w:val="TableParagraph"/>
        <w:tabs>
          <w:tab w:val="left" w:pos="286"/>
        </w:tabs>
        <w:spacing w:line="360" w:lineRule="auto"/>
        <w:ind w:left="0"/>
        <w:rPr>
          <w:rFonts w:asciiTheme="minorHAnsi" w:hAnsiTheme="minorHAnsi"/>
          <w:sz w:val="24"/>
          <w:szCs w:val="24"/>
          <w:lang w:val="en-GB"/>
        </w:rPr>
      </w:pPr>
      <w:r w:rsidRPr="000A521F">
        <w:rPr>
          <w:rFonts w:asciiTheme="minorHAnsi" w:hAnsiTheme="minorHAnsi"/>
          <w:sz w:val="24"/>
          <w:szCs w:val="24"/>
          <w:lang w:val="en-GB"/>
        </w:rPr>
        <w:t>Krause, Blackwell, and Claridge (2020) debate that despite its success, the programme does have its share of potential rising issues with structure from the local authority to how the schools deliver the sessions. Some challenges arise from staffing issues, or prior commitments before a TA agreeing to be an ELSA, such as they might already be a 1-1 with a child with ALN.</w:t>
      </w:r>
      <w:r w:rsidR="00DC7A62">
        <w:rPr>
          <w:rFonts w:asciiTheme="minorHAnsi" w:hAnsiTheme="minorHAnsi"/>
          <w:sz w:val="24"/>
          <w:szCs w:val="24"/>
          <w:lang w:val="en-GB"/>
        </w:rPr>
        <w:t xml:space="preserve"> </w:t>
      </w:r>
      <w:r w:rsidR="006C1C28">
        <w:rPr>
          <w:rFonts w:asciiTheme="minorHAnsi" w:hAnsiTheme="minorHAnsi"/>
          <w:sz w:val="24"/>
          <w:szCs w:val="24"/>
          <w:lang w:val="en-GB"/>
        </w:rPr>
        <w:t xml:space="preserve">Continuous consistency </w:t>
      </w:r>
      <w:r w:rsidR="00B20003">
        <w:rPr>
          <w:rFonts w:asciiTheme="minorHAnsi" w:hAnsiTheme="minorHAnsi"/>
          <w:sz w:val="24"/>
          <w:szCs w:val="24"/>
          <w:lang w:val="en-GB"/>
        </w:rPr>
        <w:t>is significant</w:t>
      </w:r>
      <w:r w:rsidR="00FF03E8">
        <w:rPr>
          <w:rFonts w:asciiTheme="minorHAnsi" w:hAnsiTheme="minorHAnsi"/>
          <w:sz w:val="24"/>
          <w:szCs w:val="24"/>
          <w:lang w:val="en-GB"/>
        </w:rPr>
        <w:t xml:space="preserve"> and be challenged by </w:t>
      </w:r>
      <w:r w:rsidR="00B20003">
        <w:rPr>
          <w:rFonts w:asciiTheme="minorHAnsi" w:hAnsiTheme="minorHAnsi"/>
          <w:sz w:val="24"/>
          <w:szCs w:val="24"/>
          <w:lang w:val="en-GB"/>
        </w:rPr>
        <w:t xml:space="preserve">staff illness, or pregnancy </w:t>
      </w:r>
      <w:r w:rsidR="003D2E39">
        <w:rPr>
          <w:rFonts w:asciiTheme="minorHAnsi" w:hAnsiTheme="minorHAnsi"/>
          <w:sz w:val="24"/>
          <w:szCs w:val="24"/>
          <w:lang w:val="en-GB"/>
        </w:rPr>
        <w:t xml:space="preserve">absence. This can </w:t>
      </w:r>
      <w:r w:rsidR="005E1B4C">
        <w:rPr>
          <w:rFonts w:asciiTheme="minorHAnsi" w:hAnsiTheme="minorHAnsi"/>
          <w:sz w:val="24"/>
          <w:szCs w:val="24"/>
          <w:lang w:val="en-GB"/>
        </w:rPr>
        <w:t>affect</w:t>
      </w:r>
      <w:r w:rsidR="003D2E39">
        <w:rPr>
          <w:rFonts w:asciiTheme="minorHAnsi" w:hAnsiTheme="minorHAnsi"/>
          <w:sz w:val="24"/>
          <w:szCs w:val="24"/>
          <w:lang w:val="en-GB"/>
        </w:rPr>
        <w:t xml:space="preserve"> the development and success of the programme as much relies on relationship development and sense of </w:t>
      </w:r>
      <w:r w:rsidR="004969EE">
        <w:rPr>
          <w:rFonts w:asciiTheme="minorHAnsi" w:hAnsiTheme="minorHAnsi"/>
          <w:sz w:val="24"/>
          <w:szCs w:val="24"/>
          <w:lang w:val="en-GB"/>
        </w:rPr>
        <w:t xml:space="preserve">security. </w:t>
      </w:r>
      <w:r w:rsidR="005E1B4C">
        <w:rPr>
          <w:rFonts w:asciiTheme="minorHAnsi" w:hAnsiTheme="minorHAnsi"/>
          <w:sz w:val="24"/>
          <w:szCs w:val="24"/>
          <w:lang w:val="en-GB"/>
        </w:rPr>
        <w:t xml:space="preserve">In turn, </w:t>
      </w:r>
      <w:r w:rsidR="005E1B4C">
        <w:rPr>
          <w:rFonts w:asciiTheme="minorHAnsi" w:hAnsiTheme="minorHAnsi"/>
          <w:sz w:val="24"/>
          <w:szCs w:val="24"/>
          <w:lang w:val="en-GB"/>
        </w:rPr>
        <w:lastRenderedPageBreak/>
        <w:t>these challenges can also incur additional cost</w:t>
      </w:r>
      <w:r w:rsidR="00D765A6">
        <w:rPr>
          <w:rFonts w:asciiTheme="minorHAnsi" w:hAnsiTheme="minorHAnsi"/>
          <w:sz w:val="24"/>
          <w:szCs w:val="24"/>
          <w:lang w:val="en-GB"/>
        </w:rPr>
        <w:t xml:space="preserve"> such as retraining a new member of staff, </w:t>
      </w:r>
      <w:r w:rsidR="00516272">
        <w:rPr>
          <w:rFonts w:asciiTheme="minorHAnsi" w:hAnsiTheme="minorHAnsi"/>
          <w:sz w:val="24"/>
          <w:szCs w:val="24"/>
          <w:lang w:val="en-GB"/>
        </w:rPr>
        <w:t xml:space="preserve">with </w:t>
      </w:r>
      <w:r w:rsidR="00B1250B">
        <w:rPr>
          <w:rFonts w:asciiTheme="minorHAnsi" w:hAnsiTheme="minorHAnsi"/>
          <w:sz w:val="24"/>
          <w:szCs w:val="24"/>
          <w:lang w:val="en-GB"/>
        </w:rPr>
        <w:t xml:space="preserve">new or additional duties affecting </w:t>
      </w:r>
      <w:r w:rsidR="00F46CE6">
        <w:rPr>
          <w:rFonts w:asciiTheme="minorHAnsi" w:hAnsiTheme="minorHAnsi"/>
          <w:sz w:val="24"/>
          <w:szCs w:val="24"/>
          <w:lang w:val="en-GB"/>
        </w:rPr>
        <w:t>a wider audience such as individuals or groups across classrooms</w:t>
      </w:r>
      <w:r w:rsidR="000B36BD">
        <w:rPr>
          <w:rFonts w:asciiTheme="minorHAnsi" w:hAnsiTheme="minorHAnsi"/>
          <w:sz w:val="24"/>
          <w:szCs w:val="24"/>
          <w:lang w:val="en-GB"/>
        </w:rPr>
        <w:t xml:space="preserve">. </w:t>
      </w:r>
      <w:r w:rsidR="00DD715C" w:rsidRPr="237E8CE2">
        <w:rPr>
          <w:rFonts w:asciiTheme="minorHAnsi" w:hAnsiTheme="minorHAnsi"/>
          <w:sz w:val="24"/>
          <w:szCs w:val="24"/>
          <w:lang w:val="en-GB"/>
        </w:rPr>
        <w:t xml:space="preserve">Another limitation facing the ELSA programme is </w:t>
      </w:r>
      <w:r w:rsidR="00A44432">
        <w:rPr>
          <w:rFonts w:asciiTheme="minorHAnsi" w:hAnsiTheme="minorHAnsi"/>
          <w:sz w:val="24"/>
          <w:szCs w:val="24"/>
          <w:lang w:val="en-GB"/>
        </w:rPr>
        <w:t>finding suitable environment to hold these sessions</w:t>
      </w:r>
      <w:r w:rsidR="005B3464">
        <w:rPr>
          <w:rFonts w:asciiTheme="minorHAnsi" w:hAnsiTheme="minorHAnsi"/>
          <w:sz w:val="24"/>
          <w:szCs w:val="24"/>
          <w:lang w:val="en-GB"/>
        </w:rPr>
        <w:t xml:space="preserve"> as these sessions benefit from a comfortable</w:t>
      </w:r>
      <w:r w:rsidR="004674D6">
        <w:rPr>
          <w:rFonts w:asciiTheme="minorHAnsi" w:hAnsiTheme="minorHAnsi"/>
          <w:sz w:val="24"/>
          <w:szCs w:val="24"/>
          <w:lang w:val="en-GB"/>
        </w:rPr>
        <w:t xml:space="preserve"> </w:t>
      </w:r>
      <w:r w:rsidR="006C1C28">
        <w:rPr>
          <w:rFonts w:asciiTheme="minorHAnsi" w:hAnsiTheme="minorHAnsi"/>
          <w:sz w:val="24"/>
          <w:szCs w:val="24"/>
          <w:lang w:val="en-GB"/>
        </w:rPr>
        <w:t>enclosed space</w:t>
      </w:r>
      <w:r w:rsidR="005B3464">
        <w:rPr>
          <w:rFonts w:asciiTheme="minorHAnsi" w:hAnsiTheme="minorHAnsi"/>
          <w:sz w:val="24"/>
          <w:szCs w:val="24"/>
          <w:lang w:val="en-GB"/>
        </w:rPr>
        <w:t xml:space="preserve"> thus allowing the child to explore their emotions and insec</w:t>
      </w:r>
      <w:r w:rsidR="004674D6">
        <w:rPr>
          <w:rFonts w:asciiTheme="minorHAnsi" w:hAnsiTheme="minorHAnsi"/>
          <w:sz w:val="24"/>
          <w:szCs w:val="24"/>
          <w:lang w:val="en-GB"/>
        </w:rPr>
        <w:t xml:space="preserve">urities and gain confidence. </w:t>
      </w:r>
      <w:r w:rsidR="0096135C">
        <w:rPr>
          <w:rFonts w:asciiTheme="minorHAnsi" w:hAnsiTheme="minorHAnsi"/>
          <w:sz w:val="24"/>
          <w:szCs w:val="24"/>
          <w:lang w:val="en-GB"/>
        </w:rPr>
        <w:t>A further cha</w:t>
      </w:r>
      <w:r w:rsidR="001F206C">
        <w:rPr>
          <w:rFonts w:asciiTheme="minorHAnsi" w:hAnsiTheme="minorHAnsi"/>
          <w:sz w:val="24"/>
          <w:szCs w:val="24"/>
          <w:lang w:val="en-GB"/>
        </w:rPr>
        <w:t xml:space="preserve">llenge relates to time. The ELSA should </w:t>
      </w:r>
      <w:r w:rsidR="005072AD">
        <w:rPr>
          <w:rFonts w:asciiTheme="minorHAnsi" w:hAnsiTheme="minorHAnsi"/>
          <w:sz w:val="24"/>
          <w:szCs w:val="24"/>
          <w:lang w:val="en-GB"/>
        </w:rPr>
        <w:t xml:space="preserve">share planning and observations with class teachers for </w:t>
      </w:r>
      <w:r w:rsidR="0080283F">
        <w:rPr>
          <w:rFonts w:asciiTheme="minorHAnsi" w:hAnsiTheme="minorHAnsi"/>
          <w:sz w:val="24"/>
          <w:szCs w:val="24"/>
          <w:lang w:val="en-GB"/>
        </w:rPr>
        <w:t xml:space="preserve">optimized success of the programme and provide additional opportunity for pupils to practice skills within their classrooms. </w:t>
      </w:r>
      <w:r w:rsidR="00465F8C">
        <w:rPr>
          <w:rFonts w:asciiTheme="minorHAnsi" w:hAnsiTheme="minorHAnsi"/>
          <w:sz w:val="24"/>
          <w:szCs w:val="24"/>
          <w:lang w:val="en-GB"/>
        </w:rPr>
        <w:t xml:space="preserve">The </w:t>
      </w:r>
      <w:proofErr w:type="spellStart"/>
      <w:r w:rsidR="00465F8C">
        <w:rPr>
          <w:rFonts w:asciiTheme="minorHAnsi" w:hAnsiTheme="minorHAnsi"/>
          <w:sz w:val="24"/>
          <w:szCs w:val="24"/>
          <w:lang w:val="en-GB"/>
        </w:rPr>
        <w:t>ALNco</w:t>
      </w:r>
      <w:proofErr w:type="spellEnd"/>
      <w:r w:rsidR="00465F8C">
        <w:rPr>
          <w:rFonts w:asciiTheme="minorHAnsi" w:hAnsiTheme="minorHAnsi"/>
          <w:sz w:val="24"/>
          <w:szCs w:val="24"/>
          <w:lang w:val="en-GB"/>
        </w:rPr>
        <w:t xml:space="preserve"> </w:t>
      </w:r>
      <w:r w:rsidR="00051377">
        <w:rPr>
          <w:rFonts w:asciiTheme="minorHAnsi" w:hAnsiTheme="minorHAnsi"/>
          <w:sz w:val="24"/>
          <w:szCs w:val="24"/>
          <w:lang w:val="en-GB"/>
        </w:rPr>
        <w:t>also requires adequate time to observe both practice a</w:t>
      </w:r>
      <w:r w:rsidR="007B382A">
        <w:rPr>
          <w:rFonts w:asciiTheme="minorHAnsi" w:hAnsiTheme="minorHAnsi"/>
          <w:sz w:val="24"/>
          <w:szCs w:val="24"/>
          <w:lang w:val="en-GB"/>
        </w:rPr>
        <w:t xml:space="preserve">nd pupil progress on more </w:t>
      </w:r>
      <w:r w:rsidR="00037947">
        <w:rPr>
          <w:rFonts w:asciiTheme="minorHAnsi" w:hAnsiTheme="minorHAnsi"/>
          <w:sz w:val="24"/>
          <w:szCs w:val="24"/>
          <w:lang w:val="en-GB"/>
        </w:rPr>
        <w:t>than</w:t>
      </w:r>
      <w:r w:rsidR="007B382A">
        <w:rPr>
          <w:rFonts w:asciiTheme="minorHAnsi" w:hAnsiTheme="minorHAnsi"/>
          <w:sz w:val="24"/>
          <w:szCs w:val="24"/>
          <w:lang w:val="en-GB"/>
        </w:rPr>
        <w:t xml:space="preserve"> one occasion during the </w:t>
      </w:r>
      <w:proofErr w:type="gramStart"/>
      <w:r w:rsidR="00037947">
        <w:rPr>
          <w:rFonts w:asciiTheme="minorHAnsi" w:hAnsiTheme="minorHAnsi"/>
          <w:sz w:val="24"/>
          <w:szCs w:val="24"/>
          <w:lang w:val="en-GB"/>
        </w:rPr>
        <w:t>six week</w:t>
      </w:r>
      <w:proofErr w:type="gramEnd"/>
      <w:r w:rsidR="00037947">
        <w:rPr>
          <w:rFonts w:asciiTheme="minorHAnsi" w:hAnsiTheme="minorHAnsi"/>
          <w:sz w:val="24"/>
          <w:szCs w:val="24"/>
          <w:lang w:val="en-GB"/>
        </w:rPr>
        <w:t xml:space="preserve"> programme for the evaluation to be </w:t>
      </w:r>
      <w:r w:rsidR="007334DC">
        <w:rPr>
          <w:rFonts w:asciiTheme="minorHAnsi" w:hAnsiTheme="minorHAnsi"/>
          <w:sz w:val="24"/>
          <w:szCs w:val="24"/>
          <w:lang w:val="en-GB"/>
        </w:rPr>
        <w:t xml:space="preserve">validated. </w:t>
      </w:r>
      <w:r w:rsidR="004B455E">
        <w:rPr>
          <w:rFonts w:asciiTheme="minorHAnsi" w:hAnsiTheme="minorHAnsi"/>
          <w:sz w:val="24"/>
          <w:szCs w:val="24"/>
          <w:lang w:val="en-GB"/>
        </w:rPr>
        <w:t xml:space="preserve">Finally, </w:t>
      </w:r>
      <w:r w:rsidR="006E5034">
        <w:rPr>
          <w:rFonts w:asciiTheme="minorHAnsi" w:hAnsiTheme="minorHAnsi"/>
          <w:sz w:val="24"/>
          <w:szCs w:val="24"/>
          <w:lang w:val="en-GB"/>
        </w:rPr>
        <w:t xml:space="preserve">liaising with parents </w:t>
      </w:r>
      <w:r w:rsidR="00D61765">
        <w:rPr>
          <w:rFonts w:asciiTheme="minorHAnsi" w:hAnsiTheme="minorHAnsi"/>
          <w:sz w:val="24"/>
          <w:szCs w:val="24"/>
          <w:lang w:val="en-GB"/>
        </w:rPr>
        <w:t xml:space="preserve">is essential as children will be absent from class </w:t>
      </w:r>
      <w:proofErr w:type="gramStart"/>
      <w:r w:rsidR="00D61765">
        <w:rPr>
          <w:rFonts w:asciiTheme="minorHAnsi" w:hAnsiTheme="minorHAnsi"/>
          <w:sz w:val="24"/>
          <w:szCs w:val="24"/>
          <w:lang w:val="en-GB"/>
        </w:rPr>
        <w:t>for  a</w:t>
      </w:r>
      <w:proofErr w:type="gramEnd"/>
      <w:r w:rsidR="00D61765">
        <w:rPr>
          <w:rFonts w:asciiTheme="minorHAnsi" w:hAnsiTheme="minorHAnsi"/>
          <w:sz w:val="24"/>
          <w:szCs w:val="24"/>
          <w:lang w:val="en-GB"/>
        </w:rPr>
        <w:t xml:space="preserve"> period every week </w:t>
      </w:r>
      <w:r w:rsidR="000C6533">
        <w:rPr>
          <w:rFonts w:asciiTheme="minorHAnsi" w:hAnsiTheme="minorHAnsi"/>
          <w:sz w:val="24"/>
          <w:szCs w:val="24"/>
          <w:lang w:val="en-GB"/>
        </w:rPr>
        <w:t xml:space="preserve">(Elsa Network, no date). </w:t>
      </w:r>
    </w:p>
    <w:p w14:paraId="6F755100" w14:textId="77777777" w:rsidR="00CC0E76" w:rsidRDefault="00CC0E76" w:rsidP="00E9440D">
      <w:pPr>
        <w:pStyle w:val="TableParagraph"/>
        <w:tabs>
          <w:tab w:val="left" w:pos="286"/>
        </w:tabs>
        <w:spacing w:line="360" w:lineRule="auto"/>
        <w:ind w:left="0"/>
        <w:rPr>
          <w:rFonts w:asciiTheme="minorHAnsi" w:hAnsiTheme="minorHAnsi"/>
          <w:sz w:val="24"/>
          <w:szCs w:val="24"/>
          <w:lang w:val="en-GB"/>
        </w:rPr>
      </w:pPr>
    </w:p>
    <w:p w14:paraId="488596C9" w14:textId="773D22E7" w:rsidR="00CC0E76" w:rsidRDefault="00CC0E76" w:rsidP="00E9440D">
      <w:pPr>
        <w:pStyle w:val="TableParagraph"/>
        <w:tabs>
          <w:tab w:val="left" w:pos="286"/>
        </w:tabs>
        <w:spacing w:line="360" w:lineRule="auto"/>
        <w:ind w:left="0"/>
        <w:rPr>
          <w:rFonts w:asciiTheme="minorHAnsi" w:hAnsiTheme="minorHAnsi"/>
          <w:sz w:val="24"/>
          <w:szCs w:val="24"/>
          <w:lang w:val="en-GB"/>
        </w:rPr>
      </w:pPr>
      <w:r>
        <w:rPr>
          <w:rFonts w:asciiTheme="minorHAnsi" w:hAnsiTheme="minorHAnsi"/>
          <w:sz w:val="24"/>
          <w:szCs w:val="24"/>
          <w:lang w:val="en-GB"/>
        </w:rPr>
        <w:t>Conclusion</w:t>
      </w:r>
    </w:p>
    <w:p w14:paraId="67C922E6" w14:textId="77777777" w:rsidR="00CC0E76" w:rsidRDefault="00CC0E76" w:rsidP="00E9440D">
      <w:pPr>
        <w:pStyle w:val="TableParagraph"/>
        <w:tabs>
          <w:tab w:val="left" w:pos="286"/>
        </w:tabs>
        <w:spacing w:line="360" w:lineRule="auto"/>
        <w:ind w:left="0"/>
        <w:rPr>
          <w:rFonts w:asciiTheme="minorHAnsi" w:hAnsiTheme="minorHAnsi"/>
          <w:sz w:val="24"/>
          <w:szCs w:val="24"/>
          <w:lang w:val="en-GB"/>
        </w:rPr>
      </w:pPr>
    </w:p>
    <w:p w14:paraId="4D76B780" w14:textId="77777777" w:rsidR="00CC0E76" w:rsidRPr="00F570D3" w:rsidRDefault="00CC0E76" w:rsidP="00CA6EFF">
      <w:pPr>
        <w:spacing w:after="0" w:line="360" w:lineRule="auto"/>
        <w:jc w:val="both"/>
        <w:rPr>
          <w:rFonts w:ascii="Arial Nova" w:hAnsi="Arial Nova"/>
        </w:rPr>
      </w:pPr>
      <w:r w:rsidRPr="00F570D3">
        <w:rPr>
          <w:rFonts w:ascii="Arial Nova" w:hAnsi="Arial Nova"/>
        </w:rPr>
        <w:t>Drawing on Tripp's (1993) model of critical incident analysis, the discussion explored two interventions that could support the child: Think-Pair-Share (TPS) and the Emotional Literacy Support Assistant (ELSA) programme. Both strategies were selected because they address different aspects of confidence development, with TPS focusing on classroom participation and peer interaction, and ELSA providing targeted emotional support through structured intervention.</w:t>
      </w:r>
    </w:p>
    <w:p w14:paraId="7432AAA3" w14:textId="77777777" w:rsidR="00CA6EFF" w:rsidRDefault="00CA6EFF" w:rsidP="00CA6EFF">
      <w:pPr>
        <w:spacing w:after="0" w:line="360" w:lineRule="auto"/>
        <w:jc w:val="both"/>
        <w:rPr>
          <w:rFonts w:ascii="Arial Nova" w:hAnsi="Arial Nova"/>
        </w:rPr>
      </w:pPr>
    </w:p>
    <w:p w14:paraId="5E6A98B1" w14:textId="731127D9" w:rsidR="00CC0E76" w:rsidRPr="00F570D3" w:rsidRDefault="00CC0E76" w:rsidP="00CA6EFF">
      <w:pPr>
        <w:spacing w:after="0" w:line="360" w:lineRule="auto"/>
        <w:jc w:val="both"/>
        <w:rPr>
          <w:rFonts w:ascii="Arial Nova" w:hAnsi="Arial Nova"/>
        </w:rPr>
      </w:pPr>
      <w:r w:rsidRPr="00F570D3">
        <w:rPr>
          <w:rFonts w:ascii="Arial Nova" w:hAnsi="Arial Nova"/>
        </w:rPr>
        <w:t>The analysis highlighted several key findings. First</w:t>
      </w:r>
      <w:r w:rsidRPr="00CC0E76">
        <w:rPr>
          <w:rFonts w:ascii="Arial Nova" w:hAnsi="Arial Nova"/>
        </w:rPr>
        <w:t>ly</w:t>
      </w:r>
      <w:r w:rsidRPr="00F570D3">
        <w:rPr>
          <w:rFonts w:ascii="Arial Nova" w:hAnsi="Arial Nova"/>
        </w:rPr>
        <w:t>, learner confidence can significantly influence classroom engagement and willingness to contribute verbally. Second</w:t>
      </w:r>
      <w:r w:rsidRPr="00CC0E76">
        <w:rPr>
          <w:rFonts w:ascii="Arial Nova" w:hAnsi="Arial Nova"/>
        </w:rPr>
        <w:t>ly</w:t>
      </w:r>
      <w:r w:rsidRPr="00F570D3">
        <w:rPr>
          <w:rFonts w:ascii="Arial Nova" w:hAnsi="Arial Nova"/>
        </w:rPr>
        <w:t>, interventions are most effective when they acknowledge both academic and emotional needs. TPS offers opportunities for pupils to rehearse responses in a supportive environment before sharing with a wider audience, potentially reducing anxiety and increasing participation. However, the strategy requires careful implementation, particularly for learners who may experience heightened anxiety during whole</w:t>
      </w:r>
      <w:r w:rsidRPr="00CC0E76">
        <w:rPr>
          <w:rFonts w:ascii="Arial Nova" w:hAnsi="Arial Nova"/>
        </w:rPr>
        <w:t xml:space="preserve"> </w:t>
      </w:r>
      <w:r w:rsidRPr="00F570D3">
        <w:rPr>
          <w:rFonts w:ascii="Arial Nova" w:hAnsi="Arial Nova"/>
        </w:rPr>
        <w:t xml:space="preserve">class sharing. ELSA, in contrast, provides personalised support that enables children to develop emotional literacy, self-awareness, and problem-solving </w:t>
      </w:r>
      <w:r w:rsidRPr="00F570D3">
        <w:rPr>
          <w:rFonts w:ascii="Arial Nova" w:hAnsi="Arial Nova"/>
        </w:rPr>
        <w:lastRenderedPageBreak/>
        <w:t xml:space="preserve">skills through trusted relationships with adults. Nevertheless, practical challenges such as staffing, time, </w:t>
      </w:r>
      <w:r w:rsidRPr="00CC0E76">
        <w:rPr>
          <w:rFonts w:ascii="Arial Nova" w:hAnsi="Arial Nova"/>
        </w:rPr>
        <w:t xml:space="preserve">location and consistency </w:t>
      </w:r>
      <w:r w:rsidRPr="00F570D3">
        <w:rPr>
          <w:rFonts w:ascii="Arial Nova" w:hAnsi="Arial Nova"/>
        </w:rPr>
        <w:t>may affect its successful implementation.</w:t>
      </w:r>
    </w:p>
    <w:p w14:paraId="3A70AD6C" w14:textId="77777777" w:rsidR="00CC0E76" w:rsidRPr="00F570D3" w:rsidRDefault="00CC0E76" w:rsidP="00CA6EFF">
      <w:pPr>
        <w:spacing w:after="0" w:line="360" w:lineRule="auto"/>
        <w:jc w:val="both"/>
        <w:rPr>
          <w:rFonts w:ascii="Arial Nova" w:hAnsi="Arial Nova"/>
        </w:rPr>
      </w:pPr>
      <w:r w:rsidRPr="00F570D3">
        <w:rPr>
          <w:rFonts w:ascii="Arial Nova" w:hAnsi="Arial Nova"/>
        </w:rPr>
        <w:t>Reflecting on this critical incident has reinforced the importance of adopting a holistic approach when addressing barriers to learning. It has demonstrated that behaviour and participation are often influenced by underlying emotional factors that may not be immediately visible. The process of reflection has encouraged deeper consideration of the individual experiences, needs, and contexts that shape pupil engagement</w:t>
      </w:r>
      <w:r w:rsidRPr="00CC0E76">
        <w:rPr>
          <w:rFonts w:ascii="Arial Nova" w:hAnsi="Arial Nova"/>
        </w:rPr>
        <w:t xml:space="preserve"> (Tripp, 1993)</w:t>
      </w:r>
      <w:r w:rsidRPr="00F570D3">
        <w:rPr>
          <w:rFonts w:ascii="Arial Nova" w:hAnsi="Arial Nova"/>
        </w:rPr>
        <w:t xml:space="preserve">. </w:t>
      </w:r>
    </w:p>
    <w:p w14:paraId="7D8380C1" w14:textId="77777777" w:rsidR="00CA6EFF" w:rsidRDefault="00CA6EFF" w:rsidP="00CA6EFF">
      <w:pPr>
        <w:spacing w:after="0" w:line="360" w:lineRule="auto"/>
        <w:jc w:val="both"/>
        <w:rPr>
          <w:rFonts w:ascii="Arial Nova" w:hAnsi="Arial Nova"/>
        </w:rPr>
      </w:pPr>
    </w:p>
    <w:p w14:paraId="0FB9CA06" w14:textId="09D98C76" w:rsidR="00CC0E76" w:rsidRPr="00F570D3" w:rsidRDefault="00CC0E76" w:rsidP="00CA6EFF">
      <w:pPr>
        <w:spacing w:after="0" w:line="360" w:lineRule="auto"/>
        <w:jc w:val="both"/>
        <w:rPr>
          <w:rFonts w:ascii="Arial Nova" w:hAnsi="Arial Nova"/>
        </w:rPr>
      </w:pPr>
      <w:r w:rsidRPr="00F570D3">
        <w:rPr>
          <w:rFonts w:ascii="Arial Nova" w:hAnsi="Arial Nova"/>
        </w:rPr>
        <w:t xml:space="preserve">This reflection </w:t>
      </w:r>
      <w:r w:rsidRPr="00CC0E76">
        <w:rPr>
          <w:rFonts w:ascii="Arial Nova" w:hAnsi="Arial Nova"/>
        </w:rPr>
        <w:t xml:space="preserve">has raised “awareness of how high-quality learning experiences” such as ELSA intervention and TPS strategy, can “lead to improved learning and a heightened sense of well-being” (Welsh Government, 2017). During PTE 1, it will encourage </w:t>
      </w:r>
      <w:r w:rsidRPr="00F570D3">
        <w:rPr>
          <w:rFonts w:ascii="Arial Nova" w:hAnsi="Arial Nova"/>
        </w:rPr>
        <w:t xml:space="preserve">me to identify confidence-related barriers at an early stage and implement proactive support strategies. I will place greater emphasis on </w:t>
      </w:r>
      <w:r w:rsidR="00CA6EFF" w:rsidRPr="00F570D3">
        <w:rPr>
          <w:rFonts w:ascii="Arial Nova" w:hAnsi="Arial Nova"/>
        </w:rPr>
        <w:t>creating learning</w:t>
      </w:r>
      <w:r w:rsidRPr="00F570D3">
        <w:rPr>
          <w:rFonts w:ascii="Arial Nova" w:hAnsi="Arial Nova"/>
        </w:rPr>
        <w:t xml:space="preserve"> environments that promote participation through different approaches and positive relationships. Additionally, I will continue to engage in reflective practice</w:t>
      </w:r>
      <w:r w:rsidRPr="00CC0E76">
        <w:rPr>
          <w:rFonts w:ascii="Arial Nova" w:hAnsi="Arial Nova"/>
        </w:rPr>
        <w:t xml:space="preserve"> (Tripp, 1993)</w:t>
      </w:r>
      <w:r w:rsidRPr="00F570D3">
        <w:rPr>
          <w:rFonts w:ascii="Arial Nova" w:hAnsi="Arial Nova"/>
        </w:rPr>
        <w:t xml:space="preserve"> to evaluate the effectiveness of interventions and </w:t>
      </w:r>
      <w:r w:rsidRPr="00CC0E76">
        <w:rPr>
          <w:rFonts w:ascii="Arial Nova" w:hAnsi="Arial Nova"/>
        </w:rPr>
        <w:t xml:space="preserve">strategies, and </w:t>
      </w:r>
      <w:r w:rsidRPr="00F570D3">
        <w:rPr>
          <w:rFonts w:ascii="Arial Nova" w:hAnsi="Arial Nova"/>
        </w:rPr>
        <w:t xml:space="preserve">adapt my </w:t>
      </w:r>
      <w:r w:rsidR="00CA6EFF" w:rsidRPr="00F570D3">
        <w:rPr>
          <w:rFonts w:ascii="Arial Nova" w:hAnsi="Arial Nova"/>
        </w:rPr>
        <w:t>teaching,</w:t>
      </w:r>
      <w:r w:rsidRPr="00F570D3">
        <w:rPr>
          <w:rFonts w:ascii="Arial Nova" w:hAnsi="Arial Nova"/>
        </w:rPr>
        <w:t xml:space="preserve"> accordingly, ensuring that pupils receive support that meets both their educational and emotional needs.</w:t>
      </w:r>
    </w:p>
    <w:p w14:paraId="5EC1D78A" w14:textId="77777777" w:rsidR="00CC0E76" w:rsidRPr="00CC0E76" w:rsidRDefault="00CC0E76" w:rsidP="00CA6EFF">
      <w:pPr>
        <w:pStyle w:val="TableParagraph"/>
        <w:tabs>
          <w:tab w:val="left" w:pos="286"/>
        </w:tabs>
        <w:spacing w:line="360" w:lineRule="auto"/>
        <w:ind w:left="0"/>
        <w:jc w:val="both"/>
        <w:rPr>
          <w:rFonts w:ascii="Arial Nova" w:hAnsi="Arial Nova"/>
          <w:sz w:val="24"/>
          <w:szCs w:val="24"/>
          <w:lang w:val="en-GB"/>
        </w:rPr>
      </w:pPr>
    </w:p>
    <w:p w14:paraId="07B9E73C" w14:textId="77777777" w:rsidR="00DE79D1" w:rsidRPr="00CC0E76" w:rsidRDefault="00DE79D1" w:rsidP="00CA6EFF">
      <w:pPr>
        <w:spacing w:after="0" w:line="360" w:lineRule="auto"/>
        <w:jc w:val="both"/>
        <w:rPr>
          <w:rFonts w:ascii="Arial Nova" w:hAnsi="Arial Nova"/>
          <w:b/>
          <w:bCs/>
          <w:u w:val="single"/>
          <w:lang w:val="cy-GB"/>
        </w:rPr>
      </w:pPr>
    </w:p>
    <w:p w14:paraId="3BA0B6C7" w14:textId="77777777" w:rsidR="00C74E3C" w:rsidRPr="00C74E3C" w:rsidRDefault="00C74E3C" w:rsidP="00CA6EFF">
      <w:pPr>
        <w:spacing w:after="0" w:line="360" w:lineRule="auto"/>
        <w:jc w:val="both"/>
        <w:rPr>
          <w:lang w:val="cy-GB"/>
        </w:rPr>
      </w:pPr>
    </w:p>
    <w:p w14:paraId="0DE9EB95" w14:textId="77777777" w:rsidR="00C74E3C" w:rsidRPr="00C74E3C" w:rsidRDefault="00C74E3C" w:rsidP="00CA6EFF">
      <w:pPr>
        <w:spacing w:after="0" w:line="360" w:lineRule="auto"/>
        <w:jc w:val="both"/>
        <w:rPr>
          <w:lang w:val="cy-GB"/>
        </w:rPr>
      </w:pPr>
    </w:p>
    <w:p w14:paraId="1F354CCB" w14:textId="77777777" w:rsidR="00C74E3C" w:rsidRPr="00C74E3C" w:rsidRDefault="00C74E3C" w:rsidP="00CA6EFF">
      <w:pPr>
        <w:spacing w:after="0" w:line="360" w:lineRule="auto"/>
        <w:jc w:val="both"/>
        <w:rPr>
          <w:lang w:val="cy-GB"/>
        </w:rPr>
      </w:pPr>
    </w:p>
    <w:p w14:paraId="6E7C494F" w14:textId="77777777" w:rsidR="00C74E3C" w:rsidRPr="00C74E3C" w:rsidRDefault="00C74E3C" w:rsidP="00C74E3C">
      <w:pPr>
        <w:rPr>
          <w:lang w:val="cy-GB"/>
        </w:rPr>
      </w:pPr>
    </w:p>
    <w:p w14:paraId="17406F09" w14:textId="77777777" w:rsidR="00C74E3C" w:rsidRPr="00C74E3C" w:rsidRDefault="00C74E3C" w:rsidP="00C74E3C">
      <w:pPr>
        <w:rPr>
          <w:lang w:val="cy-GB"/>
        </w:rPr>
      </w:pPr>
    </w:p>
    <w:p w14:paraId="2B92BD2B" w14:textId="77777777" w:rsidR="00C74E3C" w:rsidRPr="00C74E3C" w:rsidRDefault="00C74E3C" w:rsidP="00C74E3C">
      <w:pPr>
        <w:rPr>
          <w:lang w:val="cy-GB"/>
        </w:rPr>
      </w:pPr>
    </w:p>
    <w:p w14:paraId="5CDCC638" w14:textId="77777777" w:rsidR="00C74E3C" w:rsidRPr="00C74E3C" w:rsidRDefault="00C74E3C" w:rsidP="00C74E3C">
      <w:pPr>
        <w:rPr>
          <w:lang w:val="cy-GB"/>
        </w:rPr>
      </w:pPr>
    </w:p>
    <w:p w14:paraId="3CBB1F45" w14:textId="77777777" w:rsidR="00C74E3C" w:rsidRPr="00C74E3C" w:rsidRDefault="00C74E3C" w:rsidP="00C74E3C">
      <w:pPr>
        <w:rPr>
          <w:lang w:val="cy-GB"/>
        </w:rPr>
      </w:pPr>
    </w:p>
    <w:p w14:paraId="588A8876" w14:textId="77777777" w:rsidR="00C74E3C" w:rsidRDefault="00C74E3C" w:rsidP="00C74E3C">
      <w:pPr>
        <w:rPr>
          <w:b/>
          <w:bCs/>
          <w:u w:val="single"/>
          <w:lang w:val="cy-GB"/>
        </w:rPr>
      </w:pPr>
    </w:p>
    <w:p w14:paraId="43C6BCF5" w14:textId="3A4BD128" w:rsidR="00C74E3C" w:rsidRDefault="00C74E3C" w:rsidP="00C74E3C">
      <w:pPr>
        <w:tabs>
          <w:tab w:val="left" w:pos="936"/>
        </w:tabs>
        <w:rPr>
          <w:lang w:val="cy-GB"/>
        </w:rPr>
      </w:pPr>
      <w:r>
        <w:rPr>
          <w:lang w:val="cy-GB"/>
        </w:rPr>
        <w:tab/>
      </w:r>
    </w:p>
    <w:p w14:paraId="67AFE386" w14:textId="77777777" w:rsidR="00C74E3C" w:rsidRDefault="00C74E3C" w:rsidP="00C74E3C">
      <w:pPr>
        <w:tabs>
          <w:tab w:val="left" w:pos="936"/>
        </w:tabs>
        <w:rPr>
          <w:lang w:val="cy-GB"/>
        </w:rPr>
      </w:pPr>
    </w:p>
    <w:p w14:paraId="60454391" w14:textId="77777777" w:rsidR="00C74E3C" w:rsidRDefault="00C74E3C" w:rsidP="00C74E3C"/>
    <w:p w14:paraId="3A73F756" w14:textId="77777777" w:rsidR="00C74E3C" w:rsidRDefault="00C74E3C" w:rsidP="00C74E3C"/>
    <w:p w14:paraId="0EB7A822" w14:textId="77777777" w:rsidR="00C74E3C" w:rsidRDefault="00C74E3C" w:rsidP="00C74E3C"/>
    <w:p w14:paraId="1586D515" w14:textId="77777777" w:rsidR="00C74E3C" w:rsidRDefault="00C74E3C" w:rsidP="00C74E3C"/>
    <w:p w14:paraId="28A25E69" w14:textId="77777777" w:rsidR="00C74E3C" w:rsidRDefault="00C74E3C" w:rsidP="00C74E3C"/>
    <w:p w14:paraId="1A8090A3" w14:textId="77777777" w:rsidR="00C74E3C" w:rsidRDefault="00C74E3C" w:rsidP="00C74E3C"/>
    <w:p w14:paraId="256573CD" w14:textId="77777777" w:rsidR="00C74E3C" w:rsidRDefault="00C74E3C" w:rsidP="00C74E3C"/>
    <w:p w14:paraId="7CBA96AF" w14:textId="77777777" w:rsidR="00C74E3C" w:rsidRDefault="00C74E3C" w:rsidP="00C74E3C"/>
    <w:p w14:paraId="65EA0A58" w14:textId="77777777" w:rsidR="00C74E3C" w:rsidRDefault="00C74E3C" w:rsidP="00C74E3C"/>
    <w:p w14:paraId="71A7D83C" w14:textId="77777777" w:rsidR="00F659C0" w:rsidRDefault="00F659C0" w:rsidP="00C74E3C"/>
    <w:p w14:paraId="05382D2A" w14:textId="77777777" w:rsidR="00F659C0" w:rsidRDefault="00F659C0" w:rsidP="00C74E3C"/>
    <w:p w14:paraId="6837378B" w14:textId="77777777" w:rsidR="00F659C0" w:rsidRDefault="00F659C0" w:rsidP="00C74E3C"/>
    <w:p w14:paraId="1AC24481" w14:textId="77777777" w:rsidR="00F659C0" w:rsidRDefault="00F659C0" w:rsidP="00C74E3C"/>
    <w:p w14:paraId="653D1E05" w14:textId="77777777" w:rsidR="00F659C0" w:rsidRDefault="00F659C0" w:rsidP="00C74E3C"/>
    <w:p w14:paraId="7613D1FB" w14:textId="77777777" w:rsidR="00F659C0" w:rsidRDefault="00F659C0" w:rsidP="00C74E3C"/>
    <w:p w14:paraId="41EE74A6" w14:textId="77777777" w:rsidR="00F659C0" w:rsidRDefault="00F659C0" w:rsidP="00C74E3C"/>
    <w:p w14:paraId="6C4E8DF9" w14:textId="77777777" w:rsidR="00F659C0" w:rsidRDefault="00F659C0" w:rsidP="00C74E3C"/>
    <w:p w14:paraId="2F29E91C" w14:textId="77777777" w:rsidR="00F659C0" w:rsidRDefault="00F659C0" w:rsidP="00C74E3C"/>
    <w:p w14:paraId="43FCDF6A" w14:textId="77777777" w:rsidR="00F659C0" w:rsidRDefault="00F659C0" w:rsidP="00C74E3C"/>
    <w:p w14:paraId="2B1C50F4" w14:textId="77777777" w:rsidR="00F659C0" w:rsidRDefault="00F659C0" w:rsidP="00C74E3C"/>
    <w:p w14:paraId="41B21703" w14:textId="77777777" w:rsidR="00F659C0" w:rsidRDefault="00F659C0" w:rsidP="00C74E3C"/>
    <w:p w14:paraId="204D3072" w14:textId="77777777" w:rsidR="00F659C0" w:rsidRDefault="00F659C0" w:rsidP="00C74E3C"/>
    <w:p w14:paraId="0DE2E4A7" w14:textId="77777777" w:rsidR="00F659C0" w:rsidRDefault="00F659C0" w:rsidP="00C74E3C"/>
    <w:p w14:paraId="18406314" w14:textId="77777777" w:rsidR="00F659C0" w:rsidRDefault="00F659C0" w:rsidP="00C74E3C"/>
    <w:p w14:paraId="38C4C377" w14:textId="77777777" w:rsidR="00F659C0" w:rsidRDefault="00F659C0" w:rsidP="00C74E3C"/>
    <w:p w14:paraId="581321A8" w14:textId="77777777" w:rsidR="00F659C0" w:rsidRDefault="00F659C0" w:rsidP="00C74E3C"/>
    <w:p w14:paraId="03A8C3A7" w14:textId="77777777" w:rsidR="00F659C0" w:rsidRDefault="00F659C0" w:rsidP="00C74E3C"/>
    <w:p w14:paraId="5C3E0164" w14:textId="70FF0D29" w:rsidR="00C74E3C" w:rsidRPr="000A521F" w:rsidRDefault="00C74E3C" w:rsidP="00C74E3C">
      <w:r w:rsidRPr="000A521F">
        <w:lastRenderedPageBreak/>
        <w:t>Reference List</w:t>
      </w:r>
    </w:p>
    <w:p w14:paraId="51C852DC" w14:textId="77777777" w:rsidR="00C74E3C" w:rsidRPr="000A521F" w:rsidRDefault="00C74E3C" w:rsidP="00C74E3C">
      <w:pPr>
        <w:rPr>
          <w:sz w:val="22"/>
          <w:szCs w:val="22"/>
        </w:rPr>
      </w:pPr>
    </w:p>
    <w:p w14:paraId="0D1FB397" w14:textId="77777777" w:rsidR="00C74E3C" w:rsidRPr="003C2C6A" w:rsidRDefault="00C74E3C" w:rsidP="00C74E3C">
      <w:proofErr w:type="spellStart"/>
      <w:r w:rsidRPr="003C2C6A">
        <w:rPr>
          <w:rFonts w:eastAsia="Segoe UI" w:cs="Segoe UI"/>
          <w:color w:val="242424"/>
        </w:rPr>
        <w:t>Aghbashlo</w:t>
      </w:r>
      <w:proofErr w:type="spellEnd"/>
      <w:r w:rsidRPr="003C2C6A">
        <w:rPr>
          <w:rFonts w:eastAsia="Segoe UI" w:cs="Segoe UI"/>
          <w:color w:val="242424"/>
        </w:rPr>
        <w:t>, M. and Nasri, M. (2021) ‘The role of cooperative learning in enhancing students' engagement and motivation in EFL classrooms’, J</w:t>
      </w:r>
      <w:r w:rsidRPr="003C2C6A">
        <w:rPr>
          <w:rFonts w:eastAsia="Segoe UI" w:cs="Segoe UI"/>
          <w:i/>
          <w:iCs/>
          <w:color w:val="242424"/>
        </w:rPr>
        <w:t>ournal of Language Teaching and Research</w:t>
      </w:r>
      <w:r w:rsidRPr="003C2C6A">
        <w:rPr>
          <w:rFonts w:eastAsia="Segoe UI" w:cs="Segoe UI"/>
          <w:color w:val="242424"/>
        </w:rPr>
        <w:t xml:space="preserve">, 12(3), pp. 456-463. </w:t>
      </w:r>
    </w:p>
    <w:p w14:paraId="14397064" w14:textId="77777777" w:rsidR="00C74E3C" w:rsidRPr="003C2C6A" w:rsidRDefault="00C74E3C" w:rsidP="00C74E3C">
      <w:pPr>
        <w:rPr>
          <w:color w:val="000000" w:themeColor="text1"/>
        </w:rPr>
      </w:pPr>
    </w:p>
    <w:p w14:paraId="7A995935" w14:textId="77777777" w:rsidR="00C74E3C" w:rsidRPr="003C2C6A" w:rsidRDefault="00C74E3C" w:rsidP="00C74E3C">
      <w:pPr>
        <w:rPr>
          <w:color w:val="000000" w:themeColor="text1"/>
        </w:rPr>
      </w:pPr>
      <w:r w:rsidRPr="003C2C6A">
        <w:rPr>
          <w:color w:val="000000" w:themeColor="text1"/>
        </w:rPr>
        <w:t xml:space="preserve">BERA (2024) </w:t>
      </w:r>
      <w:r w:rsidRPr="003C2C6A">
        <w:rPr>
          <w:i/>
          <w:iCs/>
          <w:color w:val="000000" w:themeColor="text1"/>
        </w:rPr>
        <w:t xml:space="preserve">Ethical Guidelines for Educational Research. </w:t>
      </w:r>
      <w:r w:rsidRPr="003C2C6A">
        <w:rPr>
          <w:color w:val="000000" w:themeColor="text1"/>
        </w:rPr>
        <w:t xml:space="preserve">5th </w:t>
      </w:r>
      <w:proofErr w:type="spellStart"/>
      <w:r w:rsidRPr="003C2C6A">
        <w:rPr>
          <w:color w:val="000000" w:themeColor="text1"/>
        </w:rPr>
        <w:t>edn</w:t>
      </w:r>
      <w:proofErr w:type="spellEnd"/>
      <w:r w:rsidRPr="003C2C6A">
        <w:rPr>
          <w:i/>
          <w:iCs/>
          <w:color w:val="000000" w:themeColor="text1"/>
        </w:rPr>
        <w:t>.</w:t>
      </w:r>
      <w:r w:rsidRPr="003C2C6A">
        <w:rPr>
          <w:color w:val="000000" w:themeColor="text1"/>
        </w:rPr>
        <w:t xml:space="preserve"> Available at: </w:t>
      </w:r>
      <w:hyperlink r:id="rId12">
        <w:r w:rsidRPr="003C2C6A">
          <w:rPr>
            <w:rStyle w:val="Hyperlink"/>
          </w:rPr>
          <w:t>https://www.bera.ac.uk/publication/ethical-guidelines-for-educational-research-fifth-edition-2024-online</w:t>
        </w:r>
      </w:hyperlink>
      <w:r w:rsidRPr="003C2C6A">
        <w:rPr>
          <w:color w:val="000000" w:themeColor="text1"/>
        </w:rPr>
        <w:t xml:space="preserve"> (Accessed 24 September 2026).</w:t>
      </w:r>
    </w:p>
    <w:p w14:paraId="68003EE3" w14:textId="77777777" w:rsidR="00C74E3C" w:rsidRPr="003C2C6A" w:rsidRDefault="00C74E3C" w:rsidP="00C74E3C">
      <w:pPr>
        <w:rPr>
          <w:rFonts w:eastAsia="Segoe UI" w:cs="Segoe UI"/>
          <w:color w:val="242424"/>
        </w:rPr>
      </w:pPr>
    </w:p>
    <w:p w14:paraId="6C797563" w14:textId="77777777" w:rsidR="00C74E3C" w:rsidRPr="003C2C6A" w:rsidRDefault="00C74E3C" w:rsidP="00C74E3C">
      <w:pPr>
        <w:rPr>
          <w:rFonts w:eastAsia="Segoe UI" w:cs="Segoe UI"/>
          <w:color w:val="242424"/>
        </w:rPr>
      </w:pPr>
      <w:proofErr w:type="spellStart"/>
      <w:r w:rsidRPr="003C2C6A">
        <w:rPr>
          <w:rFonts w:eastAsia="Segoe UI" w:cs="Segoe UI"/>
          <w:color w:val="242424"/>
        </w:rPr>
        <w:t>Camerini</w:t>
      </w:r>
      <w:proofErr w:type="spellEnd"/>
      <w:r w:rsidRPr="003C2C6A">
        <w:rPr>
          <w:rFonts w:eastAsia="Segoe UI" w:cs="Segoe UI"/>
          <w:color w:val="242424"/>
        </w:rPr>
        <w:t xml:space="preserve">, A.-L., and Schulz, P. J. (2018) ‘Social desirability bias in child-report social well-being: Evaluation of the children’s social desirability short scale using item response theory and examination of its impact on self-report family and peer relationships’, </w:t>
      </w:r>
      <w:r w:rsidRPr="003C2C6A">
        <w:rPr>
          <w:rFonts w:eastAsia="Segoe UI" w:cs="Segoe UI"/>
          <w:i/>
          <w:iCs/>
          <w:color w:val="242424"/>
        </w:rPr>
        <w:t>Child Indicators Research</w:t>
      </w:r>
      <w:r w:rsidRPr="003C2C6A">
        <w:rPr>
          <w:rFonts w:eastAsia="Segoe UI" w:cs="Segoe UI"/>
          <w:color w:val="242424"/>
        </w:rPr>
        <w:t xml:space="preserve">, 11(4), pp. 1159–1174. </w:t>
      </w:r>
    </w:p>
    <w:p w14:paraId="0A993886" w14:textId="77777777" w:rsidR="00C74E3C" w:rsidRPr="003C2C6A" w:rsidRDefault="00C74E3C" w:rsidP="00C74E3C">
      <w:pPr>
        <w:rPr>
          <w:rFonts w:eastAsia="Segoe UI" w:cs="Segoe UI"/>
        </w:rPr>
      </w:pPr>
    </w:p>
    <w:p w14:paraId="331A3357" w14:textId="77777777" w:rsidR="00C74E3C" w:rsidRPr="003C2C6A" w:rsidRDefault="00C74E3C" w:rsidP="00C74E3C">
      <w:r w:rsidRPr="003C2C6A">
        <w:rPr>
          <w:rFonts w:eastAsia="Segoe UI" w:cs="Segoe UI"/>
        </w:rPr>
        <w:t xml:space="preserve">Kaddoura, M. (2013) ‘Think Pair Share: A teaching Learning Strategy to Enhance Students' Critical Thinking’, </w:t>
      </w:r>
      <w:r w:rsidRPr="003C2C6A">
        <w:rPr>
          <w:rFonts w:eastAsia="Segoe UI" w:cs="Segoe UI"/>
          <w:i/>
          <w:iCs/>
        </w:rPr>
        <w:t xml:space="preserve">Educational Research Quarterly, </w:t>
      </w:r>
      <w:r w:rsidRPr="003C2C6A">
        <w:rPr>
          <w:rFonts w:eastAsia="Segoe UI" w:cs="Segoe UI"/>
        </w:rPr>
        <w:t xml:space="preserve">36(4), pp. 3-24. Available at:  </w:t>
      </w:r>
      <w:hyperlink r:id="rId13">
        <w:r w:rsidRPr="003C2C6A">
          <w:rPr>
            <w:rStyle w:val="Hyperlink"/>
            <w:color w:val="auto"/>
          </w:rPr>
          <w:t>https://www.proquest.com/docview/1372123014?accountid=130472&amp;parentSessionId=UAdG1%2BxASkwGIp2WTtlszgb2P1NlV1aK22cCnOeHjpk%3D&amp;pq</w:t>
        </w:r>
      </w:hyperlink>
      <w:r w:rsidRPr="003C2C6A">
        <w:t xml:space="preserve"> (Accessed: 4 October 2026).</w:t>
      </w:r>
    </w:p>
    <w:p w14:paraId="0F304F19" w14:textId="77777777" w:rsidR="00C74E3C" w:rsidRPr="003C2C6A" w:rsidRDefault="00C74E3C" w:rsidP="00C74E3C">
      <w:pPr>
        <w:rPr>
          <w:rFonts w:eastAsia="Segoe UI" w:cs="Segoe UI"/>
          <w:color w:val="242424"/>
        </w:rPr>
      </w:pPr>
    </w:p>
    <w:p w14:paraId="4B57384A" w14:textId="77777777" w:rsidR="00C74E3C" w:rsidRPr="003C2C6A" w:rsidRDefault="00C74E3C" w:rsidP="00C74E3C">
      <w:proofErr w:type="spellStart"/>
      <w:r w:rsidRPr="003C2C6A">
        <w:rPr>
          <w:rFonts w:eastAsia="Segoe UI" w:cs="Segoe UI"/>
          <w:color w:val="242424"/>
        </w:rPr>
        <w:t>Kharbach</w:t>
      </w:r>
      <w:proofErr w:type="spellEnd"/>
      <w:r w:rsidRPr="003C2C6A">
        <w:rPr>
          <w:rFonts w:eastAsia="Segoe UI" w:cs="Segoe UI"/>
          <w:color w:val="242424"/>
        </w:rPr>
        <w:t xml:space="preserve">, M. (2026) ‘Think-Pair-Share: Steps, Examples and Teaching Tips’, </w:t>
      </w:r>
      <w:r w:rsidRPr="003C2C6A">
        <w:rPr>
          <w:rFonts w:eastAsia="Segoe UI" w:cs="Segoe UI"/>
          <w:i/>
          <w:iCs/>
          <w:color w:val="242424"/>
        </w:rPr>
        <w:t xml:space="preserve">Educators Technology, </w:t>
      </w:r>
      <w:r w:rsidRPr="003C2C6A">
        <w:rPr>
          <w:rFonts w:eastAsia="Segoe UI" w:cs="Segoe UI"/>
          <w:color w:val="242424"/>
        </w:rPr>
        <w:t xml:space="preserve">8 September. Available at: </w:t>
      </w:r>
      <w:hyperlink r:id="rId14">
        <w:r w:rsidRPr="003C2C6A">
          <w:rPr>
            <w:rStyle w:val="Hyperlink"/>
            <w:color w:val="0000EE"/>
          </w:rPr>
          <w:t>https://www.educatorstechnology.com/2024/06/what-is-think-pair-share-strategy.html</w:t>
        </w:r>
      </w:hyperlink>
      <w:r w:rsidRPr="003C2C6A">
        <w:rPr>
          <w:rFonts w:eastAsia="Segoe UI" w:cs="Segoe UI"/>
          <w:color w:val="242424"/>
        </w:rPr>
        <w:t xml:space="preserve"> (Accessed: 03 October 2026).</w:t>
      </w:r>
    </w:p>
    <w:p w14:paraId="6C17504A" w14:textId="77777777" w:rsidR="00C74E3C" w:rsidRPr="003C2C6A" w:rsidRDefault="00C74E3C" w:rsidP="00C74E3C">
      <w:pPr>
        <w:spacing w:after="0" w:line="300" w:lineRule="auto"/>
        <w:ind w:left="30" w:right="30"/>
        <w:rPr>
          <w:rFonts w:eastAsia="Segoe UI" w:cs="Segoe UI"/>
          <w:color w:val="242424"/>
        </w:rPr>
      </w:pPr>
    </w:p>
    <w:p w14:paraId="557005D1" w14:textId="77777777" w:rsidR="00C74E3C" w:rsidRPr="003C2C6A" w:rsidRDefault="00C74E3C" w:rsidP="00C74E3C">
      <w:pPr>
        <w:spacing w:after="0" w:line="300" w:lineRule="auto"/>
        <w:ind w:left="30" w:right="30"/>
      </w:pPr>
      <w:r w:rsidRPr="003C2C6A">
        <w:rPr>
          <w:rFonts w:eastAsia="Segoe UI" w:cs="Segoe UI"/>
          <w:color w:val="242424"/>
        </w:rPr>
        <w:t xml:space="preserve">Krause, N., Blackwell, L and Claridge, S. (2020) ‘An exploration of the impact of the Emotional Literacy Support Assistant (ELSA) programme on wellbeing from the perspective of pupils’, </w:t>
      </w:r>
      <w:r w:rsidRPr="003C2C6A">
        <w:rPr>
          <w:rFonts w:eastAsia="Segoe UI" w:cs="Segoe UI"/>
          <w:i/>
          <w:iCs/>
          <w:color w:val="242424"/>
        </w:rPr>
        <w:t>Educational Psychology in Practice</w:t>
      </w:r>
      <w:r w:rsidRPr="003C2C6A">
        <w:rPr>
          <w:rFonts w:eastAsia="Segoe UI" w:cs="Segoe UI"/>
          <w:color w:val="242424"/>
        </w:rPr>
        <w:t xml:space="preserve">, 36(1), pp. 17-31. Available at: </w:t>
      </w:r>
      <w:hyperlink r:id="rId15">
        <w:r w:rsidRPr="003C2C6A">
          <w:rPr>
            <w:rStyle w:val="Hyperlink"/>
            <w:color w:val="0000EE"/>
          </w:rPr>
          <w:t>https://www-tandfonline-com.uwtsd.idm.oclc.org/doi/pdf/10.1080/02667363.2019.1657801?needAccess=true</w:t>
        </w:r>
      </w:hyperlink>
      <w:r w:rsidRPr="003C2C6A">
        <w:rPr>
          <w:rFonts w:eastAsia="Segoe UI" w:cs="Segoe UI"/>
          <w:color w:val="242424"/>
        </w:rPr>
        <w:t xml:space="preserve"> (Accessed: 08 October 2026).</w:t>
      </w:r>
    </w:p>
    <w:p w14:paraId="459C0229" w14:textId="77777777" w:rsidR="00C74E3C" w:rsidRPr="003C2C6A" w:rsidRDefault="00C74E3C" w:rsidP="00C74E3C">
      <w:pPr>
        <w:rPr>
          <w:color w:val="232323"/>
        </w:rPr>
      </w:pPr>
    </w:p>
    <w:p w14:paraId="0D0BB391" w14:textId="77777777" w:rsidR="00C74E3C" w:rsidRPr="003C2C6A" w:rsidRDefault="00C74E3C" w:rsidP="00C74E3C">
      <w:pPr>
        <w:rPr>
          <w:color w:val="242424"/>
        </w:rPr>
      </w:pPr>
      <w:r w:rsidRPr="003C2C6A">
        <w:rPr>
          <w:color w:val="232323"/>
        </w:rPr>
        <w:lastRenderedPageBreak/>
        <w:t>Lyman, F. (1981) ‘The Responsive Classroom Discussion’, in A. S. Anderson (ed)</w:t>
      </w:r>
      <w:r w:rsidRPr="003C2C6A">
        <w:br/>
      </w:r>
      <w:r w:rsidRPr="003C2C6A">
        <w:rPr>
          <w:i/>
          <w:iCs/>
          <w:color w:val="232323"/>
        </w:rPr>
        <w:t>Mainstreaming Digest</w:t>
      </w:r>
      <w:r w:rsidRPr="003C2C6A">
        <w:rPr>
          <w:color w:val="232323"/>
        </w:rPr>
        <w:t xml:space="preserve">. University of Maryland College of Education, pp. 109-113. </w:t>
      </w:r>
    </w:p>
    <w:p w14:paraId="14F47EE5" w14:textId="77777777" w:rsidR="00C74E3C" w:rsidRPr="003C2C6A" w:rsidRDefault="00C74E3C" w:rsidP="00C74E3C">
      <w:pPr>
        <w:rPr>
          <w:color w:val="000000" w:themeColor="text1"/>
        </w:rPr>
      </w:pPr>
    </w:p>
    <w:p w14:paraId="02B4DA08" w14:textId="77777777" w:rsidR="00C74E3C" w:rsidRPr="003C2C6A" w:rsidRDefault="00C74E3C" w:rsidP="00C74E3C">
      <w:pPr>
        <w:rPr>
          <w:color w:val="000000" w:themeColor="text1"/>
        </w:rPr>
      </w:pPr>
      <w:proofErr w:type="spellStart"/>
      <w:r w:rsidRPr="003C2C6A">
        <w:rPr>
          <w:color w:val="000000" w:themeColor="text1"/>
        </w:rPr>
        <w:t>Mbire-Chigumba</w:t>
      </w:r>
      <w:proofErr w:type="spellEnd"/>
      <w:r w:rsidRPr="003C2C6A">
        <w:rPr>
          <w:color w:val="000000" w:themeColor="text1"/>
        </w:rPr>
        <w:t xml:space="preserve">, E. (2023) </w:t>
      </w:r>
      <w:r w:rsidRPr="003C2C6A">
        <w:rPr>
          <w:i/>
          <w:iCs/>
          <w:color w:val="000000" w:themeColor="text1"/>
        </w:rPr>
        <w:t>Exploring ELSA, teacher and pupils’ views on culturally responsive approaches: How can cultural responsiveness improve sense of belonging and social and emotional support in schools?</w:t>
      </w:r>
      <w:r w:rsidRPr="003C2C6A">
        <w:rPr>
          <w:color w:val="000000" w:themeColor="text1"/>
        </w:rPr>
        <w:t xml:space="preserve"> Doctoral Thesis. University of Southampton</w:t>
      </w:r>
      <w:r w:rsidRPr="003C2C6A">
        <w:rPr>
          <w:i/>
          <w:iCs/>
          <w:color w:val="000000" w:themeColor="text1"/>
        </w:rPr>
        <w:t xml:space="preserve">. </w:t>
      </w:r>
      <w:r w:rsidRPr="003C2C6A">
        <w:rPr>
          <w:color w:val="000000" w:themeColor="text1"/>
        </w:rPr>
        <w:t xml:space="preserve">Available at: </w:t>
      </w:r>
      <w:hyperlink r:id="rId16">
        <w:r w:rsidRPr="003C2C6A">
          <w:rPr>
            <w:rStyle w:val="Hyperlink"/>
            <w:color w:val="0000EE"/>
          </w:rPr>
          <w:t>https://eprints.soton.ac.uk/id/eprint/480671/</w:t>
        </w:r>
      </w:hyperlink>
      <w:r w:rsidRPr="003C2C6A">
        <w:rPr>
          <w:color w:val="000000" w:themeColor="text1"/>
        </w:rPr>
        <w:t xml:space="preserve"> (Accessed: 08 October 2026).</w:t>
      </w:r>
    </w:p>
    <w:p w14:paraId="6F1D1947" w14:textId="77777777" w:rsidR="00C74E3C" w:rsidRPr="003C2C6A" w:rsidRDefault="00C74E3C" w:rsidP="00C74E3C">
      <w:pPr>
        <w:rPr>
          <w:rFonts w:eastAsia="Segoe UI" w:cs="Segoe UI"/>
          <w:color w:val="242424"/>
        </w:rPr>
      </w:pPr>
    </w:p>
    <w:p w14:paraId="4A5FB7B9" w14:textId="77777777" w:rsidR="00C74E3C" w:rsidRPr="003C2C6A" w:rsidRDefault="00C74E3C" w:rsidP="00C74E3C">
      <w:pPr>
        <w:rPr>
          <w:rFonts w:eastAsia="Segoe UI" w:cs="Segoe UI"/>
          <w:color w:val="242424"/>
        </w:rPr>
      </w:pPr>
      <w:proofErr w:type="spellStart"/>
      <w:r w:rsidRPr="003C2C6A">
        <w:rPr>
          <w:rFonts w:eastAsia="Segoe UI" w:cs="Segoe UI"/>
          <w:color w:val="242424"/>
        </w:rPr>
        <w:t>Namaziandost</w:t>
      </w:r>
      <w:proofErr w:type="spellEnd"/>
      <w:r w:rsidRPr="003C2C6A">
        <w:rPr>
          <w:rFonts w:eastAsia="Segoe UI" w:cs="Segoe UI"/>
          <w:color w:val="242424"/>
        </w:rPr>
        <w:t>, E. and Nasri, M. (2019) ‘The impact of differentiated instruction on EFL learners' speaking skills: A focus on TPS strategy’,</w:t>
      </w:r>
      <w:r w:rsidRPr="003C2C6A">
        <w:rPr>
          <w:rFonts w:eastAsia="Segoe UI" w:cs="Segoe UI"/>
          <w:i/>
          <w:iCs/>
          <w:color w:val="242424"/>
        </w:rPr>
        <w:t xml:space="preserve"> International Journal of Instruction</w:t>
      </w:r>
      <w:r w:rsidRPr="003C2C6A">
        <w:rPr>
          <w:rFonts w:eastAsia="Segoe UI" w:cs="Segoe UI"/>
          <w:color w:val="242424"/>
        </w:rPr>
        <w:t xml:space="preserve">, 12(1), pp. 345-360. </w:t>
      </w:r>
    </w:p>
    <w:p w14:paraId="5FEA8EB7" w14:textId="77777777" w:rsidR="00906E1E" w:rsidRDefault="00906E1E" w:rsidP="00906E1E"/>
    <w:p w14:paraId="68E81FC8" w14:textId="38BA58B9" w:rsidR="00906E1E" w:rsidRPr="003C2C6A" w:rsidRDefault="00906E1E" w:rsidP="00906E1E">
      <w:r w:rsidRPr="003C2C6A">
        <w:t>Nicholson-Roberts, B. R., Somerville, M. P. and Lee, F. (2025) ‘A multiple case study exploring how the emotional literacy support assistant (ELSA) programme operates in secondary schools’, </w:t>
      </w:r>
      <w:r w:rsidRPr="003C2C6A">
        <w:rPr>
          <w:i/>
          <w:iCs/>
        </w:rPr>
        <w:t>Emotional and Behavioural Difficulties</w:t>
      </w:r>
      <w:r w:rsidRPr="003C2C6A">
        <w:t xml:space="preserve">, 30(3), pp. 149–164.  </w:t>
      </w:r>
    </w:p>
    <w:p w14:paraId="55181996" w14:textId="77777777" w:rsidR="00C74E3C" w:rsidRDefault="00C74E3C" w:rsidP="00C74E3C">
      <w:pPr>
        <w:rPr>
          <w:color w:val="232323"/>
        </w:rPr>
      </w:pPr>
    </w:p>
    <w:p w14:paraId="189A601E" w14:textId="77777777" w:rsidR="00C74E3C" w:rsidRPr="003C2C6A" w:rsidRDefault="00C74E3C" w:rsidP="00C74E3C">
      <w:r w:rsidRPr="003C2C6A">
        <w:rPr>
          <w:color w:val="232323"/>
        </w:rPr>
        <w:t xml:space="preserve">Raba, A. (2017) </w:t>
      </w:r>
      <w:r w:rsidRPr="003C2C6A">
        <w:rPr>
          <w:i/>
          <w:iCs/>
          <w:color w:val="232323"/>
        </w:rPr>
        <w:t>‘</w:t>
      </w:r>
      <w:r w:rsidRPr="003C2C6A">
        <w:rPr>
          <w:color w:val="232323"/>
        </w:rPr>
        <w:t>The Influence of Think-Pair-Share (TPS) on Improving Students’ Oral Communication Skills in EFL Classrooms’, Creative</w:t>
      </w:r>
      <w:r w:rsidRPr="003C2C6A">
        <w:rPr>
          <w:i/>
          <w:iCs/>
          <w:color w:val="232323"/>
        </w:rPr>
        <w:t xml:space="preserve"> Education</w:t>
      </w:r>
      <w:r w:rsidRPr="003C2C6A">
        <w:rPr>
          <w:color w:val="232323"/>
        </w:rPr>
        <w:t xml:space="preserve">, 8, pp.12-23 , Available at: </w:t>
      </w:r>
      <w:hyperlink r:id="rId17">
        <w:r w:rsidRPr="003C2C6A">
          <w:rPr>
            <w:rStyle w:val="Hyperlink"/>
          </w:rPr>
          <w:t>https://www.scirp.org/journal/paperinformation?paperid=73454</w:t>
        </w:r>
      </w:hyperlink>
      <w:r w:rsidRPr="003C2C6A">
        <w:t xml:space="preserve"> (Accessed: 21 September 2026).</w:t>
      </w:r>
    </w:p>
    <w:p w14:paraId="75662374" w14:textId="77777777" w:rsidR="00C74E3C" w:rsidRPr="003C2C6A" w:rsidRDefault="00C74E3C" w:rsidP="00C74E3C">
      <w:pPr>
        <w:rPr>
          <w:color w:val="000000" w:themeColor="text1"/>
        </w:rPr>
      </w:pPr>
    </w:p>
    <w:p w14:paraId="6A6B210F" w14:textId="252CBC1B" w:rsidR="00C74E3C" w:rsidRPr="003C2C6A" w:rsidRDefault="00C74E3C" w:rsidP="00C74E3C">
      <w:pPr>
        <w:rPr>
          <w:color w:val="000000" w:themeColor="text1"/>
        </w:rPr>
      </w:pPr>
      <w:r w:rsidRPr="003C2C6A">
        <w:rPr>
          <w:color w:val="000000" w:themeColor="text1"/>
        </w:rPr>
        <w:t>Rose, J.</w:t>
      </w:r>
      <w:r w:rsidR="009B6234">
        <w:rPr>
          <w:color w:val="000000" w:themeColor="text1"/>
        </w:rPr>
        <w:t xml:space="preserve"> Gilbert</w:t>
      </w:r>
      <w:r w:rsidR="008F1F4B">
        <w:rPr>
          <w:color w:val="000000" w:themeColor="text1"/>
        </w:rPr>
        <w:t>, L. Richards, V</w:t>
      </w:r>
      <w:r w:rsidRPr="003C2C6A">
        <w:rPr>
          <w:color w:val="000000" w:themeColor="text1"/>
        </w:rPr>
        <w:t xml:space="preserve"> (2016) ‘</w:t>
      </w:r>
      <w:r w:rsidRPr="008F1F4B">
        <w:rPr>
          <w:i/>
          <w:iCs/>
          <w:color w:val="000000" w:themeColor="text1"/>
        </w:rPr>
        <w:t>Health and well-being in early childhood</w:t>
      </w:r>
      <w:r w:rsidRPr="003C2C6A">
        <w:rPr>
          <w:i/>
          <w:iCs/>
          <w:color w:val="000000" w:themeColor="text1"/>
        </w:rPr>
        <w:t>.</w:t>
      </w:r>
      <w:r w:rsidRPr="003C2C6A">
        <w:rPr>
          <w:color w:val="000000" w:themeColor="text1"/>
        </w:rPr>
        <w:t xml:space="preserve"> SAGE</w:t>
      </w:r>
    </w:p>
    <w:p w14:paraId="2AE02979" w14:textId="77777777" w:rsidR="00C74E3C" w:rsidRPr="003C2C6A" w:rsidRDefault="00C74E3C" w:rsidP="00C74E3C"/>
    <w:p w14:paraId="50CD00A7" w14:textId="76748151" w:rsidR="00A46689" w:rsidRPr="003C2C6A" w:rsidRDefault="00C74E3C" w:rsidP="00C74E3C">
      <w:r w:rsidRPr="003C2C6A">
        <w:t xml:space="preserve">Sharma, H. (2018) ‘TPS (Think pair share): An effective cooperative learning strategy for unleashing discussion in classroom interaction’, </w:t>
      </w:r>
      <w:r w:rsidRPr="003C2C6A">
        <w:rPr>
          <w:i/>
          <w:iCs/>
        </w:rPr>
        <w:t>International journal of research in social sciences</w:t>
      </w:r>
      <w:r w:rsidRPr="003C2C6A">
        <w:t>, 8(5). Available at:</w:t>
      </w:r>
      <w:r w:rsidR="00A46689">
        <w:t xml:space="preserve"> </w:t>
      </w:r>
      <w:r w:rsidR="00A46689" w:rsidRPr="00A46689">
        <w:t>https://www.researchgate.net/publication/325545360_TPS_Think-Pair-Share_An_Effective_Cooperative_Learning_Strategy_for_Unleashing_Discussion_in_Classroom_Interaction</w:t>
      </w:r>
      <w:r w:rsidRPr="003C2C6A">
        <w:t xml:space="preserve">  </w:t>
      </w:r>
      <w:proofErr w:type="gramStart"/>
      <w:r w:rsidRPr="003C2C6A">
        <w:t xml:space="preserve">   (</w:t>
      </w:r>
      <w:proofErr w:type="gramEnd"/>
      <w:r w:rsidRPr="003C2C6A">
        <w:t>Accessed: 20 September 2026).</w:t>
      </w:r>
    </w:p>
    <w:p w14:paraId="49DA92FC" w14:textId="77777777" w:rsidR="00C74E3C" w:rsidRPr="003C2C6A" w:rsidRDefault="00C74E3C" w:rsidP="00C74E3C">
      <w:pPr>
        <w:rPr>
          <w:rFonts w:eastAsia="Segoe UI" w:cs="Segoe UI"/>
          <w:color w:val="242424"/>
        </w:rPr>
      </w:pPr>
    </w:p>
    <w:p w14:paraId="6145AF07" w14:textId="77777777" w:rsidR="00C74E3C" w:rsidRPr="003C2C6A" w:rsidRDefault="00C74E3C" w:rsidP="00C74E3C">
      <w:proofErr w:type="spellStart"/>
      <w:r w:rsidRPr="003C2C6A">
        <w:rPr>
          <w:rFonts w:eastAsia="Segoe UI" w:cs="Segoe UI"/>
          <w:color w:val="242424"/>
        </w:rPr>
        <w:t>Silalahi</w:t>
      </w:r>
      <w:proofErr w:type="spellEnd"/>
      <w:r w:rsidRPr="003C2C6A">
        <w:rPr>
          <w:rFonts w:eastAsia="Segoe UI" w:cs="Segoe UI"/>
          <w:color w:val="242424"/>
        </w:rPr>
        <w:t xml:space="preserve">, R. M. (2019) ‘Understanding Vygotsky’s Zone of Proximal Development for Learning’, </w:t>
      </w:r>
      <w:r w:rsidRPr="003C2C6A">
        <w:rPr>
          <w:rFonts w:eastAsia="Segoe UI" w:cs="Segoe UI"/>
          <w:i/>
          <w:iCs/>
          <w:color w:val="242424"/>
        </w:rPr>
        <w:t xml:space="preserve">Polyglot </w:t>
      </w:r>
      <w:proofErr w:type="spellStart"/>
      <w:r w:rsidRPr="003C2C6A">
        <w:rPr>
          <w:rFonts w:eastAsia="Segoe UI" w:cs="Segoe UI"/>
          <w:i/>
          <w:iCs/>
          <w:color w:val="242424"/>
        </w:rPr>
        <w:t>Jurnal</w:t>
      </w:r>
      <w:proofErr w:type="spellEnd"/>
      <w:r w:rsidRPr="003C2C6A">
        <w:rPr>
          <w:rFonts w:eastAsia="Segoe UI" w:cs="Segoe UI"/>
          <w:i/>
          <w:iCs/>
          <w:color w:val="242424"/>
        </w:rPr>
        <w:t xml:space="preserve"> </w:t>
      </w:r>
      <w:proofErr w:type="spellStart"/>
      <w:r w:rsidRPr="003C2C6A">
        <w:rPr>
          <w:rFonts w:eastAsia="Segoe UI" w:cs="Segoe UI"/>
          <w:i/>
          <w:iCs/>
          <w:color w:val="242424"/>
        </w:rPr>
        <w:t>Ilmiah</w:t>
      </w:r>
      <w:proofErr w:type="spellEnd"/>
      <w:r w:rsidRPr="003C2C6A">
        <w:rPr>
          <w:rFonts w:eastAsia="Segoe UI" w:cs="Segoe UI"/>
          <w:i/>
          <w:iCs/>
          <w:color w:val="242424"/>
        </w:rPr>
        <w:t xml:space="preserve">, </w:t>
      </w:r>
      <w:r w:rsidRPr="003C2C6A">
        <w:rPr>
          <w:rFonts w:eastAsia="Segoe UI" w:cs="Segoe UI"/>
          <w:color w:val="242424"/>
        </w:rPr>
        <w:t xml:space="preserve">15(2), pp. 169 - 186. Available at: </w:t>
      </w:r>
      <w:hyperlink r:id="rId18">
        <w:r w:rsidRPr="003C2C6A">
          <w:rPr>
            <w:rStyle w:val="Hyperlink"/>
          </w:rPr>
          <w:t>https://ojs.uph.edu/index.php/PJI/article/view/1544</w:t>
        </w:r>
      </w:hyperlink>
      <w:r w:rsidRPr="003C2C6A">
        <w:t xml:space="preserve"> (Accessed: 4 October 2026).</w:t>
      </w:r>
    </w:p>
    <w:p w14:paraId="182A82AC" w14:textId="77777777" w:rsidR="00906E1E" w:rsidRDefault="00906E1E" w:rsidP="00906E1E"/>
    <w:p w14:paraId="56BDD9E1" w14:textId="4361C0B4" w:rsidR="00906E1E" w:rsidRPr="00CA6EFF" w:rsidRDefault="00906E1E" w:rsidP="00906E1E">
      <w:r w:rsidRPr="00CA6EFF">
        <w:t xml:space="preserve">Welsh Government (2017) </w:t>
      </w:r>
      <w:r w:rsidRPr="00CA6EFF">
        <w:rPr>
          <w:i/>
          <w:iCs/>
        </w:rPr>
        <w:t xml:space="preserve">Professional standards for teaching and leadership. </w:t>
      </w:r>
      <w:r w:rsidRPr="00CA6EFF">
        <w:t xml:space="preserve">Available at : </w:t>
      </w:r>
      <w:hyperlink r:id="rId19" w:history="1">
        <w:r w:rsidRPr="00CA6EFF">
          <w:rPr>
            <w:rStyle w:val="Hyperlink"/>
          </w:rPr>
          <w:t>https://hwb.gov.wales/api/storage/19bc948b-8a3f-41e0-944a-7bf2cadf7d18/professional-standards-for-teaching-and-leadership-interactive-pdf-for-pc.pdf</w:t>
        </w:r>
      </w:hyperlink>
      <w:r w:rsidRPr="00CA6EFF">
        <w:t xml:space="preserve"> (Accessed: 18 October 2026).</w:t>
      </w:r>
    </w:p>
    <w:p w14:paraId="49588572" w14:textId="77777777" w:rsidR="00C74E3C" w:rsidRDefault="00C74E3C" w:rsidP="00C74E3C">
      <w:pPr>
        <w:rPr>
          <w:rFonts w:eastAsia="Segoe UI" w:cs="Segoe UI"/>
          <w:color w:val="242424"/>
        </w:rPr>
      </w:pPr>
    </w:p>
    <w:p w14:paraId="64044173" w14:textId="77777777" w:rsidR="00C74E3C" w:rsidRPr="003C2C6A" w:rsidRDefault="00C74E3C" w:rsidP="00C74E3C">
      <w:r w:rsidRPr="003C2C6A">
        <w:rPr>
          <w:rFonts w:eastAsia="Segoe UI" w:cs="Segoe UI"/>
          <w:color w:val="242424"/>
        </w:rPr>
        <w:t xml:space="preserve">Welsh Government (2021) </w:t>
      </w:r>
      <w:r w:rsidRPr="003C2C6A">
        <w:rPr>
          <w:rFonts w:eastAsia="Segoe UI" w:cs="Segoe UI"/>
          <w:i/>
          <w:iCs/>
          <w:color w:val="242424"/>
        </w:rPr>
        <w:t>The Additional Learning Needs Code for Wales 2021</w:t>
      </w:r>
      <w:r w:rsidRPr="003C2C6A">
        <w:rPr>
          <w:rFonts w:eastAsia="Segoe UI" w:cs="Segoe UI"/>
          <w:color w:val="242424"/>
        </w:rPr>
        <w:t>. Available at: https://www.gov.wales/sites/default/files/publications/2026-04/the-additional-learning-needs-code-for-wales-2021_0.pdf (Accessed: 09 October 2026).</w:t>
      </w:r>
    </w:p>
    <w:p w14:paraId="03B25D30" w14:textId="77777777" w:rsidR="00CA6EFF" w:rsidRDefault="00CA6EFF" w:rsidP="00CA6EFF"/>
    <w:p w14:paraId="285460AC" w14:textId="77777777" w:rsidR="00C74E3C" w:rsidRPr="003C2C6A" w:rsidRDefault="00C74E3C" w:rsidP="00C74E3C">
      <w:r w:rsidRPr="003C2C6A">
        <w:t xml:space="preserve">WJEC (2019) </w:t>
      </w:r>
      <w:r w:rsidRPr="003C2C6A">
        <w:rPr>
          <w:i/>
          <w:iCs/>
        </w:rPr>
        <w:t>Health and wellbeing (children and young people) Importance of early interventions and partnerships</w:t>
      </w:r>
      <w:r w:rsidRPr="003C2C6A">
        <w:t xml:space="preserve">. Available at: </w:t>
      </w:r>
      <w:hyperlink r:id="rId20">
        <w:r w:rsidRPr="003C2C6A">
          <w:rPr>
            <w:rStyle w:val="Hyperlink"/>
          </w:rPr>
          <w:t>https://resource.download.wjec.co.uk/vtc/2018-19/HSC18-19_2-4/_multi-lang/unit02/8-importance-of-early-interventions-and-partnerships.html</w:t>
        </w:r>
      </w:hyperlink>
      <w:r w:rsidRPr="003C2C6A">
        <w:t xml:space="preserve"> (Accessed: 24 September 2026).</w:t>
      </w:r>
    </w:p>
    <w:p w14:paraId="480D5BAF" w14:textId="77777777" w:rsidR="00C74E3C" w:rsidRPr="003C2C6A" w:rsidRDefault="00C74E3C" w:rsidP="00C74E3C"/>
    <w:p w14:paraId="7B1B457A" w14:textId="77777777" w:rsidR="00C74E3C" w:rsidRPr="00C74E3C" w:rsidRDefault="00C74E3C" w:rsidP="00C74E3C">
      <w:pPr>
        <w:tabs>
          <w:tab w:val="left" w:pos="936"/>
        </w:tabs>
        <w:rPr>
          <w:lang w:val="cy-GB"/>
        </w:rPr>
      </w:pPr>
    </w:p>
    <w:sectPr w:rsidR="00C74E3C" w:rsidRPr="00C74E3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BB1139" w14:textId="77777777" w:rsidR="0085726E" w:rsidRDefault="0085726E" w:rsidP="00E517F0">
      <w:pPr>
        <w:spacing w:after="0" w:line="240" w:lineRule="auto"/>
      </w:pPr>
      <w:r>
        <w:separator/>
      </w:r>
    </w:p>
  </w:endnote>
  <w:endnote w:type="continuationSeparator" w:id="0">
    <w:p w14:paraId="4F4683E0" w14:textId="77777777" w:rsidR="0085726E" w:rsidRDefault="0085726E" w:rsidP="00E517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Arial Nova">
    <w:charset w:val="00"/>
    <w:family w:val="swiss"/>
    <w:pitch w:val="variable"/>
    <w:sig w:usb0="0000028F" w:usb1="00000002"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7ECFCD" w14:textId="77777777" w:rsidR="0085726E" w:rsidRDefault="0085726E" w:rsidP="00E517F0">
      <w:pPr>
        <w:spacing w:after="0" w:line="240" w:lineRule="auto"/>
      </w:pPr>
      <w:r>
        <w:separator/>
      </w:r>
    </w:p>
  </w:footnote>
  <w:footnote w:type="continuationSeparator" w:id="0">
    <w:p w14:paraId="222B0BB5" w14:textId="77777777" w:rsidR="0085726E" w:rsidRDefault="0085726E" w:rsidP="00E517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077532"/>
    <w:multiLevelType w:val="hybridMultilevel"/>
    <w:tmpl w:val="081A23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B23524"/>
    <w:multiLevelType w:val="hybridMultilevel"/>
    <w:tmpl w:val="866445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8D2EDF"/>
    <w:multiLevelType w:val="hybridMultilevel"/>
    <w:tmpl w:val="372864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25001593">
    <w:abstractNumId w:val="0"/>
  </w:num>
  <w:num w:numId="2" w16cid:durableId="1044867123">
    <w:abstractNumId w:val="1"/>
  </w:num>
  <w:num w:numId="3" w16cid:durableId="237950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0375B"/>
    <w:rsid w:val="00037947"/>
    <w:rsid w:val="00045FE9"/>
    <w:rsid w:val="00051377"/>
    <w:rsid w:val="00061BBC"/>
    <w:rsid w:val="00063ADC"/>
    <w:rsid w:val="000976DB"/>
    <w:rsid w:val="000A2E17"/>
    <w:rsid w:val="000A470F"/>
    <w:rsid w:val="000B36BD"/>
    <w:rsid w:val="000C144A"/>
    <w:rsid w:val="000C541C"/>
    <w:rsid w:val="000C6533"/>
    <w:rsid w:val="000C68CB"/>
    <w:rsid w:val="000D5B34"/>
    <w:rsid w:val="000D5D0C"/>
    <w:rsid w:val="0010406A"/>
    <w:rsid w:val="001118FB"/>
    <w:rsid w:val="00115538"/>
    <w:rsid w:val="00135DD1"/>
    <w:rsid w:val="001819DF"/>
    <w:rsid w:val="00191CB3"/>
    <w:rsid w:val="001B086C"/>
    <w:rsid w:val="001C6E70"/>
    <w:rsid w:val="001F206C"/>
    <w:rsid w:val="002209E9"/>
    <w:rsid w:val="002332B0"/>
    <w:rsid w:val="00262DC1"/>
    <w:rsid w:val="002A6C87"/>
    <w:rsid w:val="002C05B1"/>
    <w:rsid w:val="002E7D14"/>
    <w:rsid w:val="002F243A"/>
    <w:rsid w:val="002F6650"/>
    <w:rsid w:val="00301906"/>
    <w:rsid w:val="00302BB1"/>
    <w:rsid w:val="003341DF"/>
    <w:rsid w:val="00347EA1"/>
    <w:rsid w:val="00382546"/>
    <w:rsid w:val="003A0A8C"/>
    <w:rsid w:val="003A709B"/>
    <w:rsid w:val="003D223A"/>
    <w:rsid w:val="003D2E39"/>
    <w:rsid w:val="00417AB6"/>
    <w:rsid w:val="00455E48"/>
    <w:rsid w:val="00465F8C"/>
    <w:rsid w:val="004674D6"/>
    <w:rsid w:val="00492C9D"/>
    <w:rsid w:val="004969EE"/>
    <w:rsid w:val="004B455E"/>
    <w:rsid w:val="004D474C"/>
    <w:rsid w:val="004E3CA0"/>
    <w:rsid w:val="005072AD"/>
    <w:rsid w:val="00516272"/>
    <w:rsid w:val="00536CFB"/>
    <w:rsid w:val="00543F5E"/>
    <w:rsid w:val="00555C80"/>
    <w:rsid w:val="00584970"/>
    <w:rsid w:val="00591C4B"/>
    <w:rsid w:val="005B3464"/>
    <w:rsid w:val="005B783A"/>
    <w:rsid w:val="005E1B4C"/>
    <w:rsid w:val="005F42D0"/>
    <w:rsid w:val="005F7C42"/>
    <w:rsid w:val="00605CE3"/>
    <w:rsid w:val="0062310A"/>
    <w:rsid w:val="00664B16"/>
    <w:rsid w:val="0067555E"/>
    <w:rsid w:val="006B52C3"/>
    <w:rsid w:val="006C1C28"/>
    <w:rsid w:val="006E3424"/>
    <w:rsid w:val="006E5034"/>
    <w:rsid w:val="00720370"/>
    <w:rsid w:val="007203C3"/>
    <w:rsid w:val="007334DC"/>
    <w:rsid w:val="007352C0"/>
    <w:rsid w:val="00743752"/>
    <w:rsid w:val="00763BAD"/>
    <w:rsid w:val="007B382A"/>
    <w:rsid w:val="007C0115"/>
    <w:rsid w:val="007D3AE1"/>
    <w:rsid w:val="007E01E0"/>
    <w:rsid w:val="00800B96"/>
    <w:rsid w:val="0080283F"/>
    <w:rsid w:val="00803155"/>
    <w:rsid w:val="00840BEE"/>
    <w:rsid w:val="00851EDB"/>
    <w:rsid w:val="0085726E"/>
    <w:rsid w:val="008A44FF"/>
    <w:rsid w:val="008E4EB6"/>
    <w:rsid w:val="008F1086"/>
    <w:rsid w:val="008F1F4B"/>
    <w:rsid w:val="009060A0"/>
    <w:rsid w:val="00906E1E"/>
    <w:rsid w:val="0091355A"/>
    <w:rsid w:val="00917008"/>
    <w:rsid w:val="00935B8D"/>
    <w:rsid w:val="0096135C"/>
    <w:rsid w:val="00971214"/>
    <w:rsid w:val="00975E6F"/>
    <w:rsid w:val="009A738D"/>
    <w:rsid w:val="009B164A"/>
    <w:rsid w:val="009B6234"/>
    <w:rsid w:val="00A23D6E"/>
    <w:rsid w:val="00A44432"/>
    <w:rsid w:val="00A46689"/>
    <w:rsid w:val="00AD7313"/>
    <w:rsid w:val="00AE2AA9"/>
    <w:rsid w:val="00AE3307"/>
    <w:rsid w:val="00B028A8"/>
    <w:rsid w:val="00B103B9"/>
    <w:rsid w:val="00B1250B"/>
    <w:rsid w:val="00B20003"/>
    <w:rsid w:val="00B2496C"/>
    <w:rsid w:val="00B51B61"/>
    <w:rsid w:val="00B724BB"/>
    <w:rsid w:val="00BE2A35"/>
    <w:rsid w:val="00BE3554"/>
    <w:rsid w:val="00C129B8"/>
    <w:rsid w:val="00C24461"/>
    <w:rsid w:val="00C2550A"/>
    <w:rsid w:val="00C4699D"/>
    <w:rsid w:val="00C74E3C"/>
    <w:rsid w:val="00C81809"/>
    <w:rsid w:val="00CA6EFF"/>
    <w:rsid w:val="00CC0E76"/>
    <w:rsid w:val="00CF32AC"/>
    <w:rsid w:val="00D24ADF"/>
    <w:rsid w:val="00D26517"/>
    <w:rsid w:val="00D61765"/>
    <w:rsid w:val="00D765A6"/>
    <w:rsid w:val="00D94726"/>
    <w:rsid w:val="00DC55F3"/>
    <w:rsid w:val="00DC7A62"/>
    <w:rsid w:val="00DD5969"/>
    <w:rsid w:val="00DD715C"/>
    <w:rsid w:val="00DE78C2"/>
    <w:rsid w:val="00DE79D1"/>
    <w:rsid w:val="00E10797"/>
    <w:rsid w:val="00E243A8"/>
    <w:rsid w:val="00E517F0"/>
    <w:rsid w:val="00E654EB"/>
    <w:rsid w:val="00E6747C"/>
    <w:rsid w:val="00E9440D"/>
    <w:rsid w:val="00EA0B9A"/>
    <w:rsid w:val="00EA15D1"/>
    <w:rsid w:val="00EA6220"/>
    <w:rsid w:val="00EC1771"/>
    <w:rsid w:val="00ED6B35"/>
    <w:rsid w:val="00F46CE6"/>
    <w:rsid w:val="00F659C0"/>
    <w:rsid w:val="00F8089C"/>
    <w:rsid w:val="00FC26F2"/>
    <w:rsid w:val="00FE48E1"/>
    <w:rsid w:val="00FF03E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D08615"/>
  <w15:chartTrackingRefBased/>
  <w15:docId w15:val="{A27D5117-56F8-4610-AFAC-F1837720A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39"/>
    <w:rsid w:val="000037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517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17F0"/>
  </w:style>
  <w:style w:type="paragraph" w:styleId="Footer">
    <w:name w:val="footer"/>
    <w:basedOn w:val="Normal"/>
    <w:link w:val="FooterChar"/>
    <w:uiPriority w:val="99"/>
    <w:unhideWhenUsed/>
    <w:rsid w:val="00E517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17F0"/>
  </w:style>
  <w:style w:type="character" w:styleId="Hyperlink">
    <w:name w:val="Hyperlink"/>
    <w:basedOn w:val="DefaultParagraphFont"/>
    <w:uiPriority w:val="99"/>
    <w:unhideWhenUsed/>
    <w:rsid w:val="00C81809"/>
    <w:rPr>
      <w:color w:val="467886" w:themeColor="hyperlink"/>
      <w:u w:val="single"/>
    </w:rPr>
  </w:style>
  <w:style w:type="character" w:styleId="UnresolvedMention">
    <w:name w:val="Unresolved Mention"/>
    <w:basedOn w:val="DefaultParagraphFont"/>
    <w:uiPriority w:val="99"/>
    <w:semiHidden/>
    <w:unhideWhenUsed/>
    <w:rsid w:val="00C81809"/>
    <w:rPr>
      <w:color w:val="605E5C"/>
      <w:shd w:val="clear" w:color="auto" w:fill="E1DFDD"/>
    </w:rPr>
  </w:style>
  <w:style w:type="table" w:customStyle="1" w:styleId="TableGrid1">
    <w:name w:val="Table Grid1"/>
    <w:basedOn w:val="TableNormal"/>
    <w:next w:val="TableGrid"/>
    <w:uiPriority w:val="39"/>
    <w:rsid w:val="00C81809"/>
    <w:pPr>
      <w:spacing w:after="0" w:line="240" w:lineRule="auto"/>
    </w:pPr>
    <w:rPr>
      <w:rFonts w:ascii="Calibri" w:eastAsia="Calibri" w:hAnsi="Calibri" w:cs="Arial"/>
      <w:kern w:val="0"/>
      <w:sz w:val="22"/>
      <w:szCs w:val="22"/>
      <w:lang w:eastAsia="en-US"/>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2332B0"/>
    <w:rPr>
      <w:sz w:val="16"/>
      <w:szCs w:val="16"/>
    </w:rPr>
  </w:style>
  <w:style w:type="paragraph" w:styleId="CommentText">
    <w:name w:val="annotation text"/>
    <w:basedOn w:val="Normal"/>
    <w:link w:val="CommentTextChar"/>
    <w:uiPriority w:val="99"/>
    <w:unhideWhenUsed/>
    <w:rsid w:val="002332B0"/>
    <w:pPr>
      <w:spacing w:line="240" w:lineRule="auto"/>
    </w:pPr>
    <w:rPr>
      <w:kern w:val="0"/>
      <w:sz w:val="20"/>
      <w:szCs w:val="20"/>
      <w:lang w:eastAsia="ja-JP"/>
      <w14:ligatures w14:val="none"/>
    </w:rPr>
  </w:style>
  <w:style w:type="character" w:customStyle="1" w:styleId="CommentTextChar">
    <w:name w:val="Comment Text Char"/>
    <w:basedOn w:val="DefaultParagraphFont"/>
    <w:link w:val="CommentText"/>
    <w:uiPriority w:val="99"/>
    <w:rsid w:val="002332B0"/>
    <w:rPr>
      <w:kern w:val="0"/>
      <w:sz w:val="20"/>
      <w:szCs w:val="20"/>
      <w:lang w:eastAsia="ja-JP"/>
      <w14:ligatures w14:val="none"/>
    </w:rPr>
  </w:style>
  <w:style w:type="paragraph" w:customStyle="1" w:styleId="Default">
    <w:name w:val="Default"/>
    <w:rsid w:val="000D5D0C"/>
    <w:pPr>
      <w:autoSpaceDE w:val="0"/>
      <w:autoSpaceDN w:val="0"/>
      <w:adjustRightInd w:val="0"/>
      <w:spacing w:after="0" w:line="240" w:lineRule="auto"/>
    </w:pPr>
    <w:rPr>
      <w:rFonts w:ascii="Aptos" w:hAnsi="Aptos" w:cs="Aptos"/>
      <w:color w:val="000000"/>
      <w:kern w:val="0"/>
      <w:lang w:eastAsia="ja-JP"/>
      <w14:ligatures w14:val="none"/>
    </w:rPr>
  </w:style>
  <w:style w:type="paragraph" w:customStyle="1" w:styleId="TableParagraph">
    <w:name w:val="Table Paragraph"/>
    <w:basedOn w:val="Normal"/>
    <w:uiPriority w:val="1"/>
    <w:qFormat/>
    <w:rsid w:val="000D5D0C"/>
    <w:pPr>
      <w:widowControl w:val="0"/>
      <w:autoSpaceDE w:val="0"/>
      <w:autoSpaceDN w:val="0"/>
      <w:spacing w:after="0" w:line="240" w:lineRule="auto"/>
      <w:ind w:left="107"/>
    </w:pPr>
    <w:rPr>
      <w:rFonts w:ascii="Calibri" w:eastAsia="Calibri" w:hAnsi="Calibri" w:cs="Calibri"/>
      <w:kern w:val="0"/>
      <w:sz w:val="22"/>
      <w:szCs w:val="22"/>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proquest.com/docview/1372123014?accountid=130472&amp;parentSessionId=UAdG1%2BxASkwGIp2WTtlszgb2P1NlV1aK22cCnOeHjpk%3D&amp;pq-origsite=primo&amp;searchKeywords=Kaddoura%20%20M.%20%202013.%20Think%20pair%20share%3A%20a%20teaching%20learning%20strategy%20to%20enhance%20students%27%20critical%20thinking.%20Educational%20research%20quarterly%20%2036(4)%20%20pp.3-24" TargetMode="External"/><Relationship Id="rId18" Type="http://schemas.openxmlformats.org/officeDocument/2006/relationships/hyperlink" Target="https://ojs.uph.edu/index.php/PJI/article/view/1544"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bera.ac.uk/publication/ethical-guidelines-for-educational-research-fifth-edition-2024-online" TargetMode="External"/><Relationship Id="rId17" Type="http://schemas.openxmlformats.org/officeDocument/2006/relationships/hyperlink" Target="https://www.scirp.org/journal/paperinformation?paperid=73454" TargetMode="External"/><Relationship Id="rId2" Type="http://schemas.openxmlformats.org/officeDocument/2006/relationships/customXml" Target="../customXml/item2.xml"/><Relationship Id="rId16" Type="http://schemas.openxmlformats.org/officeDocument/2006/relationships/hyperlink" Target="https://eprints.soton.ac.uk/id/eprint/480671/" TargetMode="External"/><Relationship Id="rId20" Type="http://schemas.openxmlformats.org/officeDocument/2006/relationships/hyperlink" Target="https://resource.download.wjec.co.uk/vtc/2018-19/HSC18-19_2-4/_multi-lang/unit02/8-importance-of-early-interventions-and-partnerships.ht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tandfonline-com.uwtsd.idm.oclc.org/doi/pdf/10.1080/02667363.2019.1657801?needAccess=true" TargetMode="External"/><Relationship Id="rId10" Type="http://schemas.openxmlformats.org/officeDocument/2006/relationships/endnotes" Target="endnotes.xml"/><Relationship Id="rId19" Type="http://schemas.openxmlformats.org/officeDocument/2006/relationships/hyperlink" Target="https://hwb.gov.wales/api/storage/19bc948b-8a3f-41e0-944a-7bf2cadf7d18/professional-standards-for-teaching-and-leadership-interactive-pdf-for-pc.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educatorstechnology.com/2024/06/what-is-think-pair-share-strategy.htm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577751d0-6084-4994-a202-0c32fc3287d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4EB4A572E33BD41B9E3BB45B6C4FE48" ma:contentTypeVersion="9" ma:contentTypeDescription="Create a new document." ma:contentTypeScope="" ma:versionID="278a7eeaeb83bdad930047c335a37133">
  <xsd:schema xmlns:xsd="http://www.w3.org/2001/XMLSchema" xmlns:xs="http://www.w3.org/2001/XMLSchema" xmlns:p="http://schemas.microsoft.com/office/2006/metadata/properties" xmlns:ns3="577751d0-6084-4994-a202-0c32fc3287d3" targetNamespace="http://schemas.microsoft.com/office/2006/metadata/properties" ma:root="true" ma:fieldsID="bdaf7716ce8c0cb99db7ec049760702f" ns3:_="">
    <xsd:import namespace="577751d0-6084-4994-a202-0c32fc3287d3"/>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7751d0-6084-4994-a202-0c32fc3287d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44011FA-9794-4923-BFCA-97F7FE8E9B19}">
  <ds:schemaRefs>
    <ds:schemaRef ds:uri="http://schemas.microsoft.com/office/2006/metadata/properties"/>
    <ds:schemaRef ds:uri="http://schemas.microsoft.com/office/infopath/2007/PartnerControls"/>
    <ds:schemaRef ds:uri="577751d0-6084-4994-a202-0c32fc3287d3"/>
  </ds:schemaRefs>
</ds:datastoreItem>
</file>

<file path=customXml/itemProps2.xml><?xml version="1.0" encoding="utf-8"?>
<ds:datastoreItem xmlns:ds="http://schemas.openxmlformats.org/officeDocument/2006/customXml" ds:itemID="{7B09C3ED-8821-4C6A-8137-6EC7C246BAFF}">
  <ds:schemaRefs>
    <ds:schemaRef ds:uri="http://schemas.microsoft.com/sharepoint/v3/contenttype/forms"/>
  </ds:schemaRefs>
</ds:datastoreItem>
</file>

<file path=customXml/itemProps3.xml><?xml version="1.0" encoding="utf-8"?>
<ds:datastoreItem xmlns:ds="http://schemas.openxmlformats.org/officeDocument/2006/customXml" ds:itemID="{AEF8565A-8D7A-4B43-BB7F-DBB33380A76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7751d0-6084-4994-a202-0c32fc3287d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BE7172C-2F69-4FB9-BD7E-90E6D3D97E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TotalTime>
  <Pages>11</Pages>
  <Words>2492</Words>
  <Characters>14206</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Sioned Lewis-Page (2600191)</cp:lastModifiedBy>
  <cp:revision>56</cp:revision>
  <dcterms:created xsi:type="dcterms:W3CDTF">2026-10-18T18:42:00Z</dcterms:created>
  <dcterms:modified xsi:type="dcterms:W3CDTF">2026-10-18T20:48:00Z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0x01010044EB4A572E33BD41B9E3BB45B6C4FE48</vt:lpwstr>
  </property>
</Properties>
</file>