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478F3F3F" w:rsidR="007D1947" w:rsidRDefault="0082556C">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Budgeting principals and approaches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3D55CDF8" w:rsidR="007D1947" w:rsidRDefault="0082556C">
              <w:pPr>
                <w:pStyle w:val="NoSpacing"/>
                <w:jc w:val="center"/>
                <w:rPr>
                  <w:color w:val="5B9BD5" w:themeColor="accent1"/>
                  <w:sz w:val="28"/>
                  <w:szCs w:val="28"/>
                </w:rPr>
              </w:pPr>
              <w:r>
                <w:rPr>
                  <w:color w:val="5B9BD5" w:themeColor="accent1"/>
                  <w:sz w:val="28"/>
                  <w:szCs w:val="28"/>
                </w:rPr>
                <w:t>Andrei Selaru 2112461</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Content>
                                  <w:p w14:paraId="52BAF8D9" w14:textId="5A4B881A" w:rsidR="007D1947" w:rsidRDefault="0082556C">
                                    <w:pPr>
                                      <w:pStyle w:val="NoSpacing"/>
                                      <w:spacing w:after="40"/>
                                      <w:jc w:val="center"/>
                                      <w:rPr>
                                        <w:caps/>
                                        <w:color w:val="5B9BD5" w:themeColor="accent1"/>
                                        <w:sz w:val="28"/>
                                        <w:szCs w:val="28"/>
                                      </w:rPr>
                                    </w:pPr>
                                    <w:r>
                                      <w:rPr>
                                        <w:caps/>
                                        <w:color w:val="5B9BD5" w:themeColor="accent1"/>
                                        <w:sz w:val="28"/>
                                        <w:szCs w:val="28"/>
                                      </w:rPr>
                                      <w:t>March 31,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Content>
                            <w:p w14:paraId="52BAF8D9" w14:textId="5A4B881A" w:rsidR="007D1947" w:rsidRDefault="0082556C">
                              <w:pPr>
                                <w:pStyle w:val="NoSpacing"/>
                                <w:spacing w:after="40"/>
                                <w:jc w:val="center"/>
                                <w:rPr>
                                  <w:caps/>
                                  <w:color w:val="5B9BD5" w:themeColor="accent1"/>
                                  <w:sz w:val="28"/>
                                  <w:szCs w:val="28"/>
                                </w:rPr>
                              </w:pPr>
                              <w:r>
                                <w:rPr>
                                  <w:caps/>
                                  <w:color w:val="5B9BD5" w:themeColor="accent1"/>
                                  <w:sz w:val="28"/>
                                  <w:szCs w:val="28"/>
                                </w:rPr>
                                <w:t>March 31,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0E5CB4">
          <w:pPr>
            <w:pStyle w:val="Heading1"/>
            <w:jc w:val="center"/>
          </w:pPr>
          <w:r>
            <w:br w:type="page"/>
          </w:r>
          <w:bookmarkStart w:id="0" w:name="_Toc131075544"/>
          <w:r>
            <w:lastRenderedPageBreak/>
            <w:t>Executive Summary</w:t>
          </w:r>
          <w:bookmarkEnd w:id="0"/>
        </w:p>
        <w:p w14:paraId="62AB7F7D" w14:textId="77777777" w:rsidR="007D1947" w:rsidRDefault="007D1947"/>
        <w:p w14:paraId="7F8F78F5" w14:textId="4B38ACDC" w:rsidR="007D1947" w:rsidRDefault="00E477B8">
          <w:r w:rsidRPr="00E477B8">
            <w:t xml:space="preserve">The purpose of this report is to </w:t>
          </w:r>
          <w:proofErr w:type="spellStart"/>
          <w:r w:rsidRPr="00E477B8">
            <w:t>analyze</w:t>
          </w:r>
          <w:proofErr w:type="spellEnd"/>
          <w:r w:rsidRPr="00E477B8">
            <w:t xml:space="preserve"> and evaluate the budget planning process for a company over a period of </w:t>
          </w:r>
          <w:r w:rsidR="00662802">
            <w:t>six</w:t>
          </w:r>
          <w:r w:rsidRPr="00E477B8">
            <w:t xml:space="preserve"> months. The report aims to provide insights into the company's financial performance and identify areas of improvement in order to optimize financial resources and improve overall profitability.</w:t>
          </w:r>
          <w:r>
            <w:t xml:space="preserve"> </w:t>
          </w:r>
          <w:r w:rsidR="006E0906" w:rsidRPr="006E0906">
            <w:t xml:space="preserve">The report begins with an analysis of the company's financial data for the past </w:t>
          </w:r>
          <w:r w:rsidR="006E0906">
            <w:t>six</w:t>
          </w:r>
          <w:r w:rsidR="006E0906" w:rsidRPr="006E0906">
            <w:t xml:space="preserve"> months. This includes an examination of the company's revenue, expenses, and cash flow. The analysis reveals that the company </w:t>
          </w:r>
          <w:r w:rsidR="006E0906">
            <w:t>may be facing budget issues and suggest actions that managerial staff can take upon</w:t>
          </w:r>
          <w:r w:rsidR="006E0906" w:rsidRPr="006E0906">
            <w:t>.</w:t>
          </w:r>
          <w:r w:rsidR="006E0906">
            <w:t xml:space="preserve"> </w:t>
          </w:r>
          <w:r w:rsidR="006E0906" w:rsidRPr="006E0906">
            <w:t>The report then identifies several key areas where the company can improve its financial performance. First, the report recommends implementing cost-saving measures such as reducing unnecessary expenses and renegotiating contracts with vendors to lower costs.</w:t>
          </w:r>
          <w:r w:rsidR="006E0906">
            <w:t xml:space="preserve"> Second, </w:t>
          </w:r>
          <w:r w:rsidR="006E0906" w:rsidRPr="006E0906">
            <w:t>the report suggests increasing revenue through targeted marketing strategies, such as improving</w:t>
          </w:r>
          <w:r w:rsidR="006E0906">
            <w:t xml:space="preserve"> and excellent budget planning. </w:t>
          </w:r>
          <w:r w:rsidR="000E5CB4" w:rsidRPr="000E5CB4">
            <w:t xml:space="preserve">In addition to these recommendations, the report suggests implementing a more structured budgeting process that includes regular monitoring and adjustments to ensure the company stays on track. This includes setting clear financial goals and creating a detailed budget plan that </w:t>
          </w:r>
          <w:r w:rsidR="00662802" w:rsidRPr="000E5CB4">
            <w:t>considers</w:t>
          </w:r>
          <w:r w:rsidR="000E5CB4" w:rsidRPr="000E5CB4">
            <w:t xml:space="preserve"> all potential expenses and revenue streams.</w:t>
          </w:r>
        </w:p>
        <w:p w14:paraId="7159BF78" w14:textId="0DA694F9" w:rsidR="000E5CB4" w:rsidRDefault="000E5CB4">
          <w:r w:rsidRPr="000E5CB4">
            <w:t>Furthermore, the report recommends establishing a cross-functional team responsible for managing the budgeting process and ensuring that all departments are aligned with the company's financial goals. This team should include representatives from finance, marketing, sales, and operations, among others</w:t>
          </w:r>
          <w:r>
            <w:t xml:space="preserve">. </w:t>
          </w:r>
          <w:r w:rsidRPr="000E5CB4">
            <w:t>Finally, the report emphasizes the importance of regularly reviewing and evaluating the company's financial performance. This includes tracking key performance indicators such as revenue growth, profit margins, and cash flow. By regularly monitoring these metrics, the company can quickly identify areas where it is falling short and take corrective action</w:t>
          </w:r>
          <w:r>
            <w:t xml:space="preserve">. </w:t>
          </w:r>
          <w:r w:rsidRPr="000E5CB4">
            <w:t xml:space="preserve">Overall, this report aims to provide actionable insights for the company to improve its financial performance over the next </w:t>
          </w:r>
          <w:r>
            <w:t>six</w:t>
          </w:r>
          <w:r w:rsidRPr="000E5CB4">
            <w:t xml:space="preserve"> months and beyond. By implementing the recommendations provided, the company can optimize its resources, increase profitability, and achieve long-term financial stability.</w:t>
          </w:r>
        </w:p>
        <w:p w14:paraId="45E49037" w14:textId="77777777" w:rsidR="000E5CB4" w:rsidRDefault="000E5CB4"/>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77777777" w:rsidR="007D1947" w:rsidRDefault="007D1947"/>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7FC794C4" w14:textId="2696D7CD" w:rsidR="0066280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075544" w:history="1">
                <w:r w:rsidR="00662802" w:rsidRPr="00CA3DE3">
                  <w:rPr>
                    <w:rStyle w:val="Hyperlink"/>
                    <w:noProof/>
                  </w:rPr>
                  <w:t>Executive Summary</w:t>
                </w:r>
                <w:r w:rsidR="00662802">
                  <w:rPr>
                    <w:noProof/>
                    <w:webHidden/>
                  </w:rPr>
                  <w:tab/>
                </w:r>
                <w:r w:rsidR="00662802">
                  <w:rPr>
                    <w:noProof/>
                    <w:webHidden/>
                  </w:rPr>
                  <w:fldChar w:fldCharType="begin"/>
                </w:r>
                <w:r w:rsidR="00662802">
                  <w:rPr>
                    <w:noProof/>
                    <w:webHidden/>
                  </w:rPr>
                  <w:instrText xml:space="preserve"> PAGEREF _Toc131075544 \h </w:instrText>
                </w:r>
                <w:r w:rsidR="00662802">
                  <w:rPr>
                    <w:noProof/>
                    <w:webHidden/>
                  </w:rPr>
                </w:r>
                <w:r w:rsidR="00662802">
                  <w:rPr>
                    <w:noProof/>
                    <w:webHidden/>
                  </w:rPr>
                  <w:fldChar w:fldCharType="separate"/>
                </w:r>
                <w:r w:rsidR="00662802">
                  <w:rPr>
                    <w:noProof/>
                    <w:webHidden/>
                  </w:rPr>
                  <w:t>1</w:t>
                </w:r>
                <w:r w:rsidR="00662802">
                  <w:rPr>
                    <w:noProof/>
                    <w:webHidden/>
                  </w:rPr>
                  <w:fldChar w:fldCharType="end"/>
                </w:r>
              </w:hyperlink>
            </w:p>
            <w:p w14:paraId="26A32A9A" w14:textId="57F5047E" w:rsidR="00662802" w:rsidRDefault="00662802">
              <w:pPr>
                <w:pStyle w:val="TOC1"/>
                <w:tabs>
                  <w:tab w:val="right" w:leader="dot" w:pos="9016"/>
                </w:tabs>
                <w:rPr>
                  <w:rFonts w:eastAsiaTheme="minorEastAsia"/>
                  <w:noProof/>
                  <w:lang w:eastAsia="en-GB"/>
                </w:rPr>
              </w:pPr>
              <w:hyperlink w:anchor="_Toc131075545" w:history="1">
                <w:r w:rsidRPr="00CA3DE3">
                  <w:rPr>
                    <w:rStyle w:val="Hyperlink"/>
                    <w:noProof/>
                  </w:rPr>
                  <w:t>1.0 Introduction</w:t>
                </w:r>
                <w:r>
                  <w:rPr>
                    <w:noProof/>
                    <w:webHidden/>
                  </w:rPr>
                  <w:tab/>
                </w:r>
                <w:r>
                  <w:rPr>
                    <w:noProof/>
                    <w:webHidden/>
                  </w:rPr>
                  <w:fldChar w:fldCharType="begin"/>
                </w:r>
                <w:r>
                  <w:rPr>
                    <w:noProof/>
                    <w:webHidden/>
                  </w:rPr>
                  <w:instrText xml:space="preserve"> PAGEREF _Toc131075545 \h </w:instrText>
                </w:r>
                <w:r>
                  <w:rPr>
                    <w:noProof/>
                    <w:webHidden/>
                  </w:rPr>
                </w:r>
                <w:r>
                  <w:rPr>
                    <w:noProof/>
                    <w:webHidden/>
                  </w:rPr>
                  <w:fldChar w:fldCharType="separate"/>
                </w:r>
                <w:r>
                  <w:rPr>
                    <w:noProof/>
                    <w:webHidden/>
                  </w:rPr>
                  <w:t>3</w:t>
                </w:r>
                <w:r>
                  <w:rPr>
                    <w:noProof/>
                    <w:webHidden/>
                  </w:rPr>
                  <w:fldChar w:fldCharType="end"/>
                </w:r>
              </w:hyperlink>
            </w:p>
            <w:p w14:paraId="5CA6121C" w14:textId="453E669E" w:rsidR="00662802" w:rsidRDefault="00662802">
              <w:pPr>
                <w:pStyle w:val="TOC1"/>
                <w:tabs>
                  <w:tab w:val="right" w:leader="dot" w:pos="9016"/>
                </w:tabs>
                <w:rPr>
                  <w:rFonts w:eastAsiaTheme="minorEastAsia"/>
                  <w:noProof/>
                  <w:lang w:eastAsia="en-GB"/>
                </w:rPr>
              </w:pPr>
              <w:hyperlink w:anchor="_Toc131075546" w:history="1">
                <w:r w:rsidRPr="00CA3DE3">
                  <w:rPr>
                    <w:rStyle w:val="Hyperlink"/>
                    <w:noProof/>
                  </w:rPr>
                  <w:t>2.0 Main Findings</w:t>
                </w:r>
                <w:r>
                  <w:rPr>
                    <w:noProof/>
                    <w:webHidden/>
                  </w:rPr>
                  <w:tab/>
                </w:r>
                <w:r>
                  <w:rPr>
                    <w:noProof/>
                    <w:webHidden/>
                  </w:rPr>
                  <w:fldChar w:fldCharType="begin"/>
                </w:r>
                <w:r>
                  <w:rPr>
                    <w:noProof/>
                    <w:webHidden/>
                  </w:rPr>
                  <w:instrText xml:space="preserve"> PAGEREF _Toc131075546 \h </w:instrText>
                </w:r>
                <w:r>
                  <w:rPr>
                    <w:noProof/>
                    <w:webHidden/>
                  </w:rPr>
                </w:r>
                <w:r>
                  <w:rPr>
                    <w:noProof/>
                    <w:webHidden/>
                  </w:rPr>
                  <w:fldChar w:fldCharType="separate"/>
                </w:r>
                <w:r>
                  <w:rPr>
                    <w:noProof/>
                    <w:webHidden/>
                  </w:rPr>
                  <w:t>4</w:t>
                </w:r>
                <w:r>
                  <w:rPr>
                    <w:noProof/>
                    <w:webHidden/>
                  </w:rPr>
                  <w:fldChar w:fldCharType="end"/>
                </w:r>
              </w:hyperlink>
            </w:p>
            <w:p w14:paraId="6A11B6E7" w14:textId="6C4E3842" w:rsidR="00662802" w:rsidRDefault="00662802">
              <w:pPr>
                <w:pStyle w:val="TOC2"/>
                <w:tabs>
                  <w:tab w:val="right" w:leader="dot" w:pos="9016"/>
                </w:tabs>
                <w:rPr>
                  <w:rFonts w:eastAsiaTheme="minorEastAsia"/>
                  <w:noProof/>
                  <w:lang w:eastAsia="en-GB"/>
                </w:rPr>
              </w:pPr>
              <w:hyperlink w:anchor="_Toc131075547" w:history="1">
                <w:r w:rsidRPr="00CA3DE3">
                  <w:rPr>
                    <w:rStyle w:val="Hyperlink"/>
                    <w:rFonts w:ascii="Arial" w:hAnsi="Arial" w:cs="Arial"/>
                    <w:noProof/>
                  </w:rPr>
                  <w:t>2.1</w:t>
                </w:r>
                <w:r w:rsidRPr="00CA3DE3">
                  <w:rPr>
                    <w:rStyle w:val="Hyperlink"/>
                    <w:noProof/>
                  </w:rPr>
                  <w:t xml:space="preserve"> Potential issues and management actions</w:t>
                </w:r>
                <w:r>
                  <w:rPr>
                    <w:noProof/>
                    <w:webHidden/>
                  </w:rPr>
                  <w:tab/>
                </w:r>
                <w:r>
                  <w:rPr>
                    <w:noProof/>
                    <w:webHidden/>
                  </w:rPr>
                  <w:fldChar w:fldCharType="begin"/>
                </w:r>
                <w:r>
                  <w:rPr>
                    <w:noProof/>
                    <w:webHidden/>
                  </w:rPr>
                  <w:instrText xml:space="preserve"> PAGEREF _Toc131075547 \h </w:instrText>
                </w:r>
                <w:r>
                  <w:rPr>
                    <w:noProof/>
                    <w:webHidden/>
                  </w:rPr>
                </w:r>
                <w:r>
                  <w:rPr>
                    <w:noProof/>
                    <w:webHidden/>
                  </w:rPr>
                  <w:fldChar w:fldCharType="separate"/>
                </w:r>
                <w:r>
                  <w:rPr>
                    <w:noProof/>
                    <w:webHidden/>
                  </w:rPr>
                  <w:t>6</w:t>
                </w:r>
                <w:r>
                  <w:rPr>
                    <w:noProof/>
                    <w:webHidden/>
                  </w:rPr>
                  <w:fldChar w:fldCharType="end"/>
                </w:r>
              </w:hyperlink>
            </w:p>
            <w:p w14:paraId="44A2A9FD" w14:textId="62404138" w:rsidR="00662802" w:rsidRDefault="00662802">
              <w:pPr>
                <w:pStyle w:val="TOC2"/>
                <w:tabs>
                  <w:tab w:val="right" w:leader="dot" w:pos="9016"/>
                </w:tabs>
                <w:rPr>
                  <w:rFonts w:eastAsiaTheme="minorEastAsia"/>
                  <w:noProof/>
                  <w:lang w:eastAsia="en-GB"/>
                </w:rPr>
              </w:pPr>
              <w:hyperlink w:anchor="_Toc131075548" w:history="1">
                <w:r w:rsidRPr="00CA3DE3">
                  <w:rPr>
                    <w:rStyle w:val="Hyperlink"/>
                    <w:noProof/>
                  </w:rPr>
                  <w:t>2.2 Importance of budgeting and management</w:t>
                </w:r>
                <w:r>
                  <w:rPr>
                    <w:noProof/>
                    <w:webHidden/>
                  </w:rPr>
                  <w:tab/>
                </w:r>
                <w:r>
                  <w:rPr>
                    <w:noProof/>
                    <w:webHidden/>
                  </w:rPr>
                  <w:fldChar w:fldCharType="begin"/>
                </w:r>
                <w:r>
                  <w:rPr>
                    <w:noProof/>
                    <w:webHidden/>
                  </w:rPr>
                  <w:instrText xml:space="preserve"> PAGEREF _Toc131075548 \h </w:instrText>
                </w:r>
                <w:r>
                  <w:rPr>
                    <w:noProof/>
                    <w:webHidden/>
                  </w:rPr>
                </w:r>
                <w:r>
                  <w:rPr>
                    <w:noProof/>
                    <w:webHidden/>
                  </w:rPr>
                  <w:fldChar w:fldCharType="separate"/>
                </w:r>
                <w:r>
                  <w:rPr>
                    <w:noProof/>
                    <w:webHidden/>
                  </w:rPr>
                  <w:t>7</w:t>
                </w:r>
                <w:r>
                  <w:rPr>
                    <w:noProof/>
                    <w:webHidden/>
                  </w:rPr>
                  <w:fldChar w:fldCharType="end"/>
                </w:r>
              </w:hyperlink>
            </w:p>
            <w:p w14:paraId="2F60223B" w14:textId="5CC87AA1" w:rsidR="00662802" w:rsidRDefault="00662802">
              <w:pPr>
                <w:pStyle w:val="TOC2"/>
                <w:tabs>
                  <w:tab w:val="right" w:leader="dot" w:pos="9016"/>
                </w:tabs>
                <w:rPr>
                  <w:rFonts w:eastAsiaTheme="minorEastAsia"/>
                  <w:noProof/>
                  <w:lang w:eastAsia="en-GB"/>
                </w:rPr>
              </w:pPr>
              <w:hyperlink w:anchor="_Toc131075549" w:history="1">
                <w:r w:rsidRPr="00CA3DE3">
                  <w:rPr>
                    <w:rStyle w:val="Hyperlink"/>
                    <w:noProof/>
                  </w:rPr>
                  <w:t>2.3 People Behaviours</w:t>
                </w:r>
                <w:r>
                  <w:rPr>
                    <w:noProof/>
                    <w:webHidden/>
                  </w:rPr>
                  <w:tab/>
                </w:r>
                <w:r>
                  <w:rPr>
                    <w:noProof/>
                    <w:webHidden/>
                  </w:rPr>
                  <w:fldChar w:fldCharType="begin"/>
                </w:r>
                <w:r>
                  <w:rPr>
                    <w:noProof/>
                    <w:webHidden/>
                  </w:rPr>
                  <w:instrText xml:space="preserve"> PAGEREF _Toc131075549 \h </w:instrText>
                </w:r>
                <w:r>
                  <w:rPr>
                    <w:noProof/>
                    <w:webHidden/>
                  </w:rPr>
                </w:r>
                <w:r>
                  <w:rPr>
                    <w:noProof/>
                    <w:webHidden/>
                  </w:rPr>
                  <w:fldChar w:fldCharType="separate"/>
                </w:r>
                <w:r>
                  <w:rPr>
                    <w:noProof/>
                    <w:webHidden/>
                  </w:rPr>
                  <w:t>8</w:t>
                </w:r>
                <w:r>
                  <w:rPr>
                    <w:noProof/>
                    <w:webHidden/>
                  </w:rPr>
                  <w:fldChar w:fldCharType="end"/>
                </w:r>
              </w:hyperlink>
            </w:p>
            <w:p w14:paraId="160E0AAD" w14:textId="5A997FFF" w:rsidR="00662802" w:rsidRDefault="00662802">
              <w:pPr>
                <w:pStyle w:val="TOC2"/>
                <w:tabs>
                  <w:tab w:val="right" w:leader="dot" w:pos="9016"/>
                </w:tabs>
                <w:rPr>
                  <w:rFonts w:eastAsiaTheme="minorEastAsia"/>
                  <w:noProof/>
                  <w:lang w:eastAsia="en-GB"/>
                </w:rPr>
              </w:pPr>
              <w:hyperlink w:anchor="_Toc131075550" w:history="1">
                <w:r w:rsidRPr="00CA3DE3">
                  <w:rPr>
                    <w:rStyle w:val="Hyperlink"/>
                    <w:noProof/>
                  </w:rPr>
                  <w:t>2.4 Traditional budgeting</w:t>
                </w:r>
                <w:r>
                  <w:rPr>
                    <w:noProof/>
                    <w:webHidden/>
                  </w:rPr>
                  <w:tab/>
                </w:r>
                <w:r>
                  <w:rPr>
                    <w:noProof/>
                    <w:webHidden/>
                  </w:rPr>
                  <w:fldChar w:fldCharType="begin"/>
                </w:r>
                <w:r>
                  <w:rPr>
                    <w:noProof/>
                    <w:webHidden/>
                  </w:rPr>
                  <w:instrText xml:space="preserve"> PAGEREF _Toc131075550 \h </w:instrText>
                </w:r>
                <w:r>
                  <w:rPr>
                    <w:noProof/>
                    <w:webHidden/>
                  </w:rPr>
                </w:r>
                <w:r>
                  <w:rPr>
                    <w:noProof/>
                    <w:webHidden/>
                  </w:rPr>
                  <w:fldChar w:fldCharType="separate"/>
                </w:r>
                <w:r>
                  <w:rPr>
                    <w:noProof/>
                    <w:webHidden/>
                  </w:rPr>
                  <w:t>9</w:t>
                </w:r>
                <w:r>
                  <w:rPr>
                    <w:noProof/>
                    <w:webHidden/>
                  </w:rPr>
                  <w:fldChar w:fldCharType="end"/>
                </w:r>
              </w:hyperlink>
            </w:p>
            <w:p w14:paraId="33BC4F23" w14:textId="40A3BA7C" w:rsidR="00662802" w:rsidRDefault="00662802">
              <w:pPr>
                <w:pStyle w:val="TOC2"/>
                <w:tabs>
                  <w:tab w:val="right" w:leader="dot" w:pos="9016"/>
                </w:tabs>
                <w:rPr>
                  <w:rFonts w:eastAsiaTheme="minorEastAsia"/>
                  <w:noProof/>
                  <w:lang w:eastAsia="en-GB"/>
                </w:rPr>
              </w:pPr>
              <w:hyperlink w:anchor="_Toc131075551" w:history="1">
                <w:r w:rsidRPr="00CA3DE3">
                  <w:rPr>
                    <w:rStyle w:val="Hyperlink"/>
                    <w:noProof/>
                  </w:rPr>
                  <w:t>2.5 Master budget and cash cycle</w:t>
                </w:r>
                <w:r>
                  <w:rPr>
                    <w:noProof/>
                    <w:webHidden/>
                  </w:rPr>
                  <w:tab/>
                </w:r>
                <w:r>
                  <w:rPr>
                    <w:noProof/>
                    <w:webHidden/>
                  </w:rPr>
                  <w:fldChar w:fldCharType="begin"/>
                </w:r>
                <w:r>
                  <w:rPr>
                    <w:noProof/>
                    <w:webHidden/>
                  </w:rPr>
                  <w:instrText xml:space="preserve"> PAGEREF _Toc131075551 \h </w:instrText>
                </w:r>
                <w:r>
                  <w:rPr>
                    <w:noProof/>
                    <w:webHidden/>
                  </w:rPr>
                </w:r>
                <w:r>
                  <w:rPr>
                    <w:noProof/>
                    <w:webHidden/>
                  </w:rPr>
                  <w:fldChar w:fldCharType="separate"/>
                </w:r>
                <w:r>
                  <w:rPr>
                    <w:noProof/>
                    <w:webHidden/>
                  </w:rPr>
                  <w:t>10</w:t>
                </w:r>
                <w:r>
                  <w:rPr>
                    <w:noProof/>
                    <w:webHidden/>
                  </w:rPr>
                  <w:fldChar w:fldCharType="end"/>
                </w:r>
              </w:hyperlink>
            </w:p>
            <w:p w14:paraId="5A34C5B5" w14:textId="38849D1E" w:rsidR="00662802" w:rsidRDefault="00662802">
              <w:pPr>
                <w:pStyle w:val="TOC2"/>
                <w:tabs>
                  <w:tab w:val="right" w:leader="dot" w:pos="9016"/>
                </w:tabs>
                <w:rPr>
                  <w:rFonts w:eastAsiaTheme="minorEastAsia"/>
                  <w:noProof/>
                  <w:lang w:eastAsia="en-GB"/>
                </w:rPr>
              </w:pPr>
              <w:hyperlink w:anchor="_Toc131075552" w:history="1">
                <w:r w:rsidRPr="00CA3DE3">
                  <w:rPr>
                    <w:rStyle w:val="Hyperlink"/>
                    <w:noProof/>
                  </w:rPr>
                  <w:t>2.6 KPIs and KMRs</w:t>
                </w:r>
                <w:r>
                  <w:rPr>
                    <w:noProof/>
                    <w:webHidden/>
                  </w:rPr>
                  <w:tab/>
                </w:r>
                <w:r>
                  <w:rPr>
                    <w:noProof/>
                    <w:webHidden/>
                  </w:rPr>
                  <w:fldChar w:fldCharType="begin"/>
                </w:r>
                <w:r>
                  <w:rPr>
                    <w:noProof/>
                    <w:webHidden/>
                  </w:rPr>
                  <w:instrText xml:space="preserve"> PAGEREF _Toc131075552 \h </w:instrText>
                </w:r>
                <w:r>
                  <w:rPr>
                    <w:noProof/>
                    <w:webHidden/>
                  </w:rPr>
                </w:r>
                <w:r>
                  <w:rPr>
                    <w:noProof/>
                    <w:webHidden/>
                  </w:rPr>
                  <w:fldChar w:fldCharType="separate"/>
                </w:r>
                <w:r>
                  <w:rPr>
                    <w:noProof/>
                    <w:webHidden/>
                  </w:rPr>
                  <w:t>10</w:t>
                </w:r>
                <w:r>
                  <w:rPr>
                    <w:noProof/>
                    <w:webHidden/>
                  </w:rPr>
                  <w:fldChar w:fldCharType="end"/>
                </w:r>
              </w:hyperlink>
            </w:p>
            <w:p w14:paraId="3591A259" w14:textId="61C2614A" w:rsidR="00662802" w:rsidRDefault="00662802">
              <w:pPr>
                <w:pStyle w:val="TOC1"/>
                <w:tabs>
                  <w:tab w:val="right" w:leader="dot" w:pos="9016"/>
                </w:tabs>
                <w:rPr>
                  <w:rFonts w:eastAsiaTheme="minorEastAsia"/>
                  <w:noProof/>
                  <w:lang w:eastAsia="en-GB"/>
                </w:rPr>
              </w:pPr>
              <w:hyperlink w:anchor="_Toc131075553" w:history="1">
                <w:r w:rsidRPr="00CA3DE3">
                  <w:rPr>
                    <w:rStyle w:val="Hyperlink"/>
                    <w:noProof/>
                  </w:rPr>
                  <w:t>3.0 Conclusion</w:t>
                </w:r>
                <w:r>
                  <w:rPr>
                    <w:noProof/>
                    <w:webHidden/>
                  </w:rPr>
                  <w:tab/>
                </w:r>
                <w:r>
                  <w:rPr>
                    <w:noProof/>
                    <w:webHidden/>
                  </w:rPr>
                  <w:fldChar w:fldCharType="begin"/>
                </w:r>
                <w:r>
                  <w:rPr>
                    <w:noProof/>
                    <w:webHidden/>
                  </w:rPr>
                  <w:instrText xml:space="preserve"> PAGEREF _Toc131075553 \h </w:instrText>
                </w:r>
                <w:r>
                  <w:rPr>
                    <w:noProof/>
                    <w:webHidden/>
                  </w:rPr>
                </w:r>
                <w:r>
                  <w:rPr>
                    <w:noProof/>
                    <w:webHidden/>
                  </w:rPr>
                  <w:fldChar w:fldCharType="separate"/>
                </w:r>
                <w:r>
                  <w:rPr>
                    <w:noProof/>
                    <w:webHidden/>
                  </w:rPr>
                  <w:t>12</w:t>
                </w:r>
                <w:r>
                  <w:rPr>
                    <w:noProof/>
                    <w:webHidden/>
                  </w:rPr>
                  <w:fldChar w:fldCharType="end"/>
                </w:r>
              </w:hyperlink>
            </w:p>
            <w:p w14:paraId="2F0DF1E5" w14:textId="6BC37348" w:rsidR="00662802" w:rsidRDefault="00662802">
              <w:pPr>
                <w:pStyle w:val="TOC1"/>
                <w:tabs>
                  <w:tab w:val="right" w:leader="dot" w:pos="9016"/>
                </w:tabs>
                <w:rPr>
                  <w:rFonts w:eastAsiaTheme="minorEastAsia"/>
                  <w:noProof/>
                  <w:lang w:eastAsia="en-GB"/>
                </w:rPr>
              </w:pPr>
              <w:hyperlink w:anchor="_Toc131075554" w:history="1">
                <w:r w:rsidRPr="00CA3DE3">
                  <w:rPr>
                    <w:rStyle w:val="Hyperlink"/>
                    <w:noProof/>
                  </w:rPr>
                  <w:t>Bibliography</w:t>
                </w:r>
                <w:r>
                  <w:rPr>
                    <w:noProof/>
                    <w:webHidden/>
                  </w:rPr>
                  <w:tab/>
                </w:r>
                <w:r>
                  <w:rPr>
                    <w:noProof/>
                    <w:webHidden/>
                  </w:rPr>
                  <w:fldChar w:fldCharType="begin"/>
                </w:r>
                <w:r>
                  <w:rPr>
                    <w:noProof/>
                    <w:webHidden/>
                  </w:rPr>
                  <w:instrText xml:space="preserve"> PAGEREF _Toc131075554 \h </w:instrText>
                </w:r>
                <w:r>
                  <w:rPr>
                    <w:noProof/>
                    <w:webHidden/>
                  </w:rPr>
                </w:r>
                <w:r>
                  <w:rPr>
                    <w:noProof/>
                    <w:webHidden/>
                  </w:rPr>
                  <w:fldChar w:fldCharType="separate"/>
                </w:r>
                <w:r>
                  <w:rPr>
                    <w:noProof/>
                    <w:webHidden/>
                  </w:rPr>
                  <w:t>13</w:t>
                </w:r>
                <w:r>
                  <w:rPr>
                    <w:noProof/>
                    <w:webHidden/>
                  </w:rPr>
                  <w:fldChar w:fldCharType="end"/>
                </w:r>
              </w:hyperlink>
            </w:p>
            <w:p w14:paraId="05194699" w14:textId="4505B58F" w:rsidR="007D1947" w:rsidRDefault="007D1947">
              <w:r>
                <w:rPr>
                  <w:b/>
                  <w:bCs/>
                  <w:noProof/>
                </w:rPr>
                <w:fldChar w:fldCharType="end"/>
              </w:r>
              <w:r w:rsidR="00E477B8">
                <w:rPr>
                  <w:b/>
                  <w:bCs/>
                  <w:noProof/>
                </w:rPr>
                <w:t xml:space="preserve"> </w:t>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655F29CA" w14:textId="77777777" w:rsidR="007D1947" w:rsidRDefault="007D1947"/>
        <w:p w14:paraId="0ED321E6" w14:textId="6064C8DA" w:rsidR="007D1947" w:rsidRDefault="002968EC" w:rsidP="00AB28A6">
          <w:pPr>
            <w:pStyle w:val="Heading1"/>
            <w:jc w:val="center"/>
          </w:pPr>
          <w:bookmarkStart w:id="1" w:name="_Toc131075545"/>
          <w:r>
            <w:lastRenderedPageBreak/>
            <w:t xml:space="preserve">1.0 </w:t>
          </w:r>
          <w:r w:rsidR="007D1947">
            <w:t>Introduction</w:t>
          </w:r>
          <w:bookmarkEnd w:id="1"/>
        </w:p>
        <w:p w14:paraId="60449A4E" w14:textId="77777777" w:rsidR="00E26602" w:rsidRDefault="00E26602" w:rsidP="007D1947">
          <w:pPr>
            <w:rPr>
              <w:rFonts w:ascii="Arial" w:hAnsi="Arial" w:cs="Arial"/>
              <w:color w:val="222222"/>
              <w:shd w:val="clear" w:color="auto" w:fill="FFFFFF"/>
            </w:rPr>
          </w:pPr>
        </w:p>
        <w:p w14:paraId="5ED88C6B" w14:textId="67971508" w:rsidR="00E26602" w:rsidRDefault="00E26602" w:rsidP="00E26602">
          <w:r>
            <w:t>Budgeting, cash management, and performance measurement are essential components of financial management in any business organization. They play a critical role in the success and growth of the organization. Budgeting involves forecasting and planning future income and expenses, whereas cash management ensures that the organization has sufficient cash to meet its obligations. Performance measurement involves setting and tracking key performance indicators (KPIs) and key management ratios (KMRs) to assess the organization's performance against its goals and objectives.</w:t>
          </w:r>
        </w:p>
        <w:p w14:paraId="6F319CBB" w14:textId="063F120F" w:rsidR="00E329A5" w:rsidRDefault="00E329A5" w:rsidP="00E26602">
          <w:r w:rsidRPr="00E329A5">
            <w:t xml:space="preserve">This </w:t>
          </w:r>
          <w:r w:rsidR="00410513">
            <w:t>report</w:t>
          </w:r>
          <w:r w:rsidRPr="00E329A5">
            <w:t xml:space="preserve"> offers insights into the value of sound budgeting and management in a business setting, the master budget and cash cycle, and the impact of KPIs and KMRs on the commercial landscape. The first section talks about the value of effective budgeting and management and includes citations from expert literature that describe the outcomes of calculations for the </w:t>
          </w:r>
          <w:r>
            <w:t>organization</w:t>
          </w:r>
          <w:r w:rsidRPr="00E329A5">
            <w:t xml:space="preserve"> that is the focus of attention</w:t>
          </w:r>
          <w:r w:rsidR="004E6BD3">
            <w:t xml:space="preserve"> and </w:t>
          </w:r>
          <w:r w:rsidR="00C329C2">
            <w:t>its</w:t>
          </w:r>
          <w:r w:rsidR="004E6BD3">
            <w:t xml:space="preserve"> budget planning for 6 months.</w:t>
          </w:r>
        </w:p>
        <w:p w14:paraId="49B65315" w14:textId="4DCA9136" w:rsidR="00E26602" w:rsidRDefault="00E26602" w:rsidP="00E26602">
          <w:r>
            <w:t xml:space="preserve">The second section </w:t>
          </w:r>
          <w:r w:rsidR="00364FA0">
            <w:t>explores</w:t>
          </w:r>
          <w:r>
            <w:t xml:space="preserve"> the master budget and cash cycle, highlighting their significance in financial management. The section examines how the master budget integrates all the functional budgets of the organization and how the cash cycle ensures that the organization has sufficient cash to meet its obligations.</w:t>
          </w:r>
        </w:p>
        <w:p w14:paraId="4F649C09" w14:textId="77777777" w:rsidR="00E329A5" w:rsidRDefault="00E329A5" w:rsidP="00E26602">
          <w:r w:rsidRPr="00E329A5">
            <w:t>The significance of KPIs and KMRs in evaluating an organization's performance is discussed in the third part. In this section is presented how KPIs and KMRs give a way to quantitatively assess how well a company is doing at reaching its goals and objectives.</w:t>
          </w:r>
        </w:p>
        <w:p w14:paraId="3AA0C9A8" w14:textId="6588E275" w:rsidR="00E26602" w:rsidRDefault="00364FA0" w:rsidP="00E26602">
          <w:r>
            <w:t>The report ends by concluding how</w:t>
          </w:r>
          <w:r w:rsidR="00E26602">
            <w:t xml:space="preserve"> effective financial management requires a comprehensive approach that encompasses budgeting, cash management, and performance measurement. A good understanding of these concepts is critical to the success and growth of any business </w:t>
          </w:r>
          <w:r>
            <w:t>organization.</w:t>
          </w:r>
        </w:p>
        <w:p w14:paraId="5DBAD65B" w14:textId="77777777" w:rsidR="004A11F6" w:rsidRDefault="004A11F6" w:rsidP="007D1947"/>
        <w:p w14:paraId="63BE38B9" w14:textId="77777777" w:rsidR="004A11F6" w:rsidRDefault="004A11F6" w:rsidP="007D1947"/>
        <w:p w14:paraId="1392FEFB" w14:textId="77777777" w:rsidR="004A11F6" w:rsidRDefault="004A11F6" w:rsidP="007D1947"/>
        <w:p w14:paraId="7C657C89" w14:textId="77777777" w:rsidR="00AA2A91" w:rsidRDefault="00AA2A91" w:rsidP="004D519C"/>
        <w:p w14:paraId="314A46A8" w14:textId="77777777" w:rsidR="00274F44" w:rsidRDefault="00274F44" w:rsidP="004D519C"/>
        <w:p w14:paraId="5C12EC86" w14:textId="77777777" w:rsidR="00274F44" w:rsidRDefault="00274F44" w:rsidP="004D519C"/>
        <w:p w14:paraId="32D58738" w14:textId="77777777" w:rsidR="00274F44" w:rsidRDefault="00274F44" w:rsidP="004D519C"/>
        <w:p w14:paraId="5EE4522B" w14:textId="77777777" w:rsidR="00274F44" w:rsidRDefault="00274F44" w:rsidP="004D519C"/>
        <w:p w14:paraId="11B197C5" w14:textId="77777777" w:rsidR="00274F44" w:rsidRDefault="00274F44" w:rsidP="004D519C"/>
        <w:p w14:paraId="6974E844" w14:textId="77777777" w:rsidR="00274F44" w:rsidRDefault="00274F44" w:rsidP="004D519C"/>
        <w:p w14:paraId="1716363C" w14:textId="77777777" w:rsidR="00274F44" w:rsidRDefault="00274F44" w:rsidP="004D519C"/>
        <w:p w14:paraId="79C3CB27" w14:textId="77777777" w:rsidR="00274F44" w:rsidRDefault="00274F44" w:rsidP="004D519C"/>
        <w:p w14:paraId="5B84964A" w14:textId="77777777" w:rsidR="004500F0" w:rsidRDefault="004500F0" w:rsidP="004D519C"/>
        <w:p w14:paraId="2E293EB9" w14:textId="18D8E894" w:rsidR="00480872" w:rsidRDefault="002968EC" w:rsidP="004500F0">
          <w:pPr>
            <w:pStyle w:val="Heading1"/>
            <w:jc w:val="center"/>
          </w:pPr>
          <w:bookmarkStart w:id="2" w:name="_Toc131075546"/>
          <w:r>
            <w:lastRenderedPageBreak/>
            <w:t xml:space="preserve">2.0 </w:t>
          </w:r>
          <w:r w:rsidR="00480872">
            <w:t>Main Findings</w:t>
          </w:r>
          <w:bookmarkEnd w:id="2"/>
        </w:p>
        <w:p w14:paraId="054598CE" w14:textId="77777777" w:rsidR="008F4B79" w:rsidRPr="008F4B79" w:rsidRDefault="008F4B79" w:rsidP="008F4B79"/>
        <w:p w14:paraId="7EE4B013"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097CA9">
            <w:tc>
              <w:tcPr>
                <w:tcW w:w="2551" w:type="dxa"/>
              </w:tcPr>
              <w:p w14:paraId="2643CF53" w14:textId="77777777" w:rsidR="008F4B79" w:rsidRDefault="008F4B79" w:rsidP="00097CA9">
                <w:pPr>
                  <w:jc w:val="center"/>
                  <w:rPr>
                    <w:rFonts w:ascii="Arial" w:hAnsi="Arial" w:cs="Arial"/>
                  </w:rPr>
                </w:pPr>
              </w:p>
            </w:tc>
            <w:tc>
              <w:tcPr>
                <w:tcW w:w="992"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097CA9">
            <w:trPr>
              <w:trHeight w:val="281"/>
            </w:trPr>
            <w:tc>
              <w:tcPr>
                <w:tcW w:w="2551" w:type="dxa"/>
              </w:tcPr>
              <w:p w14:paraId="5BFBE18B" w14:textId="77777777" w:rsidR="008F4B79" w:rsidRDefault="008F4B79" w:rsidP="00097CA9">
                <w:pPr>
                  <w:rPr>
                    <w:rFonts w:ascii="Arial" w:hAnsi="Arial" w:cs="Arial"/>
                  </w:rPr>
                </w:pPr>
              </w:p>
            </w:tc>
            <w:tc>
              <w:tcPr>
                <w:tcW w:w="992" w:type="dxa"/>
              </w:tcPr>
              <w:p w14:paraId="690885C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097CA9">
            <w:tc>
              <w:tcPr>
                <w:tcW w:w="2551" w:type="dxa"/>
              </w:tcPr>
              <w:p w14:paraId="05D0139B" w14:textId="77777777" w:rsidR="008F4B79" w:rsidRDefault="008F4B79" w:rsidP="00097CA9">
                <w:pPr>
                  <w:rPr>
                    <w:rFonts w:ascii="Arial" w:hAnsi="Arial" w:cs="Arial"/>
                  </w:rPr>
                </w:pPr>
                <w:r>
                  <w:rPr>
                    <w:rFonts w:ascii="Arial" w:hAnsi="Arial" w:cs="Arial"/>
                  </w:rPr>
                  <w:t>Opening balance</w:t>
                </w:r>
              </w:p>
            </w:tc>
            <w:tc>
              <w:tcPr>
                <w:tcW w:w="992" w:type="dxa"/>
              </w:tcPr>
              <w:p w14:paraId="1A8CCF64" w14:textId="2468A5E4" w:rsidR="008F4B79" w:rsidRDefault="00670080" w:rsidP="00097CA9">
                <w:pPr>
                  <w:jc w:val="right"/>
                  <w:rPr>
                    <w:rFonts w:ascii="Arial" w:hAnsi="Arial" w:cs="Arial"/>
                  </w:rPr>
                </w:pPr>
                <w:r>
                  <w:rPr>
                    <w:rFonts w:ascii="Arial" w:hAnsi="Arial" w:cs="Arial"/>
                    <w:color w:val="FF0000"/>
                  </w:rPr>
                  <w:t>105</w:t>
                </w:r>
                <w:r w:rsidR="008F4B79">
                  <w:rPr>
                    <w:rFonts w:ascii="Arial" w:hAnsi="Arial" w:cs="Arial"/>
                    <w:color w:val="FF0000"/>
                  </w:rPr>
                  <w:t xml:space="preserve"> </w:t>
                </w:r>
              </w:p>
            </w:tc>
            <w:tc>
              <w:tcPr>
                <w:tcW w:w="992" w:type="dxa"/>
              </w:tcPr>
              <w:p w14:paraId="26FCFE01" w14:textId="458D599B" w:rsidR="008F4B79" w:rsidRDefault="005D6722" w:rsidP="00097CA9">
                <w:pPr>
                  <w:jc w:val="right"/>
                  <w:rPr>
                    <w:rFonts w:ascii="Arial" w:hAnsi="Arial" w:cs="Arial"/>
                  </w:rPr>
                </w:pPr>
                <w:r>
                  <w:rPr>
                    <w:rFonts w:ascii="Arial" w:hAnsi="Arial" w:cs="Arial"/>
                  </w:rPr>
                  <w:t>124</w:t>
                </w:r>
                <w:r w:rsidR="008F4B79">
                  <w:rPr>
                    <w:rFonts w:ascii="Arial" w:hAnsi="Arial" w:cs="Arial"/>
                  </w:rPr>
                  <w:t xml:space="preserve"> </w:t>
                </w:r>
              </w:p>
            </w:tc>
            <w:tc>
              <w:tcPr>
                <w:tcW w:w="964" w:type="dxa"/>
              </w:tcPr>
              <w:p w14:paraId="52A93B90" w14:textId="552E6C7F" w:rsidR="008F4B79" w:rsidRDefault="005D6722" w:rsidP="00097CA9">
                <w:pPr>
                  <w:jc w:val="right"/>
                  <w:rPr>
                    <w:rFonts w:ascii="Arial" w:hAnsi="Arial" w:cs="Arial"/>
                  </w:rPr>
                </w:pPr>
                <w:r>
                  <w:rPr>
                    <w:rFonts w:ascii="Arial" w:hAnsi="Arial" w:cs="Arial"/>
                  </w:rPr>
                  <w:t>130</w:t>
                </w:r>
                <w:r w:rsidR="008F4B79">
                  <w:rPr>
                    <w:rFonts w:ascii="Arial" w:hAnsi="Arial" w:cs="Arial"/>
                  </w:rPr>
                  <w:t xml:space="preserve"> </w:t>
                </w:r>
              </w:p>
            </w:tc>
            <w:tc>
              <w:tcPr>
                <w:tcW w:w="993" w:type="dxa"/>
              </w:tcPr>
              <w:p w14:paraId="415EDCED" w14:textId="244A3EFC" w:rsidR="008F4B79" w:rsidRDefault="009B5C88" w:rsidP="00097CA9">
                <w:pPr>
                  <w:jc w:val="right"/>
                  <w:rPr>
                    <w:rFonts w:ascii="Arial" w:hAnsi="Arial" w:cs="Arial"/>
                  </w:rPr>
                </w:pPr>
                <w:r>
                  <w:rPr>
                    <w:rFonts w:ascii="Arial" w:hAnsi="Arial" w:cs="Arial"/>
                  </w:rPr>
                  <w:t>158</w:t>
                </w:r>
                <w:r w:rsidR="008F4B79">
                  <w:rPr>
                    <w:rFonts w:ascii="Arial" w:hAnsi="Arial" w:cs="Arial"/>
                  </w:rPr>
                  <w:t xml:space="preserve"> </w:t>
                </w:r>
              </w:p>
            </w:tc>
            <w:tc>
              <w:tcPr>
                <w:tcW w:w="992" w:type="dxa"/>
              </w:tcPr>
              <w:p w14:paraId="6F4E533A" w14:textId="03D36D51" w:rsidR="008F4B79" w:rsidRDefault="009B5C88" w:rsidP="00097CA9">
                <w:pPr>
                  <w:jc w:val="right"/>
                  <w:rPr>
                    <w:rFonts w:ascii="Arial" w:hAnsi="Arial" w:cs="Arial"/>
                  </w:rPr>
                </w:pPr>
                <w:r>
                  <w:rPr>
                    <w:rFonts w:ascii="Arial" w:hAnsi="Arial" w:cs="Arial"/>
                  </w:rPr>
                  <w:t>190</w:t>
                </w:r>
                <w:r w:rsidR="008F4B79">
                  <w:rPr>
                    <w:rFonts w:ascii="Arial" w:hAnsi="Arial" w:cs="Arial"/>
                  </w:rPr>
                  <w:t xml:space="preserve"> </w:t>
                </w:r>
              </w:p>
            </w:tc>
            <w:tc>
              <w:tcPr>
                <w:tcW w:w="992" w:type="dxa"/>
              </w:tcPr>
              <w:p w14:paraId="2ADBBDD3" w14:textId="25F45A4E" w:rsidR="008F4B79" w:rsidRDefault="005D6722" w:rsidP="00670080">
                <w:pPr>
                  <w:rPr>
                    <w:rFonts w:ascii="Arial" w:hAnsi="Arial" w:cs="Arial"/>
                  </w:rPr>
                </w:pPr>
                <w:r>
                  <w:rPr>
                    <w:rFonts w:ascii="Arial" w:hAnsi="Arial" w:cs="Arial"/>
                  </w:rPr>
                  <w:t xml:space="preserve">     </w:t>
                </w:r>
                <w:r w:rsidR="008F4B79">
                  <w:rPr>
                    <w:rFonts w:ascii="Arial" w:hAnsi="Arial" w:cs="Arial"/>
                  </w:rPr>
                  <w:t xml:space="preserve"> </w:t>
                </w:r>
                <w:r w:rsidR="009B5C88">
                  <w:rPr>
                    <w:rFonts w:ascii="Arial" w:hAnsi="Arial" w:cs="Arial"/>
                  </w:rPr>
                  <w:t>176</w:t>
                </w:r>
              </w:p>
            </w:tc>
          </w:tr>
          <w:tr w:rsidR="008F4B79" w14:paraId="2EB4036E" w14:textId="77777777" w:rsidTr="00097CA9">
            <w:tc>
              <w:tcPr>
                <w:tcW w:w="2551" w:type="dxa"/>
              </w:tcPr>
              <w:p w14:paraId="7644C62B" w14:textId="411A6D37" w:rsidR="008F4B79" w:rsidRDefault="008F4B79" w:rsidP="005D6722">
                <w:pPr>
                  <w:rPr>
                    <w:rFonts w:ascii="Arial" w:hAnsi="Arial" w:cs="Arial"/>
                  </w:rPr>
                </w:pPr>
                <w:r>
                  <w:rPr>
                    <w:rFonts w:ascii="Arial" w:hAnsi="Arial" w:cs="Arial"/>
                  </w:rPr>
                  <w:t>Stock purchased</w:t>
                </w:r>
              </w:p>
            </w:tc>
            <w:tc>
              <w:tcPr>
                <w:tcW w:w="992" w:type="dxa"/>
              </w:tcPr>
              <w:p w14:paraId="4773612C" w14:textId="2F7A5EF3" w:rsidR="008F4B79" w:rsidRPr="00BC19FF" w:rsidRDefault="00670080" w:rsidP="00097CA9">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14:paraId="3063B113" w14:textId="7E10742C" w:rsidR="008F4B79" w:rsidRPr="00BC19FF" w:rsidRDefault="00670080" w:rsidP="00097CA9">
                <w:pPr>
                  <w:jc w:val="right"/>
                  <w:rPr>
                    <w:rFonts w:ascii="Arial" w:hAnsi="Arial" w:cs="Arial"/>
                    <w:u w:val="single"/>
                  </w:rPr>
                </w:pPr>
                <w:r>
                  <w:rPr>
                    <w:rFonts w:ascii="Arial" w:hAnsi="Arial" w:cs="Arial"/>
                    <w:u w:val="single"/>
                  </w:rPr>
                  <w:t>160</w:t>
                </w:r>
                <w:r w:rsidR="008F4B79">
                  <w:rPr>
                    <w:rFonts w:ascii="Arial" w:hAnsi="Arial" w:cs="Arial"/>
                    <w:u w:val="single"/>
                  </w:rPr>
                  <w:t xml:space="preserve">  </w:t>
                </w:r>
              </w:p>
            </w:tc>
            <w:tc>
              <w:tcPr>
                <w:tcW w:w="964" w:type="dxa"/>
              </w:tcPr>
              <w:p w14:paraId="7B8CE271" w14:textId="3FC1BB05" w:rsidR="008F4B79" w:rsidRPr="00BC19FF" w:rsidRDefault="005D6722" w:rsidP="00097CA9">
                <w:pPr>
                  <w:jc w:val="right"/>
                  <w:rPr>
                    <w:rFonts w:ascii="Arial" w:hAnsi="Arial" w:cs="Arial"/>
                    <w:u w:val="single"/>
                  </w:rPr>
                </w:pPr>
                <w:r>
                  <w:rPr>
                    <w:rFonts w:ascii="Arial" w:hAnsi="Arial" w:cs="Arial"/>
                    <w:u w:val="single"/>
                  </w:rPr>
                  <w:t>203</w:t>
                </w:r>
                <w:r w:rsidR="008F4B79">
                  <w:rPr>
                    <w:rFonts w:ascii="Arial" w:hAnsi="Arial" w:cs="Arial"/>
                    <w:u w:val="single"/>
                  </w:rPr>
                  <w:t xml:space="preserve"> </w:t>
                </w:r>
              </w:p>
            </w:tc>
            <w:tc>
              <w:tcPr>
                <w:tcW w:w="993" w:type="dxa"/>
              </w:tcPr>
              <w:p w14:paraId="66D80042" w14:textId="05F40ACC" w:rsidR="008F4B79" w:rsidRPr="00BC19FF" w:rsidRDefault="005D6722" w:rsidP="00097CA9">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78EE3E2" w14:textId="3E66A59E" w:rsidR="008F4B79" w:rsidRPr="00BC19FF" w:rsidRDefault="005D6722" w:rsidP="00097CA9">
                <w:pPr>
                  <w:jc w:val="right"/>
                  <w:rPr>
                    <w:rFonts w:ascii="Arial" w:hAnsi="Arial" w:cs="Arial"/>
                    <w:u w:val="single"/>
                  </w:rPr>
                </w:pPr>
                <w:r>
                  <w:rPr>
                    <w:rFonts w:ascii="Arial" w:hAnsi="Arial" w:cs="Arial"/>
                    <w:u w:val="single"/>
                  </w:rPr>
                  <w:t>140</w:t>
                </w:r>
                <w:r w:rsidR="008F4B79">
                  <w:rPr>
                    <w:rFonts w:ascii="Arial" w:hAnsi="Arial" w:cs="Arial"/>
                    <w:u w:val="single"/>
                  </w:rPr>
                  <w:t xml:space="preserve"> </w:t>
                </w:r>
              </w:p>
            </w:tc>
            <w:tc>
              <w:tcPr>
                <w:tcW w:w="992" w:type="dxa"/>
              </w:tcPr>
              <w:p w14:paraId="0FC90AE7" w14:textId="137DD5DC" w:rsidR="008F4B79" w:rsidRPr="00BC19FF" w:rsidRDefault="005D6722" w:rsidP="00097CA9">
                <w:pPr>
                  <w:jc w:val="right"/>
                  <w:rPr>
                    <w:rFonts w:ascii="Arial" w:hAnsi="Arial" w:cs="Arial"/>
                    <w:u w:val="single"/>
                  </w:rPr>
                </w:pPr>
                <w:r>
                  <w:rPr>
                    <w:rFonts w:ascii="Arial" w:hAnsi="Arial" w:cs="Arial"/>
                    <w:u w:val="single"/>
                  </w:rPr>
                  <w:t>195</w:t>
                </w:r>
                <w:r w:rsidR="008F4B79">
                  <w:rPr>
                    <w:rFonts w:ascii="Arial" w:hAnsi="Arial" w:cs="Arial"/>
                    <w:u w:val="single"/>
                  </w:rPr>
                  <w:t xml:space="preserve"> </w:t>
                </w:r>
              </w:p>
            </w:tc>
          </w:tr>
          <w:tr w:rsidR="008F4B79" w14:paraId="5CA577E1" w14:textId="77777777" w:rsidTr="00097CA9">
            <w:tc>
              <w:tcPr>
                <w:tcW w:w="2551" w:type="dxa"/>
              </w:tcPr>
              <w:p w14:paraId="4AF45FB0" w14:textId="77777777" w:rsidR="008F4B79" w:rsidRDefault="008F4B79" w:rsidP="00097CA9">
                <w:pPr>
                  <w:rPr>
                    <w:rFonts w:ascii="Arial" w:hAnsi="Arial" w:cs="Arial"/>
                  </w:rPr>
                </w:pPr>
              </w:p>
            </w:tc>
            <w:tc>
              <w:tcPr>
                <w:tcW w:w="992" w:type="dxa"/>
              </w:tcPr>
              <w:p w14:paraId="1C07BCC7" w14:textId="74737683" w:rsidR="008F4B79" w:rsidRDefault="00670080" w:rsidP="00097CA9">
                <w:pPr>
                  <w:jc w:val="right"/>
                  <w:rPr>
                    <w:rFonts w:ascii="Arial" w:hAnsi="Arial" w:cs="Arial"/>
                  </w:rPr>
                </w:pPr>
                <w:r>
                  <w:rPr>
                    <w:rFonts w:ascii="Arial" w:hAnsi="Arial" w:cs="Arial"/>
                  </w:rPr>
                  <w:t>285</w:t>
                </w:r>
                <w:r w:rsidR="008F4B79">
                  <w:rPr>
                    <w:rFonts w:ascii="Arial" w:hAnsi="Arial" w:cs="Arial"/>
                  </w:rPr>
                  <w:t xml:space="preserve"> </w:t>
                </w:r>
              </w:p>
            </w:tc>
            <w:tc>
              <w:tcPr>
                <w:tcW w:w="992" w:type="dxa"/>
              </w:tcPr>
              <w:p w14:paraId="6FE1EFF6" w14:textId="068A6D7A" w:rsidR="008F4B79" w:rsidRDefault="005D6722" w:rsidP="00097CA9">
                <w:pPr>
                  <w:jc w:val="right"/>
                  <w:rPr>
                    <w:rFonts w:ascii="Arial" w:hAnsi="Arial" w:cs="Arial"/>
                  </w:rPr>
                </w:pPr>
                <w:r>
                  <w:rPr>
                    <w:rFonts w:ascii="Arial" w:hAnsi="Arial" w:cs="Arial"/>
                  </w:rPr>
                  <w:t>284</w:t>
                </w:r>
                <w:r w:rsidR="008F4B79">
                  <w:rPr>
                    <w:rFonts w:ascii="Arial" w:hAnsi="Arial" w:cs="Arial"/>
                  </w:rPr>
                  <w:t xml:space="preserve">  </w:t>
                </w:r>
              </w:p>
            </w:tc>
            <w:tc>
              <w:tcPr>
                <w:tcW w:w="964" w:type="dxa"/>
              </w:tcPr>
              <w:p w14:paraId="49BFB01F" w14:textId="701A95B0" w:rsidR="008F4B79" w:rsidRDefault="005D6722" w:rsidP="00097CA9">
                <w:pPr>
                  <w:jc w:val="right"/>
                  <w:rPr>
                    <w:rFonts w:ascii="Arial" w:hAnsi="Arial" w:cs="Arial"/>
                  </w:rPr>
                </w:pPr>
                <w:r>
                  <w:rPr>
                    <w:rFonts w:ascii="Arial" w:hAnsi="Arial" w:cs="Arial"/>
                  </w:rPr>
                  <w:t>333</w:t>
                </w:r>
                <w:r w:rsidR="008F4B79">
                  <w:rPr>
                    <w:rFonts w:ascii="Arial" w:hAnsi="Arial" w:cs="Arial"/>
                  </w:rPr>
                  <w:t xml:space="preserve"> </w:t>
                </w:r>
              </w:p>
            </w:tc>
            <w:tc>
              <w:tcPr>
                <w:tcW w:w="993" w:type="dxa"/>
              </w:tcPr>
              <w:p w14:paraId="59D4638F" w14:textId="7DBC1A04" w:rsidR="008F4B79" w:rsidRDefault="009B5C88" w:rsidP="00097CA9">
                <w:pPr>
                  <w:jc w:val="right"/>
                  <w:rPr>
                    <w:rFonts w:ascii="Arial" w:hAnsi="Arial" w:cs="Arial"/>
                  </w:rPr>
                </w:pPr>
                <w:r>
                  <w:rPr>
                    <w:rFonts w:ascii="Arial" w:hAnsi="Arial" w:cs="Arial"/>
                  </w:rPr>
                  <w:t>358</w:t>
                </w:r>
                <w:r w:rsidR="008F4B79">
                  <w:rPr>
                    <w:rFonts w:ascii="Arial" w:hAnsi="Arial" w:cs="Arial"/>
                  </w:rPr>
                  <w:t xml:space="preserve"> </w:t>
                </w:r>
              </w:p>
            </w:tc>
            <w:tc>
              <w:tcPr>
                <w:tcW w:w="992" w:type="dxa"/>
              </w:tcPr>
              <w:p w14:paraId="43FC5E09" w14:textId="0EC6F8AB" w:rsidR="008F4B79" w:rsidRDefault="009B5C88" w:rsidP="00097CA9">
                <w:pPr>
                  <w:jc w:val="right"/>
                  <w:rPr>
                    <w:rFonts w:ascii="Arial" w:hAnsi="Arial" w:cs="Arial"/>
                  </w:rPr>
                </w:pPr>
                <w:r>
                  <w:rPr>
                    <w:rFonts w:ascii="Arial" w:hAnsi="Arial" w:cs="Arial"/>
                  </w:rPr>
                  <w:t>330</w:t>
                </w:r>
                <w:r w:rsidR="008F4B79">
                  <w:rPr>
                    <w:rFonts w:ascii="Arial" w:hAnsi="Arial" w:cs="Arial"/>
                  </w:rPr>
                  <w:t xml:space="preserve"> </w:t>
                </w:r>
              </w:p>
            </w:tc>
            <w:tc>
              <w:tcPr>
                <w:tcW w:w="992" w:type="dxa"/>
              </w:tcPr>
              <w:p w14:paraId="43B04720" w14:textId="7B4290E2" w:rsidR="008F4B79" w:rsidRDefault="009B5C88" w:rsidP="00097CA9">
                <w:pPr>
                  <w:jc w:val="right"/>
                  <w:rPr>
                    <w:rFonts w:ascii="Arial" w:hAnsi="Arial" w:cs="Arial"/>
                  </w:rPr>
                </w:pPr>
                <w:r>
                  <w:rPr>
                    <w:rFonts w:ascii="Arial" w:hAnsi="Arial" w:cs="Arial"/>
                  </w:rPr>
                  <w:t>371</w:t>
                </w:r>
                <w:r w:rsidR="008F4B79">
                  <w:rPr>
                    <w:rFonts w:ascii="Arial" w:hAnsi="Arial" w:cs="Arial"/>
                  </w:rPr>
                  <w:t xml:space="preserve"> </w:t>
                </w:r>
              </w:p>
            </w:tc>
          </w:tr>
          <w:tr w:rsidR="008F4B79" w14:paraId="3DDF65BB" w14:textId="77777777" w:rsidTr="00097CA9">
            <w:tc>
              <w:tcPr>
                <w:tcW w:w="2551" w:type="dxa"/>
              </w:tcPr>
              <w:p w14:paraId="52F4EA19" w14:textId="77777777" w:rsidR="008F4B79" w:rsidRDefault="008F4B79" w:rsidP="00097CA9">
                <w:pPr>
                  <w:rPr>
                    <w:rFonts w:ascii="Arial" w:hAnsi="Arial" w:cs="Arial"/>
                  </w:rPr>
                </w:pPr>
                <w:r>
                  <w:rPr>
                    <w:rFonts w:ascii="Arial" w:hAnsi="Arial" w:cs="Arial"/>
                  </w:rPr>
                  <w:t>Cost of Stock sold</w:t>
                </w:r>
              </w:p>
            </w:tc>
            <w:tc>
              <w:tcPr>
                <w:tcW w:w="992" w:type="dxa"/>
              </w:tcPr>
              <w:p w14:paraId="18C5A87C" w14:textId="77777777" w:rsidR="008F4B79" w:rsidRDefault="008F4B79" w:rsidP="00097CA9">
                <w:pPr>
                  <w:jc w:val="right"/>
                  <w:rPr>
                    <w:rFonts w:ascii="Arial" w:hAnsi="Arial" w:cs="Arial"/>
                  </w:rPr>
                </w:pPr>
              </w:p>
            </w:tc>
            <w:tc>
              <w:tcPr>
                <w:tcW w:w="992" w:type="dxa"/>
              </w:tcPr>
              <w:p w14:paraId="71DD69FF" w14:textId="77777777" w:rsidR="008F4B79" w:rsidRDefault="008F4B79" w:rsidP="00097CA9">
                <w:pPr>
                  <w:jc w:val="right"/>
                  <w:rPr>
                    <w:rFonts w:ascii="Arial" w:hAnsi="Arial" w:cs="Arial"/>
                  </w:rPr>
                </w:pPr>
              </w:p>
            </w:tc>
            <w:tc>
              <w:tcPr>
                <w:tcW w:w="964" w:type="dxa"/>
              </w:tcPr>
              <w:p w14:paraId="56384A61" w14:textId="77777777" w:rsidR="008F4B79" w:rsidRDefault="008F4B79" w:rsidP="00097CA9">
                <w:pPr>
                  <w:jc w:val="right"/>
                  <w:rPr>
                    <w:rFonts w:ascii="Arial" w:hAnsi="Arial" w:cs="Arial"/>
                  </w:rPr>
                </w:pPr>
              </w:p>
            </w:tc>
            <w:tc>
              <w:tcPr>
                <w:tcW w:w="993" w:type="dxa"/>
              </w:tcPr>
              <w:p w14:paraId="488A570F" w14:textId="77777777" w:rsidR="008F4B79" w:rsidRDefault="008F4B79" w:rsidP="00097CA9">
                <w:pPr>
                  <w:jc w:val="right"/>
                  <w:rPr>
                    <w:rFonts w:ascii="Arial" w:hAnsi="Arial" w:cs="Arial"/>
                  </w:rPr>
                </w:pPr>
              </w:p>
            </w:tc>
            <w:tc>
              <w:tcPr>
                <w:tcW w:w="992" w:type="dxa"/>
              </w:tcPr>
              <w:p w14:paraId="7E3AC2E5" w14:textId="77777777" w:rsidR="008F4B79" w:rsidRDefault="008F4B79" w:rsidP="00097CA9">
                <w:pPr>
                  <w:jc w:val="right"/>
                  <w:rPr>
                    <w:rFonts w:ascii="Arial" w:hAnsi="Arial" w:cs="Arial"/>
                  </w:rPr>
                </w:pPr>
              </w:p>
            </w:tc>
            <w:tc>
              <w:tcPr>
                <w:tcW w:w="992" w:type="dxa"/>
              </w:tcPr>
              <w:p w14:paraId="2F53D356" w14:textId="77777777" w:rsidR="008F4B79" w:rsidRDefault="008F4B79" w:rsidP="00097CA9">
                <w:pPr>
                  <w:jc w:val="right"/>
                  <w:rPr>
                    <w:rFonts w:ascii="Arial" w:hAnsi="Arial" w:cs="Arial"/>
                  </w:rPr>
                </w:pPr>
              </w:p>
            </w:tc>
          </w:tr>
          <w:tr w:rsidR="008F4B79" w14:paraId="42432D2F" w14:textId="77777777" w:rsidTr="00097CA9">
            <w:tc>
              <w:tcPr>
                <w:tcW w:w="2551" w:type="dxa"/>
              </w:tcPr>
              <w:p w14:paraId="3E4E8875" w14:textId="586012F5" w:rsidR="008F4B79" w:rsidRDefault="008F4B79" w:rsidP="00097CA9">
                <w:pPr>
                  <w:rPr>
                    <w:rFonts w:ascii="Arial" w:hAnsi="Arial" w:cs="Arial"/>
                  </w:rPr>
                </w:pPr>
                <w:r>
                  <w:rPr>
                    <w:rFonts w:ascii="Arial" w:hAnsi="Arial" w:cs="Arial"/>
                  </w:rPr>
                  <w:t>(</w:t>
                </w:r>
                <w:r w:rsidR="005D6722">
                  <w:rPr>
                    <w:rFonts w:ascii="Arial" w:hAnsi="Arial" w:cs="Arial"/>
                  </w:rPr>
                  <w:t>70</w:t>
                </w:r>
                <w:r>
                  <w:rPr>
                    <w:rFonts w:ascii="Arial" w:hAnsi="Arial" w:cs="Arial"/>
                  </w:rPr>
                  <w:t>% of sales)</w:t>
                </w:r>
              </w:p>
            </w:tc>
            <w:tc>
              <w:tcPr>
                <w:tcW w:w="992" w:type="dxa"/>
              </w:tcPr>
              <w:p w14:paraId="65D5BBF4" w14:textId="631D14A5" w:rsidR="008F4B79" w:rsidRPr="00BC19FF" w:rsidRDefault="008F4B79" w:rsidP="00097CA9">
                <w:pPr>
                  <w:jc w:val="right"/>
                  <w:rPr>
                    <w:rFonts w:ascii="Arial" w:hAnsi="Arial" w:cs="Arial"/>
                    <w:u w:val="single"/>
                  </w:rPr>
                </w:pPr>
                <w:r>
                  <w:rPr>
                    <w:rFonts w:ascii="Arial" w:hAnsi="Arial" w:cs="Arial"/>
                    <w:u w:val="single"/>
                  </w:rPr>
                  <w:t>(</w:t>
                </w:r>
                <w:r w:rsidR="005D6722">
                  <w:rPr>
                    <w:rFonts w:ascii="Arial" w:hAnsi="Arial" w:cs="Arial"/>
                    <w:u w:val="single"/>
                  </w:rPr>
                  <w:t>161</w:t>
                </w:r>
                <w:r>
                  <w:rPr>
                    <w:rFonts w:ascii="Arial" w:hAnsi="Arial" w:cs="Arial"/>
                    <w:u w:val="single"/>
                  </w:rPr>
                  <w:t>)</w:t>
                </w:r>
              </w:p>
            </w:tc>
            <w:tc>
              <w:tcPr>
                <w:tcW w:w="992" w:type="dxa"/>
              </w:tcPr>
              <w:p w14:paraId="53987C78" w14:textId="77DF5F1D" w:rsidR="008F4B79" w:rsidRPr="00BC19FF" w:rsidRDefault="008F4B79" w:rsidP="00097CA9">
                <w:pPr>
                  <w:jc w:val="right"/>
                  <w:rPr>
                    <w:rFonts w:ascii="Arial" w:hAnsi="Arial" w:cs="Arial"/>
                    <w:u w:val="single"/>
                  </w:rPr>
                </w:pPr>
                <w:r>
                  <w:rPr>
                    <w:rFonts w:ascii="Arial" w:hAnsi="Arial" w:cs="Arial"/>
                    <w:u w:val="single"/>
                  </w:rPr>
                  <w:t>(</w:t>
                </w:r>
                <w:r w:rsidR="005D6722">
                  <w:rPr>
                    <w:rFonts w:ascii="Arial" w:hAnsi="Arial" w:cs="Arial"/>
                    <w:u w:val="single"/>
                  </w:rPr>
                  <w:t>154</w:t>
                </w:r>
                <w:r>
                  <w:rPr>
                    <w:rFonts w:ascii="Arial" w:hAnsi="Arial" w:cs="Arial"/>
                    <w:u w:val="single"/>
                  </w:rPr>
                  <w:t>)</w:t>
                </w:r>
              </w:p>
            </w:tc>
            <w:tc>
              <w:tcPr>
                <w:tcW w:w="964" w:type="dxa"/>
              </w:tcPr>
              <w:p w14:paraId="1BEBF8F6" w14:textId="135DB463" w:rsidR="008F4B79" w:rsidRPr="00BC19FF" w:rsidRDefault="008F4B79" w:rsidP="00097CA9">
                <w:pPr>
                  <w:jc w:val="right"/>
                  <w:rPr>
                    <w:rFonts w:ascii="Arial" w:hAnsi="Arial" w:cs="Arial"/>
                    <w:u w:val="single"/>
                  </w:rPr>
                </w:pPr>
                <w:r>
                  <w:rPr>
                    <w:rFonts w:ascii="Arial" w:hAnsi="Arial" w:cs="Arial"/>
                    <w:u w:val="single"/>
                  </w:rPr>
                  <w:t>(</w:t>
                </w:r>
                <w:r w:rsidR="005D6722">
                  <w:rPr>
                    <w:rFonts w:ascii="Arial" w:hAnsi="Arial" w:cs="Arial"/>
                    <w:u w:val="single"/>
                  </w:rPr>
                  <w:t>175</w:t>
                </w:r>
                <w:r>
                  <w:rPr>
                    <w:rFonts w:ascii="Arial" w:hAnsi="Arial" w:cs="Arial"/>
                    <w:u w:val="single"/>
                  </w:rPr>
                  <w:t>)</w:t>
                </w:r>
              </w:p>
            </w:tc>
            <w:tc>
              <w:tcPr>
                <w:tcW w:w="993" w:type="dxa"/>
              </w:tcPr>
              <w:p w14:paraId="46BAC863" w14:textId="70D97350" w:rsidR="008F4B79" w:rsidRPr="00BC19FF" w:rsidRDefault="008F4B79" w:rsidP="00097CA9">
                <w:pPr>
                  <w:jc w:val="right"/>
                  <w:rPr>
                    <w:rFonts w:ascii="Arial" w:hAnsi="Arial" w:cs="Arial"/>
                    <w:u w:val="single"/>
                  </w:rPr>
                </w:pPr>
                <w:r>
                  <w:rPr>
                    <w:rFonts w:ascii="Arial" w:hAnsi="Arial" w:cs="Arial"/>
                    <w:u w:val="single"/>
                  </w:rPr>
                  <w:t>(</w:t>
                </w:r>
                <w:r w:rsidR="009B5C88">
                  <w:rPr>
                    <w:rFonts w:ascii="Arial" w:hAnsi="Arial" w:cs="Arial"/>
                    <w:u w:val="single"/>
                  </w:rPr>
                  <w:t>168</w:t>
                </w:r>
                <w:r>
                  <w:rPr>
                    <w:rFonts w:ascii="Arial" w:hAnsi="Arial" w:cs="Arial"/>
                    <w:u w:val="single"/>
                  </w:rPr>
                  <w:t>)</w:t>
                </w:r>
              </w:p>
            </w:tc>
            <w:tc>
              <w:tcPr>
                <w:tcW w:w="992" w:type="dxa"/>
              </w:tcPr>
              <w:p w14:paraId="06A661B3" w14:textId="2D366294" w:rsidR="008F4B79" w:rsidRPr="00BC19FF" w:rsidRDefault="008F4B79" w:rsidP="00097CA9">
                <w:pPr>
                  <w:jc w:val="right"/>
                  <w:rPr>
                    <w:rFonts w:ascii="Arial" w:hAnsi="Arial" w:cs="Arial"/>
                    <w:u w:val="single"/>
                  </w:rPr>
                </w:pPr>
                <w:r>
                  <w:rPr>
                    <w:rFonts w:ascii="Arial" w:hAnsi="Arial" w:cs="Arial"/>
                    <w:u w:val="single"/>
                  </w:rPr>
                  <w:t>(</w:t>
                </w:r>
                <w:r w:rsidR="009B5C88">
                  <w:rPr>
                    <w:rFonts w:ascii="Arial" w:hAnsi="Arial" w:cs="Arial"/>
                    <w:u w:val="single"/>
                  </w:rPr>
                  <w:t>154</w:t>
                </w:r>
                <w:r>
                  <w:rPr>
                    <w:rFonts w:ascii="Arial" w:hAnsi="Arial" w:cs="Arial"/>
                    <w:u w:val="single"/>
                  </w:rPr>
                  <w:t>)</w:t>
                </w:r>
              </w:p>
            </w:tc>
            <w:tc>
              <w:tcPr>
                <w:tcW w:w="992" w:type="dxa"/>
              </w:tcPr>
              <w:p w14:paraId="37FEBA70" w14:textId="089B9184" w:rsidR="008F4B79" w:rsidRPr="00BC19FF" w:rsidRDefault="008F4B79" w:rsidP="00097CA9">
                <w:pPr>
                  <w:jc w:val="right"/>
                  <w:rPr>
                    <w:rFonts w:ascii="Arial" w:hAnsi="Arial" w:cs="Arial"/>
                    <w:u w:val="single"/>
                  </w:rPr>
                </w:pPr>
                <w:r>
                  <w:rPr>
                    <w:rFonts w:ascii="Arial" w:hAnsi="Arial" w:cs="Arial"/>
                    <w:u w:val="single"/>
                  </w:rPr>
                  <w:t>(</w:t>
                </w:r>
                <w:r w:rsidR="009B5C88">
                  <w:rPr>
                    <w:rFonts w:ascii="Arial" w:hAnsi="Arial" w:cs="Arial"/>
                    <w:u w:val="single"/>
                  </w:rPr>
                  <w:t>147</w:t>
                </w:r>
                <w:r>
                  <w:rPr>
                    <w:rFonts w:ascii="Arial" w:hAnsi="Arial" w:cs="Arial"/>
                    <w:u w:val="single"/>
                  </w:rPr>
                  <w:t>)</w:t>
                </w:r>
              </w:p>
            </w:tc>
          </w:tr>
          <w:tr w:rsidR="008F4B79" w14:paraId="1A4C0D6B" w14:textId="77777777" w:rsidTr="00097CA9">
            <w:tc>
              <w:tcPr>
                <w:tcW w:w="2551" w:type="dxa"/>
              </w:tcPr>
              <w:p w14:paraId="26293D64" w14:textId="28303021" w:rsidR="008F4B79" w:rsidRDefault="00B322A7" w:rsidP="00097CA9">
                <w:pPr>
                  <w:rPr>
                    <w:rFonts w:ascii="Arial" w:hAnsi="Arial" w:cs="Arial"/>
                  </w:rPr>
                </w:pPr>
                <w:r>
                  <w:rPr>
                    <w:rFonts w:ascii="Arial" w:hAnsi="Arial" w:cs="Arial"/>
                  </w:rPr>
                  <w:t>Therefore,</w:t>
                </w:r>
                <w:r w:rsidR="008F4B79">
                  <w:rPr>
                    <w:rFonts w:ascii="Arial" w:hAnsi="Arial" w:cs="Arial"/>
                  </w:rPr>
                  <w:t xml:space="preserve"> Closing stock</w:t>
                </w:r>
              </w:p>
            </w:tc>
            <w:tc>
              <w:tcPr>
                <w:tcW w:w="992" w:type="dxa"/>
              </w:tcPr>
              <w:p w14:paraId="1724EC96" w14:textId="0D8CA904" w:rsidR="008F4B79" w:rsidRPr="00BC19FF" w:rsidRDefault="005D6722" w:rsidP="00097CA9">
                <w:pPr>
                  <w:jc w:val="right"/>
                  <w:rPr>
                    <w:rFonts w:ascii="Arial" w:hAnsi="Arial" w:cs="Arial"/>
                    <w:u w:val="single"/>
                  </w:rPr>
                </w:pPr>
                <w:r>
                  <w:rPr>
                    <w:rFonts w:ascii="Arial" w:hAnsi="Arial" w:cs="Arial"/>
                    <w:u w:val="single"/>
                  </w:rPr>
                  <w:t>124</w:t>
                </w:r>
                <w:r w:rsidR="008F4B79">
                  <w:rPr>
                    <w:rFonts w:ascii="Arial" w:hAnsi="Arial" w:cs="Arial"/>
                    <w:u w:val="single"/>
                  </w:rPr>
                  <w:t xml:space="preserve">   </w:t>
                </w:r>
              </w:p>
            </w:tc>
            <w:tc>
              <w:tcPr>
                <w:tcW w:w="992" w:type="dxa"/>
              </w:tcPr>
              <w:p w14:paraId="7E95065D" w14:textId="7DB58429" w:rsidR="008F4B79" w:rsidRPr="00BC19FF" w:rsidRDefault="005D6722" w:rsidP="00097CA9">
                <w:pPr>
                  <w:jc w:val="right"/>
                  <w:rPr>
                    <w:rFonts w:ascii="Arial" w:hAnsi="Arial" w:cs="Arial"/>
                    <w:u w:val="single"/>
                  </w:rPr>
                </w:pPr>
                <w:r>
                  <w:rPr>
                    <w:rFonts w:ascii="Arial" w:hAnsi="Arial" w:cs="Arial"/>
                    <w:u w:val="single"/>
                  </w:rPr>
                  <w:t>130</w:t>
                </w:r>
                <w:r w:rsidR="008F4B79">
                  <w:rPr>
                    <w:rFonts w:ascii="Arial" w:hAnsi="Arial" w:cs="Arial"/>
                    <w:u w:val="single"/>
                  </w:rPr>
                  <w:t xml:space="preserve">   </w:t>
                </w:r>
              </w:p>
            </w:tc>
            <w:tc>
              <w:tcPr>
                <w:tcW w:w="964" w:type="dxa"/>
              </w:tcPr>
              <w:p w14:paraId="36220FC1" w14:textId="3FA9264D" w:rsidR="008F4B79" w:rsidRPr="00BC19FF" w:rsidRDefault="009B5C88" w:rsidP="00097CA9">
                <w:pPr>
                  <w:jc w:val="right"/>
                  <w:rPr>
                    <w:rFonts w:ascii="Arial" w:hAnsi="Arial" w:cs="Arial"/>
                    <w:u w:val="single"/>
                  </w:rPr>
                </w:pPr>
                <w:r>
                  <w:rPr>
                    <w:rFonts w:ascii="Arial" w:hAnsi="Arial" w:cs="Arial"/>
                    <w:u w:val="single"/>
                  </w:rPr>
                  <w:t>158</w:t>
                </w:r>
                <w:r w:rsidR="008F4B79">
                  <w:rPr>
                    <w:rFonts w:ascii="Arial" w:hAnsi="Arial" w:cs="Arial"/>
                    <w:u w:val="single"/>
                  </w:rPr>
                  <w:t xml:space="preserve">     </w:t>
                </w:r>
              </w:p>
            </w:tc>
            <w:tc>
              <w:tcPr>
                <w:tcW w:w="993" w:type="dxa"/>
              </w:tcPr>
              <w:p w14:paraId="53C31D3A" w14:textId="72191056" w:rsidR="008F4B79" w:rsidRPr="00BC19FF" w:rsidRDefault="009B5C88" w:rsidP="00097CA9">
                <w:pPr>
                  <w:jc w:val="right"/>
                  <w:rPr>
                    <w:rFonts w:ascii="Arial" w:hAnsi="Arial" w:cs="Arial"/>
                    <w:u w:val="single"/>
                  </w:rPr>
                </w:pPr>
                <w:r>
                  <w:rPr>
                    <w:rFonts w:ascii="Arial" w:hAnsi="Arial" w:cs="Arial"/>
                    <w:u w:val="single"/>
                  </w:rPr>
                  <w:t>190</w:t>
                </w:r>
                <w:r w:rsidR="008F4B79">
                  <w:rPr>
                    <w:rFonts w:ascii="Arial" w:hAnsi="Arial" w:cs="Arial"/>
                    <w:u w:val="single"/>
                  </w:rPr>
                  <w:t xml:space="preserve"> </w:t>
                </w:r>
              </w:p>
            </w:tc>
            <w:tc>
              <w:tcPr>
                <w:tcW w:w="992" w:type="dxa"/>
              </w:tcPr>
              <w:p w14:paraId="7F452A29" w14:textId="0E64A0E8" w:rsidR="008F4B79" w:rsidRPr="00BC19FF" w:rsidRDefault="009B5C88" w:rsidP="00097CA9">
                <w:pPr>
                  <w:jc w:val="right"/>
                  <w:rPr>
                    <w:rFonts w:ascii="Arial" w:hAnsi="Arial" w:cs="Arial"/>
                    <w:u w:val="single"/>
                  </w:rPr>
                </w:pPr>
                <w:r>
                  <w:rPr>
                    <w:rFonts w:ascii="Arial" w:hAnsi="Arial" w:cs="Arial"/>
                    <w:u w:val="single"/>
                  </w:rPr>
                  <w:t>176</w:t>
                </w:r>
                <w:r w:rsidR="008F4B79">
                  <w:rPr>
                    <w:rFonts w:ascii="Arial" w:hAnsi="Arial" w:cs="Arial"/>
                    <w:u w:val="single"/>
                  </w:rPr>
                  <w:t xml:space="preserve"> </w:t>
                </w:r>
              </w:p>
            </w:tc>
            <w:tc>
              <w:tcPr>
                <w:tcW w:w="992" w:type="dxa"/>
              </w:tcPr>
              <w:p w14:paraId="1B6F5CE9" w14:textId="1DFD8845" w:rsidR="008F4B79" w:rsidRPr="00BC19FF" w:rsidRDefault="009B5C88" w:rsidP="00097CA9">
                <w:pPr>
                  <w:jc w:val="right"/>
                  <w:rPr>
                    <w:rFonts w:ascii="Arial" w:hAnsi="Arial" w:cs="Arial"/>
                    <w:u w:val="single"/>
                  </w:rPr>
                </w:pPr>
                <w:r>
                  <w:rPr>
                    <w:rFonts w:ascii="Arial" w:hAnsi="Arial" w:cs="Arial"/>
                    <w:u w:val="single"/>
                  </w:rPr>
                  <w:t>224</w:t>
                </w:r>
                <w:r w:rsidR="008F4B79">
                  <w:rPr>
                    <w:rFonts w:ascii="Arial" w:hAnsi="Arial" w:cs="Arial"/>
                    <w:u w:val="single"/>
                  </w:rPr>
                  <w:t xml:space="preserve"> </w:t>
                </w:r>
              </w:p>
            </w:tc>
          </w:tr>
        </w:tbl>
        <w:p w14:paraId="72AB933E" w14:textId="77777777" w:rsidR="008F4B79" w:rsidRDefault="008F4B79" w:rsidP="008F4B79">
          <w:pPr>
            <w:spacing w:line="240" w:lineRule="auto"/>
            <w:ind w:left="360" w:firstLine="360"/>
            <w:rPr>
              <w:rFonts w:ascii="Arial" w:hAnsi="Arial" w:cs="Arial"/>
            </w:rPr>
          </w:pPr>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77777777" w:rsidR="008F4B79" w:rsidRDefault="008F4B79" w:rsidP="00097CA9">
                <w:pPr>
                  <w:rPr>
                    <w:rFonts w:ascii="Arial" w:hAnsi="Arial" w:cs="Arial"/>
                    <w:b/>
                  </w:rPr>
                </w:pPr>
                <w:r w:rsidRPr="00493559">
                  <w:rPr>
                    <w:rFonts w:ascii="Arial" w:hAnsi="Arial" w:cs="Arial"/>
                    <w:b/>
                  </w:rPr>
                  <w:t>Cash receipts</w:t>
                </w:r>
                <w:r>
                  <w:rPr>
                    <w:rFonts w:ascii="Arial" w:hAnsi="Arial" w:cs="Arial"/>
                    <w:b/>
                  </w:rPr>
                  <w:t xml:space="preserve"> </w:t>
                </w:r>
              </w:p>
              <w:p w14:paraId="6E77960B" w14:textId="7A5F4E59" w:rsidR="008F4B79" w:rsidRDefault="008F4B79" w:rsidP="00097CA9">
                <w:pPr>
                  <w:rPr>
                    <w:rFonts w:ascii="Arial" w:hAnsi="Arial" w:cs="Arial"/>
                  </w:rPr>
                </w:pPr>
                <w:r>
                  <w:rPr>
                    <w:rFonts w:ascii="Arial" w:hAnsi="Arial" w:cs="Arial"/>
                  </w:rPr>
                  <w:t xml:space="preserve">Sales net of </w:t>
                </w:r>
                <w:r w:rsidR="009B5C88">
                  <w:rPr>
                    <w:rFonts w:ascii="Arial" w:hAnsi="Arial" w:cs="Arial"/>
                  </w:rPr>
                  <w:t>0.3 x 3%</w:t>
                </w:r>
                <w:r>
                  <w:rPr>
                    <w:rFonts w:ascii="Arial" w:hAnsi="Arial" w:cs="Arial"/>
                  </w:rPr>
                  <w:t xml:space="preserve"> </w:t>
                </w:r>
              </w:p>
            </w:tc>
            <w:tc>
              <w:tcPr>
                <w:tcW w:w="992" w:type="dxa"/>
              </w:tcPr>
              <w:p w14:paraId="7CC417E8" w14:textId="669C726F" w:rsidR="008F4B79" w:rsidRDefault="00505BB5" w:rsidP="00097CA9">
                <w:pPr>
                  <w:jc w:val="center"/>
                  <w:rPr>
                    <w:rFonts w:ascii="Arial" w:hAnsi="Arial" w:cs="Arial"/>
                  </w:rPr>
                </w:pPr>
                <w:r>
                  <w:rPr>
                    <w:rFonts w:ascii="Arial" w:hAnsi="Arial" w:cs="Arial"/>
                  </w:rPr>
                  <w:t>228</w:t>
                </w:r>
              </w:p>
              <w:p w14:paraId="09D61F7D"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7682A9CA" w14:textId="7F613A19" w:rsidR="008F4B79" w:rsidRDefault="00773D43" w:rsidP="00097CA9">
                <w:pPr>
                  <w:jc w:val="center"/>
                  <w:rPr>
                    <w:rFonts w:ascii="Arial" w:hAnsi="Arial" w:cs="Arial"/>
                  </w:rPr>
                </w:pPr>
                <w:r>
                  <w:rPr>
                    <w:rFonts w:ascii="Arial" w:hAnsi="Arial" w:cs="Arial"/>
                  </w:rPr>
                  <w:t>218</w:t>
                </w:r>
              </w:p>
              <w:p w14:paraId="0DB8B11B" w14:textId="77777777" w:rsidR="008F4B79" w:rsidRDefault="008F4B79" w:rsidP="00097CA9">
                <w:pPr>
                  <w:jc w:val="center"/>
                  <w:rPr>
                    <w:rFonts w:ascii="Arial" w:hAnsi="Arial" w:cs="Arial"/>
                  </w:rPr>
                </w:pPr>
                <w:r>
                  <w:rPr>
                    <w:rFonts w:ascii="Arial" w:hAnsi="Arial" w:cs="Arial"/>
                  </w:rPr>
                  <w:t xml:space="preserve"> </w:t>
                </w:r>
              </w:p>
            </w:tc>
            <w:tc>
              <w:tcPr>
                <w:tcW w:w="993" w:type="dxa"/>
              </w:tcPr>
              <w:p w14:paraId="016F2311" w14:textId="31DE9C41" w:rsidR="008F4B79" w:rsidRDefault="00773D43" w:rsidP="00097CA9">
                <w:pPr>
                  <w:jc w:val="center"/>
                  <w:rPr>
                    <w:rFonts w:ascii="Arial" w:hAnsi="Arial" w:cs="Arial"/>
                  </w:rPr>
                </w:pPr>
                <w:r>
                  <w:rPr>
                    <w:rFonts w:ascii="Arial" w:hAnsi="Arial" w:cs="Arial"/>
                  </w:rPr>
                  <w:t>248</w:t>
                </w:r>
              </w:p>
              <w:p w14:paraId="1FA0F6E1"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7D2BD5F3" w14:textId="0A0E3EC2" w:rsidR="008F4B79" w:rsidRDefault="00773D43" w:rsidP="00097CA9">
                <w:pPr>
                  <w:jc w:val="center"/>
                  <w:rPr>
                    <w:rFonts w:ascii="Arial" w:hAnsi="Arial" w:cs="Arial"/>
                  </w:rPr>
                </w:pPr>
                <w:r>
                  <w:rPr>
                    <w:rFonts w:ascii="Arial" w:hAnsi="Arial" w:cs="Arial"/>
                  </w:rPr>
                  <w:t>238</w:t>
                </w:r>
              </w:p>
              <w:p w14:paraId="15BBCA2C"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6047B1A8" w14:textId="31459483" w:rsidR="008F4B79" w:rsidRDefault="002968EC" w:rsidP="00097CA9">
                <w:pPr>
                  <w:jc w:val="center"/>
                  <w:rPr>
                    <w:rFonts w:ascii="Arial" w:hAnsi="Arial" w:cs="Arial"/>
                  </w:rPr>
                </w:pPr>
                <w:r>
                  <w:rPr>
                    <w:rFonts w:ascii="Arial" w:hAnsi="Arial" w:cs="Arial"/>
                  </w:rPr>
                  <w:t>2</w:t>
                </w:r>
                <w:r w:rsidR="00773D43">
                  <w:rPr>
                    <w:rFonts w:ascii="Arial" w:hAnsi="Arial" w:cs="Arial"/>
                  </w:rPr>
                  <w:t>18</w:t>
                </w:r>
              </w:p>
              <w:p w14:paraId="3977524C" w14:textId="77777777" w:rsidR="008F4B79" w:rsidRDefault="008F4B79" w:rsidP="00097CA9">
                <w:pPr>
                  <w:jc w:val="center"/>
                  <w:rPr>
                    <w:rFonts w:ascii="Arial" w:hAnsi="Arial" w:cs="Arial"/>
                  </w:rPr>
                </w:pPr>
                <w:r>
                  <w:rPr>
                    <w:rFonts w:ascii="Arial" w:hAnsi="Arial" w:cs="Arial"/>
                  </w:rPr>
                  <w:t xml:space="preserve"> </w:t>
                </w:r>
              </w:p>
            </w:tc>
            <w:tc>
              <w:tcPr>
                <w:tcW w:w="992" w:type="dxa"/>
              </w:tcPr>
              <w:p w14:paraId="319D0667" w14:textId="028FC969" w:rsidR="008F4B79" w:rsidRDefault="00773D43" w:rsidP="00097CA9">
                <w:pPr>
                  <w:jc w:val="center"/>
                  <w:rPr>
                    <w:rFonts w:ascii="Arial" w:hAnsi="Arial" w:cs="Arial"/>
                  </w:rPr>
                </w:pPr>
                <w:r>
                  <w:rPr>
                    <w:rFonts w:ascii="Arial" w:hAnsi="Arial" w:cs="Arial"/>
                  </w:rPr>
                  <w:t>208</w:t>
                </w:r>
              </w:p>
              <w:p w14:paraId="700B5A42" w14:textId="77777777" w:rsidR="008F4B79" w:rsidRDefault="008F4B79" w:rsidP="00097CA9">
                <w:pPr>
                  <w:jc w:val="center"/>
                  <w:rPr>
                    <w:rFonts w:ascii="Arial" w:hAnsi="Arial" w:cs="Arial"/>
                  </w:rPr>
                </w:pPr>
                <w:r>
                  <w:rPr>
                    <w:rFonts w:ascii="Arial" w:hAnsi="Arial" w:cs="Arial"/>
                  </w:rPr>
                  <w:t xml:space="preserve"> </w:t>
                </w:r>
              </w:p>
            </w:tc>
          </w:tr>
          <w:tr w:rsidR="008F4B79" w14:paraId="3FCE4A4B" w14:textId="77777777" w:rsidTr="00097CA9">
            <w:tc>
              <w:tcPr>
                <w:tcW w:w="3260" w:type="dxa"/>
              </w:tcPr>
              <w:p w14:paraId="55ACD615" w14:textId="77777777" w:rsidR="008F4B79" w:rsidRPr="00493559" w:rsidRDefault="008F4B79" w:rsidP="00097CA9">
                <w:pPr>
                  <w:rPr>
                    <w:rFonts w:ascii="Arial" w:hAnsi="Arial" w:cs="Arial"/>
                    <w:b/>
                  </w:rPr>
                </w:pPr>
                <w:r w:rsidRPr="00493559">
                  <w:rPr>
                    <w:rFonts w:ascii="Arial" w:hAnsi="Arial" w:cs="Arial"/>
                    <w:b/>
                  </w:rPr>
                  <w:t>Cash 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0E24F5B3" w:rsidR="008F4B79" w:rsidRDefault="00505BB5" w:rsidP="00097CA9">
                <w:pPr>
                  <w:jc w:val="center"/>
                  <w:rPr>
                    <w:rFonts w:ascii="Arial" w:hAnsi="Arial" w:cs="Arial"/>
                  </w:rPr>
                </w:pPr>
                <w:r>
                  <w:rPr>
                    <w:rFonts w:ascii="Arial" w:hAnsi="Arial" w:cs="Arial"/>
                  </w:rPr>
                  <w:t>(19</w:t>
                </w:r>
                <w:r w:rsidR="008F4B79">
                  <w:rPr>
                    <w:rFonts w:ascii="Arial" w:hAnsi="Arial" w:cs="Arial"/>
                  </w:rPr>
                  <w:t>)</w:t>
                </w:r>
              </w:p>
            </w:tc>
            <w:tc>
              <w:tcPr>
                <w:tcW w:w="992" w:type="dxa"/>
                <w:vAlign w:val="center"/>
              </w:tcPr>
              <w:p w14:paraId="53656A68" w14:textId="613238BD" w:rsidR="008F4B79" w:rsidRDefault="008F4B79" w:rsidP="00097CA9">
                <w:pPr>
                  <w:jc w:val="center"/>
                  <w:rPr>
                    <w:rFonts w:ascii="Arial" w:hAnsi="Arial" w:cs="Arial"/>
                  </w:rPr>
                </w:pPr>
                <w:r>
                  <w:rPr>
                    <w:rFonts w:ascii="Arial" w:hAnsi="Arial" w:cs="Arial"/>
                  </w:rPr>
                  <w:t>(</w:t>
                </w:r>
                <w:r w:rsidR="00773D43">
                  <w:rPr>
                    <w:rFonts w:ascii="Arial" w:hAnsi="Arial" w:cs="Arial"/>
                  </w:rPr>
                  <w:t>18</w:t>
                </w:r>
                <w:r>
                  <w:rPr>
                    <w:rFonts w:ascii="Arial" w:hAnsi="Arial" w:cs="Arial"/>
                  </w:rPr>
                  <w:t>)</w:t>
                </w:r>
              </w:p>
            </w:tc>
            <w:tc>
              <w:tcPr>
                <w:tcW w:w="993" w:type="dxa"/>
                <w:vAlign w:val="center"/>
              </w:tcPr>
              <w:p w14:paraId="74AFF97C" w14:textId="1C3A28CF" w:rsidR="008F4B79" w:rsidRDefault="008F4B79" w:rsidP="00097CA9">
                <w:pPr>
                  <w:jc w:val="center"/>
                  <w:rPr>
                    <w:rFonts w:ascii="Arial" w:hAnsi="Arial" w:cs="Arial"/>
                  </w:rPr>
                </w:pPr>
                <w:r>
                  <w:rPr>
                    <w:rFonts w:ascii="Arial" w:hAnsi="Arial" w:cs="Arial"/>
                  </w:rPr>
                  <w:t>(</w:t>
                </w:r>
                <w:r w:rsidR="00773D43">
                  <w:rPr>
                    <w:rFonts w:ascii="Arial" w:hAnsi="Arial" w:cs="Arial"/>
                  </w:rPr>
                  <w:t>16</w:t>
                </w:r>
                <w:r>
                  <w:rPr>
                    <w:rFonts w:ascii="Arial" w:hAnsi="Arial" w:cs="Arial"/>
                  </w:rPr>
                  <w:t>)</w:t>
                </w:r>
              </w:p>
            </w:tc>
            <w:tc>
              <w:tcPr>
                <w:tcW w:w="992" w:type="dxa"/>
                <w:vAlign w:val="center"/>
              </w:tcPr>
              <w:p w14:paraId="1E0304DB" w14:textId="635DBF5C" w:rsidR="008F4B79" w:rsidRDefault="008F4B79" w:rsidP="00097CA9">
                <w:pPr>
                  <w:jc w:val="center"/>
                  <w:rPr>
                    <w:rFonts w:ascii="Arial" w:hAnsi="Arial" w:cs="Arial"/>
                  </w:rPr>
                </w:pPr>
                <w:r>
                  <w:rPr>
                    <w:rFonts w:ascii="Arial" w:hAnsi="Arial" w:cs="Arial"/>
                  </w:rPr>
                  <w:t>(</w:t>
                </w:r>
                <w:r w:rsidR="00773D43">
                  <w:rPr>
                    <w:rFonts w:ascii="Arial" w:hAnsi="Arial" w:cs="Arial"/>
                  </w:rPr>
                  <w:t>17</w:t>
                </w:r>
                <w:r>
                  <w:rPr>
                    <w:rFonts w:ascii="Arial" w:hAnsi="Arial" w:cs="Arial"/>
                  </w:rPr>
                  <w:t>)</w:t>
                </w:r>
              </w:p>
            </w:tc>
            <w:tc>
              <w:tcPr>
                <w:tcW w:w="992" w:type="dxa"/>
                <w:vAlign w:val="center"/>
              </w:tcPr>
              <w:p w14:paraId="74DE144E" w14:textId="51B12092" w:rsidR="008F4B79" w:rsidRDefault="008F4B79" w:rsidP="00097CA9">
                <w:pPr>
                  <w:jc w:val="center"/>
                  <w:rPr>
                    <w:rFonts w:ascii="Arial" w:hAnsi="Arial" w:cs="Arial"/>
                  </w:rPr>
                </w:pPr>
                <w:r>
                  <w:rPr>
                    <w:rFonts w:ascii="Arial" w:hAnsi="Arial" w:cs="Arial"/>
                  </w:rPr>
                  <w:t>(</w:t>
                </w:r>
                <w:r w:rsidR="00773D43">
                  <w:rPr>
                    <w:rFonts w:ascii="Arial" w:hAnsi="Arial" w:cs="Arial"/>
                  </w:rPr>
                  <w:t>17</w:t>
                </w:r>
                <w:r>
                  <w:rPr>
                    <w:rFonts w:ascii="Arial" w:hAnsi="Arial" w:cs="Arial"/>
                  </w:rPr>
                  <w:t>)</w:t>
                </w:r>
              </w:p>
            </w:tc>
            <w:tc>
              <w:tcPr>
                <w:tcW w:w="992" w:type="dxa"/>
                <w:vAlign w:val="center"/>
              </w:tcPr>
              <w:p w14:paraId="06BDF0DF" w14:textId="31F479EE" w:rsidR="008F4B79" w:rsidRDefault="008F4B79" w:rsidP="00097CA9">
                <w:pPr>
                  <w:jc w:val="center"/>
                  <w:rPr>
                    <w:rFonts w:ascii="Arial" w:hAnsi="Arial" w:cs="Arial"/>
                  </w:rPr>
                </w:pPr>
                <w:r>
                  <w:rPr>
                    <w:rFonts w:ascii="Arial" w:hAnsi="Arial" w:cs="Arial"/>
                  </w:rPr>
                  <w:t>(</w:t>
                </w:r>
                <w:r w:rsidR="00773D43">
                  <w:rPr>
                    <w:rFonts w:ascii="Arial" w:hAnsi="Arial" w:cs="Arial"/>
                  </w:rPr>
                  <w:t>15</w:t>
                </w:r>
                <w:r>
                  <w:rPr>
                    <w:rFonts w:ascii="Arial" w:hAnsi="Arial" w:cs="Arial"/>
                  </w:rPr>
                  <w:t>)</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64E9A03A" w:rsidR="008F4B79" w:rsidRDefault="008F4B79" w:rsidP="00097CA9">
                <w:pPr>
                  <w:jc w:val="center"/>
                  <w:rPr>
                    <w:rFonts w:ascii="Arial" w:hAnsi="Arial" w:cs="Arial"/>
                  </w:rPr>
                </w:pPr>
                <w:r>
                  <w:rPr>
                    <w:rFonts w:ascii="Arial" w:hAnsi="Arial" w:cs="Arial"/>
                  </w:rPr>
                  <w:t>(</w:t>
                </w:r>
                <w:r w:rsidR="00505BB5">
                  <w:rPr>
                    <w:rFonts w:ascii="Arial" w:hAnsi="Arial" w:cs="Arial"/>
                  </w:rPr>
                  <w:t>205)</w:t>
                </w:r>
              </w:p>
            </w:tc>
            <w:tc>
              <w:tcPr>
                <w:tcW w:w="992" w:type="dxa"/>
              </w:tcPr>
              <w:p w14:paraId="16DBE0B1" w14:textId="03D29A7F" w:rsidR="008F4B79" w:rsidRDefault="008F4B79" w:rsidP="00097CA9">
                <w:pPr>
                  <w:jc w:val="center"/>
                  <w:rPr>
                    <w:rFonts w:ascii="Arial" w:hAnsi="Arial" w:cs="Arial"/>
                  </w:rPr>
                </w:pPr>
                <w:r>
                  <w:rPr>
                    <w:rFonts w:ascii="Arial" w:hAnsi="Arial" w:cs="Arial"/>
                  </w:rPr>
                  <w:t>(</w:t>
                </w:r>
                <w:r w:rsidR="00505BB5">
                  <w:rPr>
                    <w:rFonts w:ascii="Arial" w:hAnsi="Arial" w:cs="Arial"/>
                  </w:rPr>
                  <w:t>180</w:t>
                </w:r>
                <w:r>
                  <w:rPr>
                    <w:rFonts w:ascii="Arial" w:hAnsi="Arial" w:cs="Arial"/>
                  </w:rPr>
                  <w:t>)</w:t>
                </w:r>
              </w:p>
            </w:tc>
            <w:tc>
              <w:tcPr>
                <w:tcW w:w="993" w:type="dxa"/>
              </w:tcPr>
              <w:p w14:paraId="0C479117" w14:textId="038C8527" w:rsidR="008F4B79" w:rsidRDefault="008F4B79" w:rsidP="00097CA9">
                <w:pPr>
                  <w:jc w:val="center"/>
                  <w:rPr>
                    <w:rFonts w:ascii="Arial" w:hAnsi="Arial" w:cs="Arial"/>
                  </w:rPr>
                </w:pPr>
                <w:r>
                  <w:rPr>
                    <w:rFonts w:ascii="Arial" w:hAnsi="Arial" w:cs="Arial"/>
                  </w:rPr>
                  <w:t>(</w:t>
                </w:r>
                <w:r w:rsidR="00505BB5">
                  <w:rPr>
                    <w:rFonts w:ascii="Arial" w:hAnsi="Arial" w:cs="Arial"/>
                  </w:rPr>
                  <w:t>160</w:t>
                </w:r>
                <w:r>
                  <w:rPr>
                    <w:rFonts w:ascii="Arial" w:hAnsi="Arial" w:cs="Arial"/>
                  </w:rPr>
                  <w:t>)</w:t>
                </w:r>
              </w:p>
            </w:tc>
            <w:tc>
              <w:tcPr>
                <w:tcW w:w="992" w:type="dxa"/>
              </w:tcPr>
              <w:p w14:paraId="3095C7F8" w14:textId="407F8A9E" w:rsidR="008F4B79" w:rsidRDefault="008F4B79" w:rsidP="00097CA9">
                <w:pPr>
                  <w:jc w:val="center"/>
                  <w:rPr>
                    <w:rFonts w:ascii="Arial" w:hAnsi="Arial" w:cs="Arial"/>
                  </w:rPr>
                </w:pPr>
                <w:r>
                  <w:rPr>
                    <w:rFonts w:ascii="Arial" w:hAnsi="Arial" w:cs="Arial"/>
                  </w:rPr>
                  <w:t>(</w:t>
                </w:r>
                <w:r w:rsidR="00505BB5">
                  <w:rPr>
                    <w:rFonts w:ascii="Arial" w:hAnsi="Arial" w:cs="Arial"/>
                  </w:rPr>
                  <w:t>203</w:t>
                </w:r>
                <w:r>
                  <w:rPr>
                    <w:rFonts w:ascii="Arial" w:hAnsi="Arial" w:cs="Arial"/>
                  </w:rPr>
                  <w:t>)</w:t>
                </w:r>
              </w:p>
            </w:tc>
            <w:tc>
              <w:tcPr>
                <w:tcW w:w="992" w:type="dxa"/>
              </w:tcPr>
              <w:p w14:paraId="7D2539CD" w14:textId="1D56D70A" w:rsidR="008F4B79" w:rsidRDefault="008F4B79" w:rsidP="00097CA9">
                <w:pPr>
                  <w:jc w:val="center"/>
                  <w:rPr>
                    <w:rFonts w:ascii="Arial" w:hAnsi="Arial" w:cs="Arial"/>
                  </w:rPr>
                </w:pPr>
                <w:r>
                  <w:rPr>
                    <w:rFonts w:ascii="Arial" w:hAnsi="Arial" w:cs="Arial"/>
                  </w:rPr>
                  <w:t>(</w:t>
                </w:r>
                <w:r w:rsidR="00505BB5">
                  <w:rPr>
                    <w:rFonts w:ascii="Arial" w:hAnsi="Arial" w:cs="Arial"/>
                  </w:rPr>
                  <w:t>200</w:t>
                </w:r>
                <w:r>
                  <w:rPr>
                    <w:rFonts w:ascii="Arial" w:hAnsi="Arial" w:cs="Arial"/>
                  </w:rPr>
                  <w:t>)</w:t>
                </w:r>
              </w:p>
            </w:tc>
            <w:tc>
              <w:tcPr>
                <w:tcW w:w="992" w:type="dxa"/>
              </w:tcPr>
              <w:p w14:paraId="18275CF8" w14:textId="6688381C" w:rsidR="008F4B79" w:rsidRDefault="008F4B79" w:rsidP="00097CA9">
                <w:pPr>
                  <w:jc w:val="center"/>
                  <w:rPr>
                    <w:rFonts w:ascii="Arial" w:hAnsi="Arial" w:cs="Arial"/>
                  </w:rPr>
                </w:pPr>
                <w:r>
                  <w:rPr>
                    <w:rFonts w:ascii="Arial" w:hAnsi="Arial" w:cs="Arial"/>
                  </w:rPr>
                  <w:t>(</w:t>
                </w:r>
                <w:r w:rsidR="00505BB5">
                  <w:rPr>
                    <w:rFonts w:ascii="Arial" w:hAnsi="Arial" w:cs="Arial"/>
                  </w:rPr>
                  <w:t>140</w:t>
                </w:r>
                <w:r>
                  <w:rPr>
                    <w:rFonts w:ascii="Arial" w:hAnsi="Arial" w:cs="Arial"/>
                  </w:rPr>
                  <w:t>)</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7F96984B" w:rsidR="008F4B79" w:rsidRDefault="008F4B79" w:rsidP="00097CA9">
                <w:pPr>
                  <w:jc w:val="center"/>
                  <w:rPr>
                    <w:rFonts w:ascii="Arial" w:hAnsi="Arial" w:cs="Arial"/>
                  </w:rPr>
                </w:pPr>
                <w:r>
                  <w:rPr>
                    <w:rFonts w:ascii="Arial" w:hAnsi="Arial" w:cs="Arial"/>
                  </w:rPr>
                  <w:t>(</w:t>
                </w:r>
                <w:r w:rsidR="00B322A7">
                  <w:rPr>
                    <w:rFonts w:ascii="Arial" w:hAnsi="Arial" w:cs="Arial"/>
                  </w:rPr>
                  <w:t>5</w:t>
                </w:r>
                <w:r>
                  <w:rPr>
                    <w:rFonts w:ascii="Arial" w:hAnsi="Arial" w:cs="Arial"/>
                  </w:rPr>
                  <w:t>)</w:t>
                </w:r>
              </w:p>
            </w:tc>
            <w:tc>
              <w:tcPr>
                <w:tcW w:w="992" w:type="dxa"/>
              </w:tcPr>
              <w:p w14:paraId="33A9D8A7" w14:textId="16AF21D8" w:rsidR="008F4B79" w:rsidRDefault="008F4B79" w:rsidP="00097CA9">
                <w:pPr>
                  <w:jc w:val="center"/>
                  <w:rPr>
                    <w:rFonts w:ascii="Arial" w:hAnsi="Arial" w:cs="Arial"/>
                  </w:rPr>
                </w:pPr>
                <w:r>
                  <w:rPr>
                    <w:rFonts w:ascii="Arial" w:hAnsi="Arial" w:cs="Arial"/>
                  </w:rPr>
                  <w:t>(</w:t>
                </w:r>
                <w:r w:rsidR="00B322A7">
                  <w:rPr>
                    <w:rFonts w:ascii="Arial" w:hAnsi="Arial" w:cs="Arial"/>
                  </w:rPr>
                  <w:t>5</w:t>
                </w:r>
                <w:r>
                  <w:rPr>
                    <w:rFonts w:ascii="Arial" w:hAnsi="Arial" w:cs="Arial"/>
                  </w:rPr>
                  <w:t>)</w:t>
                </w:r>
              </w:p>
            </w:tc>
            <w:tc>
              <w:tcPr>
                <w:tcW w:w="993" w:type="dxa"/>
              </w:tcPr>
              <w:p w14:paraId="15E94208" w14:textId="039ED1A0" w:rsidR="008F4B79" w:rsidRDefault="008F4B79" w:rsidP="00097CA9">
                <w:pPr>
                  <w:jc w:val="center"/>
                  <w:rPr>
                    <w:rFonts w:ascii="Arial" w:hAnsi="Arial" w:cs="Arial"/>
                  </w:rPr>
                </w:pPr>
                <w:r>
                  <w:rPr>
                    <w:rFonts w:ascii="Arial" w:hAnsi="Arial" w:cs="Arial"/>
                  </w:rPr>
                  <w:t>(</w:t>
                </w:r>
                <w:r w:rsidR="00B322A7">
                  <w:rPr>
                    <w:rFonts w:ascii="Arial" w:hAnsi="Arial" w:cs="Arial"/>
                  </w:rPr>
                  <w:t>5</w:t>
                </w:r>
                <w:r>
                  <w:rPr>
                    <w:rFonts w:ascii="Arial" w:hAnsi="Arial" w:cs="Arial"/>
                  </w:rPr>
                  <w:t>)</w:t>
                </w:r>
              </w:p>
            </w:tc>
            <w:tc>
              <w:tcPr>
                <w:tcW w:w="992" w:type="dxa"/>
              </w:tcPr>
              <w:p w14:paraId="3096EBB3" w14:textId="703A2B64" w:rsidR="008F4B79" w:rsidRDefault="008F4B79" w:rsidP="00097CA9">
                <w:pPr>
                  <w:jc w:val="center"/>
                  <w:rPr>
                    <w:rFonts w:ascii="Arial" w:hAnsi="Arial" w:cs="Arial"/>
                  </w:rPr>
                </w:pPr>
                <w:r>
                  <w:rPr>
                    <w:rFonts w:ascii="Arial" w:hAnsi="Arial" w:cs="Arial"/>
                  </w:rPr>
                  <w:t>(</w:t>
                </w:r>
                <w:r w:rsidR="00B322A7">
                  <w:rPr>
                    <w:rFonts w:ascii="Arial" w:hAnsi="Arial" w:cs="Arial"/>
                  </w:rPr>
                  <w:t>5</w:t>
                </w:r>
                <w:r>
                  <w:rPr>
                    <w:rFonts w:ascii="Arial" w:hAnsi="Arial" w:cs="Arial"/>
                  </w:rPr>
                  <w:t>)</w:t>
                </w:r>
              </w:p>
            </w:tc>
            <w:tc>
              <w:tcPr>
                <w:tcW w:w="992" w:type="dxa"/>
              </w:tcPr>
              <w:p w14:paraId="28DCEDBF" w14:textId="355260D8" w:rsidR="008F4B79" w:rsidRDefault="008F4B79" w:rsidP="00097CA9">
                <w:pPr>
                  <w:jc w:val="center"/>
                  <w:rPr>
                    <w:rFonts w:ascii="Arial" w:hAnsi="Arial" w:cs="Arial"/>
                  </w:rPr>
                </w:pPr>
                <w:r>
                  <w:rPr>
                    <w:rFonts w:ascii="Arial" w:hAnsi="Arial" w:cs="Arial"/>
                  </w:rPr>
                  <w:t>(</w:t>
                </w:r>
                <w:r w:rsidR="00B322A7">
                  <w:rPr>
                    <w:rFonts w:ascii="Arial" w:hAnsi="Arial" w:cs="Arial"/>
                  </w:rPr>
                  <w:t>5</w:t>
                </w:r>
                <w:r>
                  <w:rPr>
                    <w:rFonts w:ascii="Arial" w:hAnsi="Arial" w:cs="Arial"/>
                  </w:rPr>
                  <w:t>)</w:t>
                </w:r>
              </w:p>
            </w:tc>
            <w:tc>
              <w:tcPr>
                <w:tcW w:w="992" w:type="dxa"/>
              </w:tcPr>
              <w:p w14:paraId="3E99894F" w14:textId="7F88B08E" w:rsidR="008F4B79" w:rsidRDefault="00B322A7" w:rsidP="00097CA9">
                <w:pPr>
                  <w:jc w:val="center"/>
                  <w:rPr>
                    <w:rFonts w:ascii="Arial" w:hAnsi="Arial" w:cs="Arial"/>
                  </w:rPr>
                </w:pPr>
                <w:r>
                  <w:rPr>
                    <w:rFonts w:ascii="Arial" w:hAnsi="Arial" w:cs="Arial"/>
                  </w:rPr>
                  <w:t>(5</w:t>
                </w:r>
                <w:r w:rsidR="008F4B79">
                  <w:rPr>
                    <w:rFonts w:ascii="Arial" w:hAnsi="Arial" w:cs="Arial"/>
                  </w:rPr>
                  <w:t>)</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018CAC1D" w:rsidR="008F4B79" w:rsidRDefault="008F4B79" w:rsidP="00097CA9">
                <w:pPr>
                  <w:jc w:val="center"/>
                  <w:rPr>
                    <w:rFonts w:ascii="Arial" w:hAnsi="Arial" w:cs="Arial"/>
                  </w:rPr>
                </w:pPr>
                <w:r>
                  <w:rPr>
                    <w:rFonts w:ascii="Arial" w:hAnsi="Arial" w:cs="Arial"/>
                  </w:rPr>
                  <w:t>(</w:t>
                </w:r>
                <w:r w:rsidR="00B322A7">
                  <w:rPr>
                    <w:rFonts w:ascii="Arial" w:hAnsi="Arial" w:cs="Arial"/>
                  </w:rPr>
                  <w:t>6</w:t>
                </w:r>
                <w:r>
                  <w:rPr>
                    <w:rFonts w:ascii="Arial" w:hAnsi="Arial" w:cs="Arial"/>
                  </w:rPr>
                  <w:t>)</w:t>
                </w:r>
              </w:p>
            </w:tc>
            <w:tc>
              <w:tcPr>
                <w:tcW w:w="992" w:type="dxa"/>
              </w:tcPr>
              <w:p w14:paraId="4505E924" w14:textId="045996A2" w:rsidR="008F4B79" w:rsidRDefault="008F4B79" w:rsidP="00097CA9">
                <w:pPr>
                  <w:jc w:val="center"/>
                  <w:rPr>
                    <w:rFonts w:ascii="Arial" w:hAnsi="Arial" w:cs="Arial"/>
                  </w:rPr>
                </w:pPr>
                <w:r>
                  <w:rPr>
                    <w:rFonts w:ascii="Arial" w:hAnsi="Arial" w:cs="Arial"/>
                  </w:rPr>
                  <w:t>(</w:t>
                </w:r>
                <w:r w:rsidR="00B322A7">
                  <w:rPr>
                    <w:rFonts w:ascii="Arial" w:hAnsi="Arial" w:cs="Arial"/>
                  </w:rPr>
                  <w:t>8</w:t>
                </w:r>
                <w:r>
                  <w:rPr>
                    <w:rFonts w:ascii="Arial" w:hAnsi="Arial" w:cs="Arial"/>
                  </w:rPr>
                  <w:t>)</w:t>
                </w:r>
              </w:p>
            </w:tc>
            <w:tc>
              <w:tcPr>
                <w:tcW w:w="993" w:type="dxa"/>
              </w:tcPr>
              <w:p w14:paraId="0ECDD2D6" w14:textId="7266BF02" w:rsidR="008F4B79" w:rsidRDefault="008F4B79" w:rsidP="00097CA9">
                <w:pPr>
                  <w:jc w:val="center"/>
                  <w:rPr>
                    <w:rFonts w:ascii="Arial" w:hAnsi="Arial" w:cs="Arial"/>
                  </w:rPr>
                </w:pPr>
                <w:r>
                  <w:rPr>
                    <w:rFonts w:ascii="Arial" w:hAnsi="Arial" w:cs="Arial"/>
                  </w:rPr>
                  <w:t>(</w:t>
                </w:r>
                <w:r w:rsidR="00B322A7">
                  <w:rPr>
                    <w:rFonts w:ascii="Arial" w:hAnsi="Arial" w:cs="Arial"/>
                  </w:rPr>
                  <w:t>7</w:t>
                </w:r>
                <w:r>
                  <w:rPr>
                    <w:rFonts w:ascii="Arial" w:hAnsi="Arial" w:cs="Arial"/>
                  </w:rPr>
                  <w:t>)</w:t>
                </w:r>
              </w:p>
            </w:tc>
            <w:tc>
              <w:tcPr>
                <w:tcW w:w="992" w:type="dxa"/>
              </w:tcPr>
              <w:p w14:paraId="091E1D88" w14:textId="369155E8" w:rsidR="008F4B79" w:rsidRDefault="008F4B79" w:rsidP="00097CA9">
                <w:pPr>
                  <w:jc w:val="center"/>
                  <w:rPr>
                    <w:rFonts w:ascii="Arial" w:hAnsi="Arial" w:cs="Arial"/>
                  </w:rPr>
                </w:pPr>
                <w:r>
                  <w:rPr>
                    <w:rFonts w:ascii="Arial" w:hAnsi="Arial" w:cs="Arial"/>
                  </w:rPr>
                  <w:t>(</w:t>
                </w:r>
                <w:r w:rsidR="00B322A7">
                  <w:rPr>
                    <w:rFonts w:ascii="Arial" w:hAnsi="Arial" w:cs="Arial"/>
                  </w:rPr>
                  <w:t>6</w:t>
                </w:r>
                <w:r>
                  <w:rPr>
                    <w:rFonts w:ascii="Arial" w:hAnsi="Arial" w:cs="Arial"/>
                  </w:rPr>
                  <w:t>)</w:t>
                </w:r>
              </w:p>
            </w:tc>
            <w:tc>
              <w:tcPr>
                <w:tcW w:w="992" w:type="dxa"/>
              </w:tcPr>
              <w:p w14:paraId="635FB050" w14:textId="143F8468" w:rsidR="008F4B79" w:rsidRDefault="008F4B79" w:rsidP="00097CA9">
                <w:pPr>
                  <w:jc w:val="center"/>
                  <w:rPr>
                    <w:rFonts w:ascii="Arial" w:hAnsi="Arial" w:cs="Arial"/>
                  </w:rPr>
                </w:pPr>
                <w:r>
                  <w:rPr>
                    <w:rFonts w:ascii="Arial" w:hAnsi="Arial" w:cs="Arial"/>
                  </w:rPr>
                  <w:t>(</w:t>
                </w:r>
                <w:r w:rsidR="00B322A7">
                  <w:rPr>
                    <w:rFonts w:ascii="Arial" w:hAnsi="Arial" w:cs="Arial"/>
                  </w:rPr>
                  <w:t>8</w:t>
                </w:r>
                <w:r>
                  <w:rPr>
                    <w:rFonts w:ascii="Arial" w:hAnsi="Arial" w:cs="Arial"/>
                  </w:rPr>
                  <w:t>)</w:t>
                </w:r>
              </w:p>
            </w:tc>
            <w:tc>
              <w:tcPr>
                <w:tcW w:w="992" w:type="dxa"/>
              </w:tcPr>
              <w:p w14:paraId="68FBD8F5" w14:textId="7EE5CA17" w:rsidR="008F4B79" w:rsidRDefault="008F4B79" w:rsidP="00097CA9">
                <w:pPr>
                  <w:jc w:val="center"/>
                  <w:rPr>
                    <w:rFonts w:ascii="Arial" w:hAnsi="Arial" w:cs="Arial"/>
                  </w:rPr>
                </w:pPr>
                <w:r>
                  <w:rPr>
                    <w:rFonts w:ascii="Arial" w:hAnsi="Arial" w:cs="Arial"/>
                  </w:rPr>
                  <w:t>(</w:t>
                </w:r>
                <w:r w:rsidR="00B322A7">
                  <w:rPr>
                    <w:rFonts w:ascii="Arial" w:hAnsi="Arial" w:cs="Arial"/>
                  </w:rPr>
                  <w:t>9</w:t>
                </w:r>
                <w:r>
                  <w:rPr>
                    <w:rFonts w:ascii="Arial" w:hAnsi="Arial" w:cs="Arial"/>
                  </w:rPr>
                  <w:t>)</w:t>
                </w:r>
              </w:p>
            </w:tc>
          </w:tr>
          <w:tr w:rsidR="008F4B79" w14:paraId="35CCEDD3" w14:textId="77777777" w:rsidTr="00097CA9">
            <w:trPr>
              <w:trHeight w:val="419"/>
            </w:trPr>
            <w:tc>
              <w:tcPr>
                <w:tcW w:w="3260" w:type="dxa"/>
              </w:tcPr>
              <w:p w14:paraId="5EFEF2E5" w14:textId="77777777"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77777777" w:rsidR="008F4B79" w:rsidRDefault="008F4B79" w:rsidP="00097CA9">
                <w:pPr>
                  <w:jc w:val="center"/>
                  <w:rPr>
                    <w:rFonts w:ascii="Arial" w:hAnsi="Arial" w:cs="Arial"/>
                  </w:rPr>
                </w:pPr>
                <w:r>
                  <w:rPr>
                    <w:rFonts w:ascii="Arial" w:hAnsi="Arial" w:cs="Arial"/>
                  </w:rPr>
                  <w:t>-</w:t>
                </w:r>
              </w:p>
            </w:tc>
            <w:tc>
              <w:tcPr>
                <w:tcW w:w="993" w:type="dxa"/>
              </w:tcPr>
              <w:p w14:paraId="74CBB94F" w14:textId="67D8BFE5" w:rsidR="008F4B79" w:rsidRDefault="008F4B79" w:rsidP="00097CA9">
                <w:pPr>
                  <w:jc w:val="center"/>
                  <w:rPr>
                    <w:rFonts w:ascii="Arial" w:hAnsi="Arial" w:cs="Arial"/>
                  </w:rPr>
                </w:pPr>
                <w:r>
                  <w:rPr>
                    <w:rFonts w:ascii="Arial" w:hAnsi="Arial" w:cs="Arial"/>
                  </w:rPr>
                  <w:t>(</w:t>
                </w:r>
                <w:r w:rsidR="00B322A7">
                  <w:rPr>
                    <w:rFonts w:ascii="Arial" w:hAnsi="Arial" w:cs="Arial"/>
                  </w:rPr>
                  <w:t>20</w:t>
                </w:r>
                <w:r>
                  <w:rPr>
                    <w:rFonts w:ascii="Arial" w:hAnsi="Arial" w:cs="Arial"/>
                  </w:rPr>
                  <w:t>)</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5647C801" w:rsidR="008F4B79" w:rsidRDefault="008F4B79" w:rsidP="00097CA9">
                <w:pPr>
                  <w:jc w:val="center"/>
                  <w:rPr>
                    <w:rFonts w:ascii="Arial" w:hAnsi="Arial" w:cs="Arial"/>
                  </w:rPr>
                </w:pPr>
                <w:r>
                  <w:rPr>
                    <w:rFonts w:ascii="Arial" w:hAnsi="Arial" w:cs="Arial"/>
                  </w:rPr>
                  <w:t>(</w:t>
                </w:r>
                <w:r w:rsidR="00B322A7">
                  <w:rPr>
                    <w:rFonts w:ascii="Arial" w:hAnsi="Arial" w:cs="Arial"/>
                  </w:rPr>
                  <w:t>1</w:t>
                </w:r>
                <w:r>
                  <w:rPr>
                    <w:rFonts w:ascii="Arial" w:hAnsi="Arial" w:cs="Arial"/>
                  </w:rPr>
                  <w:t>)</w:t>
                </w:r>
              </w:p>
            </w:tc>
            <w:tc>
              <w:tcPr>
                <w:tcW w:w="992" w:type="dxa"/>
              </w:tcPr>
              <w:p w14:paraId="26B80DA6" w14:textId="54558798" w:rsidR="008F4B79" w:rsidRDefault="008F4B79" w:rsidP="00097CA9">
                <w:pPr>
                  <w:jc w:val="center"/>
                  <w:rPr>
                    <w:rFonts w:ascii="Arial" w:hAnsi="Arial" w:cs="Arial"/>
                  </w:rPr>
                </w:pPr>
                <w:r>
                  <w:rPr>
                    <w:rFonts w:ascii="Arial" w:hAnsi="Arial" w:cs="Arial"/>
                  </w:rPr>
                  <w:t>(</w:t>
                </w:r>
                <w:r w:rsidR="00B322A7">
                  <w:rPr>
                    <w:rFonts w:ascii="Arial" w:hAnsi="Arial" w:cs="Arial"/>
                  </w:rPr>
                  <w:t>1</w:t>
                </w:r>
                <w:r>
                  <w:rPr>
                    <w:rFonts w:ascii="Arial" w:hAnsi="Arial" w:cs="Arial"/>
                  </w:rPr>
                  <w:t>)</w:t>
                </w:r>
              </w:p>
            </w:tc>
            <w:tc>
              <w:tcPr>
                <w:tcW w:w="993" w:type="dxa"/>
              </w:tcPr>
              <w:p w14:paraId="7DF05DDC" w14:textId="554B5209" w:rsidR="008F4B79" w:rsidRDefault="008F4B79" w:rsidP="00097CA9">
                <w:pPr>
                  <w:jc w:val="center"/>
                  <w:rPr>
                    <w:rFonts w:ascii="Arial" w:hAnsi="Arial" w:cs="Arial"/>
                  </w:rPr>
                </w:pPr>
                <w:r>
                  <w:rPr>
                    <w:rFonts w:ascii="Arial" w:hAnsi="Arial" w:cs="Arial"/>
                  </w:rPr>
                  <w:t>(</w:t>
                </w:r>
                <w:r w:rsidR="00B322A7">
                  <w:rPr>
                    <w:rFonts w:ascii="Arial" w:hAnsi="Arial" w:cs="Arial"/>
                  </w:rPr>
                  <w:t>1</w:t>
                </w:r>
                <w:r>
                  <w:rPr>
                    <w:rFonts w:ascii="Arial" w:hAnsi="Arial" w:cs="Arial"/>
                  </w:rPr>
                  <w:t>)</w:t>
                </w:r>
              </w:p>
            </w:tc>
            <w:tc>
              <w:tcPr>
                <w:tcW w:w="992" w:type="dxa"/>
              </w:tcPr>
              <w:p w14:paraId="094DC8D8" w14:textId="7F6E408E" w:rsidR="008F4B79" w:rsidRDefault="008F4B79" w:rsidP="00097CA9">
                <w:pPr>
                  <w:jc w:val="center"/>
                  <w:rPr>
                    <w:rFonts w:ascii="Arial" w:hAnsi="Arial" w:cs="Arial"/>
                  </w:rPr>
                </w:pPr>
                <w:r>
                  <w:rPr>
                    <w:rFonts w:ascii="Arial" w:hAnsi="Arial" w:cs="Arial"/>
                  </w:rPr>
                  <w:t>(</w:t>
                </w:r>
                <w:r w:rsidR="00B322A7">
                  <w:rPr>
                    <w:rFonts w:ascii="Arial" w:hAnsi="Arial" w:cs="Arial"/>
                  </w:rPr>
                  <w:t>1</w:t>
                </w:r>
                <w:r>
                  <w:rPr>
                    <w:rFonts w:ascii="Arial" w:hAnsi="Arial" w:cs="Arial"/>
                  </w:rPr>
                  <w:t>)</w:t>
                </w:r>
              </w:p>
            </w:tc>
            <w:tc>
              <w:tcPr>
                <w:tcW w:w="992" w:type="dxa"/>
              </w:tcPr>
              <w:p w14:paraId="081ECD21" w14:textId="3FA8A5C0" w:rsidR="008F4B79" w:rsidRDefault="008F4B79" w:rsidP="00097CA9">
                <w:pPr>
                  <w:jc w:val="center"/>
                  <w:rPr>
                    <w:rFonts w:ascii="Arial" w:hAnsi="Arial" w:cs="Arial"/>
                  </w:rPr>
                </w:pPr>
                <w:r>
                  <w:rPr>
                    <w:rFonts w:ascii="Arial" w:hAnsi="Arial" w:cs="Arial"/>
                  </w:rPr>
                  <w:t>(</w:t>
                </w:r>
                <w:r w:rsidR="00B322A7">
                  <w:rPr>
                    <w:rFonts w:ascii="Arial" w:hAnsi="Arial" w:cs="Arial"/>
                  </w:rPr>
                  <w:t>1</w:t>
                </w:r>
                <w:r>
                  <w:rPr>
                    <w:rFonts w:ascii="Arial" w:hAnsi="Arial" w:cs="Arial"/>
                  </w:rPr>
                  <w:t>)</w:t>
                </w:r>
              </w:p>
            </w:tc>
            <w:tc>
              <w:tcPr>
                <w:tcW w:w="992" w:type="dxa"/>
              </w:tcPr>
              <w:p w14:paraId="20B0297B" w14:textId="401C56C2" w:rsidR="008F4B79" w:rsidRDefault="008F4B79" w:rsidP="00097CA9">
                <w:pPr>
                  <w:jc w:val="center"/>
                  <w:rPr>
                    <w:rFonts w:ascii="Arial" w:hAnsi="Arial" w:cs="Arial"/>
                  </w:rPr>
                </w:pPr>
                <w:r>
                  <w:rPr>
                    <w:rFonts w:ascii="Arial" w:hAnsi="Arial" w:cs="Arial"/>
                  </w:rPr>
                  <w:t>(</w:t>
                </w:r>
                <w:r w:rsidR="00B322A7">
                  <w:rPr>
                    <w:rFonts w:ascii="Arial" w:hAnsi="Arial" w:cs="Arial"/>
                  </w:rPr>
                  <w:t>1</w:t>
                </w:r>
                <w:r>
                  <w:rPr>
                    <w:rFonts w:ascii="Arial" w:hAnsi="Arial" w:cs="Arial"/>
                  </w:rPr>
                  <w:t>)</w:t>
                </w:r>
              </w:p>
            </w:tc>
          </w:tr>
          <w:tr w:rsidR="008F4B79" w14:paraId="74C746AA" w14:textId="77777777" w:rsidTr="00097CA9">
            <w:trPr>
              <w:trHeight w:val="410"/>
            </w:trPr>
            <w:tc>
              <w:tcPr>
                <w:tcW w:w="3260" w:type="dxa"/>
              </w:tcPr>
              <w:p w14:paraId="66D2213C" w14:textId="77777777" w:rsidR="008F4B79" w:rsidRDefault="008F4B79" w:rsidP="00097CA9">
                <w:pPr>
                  <w:rPr>
                    <w:rFonts w:ascii="Arial" w:hAnsi="Arial" w:cs="Arial"/>
                  </w:rPr>
                </w:pPr>
                <w:r>
                  <w:rPr>
                    <w:rFonts w:ascii="Arial" w:hAnsi="Arial" w:cs="Arial"/>
                  </w:rPr>
                  <w:t>Shop refurbishment</w:t>
                </w:r>
              </w:p>
            </w:tc>
            <w:tc>
              <w:tcPr>
                <w:tcW w:w="992" w:type="dxa"/>
              </w:tcPr>
              <w:p w14:paraId="2651D9BC" w14:textId="012A048F"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CC63C5">
                  <w:rPr>
                    <w:rFonts w:ascii="Arial" w:hAnsi="Arial" w:cs="Arial"/>
                    <w:u w:val="single"/>
                  </w:rPr>
                  <w:t>(11)</w:t>
                </w:r>
                <w:r w:rsidRPr="007A65C7">
                  <w:rPr>
                    <w:rFonts w:ascii="Arial" w:hAnsi="Arial" w:cs="Arial"/>
                    <w:u w:val="single"/>
                  </w:rPr>
                  <w:t xml:space="preserve">     -</w:t>
                </w:r>
              </w:p>
            </w:tc>
            <w:tc>
              <w:tcPr>
                <w:tcW w:w="992" w:type="dxa"/>
              </w:tcPr>
              <w:p w14:paraId="2D1ABA18" w14:textId="710437A8"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B322A7">
                  <w:rPr>
                    <w:rFonts w:ascii="Arial" w:hAnsi="Arial" w:cs="Arial"/>
                    <w:u w:val="single"/>
                  </w:rPr>
                  <w:t>1</w:t>
                </w:r>
                <w:r w:rsidR="00CC63C5">
                  <w:rPr>
                    <w:rFonts w:ascii="Arial" w:hAnsi="Arial" w:cs="Arial"/>
                    <w:u w:val="single"/>
                  </w:rPr>
                  <w:t>0</w:t>
                </w:r>
                <w:r w:rsidRPr="007A65C7">
                  <w:rPr>
                    <w:rFonts w:ascii="Arial" w:hAnsi="Arial" w:cs="Arial"/>
                    <w:u w:val="single"/>
                  </w:rPr>
                  <w:t>)</w:t>
                </w:r>
              </w:p>
            </w:tc>
            <w:tc>
              <w:tcPr>
                <w:tcW w:w="993" w:type="dxa"/>
              </w:tcPr>
              <w:p w14:paraId="7561F86B" w14:textId="04F3D2E4"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B322A7">
                  <w:rPr>
                    <w:rFonts w:ascii="Arial" w:hAnsi="Arial" w:cs="Arial"/>
                    <w:u w:val="single"/>
                  </w:rPr>
                  <w:t>1</w:t>
                </w:r>
                <w:r w:rsidR="00CC63C5">
                  <w:rPr>
                    <w:rFonts w:ascii="Arial" w:hAnsi="Arial" w:cs="Arial"/>
                    <w:u w:val="single"/>
                  </w:rPr>
                  <w:t>2</w:t>
                </w:r>
                <w:r w:rsidRPr="007A65C7">
                  <w:rPr>
                    <w:rFonts w:ascii="Arial" w:hAnsi="Arial" w:cs="Arial"/>
                    <w:u w:val="single"/>
                  </w:rPr>
                  <w:t>)</w:t>
                </w:r>
              </w:p>
            </w:tc>
            <w:tc>
              <w:tcPr>
                <w:tcW w:w="992" w:type="dxa"/>
              </w:tcPr>
              <w:p w14:paraId="4A840892" w14:textId="44664681"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3E35E8">
                  <w:rPr>
                    <w:rFonts w:ascii="Arial" w:hAnsi="Arial" w:cs="Arial"/>
                    <w:u w:val="single"/>
                  </w:rPr>
                  <w:t>-</w:t>
                </w:r>
              </w:p>
            </w:tc>
            <w:tc>
              <w:tcPr>
                <w:tcW w:w="992" w:type="dxa"/>
              </w:tcPr>
              <w:p w14:paraId="4649B1DD"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77777777" w:rsidR="008F4B79" w:rsidRDefault="008F4B79" w:rsidP="00097CA9">
                <w:pPr>
                  <w:rPr>
                    <w:rFonts w:ascii="Arial" w:hAnsi="Arial" w:cs="Arial"/>
                  </w:rPr>
                </w:pPr>
                <w:r>
                  <w:rPr>
                    <w:rFonts w:ascii="Arial" w:hAnsi="Arial" w:cs="Arial"/>
                  </w:rPr>
                  <w:t>Cash surplus (deficit)</w:t>
                </w:r>
              </w:p>
            </w:tc>
            <w:tc>
              <w:tcPr>
                <w:tcW w:w="992" w:type="dxa"/>
              </w:tcPr>
              <w:p w14:paraId="35431130" w14:textId="724AB330" w:rsidR="008F4B79" w:rsidRDefault="008F4B79" w:rsidP="00097CA9">
                <w:pPr>
                  <w:jc w:val="center"/>
                  <w:rPr>
                    <w:rFonts w:ascii="Arial" w:hAnsi="Arial" w:cs="Arial"/>
                  </w:rPr>
                </w:pPr>
                <w:r>
                  <w:rPr>
                    <w:rFonts w:ascii="Arial" w:hAnsi="Arial" w:cs="Arial"/>
                  </w:rPr>
                  <w:t xml:space="preserve"> </w:t>
                </w:r>
                <w:r w:rsidR="00773D43">
                  <w:rPr>
                    <w:rFonts w:ascii="Arial" w:hAnsi="Arial" w:cs="Arial"/>
                  </w:rPr>
                  <w:t>(</w:t>
                </w:r>
                <w:r w:rsidR="003E35E8">
                  <w:rPr>
                    <w:rFonts w:ascii="Arial" w:hAnsi="Arial" w:cs="Arial"/>
                  </w:rPr>
                  <w:t>19</w:t>
                </w:r>
                <w:r w:rsidR="00773D43">
                  <w:rPr>
                    <w:rFonts w:ascii="Arial" w:hAnsi="Arial" w:cs="Arial"/>
                  </w:rPr>
                  <w:t>)</w:t>
                </w:r>
              </w:p>
            </w:tc>
            <w:tc>
              <w:tcPr>
                <w:tcW w:w="992" w:type="dxa"/>
              </w:tcPr>
              <w:p w14:paraId="68F74097" w14:textId="54E54E47" w:rsidR="008F4B79" w:rsidRDefault="008F4B79" w:rsidP="00097CA9">
                <w:pPr>
                  <w:jc w:val="center"/>
                  <w:rPr>
                    <w:rFonts w:ascii="Arial" w:hAnsi="Arial" w:cs="Arial"/>
                  </w:rPr>
                </w:pPr>
                <w:r>
                  <w:rPr>
                    <w:rFonts w:ascii="Arial" w:hAnsi="Arial" w:cs="Arial"/>
                  </w:rPr>
                  <w:t xml:space="preserve"> </w:t>
                </w:r>
                <w:r w:rsidR="00773D43">
                  <w:rPr>
                    <w:rFonts w:ascii="Arial" w:hAnsi="Arial" w:cs="Arial"/>
                  </w:rPr>
                  <w:t>(</w:t>
                </w:r>
                <w:r w:rsidR="009750B9">
                  <w:rPr>
                    <w:rFonts w:ascii="Arial" w:hAnsi="Arial" w:cs="Arial"/>
                  </w:rPr>
                  <w:t>4</w:t>
                </w:r>
                <w:r w:rsidR="00773D43">
                  <w:rPr>
                    <w:rFonts w:ascii="Arial" w:hAnsi="Arial" w:cs="Arial"/>
                  </w:rPr>
                  <w:t>)</w:t>
                </w:r>
              </w:p>
            </w:tc>
            <w:tc>
              <w:tcPr>
                <w:tcW w:w="993" w:type="dxa"/>
              </w:tcPr>
              <w:p w14:paraId="7075DF1B" w14:textId="669D38DC" w:rsidR="008F4B79" w:rsidRDefault="002968EC" w:rsidP="00097CA9">
                <w:pPr>
                  <w:jc w:val="center"/>
                  <w:rPr>
                    <w:rFonts w:ascii="Arial" w:hAnsi="Arial" w:cs="Arial"/>
                  </w:rPr>
                </w:pPr>
                <w:r>
                  <w:rPr>
                    <w:rFonts w:ascii="Arial" w:hAnsi="Arial" w:cs="Arial"/>
                  </w:rPr>
                  <w:t>2</w:t>
                </w:r>
                <w:r w:rsidR="009750B9">
                  <w:rPr>
                    <w:rFonts w:ascii="Arial" w:hAnsi="Arial" w:cs="Arial"/>
                  </w:rPr>
                  <w:t>7</w:t>
                </w:r>
                <w:r w:rsidR="008F4B79">
                  <w:rPr>
                    <w:rFonts w:ascii="Arial" w:hAnsi="Arial" w:cs="Arial"/>
                  </w:rPr>
                  <w:t xml:space="preserve"> </w:t>
                </w:r>
              </w:p>
            </w:tc>
            <w:tc>
              <w:tcPr>
                <w:tcW w:w="992" w:type="dxa"/>
              </w:tcPr>
              <w:p w14:paraId="74FD117B" w14:textId="7B92E46C" w:rsidR="008F4B79" w:rsidRDefault="008F4B79" w:rsidP="00097CA9">
                <w:pPr>
                  <w:jc w:val="center"/>
                  <w:rPr>
                    <w:rFonts w:ascii="Arial" w:hAnsi="Arial" w:cs="Arial"/>
                  </w:rPr>
                </w:pPr>
                <w:r>
                  <w:rPr>
                    <w:rFonts w:ascii="Arial" w:hAnsi="Arial" w:cs="Arial"/>
                  </w:rPr>
                  <w:t xml:space="preserve"> </w:t>
                </w:r>
                <w:r w:rsidR="002968EC">
                  <w:rPr>
                    <w:rFonts w:ascii="Arial" w:hAnsi="Arial" w:cs="Arial"/>
                  </w:rPr>
                  <w:t>6</w:t>
                </w:r>
              </w:p>
            </w:tc>
            <w:tc>
              <w:tcPr>
                <w:tcW w:w="992" w:type="dxa"/>
              </w:tcPr>
              <w:p w14:paraId="2B94937F" w14:textId="127DF4DD" w:rsidR="008F4B79" w:rsidRDefault="008F4B79" w:rsidP="00097CA9">
                <w:pPr>
                  <w:jc w:val="center"/>
                  <w:rPr>
                    <w:rFonts w:ascii="Arial" w:hAnsi="Arial" w:cs="Arial"/>
                  </w:rPr>
                </w:pPr>
                <w:r>
                  <w:rPr>
                    <w:rFonts w:ascii="Arial" w:hAnsi="Arial" w:cs="Arial"/>
                  </w:rPr>
                  <w:t xml:space="preserve"> </w:t>
                </w:r>
                <w:r w:rsidR="002968EC">
                  <w:rPr>
                    <w:rFonts w:ascii="Arial" w:hAnsi="Arial" w:cs="Arial"/>
                  </w:rPr>
                  <w:t>(13)</w:t>
                </w:r>
              </w:p>
            </w:tc>
            <w:tc>
              <w:tcPr>
                <w:tcW w:w="992" w:type="dxa"/>
              </w:tcPr>
              <w:p w14:paraId="7DEB33B1" w14:textId="6192C3C2" w:rsidR="008F4B79" w:rsidRDefault="002968EC" w:rsidP="00097CA9">
                <w:pPr>
                  <w:jc w:val="center"/>
                  <w:rPr>
                    <w:rFonts w:ascii="Arial" w:hAnsi="Arial" w:cs="Arial"/>
                  </w:rPr>
                </w:pPr>
                <w:r>
                  <w:rPr>
                    <w:rFonts w:ascii="Arial" w:hAnsi="Arial" w:cs="Arial"/>
                  </w:rPr>
                  <w:t>38</w:t>
                </w:r>
                <w:r w:rsidR="008F4B79">
                  <w:rPr>
                    <w:rFonts w:ascii="Arial" w:hAnsi="Arial" w:cs="Arial"/>
                  </w:rPr>
                  <w:t xml:space="preserve"> </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0698699D" w:rsidR="008F4B79" w:rsidRPr="007A65C7" w:rsidRDefault="00773D43" w:rsidP="00097CA9">
                <w:pPr>
                  <w:jc w:val="center"/>
                  <w:rPr>
                    <w:rFonts w:ascii="Arial" w:hAnsi="Arial" w:cs="Arial"/>
                    <w:u w:val="single"/>
                  </w:rPr>
                </w:pPr>
                <w:r>
                  <w:rPr>
                    <w:rFonts w:ascii="Arial" w:hAnsi="Arial" w:cs="Arial"/>
                    <w:u w:val="single"/>
                  </w:rPr>
                  <w:t>(22)</w:t>
                </w:r>
                <w:r w:rsidR="008F4B79">
                  <w:rPr>
                    <w:rFonts w:ascii="Arial" w:hAnsi="Arial" w:cs="Arial"/>
                    <w:u w:val="single"/>
                  </w:rPr>
                  <w:t xml:space="preserve"> </w:t>
                </w:r>
              </w:p>
            </w:tc>
            <w:tc>
              <w:tcPr>
                <w:tcW w:w="992" w:type="dxa"/>
              </w:tcPr>
              <w:p w14:paraId="26255FCA" w14:textId="147CB849" w:rsidR="008F4B79" w:rsidRPr="007A65C7" w:rsidRDefault="008F4B79" w:rsidP="00097CA9">
                <w:pPr>
                  <w:jc w:val="center"/>
                  <w:rPr>
                    <w:rFonts w:ascii="Arial" w:hAnsi="Arial" w:cs="Arial"/>
                    <w:u w:val="single"/>
                  </w:rPr>
                </w:pPr>
                <w:r>
                  <w:rPr>
                    <w:rFonts w:ascii="Arial" w:hAnsi="Arial" w:cs="Arial"/>
                    <w:u w:val="single"/>
                  </w:rPr>
                  <w:t xml:space="preserve"> </w:t>
                </w:r>
                <w:r w:rsidR="002968EC">
                  <w:rPr>
                    <w:rFonts w:ascii="Arial" w:hAnsi="Arial" w:cs="Arial"/>
                    <w:u w:val="single"/>
                  </w:rPr>
                  <w:t>(3</w:t>
                </w:r>
                <w:r w:rsidR="009750B9">
                  <w:rPr>
                    <w:rFonts w:ascii="Arial" w:hAnsi="Arial" w:cs="Arial"/>
                    <w:u w:val="single"/>
                  </w:rPr>
                  <w:t>1</w:t>
                </w:r>
                <w:r w:rsidR="002968EC">
                  <w:rPr>
                    <w:rFonts w:ascii="Arial" w:hAnsi="Arial" w:cs="Arial"/>
                    <w:u w:val="single"/>
                  </w:rPr>
                  <w:t>)</w:t>
                </w:r>
              </w:p>
            </w:tc>
            <w:tc>
              <w:tcPr>
                <w:tcW w:w="993" w:type="dxa"/>
              </w:tcPr>
              <w:p w14:paraId="02D8836E" w14:textId="6A9611C9" w:rsidR="008F4B79" w:rsidRPr="007A65C7" w:rsidRDefault="002968EC" w:rsidP="00097CA9">
                <w:pPr>
                  <w:jc w:val="center"/>
                  <w:rPr>
                    <w:rFonts w:ascii="Arial" w:hAnsi="Arial" w:cs="Arial"/>
                    <w:u w:val="single"/>
                  </w:rPr>
                </w:pPr>
                <w:r>
                  <w:rPr>
                    <w:rFonts w:ascii="Arial" w:hAnsi="Arial" w:cs="Arial"/>
                    <w:u w:val="single"/>
                  </w:rPr>
                  <w:t>(35)</w:t>
                </w:r>
                <w:r w:rsidR="008F4B79">
                  <w:rPr>
                    <w:rFonts w:ascii="Arial" w:hAnsi="Arial" w:cs="Arial"/>
                    <w:u w:val="single"/>
                  </w:rPr>
                  <w:t xml:space="preserve"> </w:t>
                </w:r>
              </w:p>
            </w:tc>
            <w:tc>
              <w:tcPr>
                <w:tcW w:w="992" w:type="dxa"/>
              </w:tcPr>
              <w:p w14:paraId="4736CB88" w14:textId="4962C425" w:rsidR="008F4B79" w:rsidRPr="007A65C7" w:rsidRDefault="008F4B79" w:rsidP="00097CA9">
                <w:pPr>
                  <w:jc w:val="center"/>
                  <w:rPr>
                    <w:rFonts w:ascii="Arial" w:hAnsi="Arial" w:cs="Arial"/>
                    <w:u w:val="single"/>
                  </w:rPr>
                </w:pPr>
                <w:r>
                  <w:rPr>
                    <w:rFonts w:ascii="Arial" w:hAnsi="Arial" w:cs="Arial"/>
                    <w:u w:val="single"/>
                  </w:rPr>
                  <w:t xml:space="preserve"> </w:t>
                </w:r>
                <w:r w:rsidR="002968EC">
                  <w:rPr>
                    <w:rFonts w:ascii="Arial" w:hAnsi="Arial" w:cs="Arial"/>
                    <w:u w:val="single"/>
                  </w:rPr>
                  <w:t>(</w:t>
                </w:r>
                <w:r w:rsidR="00582570">
                  <w:rPr>
                    <w:rFonts w:ascii="Arial" w:hAnsi="Arial" w:cs="Arial"/>
                    <w:u w:val="single"/>
                  </w:rPr>
                  <w:t>8</w:t>
                </w:r>
                <w:r w:rsidR="002968EC">
                  <w:rPr>
                    <w:rFonts w:ascii="Arial" w:hAnsi="Arial" w:cs="Arial"/>
                    <w:u w:val="single"/>
                  </w:rPr>
                  <w:t>)</w:t>
                </w:r>
              </w:p>
            </w:tc>
            <w:tc>
              <w:tcPr>
                <w:tcW w:w="992" w:type="dxa"/>
              </w:tcPr>
              <w:p w14:paraId="1C2AFF92" w14:textId="7B632201" w:rsidR="008F4B79" w:rsidRPr="007A65C7" w:rsidRDefault="002968EC" w:rsidP="00097CA9">
                <w:pPr>
                  <w:jc w:val="center"/>
                  <w:rPr>
                    <w:rFonts w:ascii="Arial" w:hAnsi="Arial" w:cs="Arial"/>
                    <w:u w:val="single"/>
                  </w:rPr>
                </w:pPr>
                <w:r>
                  <w:rPr>
                    <w:rFonts w:ascii="Arial" w:hAnsi="Arial" w:cs="Arial"/>
                    <w:u w:val="single"/>
                  </w:rPr>
                  <w:t>(</w:t>
                </w:r>
                <w:r w:rsidR="00066818">
                  <w:rPr>
                    <w:rFonts w:ascii="Arial" w:hAnsi="Arial" w:cs="Arial"/>
                    <w:u w:val="single"/>
                  </w:rPr>
                  <w:t>2</w:t>
                </w:r>
                <w:r>
                  <w:rPr>
                    <w:rFonts w:ascii="Arial" w:hAnsi="Arial" w:cs="Arial"/>
                    <w:u w:val="single"/>
                  </w:rPr>
                  <w:t>)</w:t>
                </w:r>
                <w:r w:rsidR="008F4B79">
                  <w:rPr>
                    <w:rFonts w:ascii="Arial" w:hAnsi="Arial" w:cs="Arial"/>
                    <w:u w:val="single"/>
                  </w:rPr>
                  <w:t xml:space="preserve"> </w:t>
                </w:r>
              </w:p>
            </w:tc>
            <w:tc>
              <w:tcPr>
                <w:tcW w:w="992" w:type="dxa"/>
              </w:tcPr>
              <w:p w14:paraId="389B4261" w14:textId="71740B4B" w:rsidR="008F4B79" w:rsidRPr="007A65C7" w:rsidRDefault="002968EC" w:rsidP="00097CA9">
                <w:pPr>
                  <w:jc w:val="center"/>
                  <w:rPr>
                    <w:rFonts w:ascii="Arial" w:hAnsi="Arial" w:cs="Arial"/>
                    <w:u w:val="single"/>
                  </w:rPr>
                </w:pPr>
                <w:r>
                  <w:rPr>
                    <w:rFonts w:ascii="Arial" w:hAnsi="Arial" w:cs="Arial"/>
                    <w:u w:val="single"/>
                  </w:rPr>
                  <w:t>(</w:t>
                </w:r>
                <w:r w:rsidR="00066818">
                  <w:rPr>
                    <w:rFonts w:ascii="Arial" w:hAnsi="Arial" w:cs="Arial"/>
                    <w:u w:val="single"/>
                  </w:rPr>
                  <w:t>15</w:t>
                </w:r>
                <w:r>
                  <w:rPr>
                    <w:rFonts w:ascii="Arial" w:hAnsi="Arial" w:cs="Arial"/>
                    <w:u w:val="single"/>
                  </w:rPr>
                  <w:t>)</w:t>
                </w:r>
                <w:r w:rsidR="008F4B79">
                  <w:rPr>
                    <w:rFonts w:ascii="Arial" w:hAnsi="Arial" w:cs="Arial"/>
                    <w:u w:val="single"/>
                  </w:rPr>
                  <w:t xml:space="preserve"> </w:t>
                </w:r>
              </w:p>
            </w:tc>
          </w:tr>
          <w:tr w:rsidR="008F4B79" w14:paraId="3409A111" w14:textId="77777777" w:rsidTr="00097CA9">
            <w:trPr>
              <w:trHeight w:val="426"/>
            </w:trPr>
            <w:tc>
              <w:tcPr>
                <w:tcW w:w="3260" w:type="dxa"/>
              </w:tcPr>
              <w:p w14:paraId="550D91A9" w14:textId="77777777" w:rsidR="008F4B79" w:rsidRDefault="008F4B79" w:rsidP="00097CA9">
                <w:pPr>
                  <w:rPr>
                    <w:rFonts w:ascii="Arial" w:hAnsi="Arial" w:cs="Arial"/>
                  </w:rPr>
                </w:pPr>
                <w:r>
                  <w:rPr>
                    <w:rFonts w:ascii="Arial" w:hAnsi="Arial" w:cs="Arial"/>
                  </w:rPr>
                  <w:t>Closing balance</w:t>
                </w:r>
              </w:p>
            </w:tc>
            <w:tc>
              <w:tcPr>
                <w:tcW w:w="992" w:type="dxa"/>
              </w:tcPr>
              <w:p w14:paraId="0499DE95" w14:textId="5FBFC6A2" w:rsidR="008F4B79" w:rsidRPr="007A65C7" w:rsidRDefault="00773D43" w:rsidP="00097CA9">
                <w:pPr>
                  <w:jc w:val="center"/>
                  <w:rPr>
                    <w:rFonts w:ascii="Arial" w:hAnsi="Arial" w:cs="Arial"/>
                  </w:rPr>
                </w:pPr>
                <w:r>
                  <w:rPr>
                    <w:rFonts w:ascii="Arial" w:hAnsi="Arial" w:cs="Arial"/>
                  </w:rPr>
                  <w:t>(3</w:t>
                </w:r>
                <w:r w:rsidR="003E35E8">
                  <w:rPr>
                    <w:rFonts w:ascii="Arial" w:hAnsi="Arial" w:cs="Arial"/>
                  </w:rPr>
                  <w:t>1</w:t>
                </w:r>
                <w:r>
                  <w:rPr>
                    <w:rFonts w:ascii="Arial" w:hAnsi="Arial" w:cs="Arial"/>
                  </w:rPr>
                  <w:t>)</w:t>
                </w:r>
                <w:r w:rsidR="008F4B79">
                  <w:rPr>
                    <w:rFonts w:ascii="Arial" w:hAnsi="Arial" w:cs="Arial"/>
                  </w:rPr>
                  <w:t xml:space="preserve"> </w:t>
                </w:r>
              </w:p>
            </w:tc>
            <w:tc>
              <w:tcPr>
                <w:tcW w:w="992" w:type="dxa"/>
              </w:tcPr>
              <w:p w14:paraId="1DFCB9F8" w14:textId="3E0BB906" w:rsidR="008F4B79" w:rsidRPr="007A65C7" w:rsidRDefault="002968EC" w:rsidP="00097CA9">
                <w:pPr>
                  <w:jc w:val="center"/>
                  <w:rPr>
                    <w:rFonts w:ascii="Arial" w:hAnsi="Arial" w:cs="Arial"/>
                  </w:rPr>
                </w:pPr>
                <w:r>
                  <w:rPr>
                    <w:rFonts w:ascii="Arial" w:hAnsi="Arial" w:cs="Arial"/>
                  </w:rPr>
                  <w:t>(35)</w:t>
                </w:r>
                <w:r w:rsidR="008F4B79">
                  <w:rPr>
                    <w:rFonts w:ascii="Arial" w:hAnsi="Arial" w:cs="Arial"/>
                  </w:rPr>
                  <w:t xml:space="preserve"> </w:t>
                </w:r>
              </w:p>
            </w:tc>
            <w:tc>
              <w:tcPr>
                <w:tcW w:w="993" w:type="dxa"/>
              </w:tcPr>
              <w:p w14:paraId="03772FA5" w14:textId="42586400" w:rsidR="008F4B79" w:rsidRPr="007A65C7" w:rsidRDefault="008F4B79" w:rsidP="00097CA9">
                <w:pPr>
                  <w:jc w:val="center"/>
                  <w:rPr>
                    <w:rFonts w:ascii="Arial" w:hAnsi="Arial" w:cs="Arial"/>
                  </w:rPr>
                </w:pPr>
                <w:r>
                  <w:rPr>
                    <w:rFonts w:ascii="Arial" w:hAnsi="Arial" w:cs="Arial"/>
                  </w:rPr>
                  <w:t xml:space="preserve"> </w:t>
                </w:r>
                <w:r w:rsidR="002968EC">
                  <w:rPr>
                    <w:rFonts w:ascii="Arial" w:hAnsi="Arial" w:cs="Arial"/>
                  </w:rPr>
                  <w:t>(</w:t>
                </w:r>
                <w:r w:rsidR="00582570">
                  <w:rPr>
                    <w:rFonts w:ascii="Arial" w:hAnsi="Arial" w:cs="Arial"/>
                  </w:rPr>
                  <w:t>8</w:t>
                </w:r>
                <w:r w:rsidR="002968EC">
                  <w:rPr>
                    <w:rFonts w:ascii="Arial" w:hAnsi="Arial" w:cs="Arial"/>
                  </w:rPr>
                  <w:t>)</w:t>
                </w:r>
              </w:p>
            </w:tc>
            <w:tc>
              <w:tcPr>
                <w:tcW w:w="992" w:type="dxa"/>
              </w:tcPr>
              <w:p w14:paraId="0E6B8A89" w14:textId="3B13C415" w:rsidR="008F4B79" w:rsidRPr="007A65C7" w:rsidRDefault="002968EC" w:rsidP="00097CA9">
                <w:pPr>
                  <w:jc w:val="center"/>
                  <w:rPr>
                    <w:rFonts w:ascii="Arial" w:hAnsi="Arial" w:cs="Arial"/>
                  </w:rPr>
                </w:pPr>
                <w:r>
                  <w:rPr>
                    <w:rFonts w:ascii="Arial" w:hAnsi="Arial" w:cs="Arial"/>
                  </w:rPr>
                  <w:t>(</w:t>
                </w:r>
                <w:r w:rsidR="004F151A">
                  <w:rPr>
                    <w:rFonts w:ascii="Arial" w:hAnsi="Arial" w:cs="Arial"/>
                  </w:rPr>
                  <w:t>2</w:t>
                </w:r>
                <w:r>
                  <w:rPr>
                    <w:rFonts w:ascii="Arial" w:hAnsi="Arial" w:cs="Arial"/>
                  </w:rPr>
                  <w:t>)</w:t>
                </w:r>
                <w:r w:rsidR="008F4B79">
                  <w:rPr>
                    <w:rFonts w:ascii="Arial" w:hAnsi="Arial" w:cs="Arial"/>
                  </w:rPr>
                  <w:t xml:space="preserve"> </w:t>
                </w:r>
              </w:p>
            </w:tc>
            <w:tc>
              <w:tcPr>
                <w:tcW w:w="992" w:type="dxa"/>
              </w:tcPr>
              <w:p w14:paraId="4EAE6915" w14:textId="52CD5D37" w:rsidR="008F4B79" w:rsidRPr="007A65C7" w:rsidRDefault="002968EC" w:rsidP="00097CA9">
                <w:pPr>
                  <w:jc w:val="center"/>
                  <w:rPr>
                    <w:rFonts w:ascii="Arial" w:hAnsi="Arial" w:cs="Arial"/>
                  </w:rPr>
                </w:pPr>
                <w:r>
                  <w:rPr>
                    <w:rFonts w:ascii="Arial" w:hAnsi="Arial" w:cs="Arial"/>
                  </w:rPr>
                  <w:t>(</w:t>
                </w:r>
                <w:r w:rsidR="00066818">
                  <w:rPr>
                    <w:rFonts w:ascii="Arial" w:hAnsi="Arial" w:cs="Arial"/>
                  </w:rPr>
                  <w:t>1</w:t>
                </w:r>
                <w:r>
                  <w:rPr>
                    <w:rFonts w:ascii="Arial" w:hAnsi="Arial" w:cs="Arial"/>
                  </w:rPr>
                  <w:t>5)</w:t>
                </w:r>
                <w:r w:rsidR="008F4B79">
                  <w:rPr>
                    <w:rFonts w:ascii="Arial" w:hAnsi="Arial" w:cs="Arial"/>
                  </w:rPr>
                  <w:t xml:space="preserve"> </w:t>
                </w:r>
              </w:p>
            </w:tc>
            <w:tc>
              <w:tcPr>
                <w:tcW w:w="992" w:type="dxa"/>
              </w:tcPr>
              <w:p w14:paraId="14023721" w14:textId="4A7B5A1C" w:rsidR="008F4B79" w:rsidRPr="007A65C7" w:rsidRDefault="00D23FA1" w:rsidP="00097CA9">
                <w:pPr>
                  <w:jc w:val="center"/>
                  <w:rPr>
                    <w:rFonts w:ascii="Arial" w:hAnsi="Arial" w:cs="Arial"/>
                  </w:rPr>
                </w:pPr>
                <w:r>
                  <w:rPr>
                    <w:rFonts w:ascii="Arial" w:hAnsi="Arial" w:cs="Arial"/>
                  </w:rPr>
                  <w:t>2</w:t>
                </w:r>
                <w:r w:rsidR="002968EC">
                  <w:rPr>
                    <w:rFonts w:ascii="Arial" w:hAnsi="Arial" w:cs="Arial"/>
                  </w:rPr>
                  <w:t>3</w:t>
                </w:r>
                <w:r w:rsidR="008F4B79">
                  <w:rPr>
                    <w:rFonts w:ascii="Arial" w:hAnsi="Arial" w:cs="Arial"/>
                  </w:rPr>
                  <w:t xml:space="preserve"> </w:t>
                </w:r>
              </w:p>
            </w:tc>
          </w:tr>
        </w:tbl>
        <w:p w14:paraId="7074C5DD" w14:textId="77777777" w:rsidR="008F4B79" w:rsidRDefault="008F4B79" w:rsidP="008F4B79">
          <w:pPr>
            <w:spacing w:line="240" w:lineRule="auto"/>
            <w:ind w:left="360" w:firstLine="360"/>
            <w:rPr>
              <w:rFonts w:ascii="Arial" w:hAnsi="Arial" w:cs="Arial"/>
            </w:rPr>
          </w:pPr>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3" w:name="OLE_LINK1"/>
          <w:bookmarkStart w:id="4" w:name="OLE_LINK2"/>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3"/>
        <w:bookmarkEnd w:id="4"/>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8"/>
            <w:gridCol w:w="3190"/>
            <w:gridCol w:w="2937"/>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t xml:space="preserve">Sales </w:t>
                </w:r>
              </w:p>
            </w:tc>
            <w:tc>
              <w:tcPr>
                <w:tcW w:w="1134" w:type="dxa"/>
              </w:tcPr>
              <w:p w14:paraId="0529888F" w14:textId="13BF7FA0" w:rsidR="008F4B79" w:rsidRDefault="000C115B" w:rsidP="00097CA9">
                <w:pPr>
                  <w:jc w:val="right"/>
                  <w:rPr>
                    <w:rFonts w:ascii="Arial" w:hAnsi="Arial" w:cs="Arial"/>
                  </w:rPr>
                </w:pPr>
                <w:r>
                  <w:rPr>
                    <w:rFonts w:ascii="Arial" w:hAnsi="Arial" w:cs="Arial"/>
                  </w:rPr>
                  <w:t>230+220</w:t>
                </w:r>
                <w:r w:rsidR="003A04D9">
                  <w:rPr>
                    <w:rFonts w:ascii="Arial" w:hAnsi="Arial" w:cs="Arial"/>
                  </w:rPr>
                  <w:t>+250+240+220+210</w:t>
                </w:r>
                <w:r w:rsidR="00F15BE7">
                  <w:rPr>
                    <w:rFonts w:ascii="Arial" w:hAnsi="Arial" w:cs="Arial"/>
                  </w:rPr>
                  <w:t>=</w:t>
                </w:r>
                <w:r w:rsidR="008F4B79">
                  <w:rPr>
                    <w:rFonts w:ascii="Arial" w:hAnsi="Arial" w:cs="Arial"/>
                  </w:rPr>
                  <w:t xml:space="preserve"> </w:t>
                </w:r>
              </w:p>
            </w:tc>
            <w:tc>
              <w:tcPr>
                <w:tcW w:w="3544" w:type="dxa"/>
              </w:tcPr>
              <w:p w14:paraId="25687ABE" w14:textId="13E2502B" w:rsidR="008F4B79" w:rsidRDefault="003A04D9" w:rsidP="00097CA9">
                <w:pPr>
                  <w:rPr>
                    <w:rFonts w:ascii="Arial" w:hAnsi="Arial" w:cs="Arial"/>
                  </w:rPr>
                </w:pPr>
                <w:r>
                  <w:rPr>
                    <w:rFonts w:ascii="Arial" w:hAnsi="Arial" w:cs="Arial"/>
                  </w:rPr>
                  <w:t>1370</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0717CAA2" w:rsidR="008F4B79" w:rsidRPr="00F71675" w:rsidRDefault="008F4B79" w:rsidP="00097CA9">
                <w:pPr>
                  <w:jc w:val="right"/>
                  <w:rPr>
                    <w:rFonts w:ascii="Arial" w:hAnsi="Arial" w:cs="Arial"/>
                    <w:u w:val="single"/>
                  </w:rPr>
                </w:pPr>
                <w:r w:rsidRPr="00F71675">
                  <w:rPr>
                    <w:rFonts w:ascii="Arial" w:hAnsi="Arial" w:cs="Arial"/>
                    <w:u w:val="single"/>
                  </w:rPr>
                  <w:t>(</w:t>
                </w:r>
                <w:r w:rsidR="003A04D9">
                  <w:rPr>
                    <w:rFonts w:ascii="Arial" w:hAnsi="Arial" w:cs="Arial"/>
                    <w:u w:val="single"/>
                  </w:rPr>
                  <w:t>959</w:t>
                </w:r>
                <w:r w:rsidRPr="00F71675">
                  <w:rPr>
                    <w:rFonts w:ascii="Arial" w:hAnsi="Arial" w:cs="Arial"/>
                    <w:u w:val="single"/>
                  </w:rPr>
                  <w:t>)</w:t>
                </w:r>
              </w:p>
            </w:tc>
            <w:tc>
              <w:tcPr>
                <w:tcW w:w="3544" w:type="dxa"/>
              </w:tcPr>
              <w:p w14:paraId="42F2775D" w14:textId="62DAD966" w:rsidR="008F4B79" w:rsidRPr="00010117" w:rsidRDefault="003A04D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1370 x 70%</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3A797EEA" w:rsidR="008F4B79" w:rsidRDefault="003A04D9" w:rsidP="00097CA9">
                <w:pPr>
                  <w:jc w:val="right"/>
                  <w:rPr>
                    <w:rFonts w:ascii="Arial" w:hAnsi="Arial" w:cs="Arial"/>
                  </w:rPr>
                </w:pPr>
                <w:r>
                  <w:rPr>
                    <w:rFonts w:ascii="Arial" w:hAnsi="Arial" w:cs="Arial"/>
                  </w:rPr>
                  <w:t>411</w:t>
                </w:r>
                <w:r w:rsidR="008F4B79">
                  <w:rPr>
                    <w:rFonts w:ascii="Arial" w:hAnsi="Arial" w:cs="Arial"/>
                  </w:rPr>
                  <w:t xml:space="preserve"> </w:t>
                </w:r>
              </w:p>
            </w:tc>
            <w:tc>
              <w:tcPr>
                <w:tcW w:w="3544" w:type="dxa"/>
              </w:tcPr>
              <w:p w14:paraId="7B851978" w14:textId="05724C87" w:rsidR="008F4B79" w:rsidRDefault="008F4B79" w:rsidP="00097CA9">
                <w:pPr>
                  <w:rPr>
                    <w:rFonts w:ascii="Arial" w:hAnsi="Arial" w:cs="Arial"/>
                  </w:rPr>
                </w:pPr>
                <w:r>
                  <w:rPr>
                    <w:rFonts w:ascii="Arial" w:hAnsi="Arial" w:cs="Arial"/>
                  </w:rPr>
                  <w:t xml:space="preserve">   </w:t>
                </w:r>
                <w:r w:rsidR="002A0098">
                  <w:rPr>
                    <w:rFonts w:ascii="Arial" w:hAnsi="Arial" w:cs="Arial"/>
                  </w:rPr>
                  <w:t xml:space="preserve">1370-959 or </w:t>
                </w:r>
                <w:r w:rsidR="00591872">
                  <w:rPr>
                    <w:rFonts w:ascii="Arial" w:hAnsi="Arial" w:cs="Arial"/>
                  </w:rPr>
                  <w:t>1370</w:t>
                </w:r>
                <w:r w:rsidR="002A0098">
                  <w:rPr>
                    <w:rFonts w:ascii="Arial" w:hAnsi="Arial" w:cs="Arial"/>
                  </w:rPr>
                  <w:t xml:space="preserve"> x 30%</w:t>
                </w:r>
                <w:r>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t>Selling expenses</w:t>
                </w:r>
              </w:p>
            </w:tc>
            <w:tc>
              <w:tcPr>
                <w:tcW w:w="1134" w:type="dxa"/>
              </w:tcPr>
              <w:p w14:paraId="09FD6C2A" w14:textId="1CF810A2" w:rsidR="008F4B79" w:rsidRDefault="008F4B79" w:rsidP="00097CA9">
                <w:pPr>
                  <w:jc w:val="right"/>
                  <w:rPr>
                    <w:rFonts w:ascii="Arial" w:hAnsi="Arial" w:cs="Arial"/>
                  </w:rPr>
                </w:pPr>
                <w:r>
                  <w:rPr>
                    <w:rFonts w:ascii="Arial" w:hAnsi="Arial" w:cs="Arial"/>
                  </w:rPr>
                  <w:t>(</w:t>
                </w:r>
                <w:r w:rsidR="003A04D9">
                  <w:rPr>
                    <w:rFonts w:ascii="Arial" w:hAnsi="Arial" w:cs="Arial"/>
                  </w:rPr>
                  <w:t>44</w:t>
                </w:r>
                <w:r>
                  <w:rPr>
                    <w:rFonts w:ascii="Arial" w:hAnsi="Arial" w:cs="Arial"/>
                  </w:rPr>
                  <w:t>)</w:t>
                </w:r>
              </w:p>
            </w:tc>
            <w:tc>
              <w:tcPr>
                <w:tcW w:w="3544" w:type="dxa"/>
              </w:tcPr>
              <w:p w14:paraId="5A2B35F0" w14:textId="067AF734" w:rsidR="008F4B79" w:rsidRDefault="008F4B79" w:rsidP="00097CA9">
                <w:pPr>
                  <w:rPr>
                    <w:rFonts w:ascii="Arial" w:hAnsi="Arial" w:cs="Arial"/>
                  </w:rPr>
                </w:pPr>
                <w:r>
                  <w:rPr>
                    <w:rFonts w:ascii="Arial" w:hAnsi="Arial" w:cs="Arial"/>
                  </w:rPr>
                  <w:t xml:space="preserve"> </w:t>
                </w:r>
                <w:r w:rsidR="003A04D9">
                  <w:rPr>
                    <w:rFonts w:ascii="Arial" w:hAnsi="Arial" w:cs="Arial"/>
                  </w:rPr>
                  <w:t>8+7+6+8+9+6</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t>Admin Expenses</w:t>
                </w:r>
              </w:p>
            </w:tc>
            <w:tc>
              <w:tcPr>
                <w:tcW w:w="1134" w:type="dxa"/>
              </w:tcPr>
              <w:p w14:paraId="44C8344C" w14:textId="2D17BA00" w:rsidR="008F4B79" w:rsidRDefault="008F4B79" w:rsidP="00097CA9">
                <w:pPr>
                  <w:jc w:val="right"/>
                  <w:rPr>
                    <w:rFonts w:ascii="Arial" w:hAnsi="Arial" w:cs="Arial"/>
                  </w:rPr>
                </w:pPr>
                <w:r>
                  <w:rPr>
                    <w:rFonts w:ascii="Arial" w:hAnsi="Arial" w:cs="Arial"/>
                  </w:rPr>
                  <w:t>(</w:t>
                </w:r>
                <w:r w:rsidR="003A04D9">
                  <w:rPr>
                    <w:rFonts w:ascii="Arial" w:hAnsi="Arial" w:cs="Arial"/>
                  </w:rPr>
                  <w:t>144</w:t>
                </w:r>
                <w:r>
                  <w:rPr>
                    <w:rFonts w:ascii="Arial" w:hAnsi="Arial" w:cs="Arial"/>
                  </w:rPr>
                  <w:t>)</w:t>
                </w:r>
              </w:p>
            </w:tc>
            <w:tc>
              <w:tcPr>
                <w:tcW w:w="3544" w:type="dxa"/>
              </w:tcPr>
              <w:p w14:paraId="4F8B0E91" w14:textId="4DBA9744" w:rsidR="008F4B79" w:rsidRDefault="008F4B79" w:rsidP="00097CA9">
                <w:pPr>
                  <w:rPr>
                    <w:rFonts w:ascii="Arial" w:hAnsi="Arial" w:cs="Arial"/>
                  </w:rPr>
                </w:pPr>
                <w:r>
                  <w:rPr>
                    <w:rFonts w:ascii="Arial" w:hAnsi="Arial" w:cs="Arial"/>
                  </w:rPr>
                  <w:t xml:space="preserve"> </w:t>
                </w:r>
                <w:r w:rsidR="003A04D9">
                  <w:rPr>
                    <w:rFonts w:ascii="Arial" w:hAnsi="Arial" w:cs="Arial"/>
                  </w:rPr>
                  <w:t>26+25+23+24+24+22</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lastRenderedPageBreak/>
                  <w:t>Credit card charges</w:t>
                </w:r>
              </w:p>
            </w:tc>
            <w:tc>
              <w:tcPr>
                <w:tcW w:w="1134" w:type="dxa"/>
              </w:tcPr>
              <w:p w14:paraId="4CB0C7C0" w14:textId="10B10467"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3A04D9">
                  <w:rPr>
                    <w:rFonts w:ascii="Arial" w:hAnsi="Arial" w:cs="Arial"/>
                    <w:u w:val="single"/>
                  </w:rPr>
                  <w:t>12</w:t>
                </w:r>
                <w:r w:rsidRPr="00F71675">
                  <w:rPr>
                    <w:rFonts w:ascii="Arial" w:hAnsi="Arial" w:cs="Arial"/>
                    <w:u w:val="single"/>
                  </w:rPr>
                  <w:t>)</w:t>
                </w:r>
              </w:p>
            </w:tc>
            <w:tc>
              <w:tcPr>
                <w:tcW w:w="3544" w:type="dxa"/>
              </w:tcPr>
              <w:p w14:paraId="34EBE199" w14:textId="6B813EC9" w:rsidR="008F4B79" w:rsidRPr="007A65C7" w:rsidRDefault="003A04D9" w:rsidP="00097CA9">
                <w:pPr>
                  <w:rPr>
                    <w:rFonts w:ascii="Arial" w:hAnsi="Arial" w:cs="Arial"/>
                  </w:rPr>
                </w:pPr>
                <w:r>
                  <w:rPr>
                    <w:rFonts w:ascii="Arial" w:hAnsi="Arial" w:cs="Arial"/>
                  </w:rPr>
                  <w:t>1370 x 30% x 3%</w:t>
                </w:r>
                <w:r w:rsidR="008F4B79">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t>Operating profit</w:t>
                </w:r>
              </w:p>
            </w:tc>
            <w:tc>
              <w:tcPr>
                <w:tcW w:w="1134" w:type="dxa"/>
              </w:tcPr>
              <w:p w14:paraId="10BE3038" w14:textId="4F0F77B2" w:rsidR="008F4B79" w:rsidRDefault="002A0098" w:rsidP="00097CA9">
                <w:pPr>
                  <w:jc w:val="right"/>
                  <w:rPr>
                    <w:rFonts w:ascii="Arial" w:hAnsi="Arial" w:cs="Arial"/>
                  </w:rPr>
                </w:pPr>
                <w:r>
                  <w:rPr>
                    <w:rFonts w:ascii="Arial" w:hAnsi="Arial" w:cs="Arial"/>
                  </w:rPr>
                  <w:t>211</w:t>
                </w:r>
                <w:r w:rsidR="008F4B79">
                  <w:rPr>
                    <w:rFonts w:ascii="Arial" w:hAnsi="Arial" w:cs="Arial"/>
                  </w:rPr>
                  <w:t xml:space="preserve"> </w:t>
                </w:r>
              </w:p>
            </w:tc>
            <w:tc>
              <w:tcPr>
                <w:tcW w:w="3544" w:type="dxa"/>
              </w:tcPr>
              <w:p w14:paraId="6B4CA0B2" w14:textId="77777777" w:rsidR="008F4B79" w:rsidRDefault="008F4B79" w:rsidP="00097CA9">
                <w:pPr>
                  <w:rPr>
                    <w:rFonts w:ascii="Arial" w:hAnsi="Arial" w:cs="Arial"/>
                  </w:rPr>
                </w:pP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1FE5DD1A"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sidR="002A0098">
                  <w:rPr>
                    <w:rFonts w:ascii="Arial" w:hAnsi="Arial" w:cs="Arial"/>
                    <w:u w:val="single"/>
                  </w:rPr>
                  <w:t>6</w:t>
                </w:r>
                <w:r w:rsidRPr="00F71675">
                  <w:rPr>
                    <w:rFonts w:ascii="Arial" w:hAnsi="Arial" w:cs="Arial"/>
                    <w:u w:val="single"/>
                  </w:rPr>
                  <w:t>)</w:t>
                </w:r>
              </w:p>
            </w:tc>
            <w:tc>
              <w:tcPr>
                <w:tcW w:w="3544" w:type="dxa"/>
              </w:tcPr>
              <w:p w14:paraId="0CDBB14E" w14:textId="2A4B9C93" w:rsidR="008F4B79" w:rsidRPr="007A65C7" w:rsidRDefault="008F4B79" w:rsidP="00097CA9">
                <w:pPr>
                  <w:rPr>
                    <w:rFonts w:ascii="Arial" w:hAnsi="Arial" w:cs="Arial"/>
                  </w:rPr>
                </w:pPr>
                <w:r>
                  <w:rPr>
                    <w:rFonts w:ascii="Arial" w:hAnsi="Arial" w:cs="Arial"/>
                  </w:rPr>
                  <w:t xml:space="preserve"> </w:t>
                </w:r>
                <w:r w:rsidR="002A0098">
                  <w:rPr>
                    <w:rFonts w:ascii="Arial" w:hAnsi="Arial" w:cs="Arial"/>
                  </w:rPr>
                  <w:t>6 x 5 x 20%</w:t>
                </w:r>
                <w:r>
                  <w:rPr>
                    <w:rFonts w:ascii="Arial" w:hAnsi="Arial" w:cs="Arial"/>
                  </w:rPr>
                  <w:t xml:space="preserve">                                        </w:t>
                </w:r>
              </w:p>
            </w:tc>
          </w:tr>
          <w:tr w:rsidR="000C115B" w14:paraId="02D3F19D" w14:textId="77777777" w:rsidTr="00097CA9">
            <w:trPr>
              <w:trHeight w:val="409"/>
            </w:trPr>
            <w:tc>
              <w:tcPr>
                <w:tcW w:w="2409" w:type="dxa"/>
              </w:tcPr>
              <w:p w14:paraId="76A4C0AB" w14:textId="17E8D3F4" w:rsidR="000C115B" w:rsidRDefault="000C115B" w:rsidP="00097CA9">
                <w:pPr>
                  <w:rPr>
                    <w:rFonts w:ascii="Arial" w:hAnsi="Arial" w:cs="Arial"/>
                  </w:rPr>
                </w:pPr>
              </w:p>
            </w:tc>
            <w:tc>
              <w:tcPr>
                <w:tcW w:w="1134" w:type="dxa"/>
              </w:tcPr>
              <w:p w14:paraId="29804E1E" w14:textId="77777777" w:rsidR="000C115B" w:rsidRDefault="000C115B" w:rsidP="00097CA9">
                <w:pPr>
                  <w:jc w:val="right"/>
                  <w:rPr>
                    <w:rFonts w:ascii="Arial" w:hAnsi="Arial" w:cs="Arial"/>
                    <w:u w:val="single"/>
                  </w:rPr>
                </w:pPr>
              </w:p>
            </w:tc>
            <w:tc>
              <w:tcPr>
                <w:tcW w:w="3544" w:type="dxa"/>
              </w:tcPr>
              <w:p w14:paraId="3A41A140" w14:textId="77777777" w:rsidR="000C115B" w:rsidRDefault="000C115B" w:rsidP="00097CA9">
                <w:pPr>
                  <w:rPr>
                    <w:rFonts w:ascii="Arial" w:hAnsi="Arial" w:cs="Arial"/>
                  </w:rPr>
                </w:pPr>
              </w:p>
            </w:tc>
          </w:tr>
          <w:tr w:rsidR="008F4B79" w14:paraId="0AEB7DED" w14:textId="77777777" w:rsidTr="00097CA9">
            <w:trPr>
              <w:trHeight w:val="387"/>
            </w:trPr>
            <w:tc>
              <w:tcPr>
                <w:tcW w:w="2409" w:type="dxa"/>
              </w:tcPr>
              <w:p w14:paraId="6C381DF9" w14:textId="77777777" w:rsidR="008F4B79" w:rsidRDefault="008F4B79" w:rsidP="00097CA9">
                <w:pPr>
                  <w:rPr>
                    <w:rFonts w:ascii="Arial" w:hAnsi="Arial" w:cs="Arial"/>
                  </w:rPr>
                </w:pPr>
                <w:r>
                  <w:rPr>
                    <w:rFonts w:ascii="Arial" w:hAnsi="Arial" w:cs="Arial"/>
                  </w:rPr>
                  <w:t>Profit for the period</w:t>
                </w:r>
              </w:p>
            </w:tc>
            <w:tc>
              <w:tcPr>
                <w:tcW w:w="1134" w:type="dxa"/>
              </w:tcPr>
              <w:p w14:paraId="3FE2BF49" w14:textId="7EAC89A6" w:rsidR="008F4B79" w:rsidRPr="00F71675" w:rsidRDefault="002A0098" w:rsidP="00097CA9">
                <w:pPr>
                  <w:jc w:val="right"/>
                  <w:rPr>
                    <w:rFonts w:ascii="Arial" w:hAnsi="Arial" w:cs="Arial"/>
                    <w:u w:val="single"/>
                  </w:rPr>
                </w:pPr>
                <w:r>
                  <w:rPr>
                    <w:rFonts w:ascii="Arial" w:hAnsi="Arial" w:cs="Arial"/>
                    <w:u w:val="single"/>
                  </w:rPr>
                  <w:t>205</w:t>
                </w:r>
                <w:r w:rsidR="008F4B79">
                  <w:rPr>
                    <w:rFonts w:ascii="Arial" w:hAnsi="Arial" w:cs="Arial"/>
                    <w:u w:val="single"/>
                  </w:rPr>
                  <w:t xml:space="preserve"> </w:t>
                </w:r>
              </w:p>
            </w:tc>
            <w:tc>
              <w:tcPr>
                <w:tcW w:w="3544" w:type="dxa"/>
              </w:tcPr>
              <w:p w14:paraId="78D127A9" w14:textId="3F7F653D" w:rsidR="00DF1112" w:rsidRDefault="00C329C2" w:rsidP="00097CA9">
                <w:pPr>
                  <w:rPr>
                    <w:rFonts w:ascii="Arial" w:hAnsi="Arial" w:cs="Arial"/>
                    <w:u w:val="single"/>
                  </w:rPr>
                </w:pPr>
                <w:r>
                  <w:rPr>
                    <w:rFonts w:ascii="Arial" w:hAnsi="Arial" w:cs="Arial"/>
                    <w:u w:val="single"/>
                  </w:rPr>
                  <w:t>211-5</w:t>
                </w:r>
              </w:p>
            </w:tc>
          </w:tr>
        </w:tbl>
        <w:p w14:paraId="5B8713CD" w14:textId="6AF9EE9F" w:rsidR="000C115B" w:rsidRDefault="000C115B" w:rsidP="00DF1112">
          <w:pPr>
            <w:rPr>
              <w:rFonts w:ascii="Arial" w:hAnsi="Arial" w:cs="Arial"/>
              <w:sz w:val="20"/>
              <w:szCs w:val="20"/>
            </w:rPr>
          </w:pPr>
        </w:p>
        <w:p w14:paraId="0385DE1A" w14:textId="77777777" w:rsidR="00DF1112" w:rsidRDefault="00DF1112" w:rsidP="00DF1112">
          <w:pPr>
            <w:rPr>
              <w:rFonts w:ascii="Arial" w:hAnsi="Arial" w:cs="Arial"/>
              <w:sz w:val="20"/>
              <w:szCs w:val="20"/>
            </w:rPr>
          </w:pPr>
        </w:p>
        <w:p w14:paraId="60F22264" w14:textId="77777777" w:rsidR="00FF22C8" w:rsidRDefault="00FF22C8" w:rsidP="00FF22C8">
          <w:pPr>
            <w:jc w:val="center"/>
            <w:rPr>
              <w:rFonts w:ascii="Arial" w:hAnsi="Arial" w:cs="Arial"/>
              <w:sz w:val="20"/>
              <w:szCs w:val="20"/>
            </w:rPr>
          </w:pPr>
        </w:p>
        <w:p w14:paraId="55671093" w14:textId="77777777" w:rsidR="00FF22C8" w:rsidRDefault="00FF22C8" w:rsidP="00FF22C8">
          <w:pPr>
            <w:jc w:val="center"/>
            <w:rPr>
              <w:rFonts w:ascii="Arial" w:hAnsi="Arial" w:cs="Arial"/>
              <w:sz w:val="20"/>
              <w:szCs w:val="20"/>
            </w:rPr>
          </w:pPr>
        </w:p>
        <w:p w14:paraId="16AA9CAE" w14:textId="441E31BE" w:rsidR="00FF22C8" w:rsidRPr="00FF22C8" w:rsidRDefault="00DF1112" w:rsidP="00FF22C8">
          <w:pPr>
            <w:jc w:val="center"/>
            <w:rPr>
              <w:rFonts w:cstheme="minorHAnsi"/>
            </w:rPr>
          </w:pPr>
          <w:r w:rsidRPr="00FF22C8">
            <w:rPr>
              <w:rFonts w:cstheme="minorHAnsi"/>
            </w:rPr>
            <w:t>Findings explained.</w:t>
          </w:r>
        </w:p>
        <w:p w14:paraId="48EA23E7" w14:textId="61125097" w:rsidR="001B648A" w:rsidRPr="00FF22C8" w:rsidRDefault="001B648A" w:rsidP="0089260D">
          <w:pPr>
            <w:rPr>
              <w:rFonts w:cstheme="minorHAnsi"/>
            </w:rPr>
          </w:pPr>
          <w:r w:rsidRPr="00FF22C8">
            <w:rPr>
              <w:rFonts w:cstheme="minorHAnsi"/>
            </w:rPr>
            <w:t>(a) The stock budget plan shows that the opening balance of the stock for the six-month period starting from June is £105,000. The company plans to purchase stock worth £285,000 during this period. Therefore, the total stock available for sale during this period is £371,000. The cost of stock sold during this period is estimated to be 70% of the total sales, resulting in a cost of £959,000. Thus, the closing stock balance for the six months is estimated to be £224,000.</w:t>
          </w:r>
        </w:p>
        <w:p w14:paraId="597043D0" w14:textId="77777777" w:rsidR="001B648A" w:rsidRPr="00FF22C8" w:rsidRDefault="001B648A" w:rsidP="001B648A">
          <w:pPr>
            <w:rPr>
              <w:rFonts w:cstheme="minorHAnsi"/>
            </w:rPr>
          </w:pPr>
        </w:p>
        <w:p w14:paraId="42E655CF" w14:textId="77777777" w:rsidR="001B648A" w:rsidRPr="00FF22C8" w:rsidRDefault="001B648A" w:rsidP="001B648A">
          <w:pPr>
            <w:rPr>
              <w:rFonts w:cstheme="minorHAnsi"/>
            </w:rPr>
          </w:pPr>
          <w:r w:rsidRPr="00FF22C8">
            <w:rPr>
              <w:rFonts w:cstheme="minorHAnsi"/>
            </w:rPr>
            <w:t>(b) The cash budget plan for the period to 30 November shows that the company expects to receive cash receipts of £228,000 in June, and the total expected cash receipts for the period is £1,358,000. The company plans to make cash payments of £19,000 for administration, £205,000 for stock purchases, and £5,000 for loan repayments during this period. The selling expenses are estimated to be £38,000, and tax payment is estimated to be £20,000. The company plans to spend £11,000 on shop refurbishment in July. The interest payments for the period are estimated to be £6,000. The cash surplus for the period is expected to be £38,000, and the closing cash balance is expected to be £13,000.</w:t>
          </w:r>
        </w:p>
        <w:p w14:paraId="1976B879" w14:textId="77777777" w:rsidR="001B648A" w:rsidRPr="00FF22C8" w:rsidRDefault="001B648A" w:rsidP="001B648A">
          <w:pPr>
            <w:rPr>
              <w:rFonts w:cstheme="minorHAnsi"/>
            </w:rPr>
          </w:pPr>
        </w:p>
        <w:p w14:paraId="7A8FBE5D" w14:textId="05B682E4" w:rsidR="001B648A" w:rsidRPr="00FF22C8" w:rsidRDefault="001B648A" w:rsidP="001B648A">
          <w:pPr>
            <w:rPr>
              <w:rFonts w:cstheme="minorHAnsi"/>
            </w:rPr>
          </w:pPr>
          <w:r w:rsidRPr="00FF22C8">
            <w:rPr>
              <w:rFonts w:cstheme="minorHAnsi"/>
            </w:rPr>
            <w:t>(c) The budget for the six months ending 30 November shows that the total sales for the period are estimated to be £1,370,000. The cost of goods sold is estimated to be 70% of the sales, resulting in a cost of £959,000. Therefore, the gross profit is estimated to be £411,000. The selling expenses are expected to be £44,000, and the administrative expenses are expected to be £144,000. The credit card charges are estimated to be £12,000. The operating profit for the period is estimated to be £211,000. The interest payable for the period is estimated to be £6,000, resulting in a profit for the period of £205,000.</w:t>
          </w:r>
        </w:p>
        <w:p w14:paraId="7786EFC4" w14:textId="77777777" w:rsidR="001B648A" w:rsidRPr="00FF22C8" w:rsidRDefault="001B648A" w:rsidP="001B648A">
          <w:pPr>
            <w:rPr>
              <w:rFonts w:cstheme="minorHAnsi"/>
            </w:rPr>
          </w:pPr>
        </w:p>
        <w:p w14:paraId="4032FB0C" w14:textId="0EA92752" w:rsidR="00CD0203" w:rsidRPr="00FF22C8" w:rsidRDefault="001B648A" w:rsidP="001B648A">
          <w:pPr>
            <w:rPr>
              <w:rFonts w:cstheme="minorHAnsi"/>
            </w:rPr>
          </w:pPr>
          <w:r w:rsidRPr="00FF22C8">
            <w:rPr>
              <w:rFonts w:cstheme="minorHAnsi"/>
            </w:rPr>
            <w:t>These numbers provide insight into the financial plan of the company for the six-month period, giving an idea of its expected sales, expenses, and profits. The company can use this information to make financial decisions and adjust its operations accordingly.</w:t>
          </w:r>
        </w:p>
        <w:p w14:paraId="5731CE75" w14:textId="77777777" w:rsidR="00CD0203" w:rsidRDefault="00CD0203" w:rsidP="00DF1112">
          <w:pPr>
            <w:rPr>
              <w:rFonts w:ascii="Arial" w:hAnsi="Arial" w:cs="Arial"/>
              <w:sz w:val="20"/>
              <w:szCs w:val="20"/>
            </w:rPr>
          </w:pPr>
        </w:p>
        <w:p w14:paraId="6BC87E0D" w14:textId="77777777" w:rsidR="00CD0203" w:rsidRDefault="00CD0203" w:rsidP="00DF1112">
          <w:pPr>
            <w:rPr>
              <w:rFonts w:ascii="Arial" w:hAnsi="Arial" w:cs="Arial"/>
              <w:sz w:val="20"/>
              <w:szCs w:val="20"/>
            </w:rPr>
          </w:pPr>
        </w:p>
        <w:p w14:paraId="04BC494C" w14:textId="77777777" w:rsidR="00D7069E" w:rsidRDefault="00D7069E" w:rsidP="007834EB">
          <w:pPr>
            <w:pStyle w:val="Heading2"/>
            <w:jc w:val="center"/>
            <w:rPr>
              <w:rFonts w:ascii="Arial" w:hAnsi="Arial" w:cs="Arial"/>
              <w:sz w:val="20"/>
              <w:szCs w:val="20"/>
            </w:rPr>
          </w:pPr>
        </w:p>
        <w:p w14:paraId="7D4FC40A" w14:textId="7EC272D5" w:rsidR="00480872" w:rsidRDefault="002968EC" w:rsidP="007834EB">
          <w:pPr>
            <w:pStyle w:val="Heading2"/>
            <w:jc w:val="center"/>
          </w:pPr>
          <w:bookmarkStart w:id="5" w:name="_Toc131075547"/>
          <w:r>
            <w:rPr>
              <w:rFonts w:ascii="Arial" w:hAnsi="Arial" w:cs="Arial"/>
              <w:sz w:val="20"/>
              <w:szCs w:val="20"/>
            </w:rPr>
            <w:t>2.1</w:t>
          </w:r>
          <w:r w:rsidR="00C017FF">
            <w:t xml:space="preserve"> Potential issues and </w:t>
          </w:r>
          <w:r w:rsidR="00CD0203">
            <w:t>management actions</w:t>
          </w:r>
          <w:bookmarkEnd w:id="5"/>
        </w:p>
        <w:p w14:paraId="76E14F93" w14:textId="77777777" w:rsidR="00CD0203" w:rsidRDefault="00CD0203" w:rsidP="00CD0203"/>
        <w:p w14:paraId="1BD01E62" w14:textId="208A2D63" w:rsidR="00CD0203" w:rsidRDefault="00CD0203" w:rsidP="00CD0203">
          <w:r>
            <w:t xml:space="preserve">Upon </w:t>
          </w:r>
          <w:proofErr w:type="spellStart"/>
          <w:r>
            <w:t>analyzing</w:t>
          </w:r>
          <w:proofErr w:type="spellEnd"/>
          <w:r>
            <w:t xml:space="preserve"> the </w:t>
          </w:r>
          <w:r w:rsidR="00DA3AB1">
            <w:t>calculation above</w:t>
          </w:r>
          <w:r>
            <w:t xml:space="preserve">, there are a few potential problems </w:t>
          </w:r>
          <w:r w:rsidR="00274F44">
            <w:t>resulting from calculations</w:t>
          </w:r>
          <w:r>
            <w:t xml:space="preserve"> that the company might face in the next six months, and management can take certain actions to address them.</w:t>
          </w:r>
        </w:p>
        <w:p w14:paraId="650B615F" w14:textId="22BF4581" w:rsidR="00CD0203" w:rsidRDefault="00CD0203" w:rsidP="00CD0203">
          <w:r>
            <w:t xml:space="preserve">In the stock budget table, one issue is that the opening stock balance for November is higher than the closing balance in October, indicating that there might be some mismanagement of stock during the period. This can lead to excess stock or stock shortages, which can impact the company's profitability. Management can address this by </w:t>
          </w:r>
          <w:proofErr w:type="spellStart"/>
          <w:r>
            <w:t>analyzing</w:t>
          </w:r>
          <w:proofErr w:type="spellEnd"/>
          <w:r>
            <w:t xml:space="preserve"> the reasons behind the fluctuations and taking appropriate measures such as optimizing inventory levels, improving supply chain management, and conducting regular stock audits to avoid discrepancies</w:t>
          </w:r>
          <w:r w:rsidR="00340667">
            <w:t xml:space="preserve"> (Brigham</w:t>
          </w:r>
          <w:r w:rsidR="00362323">
            <w:t xml:space="preserve"> &amp; Ehrhardt)</w:t>
          </w:r>
          <w:r w:rsidR="00340667">
            <w:t>, 2019)</w:t>
          </w:r>
          <w:r>
            <w:t>.</w:t>
          </w:r>
        </w:p>
        <w:p w14:paraId="19FA193C" w14:textId="051A04EC" w:rsidR="00CD0203" w:rsidRDefault="00CD0203" w:rsidP="00CD0203">
          <w:r>
            <w:t xml:space="preserve">Another problem that can be seen from the cash budget table is that the company is projected to have cash deficits in some months, which could lead to liquidity issues. This could result in the company's inability to pay its bills and meet other financial obligations. </w:t>
          </w:r>
          <w:r w:rsidR="00E55B18">
            <w:t>As Seal</w:t>
          </w:r>
          <w:r w:rsidR="00D52211">
            <w:t>,</w:t>
          </w:r>
          <w:r w:rsidR="00E55B18">
            <w:t xml:space="preserve"> </w:t>
          </w:r>
          <w:r w:rsidR="00BE0D83">
            <w:t>Garrison,</w:t>
          </w:r>
          <w:r w:rsidR="00D52211">
            <w:t xml:space="preserve"> and Noreen</w:t>
          </w:r>
          <w:r w:rsidR="00E55B18">
            <w:t xml:space="preserve"> (2018) suggest, m</w:t>
          </w:r>
          <w:r>
            <w:t>anagement can take steps to address this by identifying the causes of the cash deficits and taking corrective actions such as implementing cost-cutting measures, negotiating better payment terms with suppliers, or exploring alternative sources of funding to improve cash flow.</w:t>
          </w:r>
        </w:p>
        <w:p w14:paraId="5B47E625" w14:textId="28B42226" w:rsidR="00CD0203" w:rsidRDefault="00CD0203" w:rsidP="00CD0203">
          <w:r>
            <w:t>Moreover, the budget reveals that the company's gross profit margin is 30%, which is relatively low compared to industry standards</w:t>
          </w:r>
          <w:r w:rsidR="00E55B18">
            <w:t xml:space="preserve"> (Thread Curve, 2021)</w:t>
          </w:r>
          <w:r>
            <w:t>. This suggests that the company may be facing pricing pressures or inefficiencies in its operations, which could impact its profitability in the long run. To address this issue, management can focus on optimizing the cost of goods sold, improving pricing strategies, and streamlining operations to increase efficiencies.</w:t>
          </w:r>
        </w:p>
        <w:p w14:paraId="45B7C55F" w14:textId="6414996A" w:rsidR="00CD0203" w:rsidRDefault="00CD0203" w:rsidP="00CD0203">
          <w:r>
            <w:t>In summary, the company may face stock management, liquidity, and profitability issues in the next six months, and management can address them by taking measures such as optimizing inventory levels, improving cash flow, and enhancing operational efficiencies</w:t>
          </w:r>
          <w:r w:rsidR="00C329C2">
            <w:t xml:space="preserve"> (Epstein &amp; Manzoni, 1998)</w:t>
          </w:r>
          <w:r>
            <w:t>.</w:t>
          </w:r>
        </w:p>
        <w:p w14:paraId="5E475591" w14:textId="77777777" w:rsidR="00D7069E" w:rsidRPr="00CD0203" w:rsidRDefault="00D7069E" w:rsidP="00CD0203"/>
        <w:p w14:paraId="029F2641" w14:textId="170C4A03" w:rsidR="00CB7FD3" w:rsidRDefault="00814F6A" w:rsidP="003E55A7">
          <w:pPr>
            <w:pStyle w:val="Heading2"/>
            <w:jc w:val="center"/>
          </w:pPr>
          <w:bookmarkStart w:id="6" w:name="_Toc131075548"/>
          <w:r>
            <w:t>2.2 Importance of budgeting and management</w:t>
          </w:r>
          <w:bookmarkEnd w:id="6"/>
        </w:p>
        <w:p w14:paraId="16E0C6CD" w14:textId="77777777" w:rsidR="00777D6A" w:rsidRPr="00777D6A" w:rsidRDefault="00777D6A" w:rsidP="00777D6A"/>
        <w:p w14:paraId="5168FA62" w14:textId="1013B9A4" w:rsidR="00814F6A" w:rsidRDefault="00814F6A" w:rsidP="00814F6A">
          <w:r>
            <w:t>In today's competitive business world, effective budgeting and management are essential for a company's success. Budgeting is the process of planning and controlling an organization's financial resources to achieve its objectives. Effective budgeting involves setting targets, prioritizing resources, and monitoring performance. Good management ensures that the company's resources are used efficiently and effectively to achieve its goals</w:t>
          </w:r>
          <w:r w:rsidR="0089260D">
            <w:t xml:space="preserve"> (Horngren et. al.</w:t>
          </w:r>
          <w:r w:rsidR="00340667">
            <w:t>,</w:t>
          </w:r>
          <w:r w:rsidR="0089260D">
            <w:t xml:space="preserve"> 2003)</w:t>
          </w:r>
          <w:r>
            <w:t xml:space="preserve">. This </w:t>
          </w:r>
          <w:r w:rsidR="00762891">
            <w:t>subheading</w:t>
          </w:r>
          <w:r>
            <w:t xml:space="preserve"> will explore the importance of good budgeting and management in a company and how it can help the organization to achieve its goals.</w:t>
          </w:r>
        </w:p>
        <w:p w14:paraId="435A70B8" w14:textId="77777777" w:rsidR="00814F6A" w:rsidRPr="0019146B" w:rsidRDefault="00814F6A" w:rsidP="00814F6A">
          <w:pPr>
            <w:rPr>
              <w:b/>
              <w:bCs/>
            </w:rPr>
          </w:pPr>
          <w:r w:rsidRPr="0019146B">
            <w:rPr>
              <w:b/>
              <w:bCs/>
            </w:rPr>
            <w:t>The importance of good budgeting:</w:t>
          </w:r>
        </w:p>
        <w:p w14:paraId="31B53E8C" w14:textId="00579404" w:rsidR="00814F6A" w:rsidRDefault="00814F6A" w:rsidP="00814F6A">
          <w:r>
            <w:t xml:space="preserve">Effective budgeting is essential for the growth and success of a </w:t>
          </w:r>
          <w:r w:rsidR="00333F49">
            <w:t>company (Lawrance &amp; Lorsch, 1967)</w:t>
          </w:r>
          <w:r>
            <w:t>. The following are some of the reasons why good budgeting is crucial:</w:t>
          </w:r>
        </w:p>
        <w:p w14:paraId="10F5399F" w14:textId="4E4A5D6F" w:rsidR="00814F6A" w:rsidRDefault="00814F6A" w:rsidP="00814F6A">
          <w:r>
            <w:lastRenderedPageBreak/>
            <w:t>Planning and control: Budgeting helps companies plan their activities and control their spending. It provides a roadmap for the company's financial activities, which enables managers to prioritize and allocate resources more effectively</w:t>
          </w:r>
          <w:r w:rsidR="0089260D">
            <w:t xml:space="preserve"> (Horne, 2004)</w:t>
          </w:r>
          <w:r>
            <w:t>.</w:t>
          </w:r>
        </w:p>
        <w:p w14:paraId="45F84259" w14:textId="70BB5543" w:rsidR="00814F6A" w:rsidRDefault="00814F6A" w:rsidP="00814F6A">
          <w:r>
            <w:t>Decision making: A well-prepared budget enables companies to make informed decisions. Managers can use the budget to identify areas of potential growth, allocate resources to new projects, and make informed decisions about capital investments</w:t>
          </w:r>
          <w:r w:rsidR="00410513">
            <w:t xml:space="preserve"> (Drury, 2021)</w:t>
          </w:r>
          <w:r w:rsidR="00333F49">
            <w:t>.</w:t>
          </w:r>
        </w:p>
        <w:p w14:paraId="4FC3CFFB" w14:textId="3B1F79B5" w:rsidR="00814F6A" w:rsidRDefault="00814F6A" w:rsidP="00814F6A">
          <w:r>
            <w:t>Resource allocation: Budgeting helps companies allocate resources effectively. By setting priorities and allocating resources to the most important activities, companies can optimize their use of resources and improve their overall efficiency</w:t>
          </w:r>
          <w:r w:rsidR="0089260D">
            <w:t xml:space="preserve"> (Kaplan &amp; Norton, 1996)</w:t>
          </w:r>
          <w:r>
            <w:t>.</w:t>
          </w:r>
        </w:p>
        <w:p w14:paraId="1B9D79DB" w14:textId="43145BA1" w:rsidR="00814F6A" w:rsidRDefault="00814F6A" w:rsidP="00814F6A">
          <w:r>
            <w:t>Performance measurement: Budgeting allows companies to measure their performance against their targets. By monitoring their actual results against their budgeted targets, managers can identify areas of improvement and take corrective action when necessary</w:t>
          </w:r>
          <w:r w:rsidR="00333F49">
            <w:t xml:space="preserve"> (Anthony &amp; Vijay, 2007)</w:t>
          </w:r>
          <w:r>
            <w:t>.</w:t>
          </w:r>
        </w:p>
        <w:p w14:paraId="03587997" w14:textId="77777777" w:rsidR="00814F6A" w:rsidRPr="0019146B" w:rsidRDefault="00814F6A" w:rsidP="00814F6A">
          <w:pPr>
            <w:rPr>
              <w:b/>
              <w:bCs/>
            </w:rPr>
          </w:pPr>
          <w:r w:rsidRPr="0019146B">
            <w:rPr>
              <w:b/>
              <w:bCs/>
            </w:rPr>
            <w:t>The importance of good management:</w:t>
          </w:r>
        </w:p>
        <w:p w14:paraId="6C758798" w14:textId="3A73A92D" w:rsidR="00814F6A" w:rsidRDefault="00814F6A" w:rsidP="00814F6A">
          <w:r>
            <w:t>Good management is essential for a company's success. Effective management ensures that a company's resources are used efficiently and effectively to achieve its goals. The following are some of the reasons why good management is crucial:</w:t>
          </w:r>
        </w:p>
        <w:p w14:paraId="6A8762C6" w14:textId="636DD5D2" w:rsidR="00814F6A" w:rsidRDefault="00814F6A" w:rsidP="00814F6A">
          <w:r>
            <w:t>Efficiency: Effective management ensures that a company's resources are used efficiently. Managers can optimize the use of resources, reduce wastage, and improve overall efficiency</w:t>
          </w:r>
          <w:r w:rsidR="00C329C2">
            <w:t xml:space="preserve"> (Bhimani, 2006)</w:t>
          </w:r>
          <w:r>
            <w:t>.</w:t>
          </w:r>
        </w:p>
        <w:p w14:paraId="04645C2A" w14:textId="2A8F912E" w:rsidR="00814F6A" w:rsidRDefault="00814F6A" w:rsidP="00814F6A">
          <w:r>
            <w:t>Effectiveness: Good management ensures that a company's resources are used effectively to achieve its goals. Managers can set clear objectives, prioritize activities, and allocate resources to the most important activities.</w:t>
          </w:r>
        </w:p>
        <w:p w14:paraId="73EE23C6" w14:textId="0162FD3B" w:rsidR="00814F6A" w:rsidRDefault="00814F6A" w:rsidP="00814F6A">
          <w:r>
            <w:t>Motivation: Effective management can motivate employees to perform at their best. By setting clear goals and providing employees with the necessary resources and support, managers can inspire their teams to achieve their objectives</w:t>
          </w:r>
          <w:r w:rsidR="00A133EE">
            <w:t xml:space="preserve"> (Horngren et</w:t>
          </w:r>
          <w:r w:rsidR="00340667">
            <w:t>.</w:t>
          </w:r>
          <w:r w:rsidR="00A133EE">
            <w:t xml:space="preserve"> al</w:t>
          </w:r>
          <w:r w:rsidR="00340667">
            <w:t>.,</w:t>
          </w:r>
          <w:r w:rsidR="00A133EE">
            <w:t xml:space="preserve"> 2018)</w:t>
          </w:r>
        </w:p>
        <w:p w14:paraId="26475C7F" w14:textId="163144C9" w:rsidR="00814F6A" w:rsidRDefault="00814F6A" w:rsidP="00814F6A">
          <w:r>
            <w:t>Innovation: Good management encourages innovation and creativity. Managers can create a culture of innovation by encouraging new ideas, rewarding creativity, and providing employees with the necessary resources to develop and implement new ideas.</w:t>
          </w:r>
        </w:p>
        <w:p w14:paraId="4BF76A6D" w14:textId="5FC580D9" w:rsidR="005F24F7" w:rsidRDefault="00A133EE" w:rsidP="00814F6A">
          <w:r>
            <w:t>As Gitman and Zutter (2019) stated,</w:t>
          </w:r>
          <w:r w:rsidR="00814F6A">
            <w:t xml:space="preserve"> good budgeting and management are essential for a company's success. Effective budgeting enables companies to plan their activities, make informed decisions, allocate resources effectively, and measure their performance. Effective management ensures that a company's resources are used efficiently and effectively to achieve its goals. By prioritizing activities, allocating resources to the most important activities, motivating employees, and encouraging innovation, managers can help their companies to achieve their objectives.</w:t>
          </w:r>
        </w:p>
        <w:p w14:paraId="49BF7D9A" w14:textId="77777777" w:rsidR="0019146B" w:rsidRPr="00814F6A" w:rsidRDefault="0019146B" w:rsidP="00814F6A"/>
        <w:p w14:paraId="758A6DE4" w14:textId="1653EF77" w:rsidR="005F24F7" w:rsidRDefault="002968EC" w:rsidP="0019146B">
          <w:pPr>
            <w:pStyle w:val="Heading2"/>
            <w:jc w:val="center"/>
          </w:pPr>
          <w:bookmarkStart w:id="7" w:name="_Toc131075549"/>
          <w:r>
            <w:t>2.</w:t>
          </w:r>
          <w:r w:rsidR="00814F6A">
            <w:t>3</w:t>
          </w:r>
          <w:r w:rsidR="003E55A7">
            <w:t xml:space="preserve"> People Behaviours</w:t>
          </w:r>
          <w:bookmarkEnd w:id="7"/>
        </w:p>
        <w:p w14:paraId="514CB7F2" w14:textId="77777777" w:rsidR="0019146B" w:rsidRPr="0019146B" w:rsidRDefault="0019146B" w:rsidP="0019146B"/>
        <w:p w14:paraId="40BA2D09" w14:textId="1AECFD45" w:rsidR="00D7069E" w:rsidRDefault="00D7069E" w:rsidP="00D7069E">
          <w:r>
            <w:t>For a system of budgeting and budgetary control to be successful within an organization, several conditions need to be present. These conditions are:</w:t>
          </w:r>
        </w:p>
        <w:p w14:paraId="6029C2C3" w14:textId="7999F424" w:rsidR="00D7069E" w:rsidRDefault="00D7069E" w:rsidP="00D7069E">
          <w:pPr>
            <w:pStyle w:val="ListParagraph"/>
            <w:numPr>
              <w:ilvl w:val="0"/>
              <w:numId w:val="3"/>
            </w:numPr>
          </w:pPr>
          <w:r>
            <w:t xml:space="preserve">Clear and </w:t>
          </w:r>
          <w:r w:rsidR="0019146B">
            <w:t>m</w:t>
          </w:r>
          <w:r>
            <w:t xml:space="preserve">easurable Objectives: The organization should have well-defined and measurable objectives that are aligned with its mission and vision. Budgeting and budgetary </w:t>
          </w:r>
          <w:r>
            <w:lastRenderedPageBreak/>
            <w:t xml:space="preserve">control are tools that help an organization achieve these objectives by providing a roadmap for resource allocation and performance </w:t>
          </w:r>
          <w:r w:rsidR="00333F49">
            <w:t>measurement</w:t>
          </w:r>
          <w:r w:rsidR="00333F49" w:rsidRPr="00333F49">
            <w:t xml:space="preserve"> (Drucker, 1954)</w:t>
          </w:r>
          <w:r>
            <w:t>.</w:t>
          </w:r>
        </w:p>
        <w:p w14:paraId="4B134166" w14:textId="1159B037" w:rsidR="00D7069E" w:rsidRDefault="00D7069E" w:rsidP="00D7069E">
          <w:pPr>
            <w:pStyle w:val="ListParagraph"/>
            <w:numPr>
              <w:ilvl w:val="0"/>
              <w:numId w:val="3"/>
            </w:numPr>
          </w:pPr>
          <w:r>
            <w:t xml:space="preserve">Effective </w:t>
          </w:r>
          <w:r w:rsidR="0019146B">
            <w:t>c</w:t>
          </w:r>
          <w:r>
            <w:t>ommunication: Budgeting requires communication at all levels of the organization to ensure that everyone understands the organization's objectives and how their actions contribute to achieving those objectives. Effective communication ensures that all stakeholders are aware of their roles, responsibilities, and performance expectations.</w:t>
          </w:r>
        </w:p>
        <w:p w14:paraId="4BF5AA30" w14:textId="3B7C1647" w:rsidR="00D7069E" w:rsidRDefault="00D7069E" w:rsidP="00D7069E">
          <w:pPr>
            <w:pStyle w:val="ListParagraph"/>
            <w:numPr>
              <w:ilvl w:val="0"/>
              <w:numId w:val="3"/>
            </w:numPr>
          </w:pPr>
          <w:r>
            <w:t xml:space="preserve">Strong </w:t>
          </w:r>
          <w:r w:rsidR="0019146B">
            <w:t>l</w:t>
          </w:r>
          <w:r>
            <w:t xml:space="preserve">eadership and </w:t>
          </w:r>
          <w:r w:rsidR="0019146B">
            <w:t>c</w:t>
          </w:r>
          <w:r>
            <w:t>ommitment: Successful budgeting and budgetary control require strong leadership and commitment from top management. Leaders must be committed to the budgeting process, providing the necessary resources, and setting the tone for the organization's culture.</w:t>
          </w:r>
        </w:p>
        <w:p w14:paraId="4365EE77" w14:textId="46DF518B" w:rsidR="00D7069E" w:rsidRDefault="00D7069E" w:rsidP="00D7069E">
          <w:pPr>
            <w:pStyle w:val="ListParagraph"/>
            <w:numPr>
              <w:ilvl w:val="0"/>
              <w:numId w:val="3"/>
            </w:numPr>
          </w:pPr>
          <w:r>
            <w:t xml:space="preserve">Accurate and </w:t>
          </w:r>
          <w:r w:rsidR="0019146B">
            <w:t>t</w:t>
          </w:r>
          <w:r>
            <w:t>imely Information: Budgeting requires accurate and timely information to make informed decisions. Organizations should have reliable systems for collecting and reporting financial and operational information to support the budgeting process</w:t>
          </w:r>
          <w:r w:rsidR="00663888">
            <w:t xml:space="preserve"> </w:t>
          </w:r>
          <w:r w:rsidR="00F72839">
            <w:t>(Brody</w:t>
          </w:r>
          <w:r w:rsidR="00663888">
            <w:t xml:space="preserve"> &amp; </w:t>
          </w:r>
          <w:proofErr w:type="spellStart"/>
          <w:r w:rsidR="00663888">
            <w:t>Tropman</w:t>
          </w:r>
          <w:proofErr w:type="spellEnd"/>
          <w:r w:rsidR="00663888">
            <w:t>, 2014)</w:t>
          </w:r>
          <w:r>
            <w:t>.</w:t>
          </w:r>
        </w:p>
        <w:p w14:paraId="40DBB5FD" w14:textId="71EFE0DE" w:rsidR="00D7069E" w:rsidRDefault="00D7069E" w:rsidP="00D7069E">
          <w:r>
            <w:t xml:space="preserve">In addition to these conditions, there are several </w:t>
          </w:r>
          <w:proofErr w:type="spellStart"/>
          <w:r>
            <w:t>behaviors</w:t>
          </w:r>
          <w:proofErr w:type="spellEnd"/>
          <w:r>
            <w:t xml:space="preserve"> of people that management needs to take into consideration when implementing a system of budgeting and budgetary control. These </w:t>
          </w:r>
          <w:proofErr w:type="spellStart"/>
          <w:r>
            <w:t>behaviors</w:t>
          </w:r>
          <w:proofErr w:type="spellEnd"/>
          <w:r>
            <w:t xml:space="preserve"> are:</w:t>
          </w:r>
        </w:p>
        <w:p w14:paraId="2F9223BD" w14:textId="247910D9" w:rsidR="00D7069E" w:rsidRDefault="00D7069E" w:rsidP="00D7069E">
          <w:r>
            <w:t xml:space="preserve">Resistance to </w:t>
          </w:r>
          <w:r w:rsidR="0019146B">
            <w:t>c</w:t>
          </w:r>
          <w:r>
            <w:t>hange: Some people within the organization may resist the changes that come with a new budgeting system. It is essential to communicate the benefits of the system, provide training and support, and involve employees in the process to address this resistance</w:t>
          </w:r>
          <w:r w:rsidR="00F72839">
            <w:t xml:space="preserve"> (Pillai &amp; Kala, 2013)</w:t>
          </w:r>
          <w:r>
            <w:t>.</w:t>
          </w:r>
        </w:p>
        <w:p w14:paraId="6B7FED3A" w14:textId="1B76E290" w:rsidR="00D7069E" w:rsidRDefault="00D7069E" w:rsidP="00D7069E">
          <w:r>
            <w:t>Short-</w:t>
          </w:r>
          <w:r w:rsidR="0019146B">
            <w:t>t</w:t>
          </w:r>
          <w:r>
            <w:t xml:space="preserve">erm </w:t>
          </w:r>
          <w:r w:rsidR="0019146B">
            <w:t>t</w:t>
          </w:r>
          <w:r>
            <w:t xml:space="preserve">hinking: Some employees may focus on short-term goals rather than long-term objectives. It is essential to ensure that the budgeting system includes both short-term and long-term goals to align employee </w:t>
          </w:r>
          <w:proofErr w:type="spellStart"/>
          <w:r>
            <w:t>behavior</w:t>
          </w:r>
          <w:proofErr w:type="spellEnd"/>
          <w:r>
            <w:t xml:space="preserve"> with organizational objectives.</w:t>
          </w:r>
        </w:p>
        <w:p w14:paraId="5607B86B" w14:textId="05119DBE" w:rsidR="00D7069E" w:rsidRDefault="00D7069E" w:rsidP="00D7069E">
          <w:r>
            <w:t xml:space="preserve">Gaming the </w:t>
          </w:r>
          <w:r w:rsidR="0019146B">
            <w:t>s</w:t>
          </w:r>
          <w:r>
            <w:t>ystem: In some cases, employees may manipulate the system to achieve their goals. Management should monitor the budgeting process and create checks and balances to prevent such gaming.</w:t>
          </w:r>
        </w:p>
        <w:p w14:paraId="462ABD81" w14:textId="799060B1" w:rsidR="00D7069E" w:rsidRDefault="00D7069E" w:rsidP="00D7069E">
          <w:r>
            <w:t xml:space="preserve">Lack of </w:t>
          </w:r>
          <w:r w:rsidR="0019146B">
            <w:t>a</w:t>
          </w:r>
          <w:r>
            <w:t>ccountability: Some employees may not take responsibility for their performance, leading to poor performance and inaccurate budgeting. It is crucial to create a culture of accountability, where employees are responsible for achieving their goals and held accountable for their performance</w:t>
          </w:r>
          <w:r w:rsidR="00F72839">
            <w:t xml:space="preserve"> (Dwyer, 2019)</w:t>
          </w:r>
          <w:r>
            <w:t>.</w:t>
          </w:r>
        </w:p>
        <w:p w14:paraId="52F4C18E" w14:textId="76BD522E" w:rsidR="00D7069E" w:rsidRDefault="0019146B" w:rsidP="00D7069E">
          <w:r>
            <w:t>As it can be seen,</w:t>
          </w:r>
          <w:r w:rsidR="00D7069E">
            <w:t xml:space="preserve"> for a system of budgeting and budgetary control to be successful, an organization should have clear and measurable objectives, effective communication, strong leadership and commitment, and accurate and timely information. Additionally, management needs to take into consideration the </w:t>
          </w:r>
          <w:proofErr w:type="spellStart"/>
          <w:r w:rsidR="00D7069E">
            <w:t>behaviors</w:t>
          </w:r>
          <w:proofErr w:type="spellEnd"/>
          <w:r w:rsidR="00D7069E">
            <w:t xml:space="preserve"> of people and address issues related to resistance to change, short-term thinking, gaming the system, and lack of accountability. By addressing these conditions and </w:t>
          </w:r>
          <w:proofErr w:type="spellStart"/>
          <w:r w:rsidR="00D7069E">
            <w:t>behaviors</w:t>
          </w:r>
          <w:proofErr w:type="spellEnd"/>
          <w:r w:rsidR="00D7069E">
            <w:t>, organizations can effectively implement budgeting and budgetary control systems to achieve their objectives and improve performance.</w:t>
          </w:r>
        </w:p>
        <w:p w14:paraId="4ED115A1" w14:textId="77777777" w:rsidR="007C6ADD" w:rsidRPr="00D7069E" w:rsidRDefault="007C6ADD" w:rsidP="00D7069E"/>
        <w:p w14:paraId="493271A8" w14:textId="2D755B5F" w:rsidR="002968EC" w:rsidRDefault="002968EC" w:rsidP="00517DE4">
          <w:pPr>
            <w:pStyle w:val="Heading2"/>
            <w:jc w:val="center"/>
          </w:pPr>
          <w:bookmarkStart w:id="8" w:name="_Toc131075550"/>
          <w:r>
            <w:t>2.</w:t>
          </w:r>
          <w:r w:rsidR="00814F6A">
            <w:t>4</w:t>
          </w:r>
          <w:r w:rsidR="00517DE4">
            <w:t xml:space="preserve"> Traditional </w:t>
          </w:r>
          <w:r w:rsidR="00AC4642">
            <w:t>budgeting</w:t>
          </w:r>
          <w:bookmarkEnd w:id="8"/>
          <w:r w:rsidR="00AC4642">
            <w:t xml:space="preserve"> </w:t>
          </w:r>
        </w:p>
        <w:p w14:paraId="5E9693F4" w14:textId="77777777" w:rsidR="007C6ADD" w:rsidRPr="007C6ADD" w:rsidRDefault="007C6ADD" w:rsidP="007C6ADD"/>
        <w:p w14:paraId="3DA0CD8D" w14:textId="5D34125C" w:rsidR="00AC4642" w:rsidRDefault="00AC4642" w:rsidP="00AC4642">
          <w:r>
            <w:t xml:space="preserve">Traditional approaches to budgeting have been widely used by organizations for many years. However, these methods are increasingly being criticized for being outdated and ill-suited to the </w:t>
          </w:r>
          <w:r>
            <w:lastRenderedPageBreak/>
            <w:t>fast-paced, dynamic business environment that companies operate in today</w:t>
          </w:r>
          <w:r w:rsidR="00045FB0">
            <w:t xml:space="preserve"> (Leinwand et. al., 2016).</w:t>
          </w:r>
          <w:r>
            <w:t xml:space="preserve"> This </w:t>
          </w:r>
          <w:r w:rsidR="0019146B">
            <w:t>subheading</w:t>
          </w:r>
          <w:r>
            <w:t xml:space="preserve"> will evaluate traditional approaches to budgeting and discuss the inherent flaws that make these methods problematic in a fast-changing business environment.</w:t>
          </w:r>
        </w:p>
        <w:p w14:paraId="0F4BFB1A" w14:textId="35243D5A" w:rsidR="00AC4642" w:rsidRDefault="00AC4642" w:rsidP="00AC4642">
          <w:r>
            <w:t>One of the main criticisms of traditional budgeting methods is that they tend to be overly focused on short-term results. These methods often rely on historical data to forecast future performance, which can be unreliable in a rapidly changing business environment</w:t>
          </w:r>
          <w:r w:rsidR="00045FB0">
            <w:t xml:space="preserve"> (Block</w:t>
          </w:r>
          <w:r w:rsidR="001F236B">
            <w:t>, Hirt &amp; Danielsen, 2017)</w:t>
          </w:r>
          <w:r>
            <w:t>. For example, if a company experiences sudden changes in customer demand, economic conditions, or technological developments, these changes may not be adequately captured by historical data. This can lead to inaccurate forecasts and unrealistic budget targets that are difficult to achieve.</w:t>
          </w:r>
        </w:p>
        <w:p w14:paraId="44D2F085" w14:textId="3A913EC4" w:rsidR="00AC4642" w:rsidRDefault="00AC4642" w:rsidP="00AC4642">
          <w:r>
            <w:t>Another issue with traditional budgeting is that it can be too rigid and inflexible</w:t>
          </w:r>
          <w:r w:rsidR="001F236B">
            <w:t xml:space="preserve"> (</w:t>
          </w:r>
          <w:proofErr w:type="spellStart"/>
          <w:r w:rsidR="001F236B">
            <w:t>Glautier</w:t>
          </w:r>
          <w:proofErr w:type="spellEnd"/>
          <w:r w:rsidR="001F236B">
            <w:t>, 2011)</w:t>
          </w:r>
          <w:r>
            <w:t>. Once a budget has been set, it is often difficult to make changes in response to changing circumstances. This can result in missed opportunities and lost revenues, as well as wasted resources on activities that are no longer aligned with the company's strategic objectives.</w:t>
          </w:r>
        </w:p>
        <w:p w14:paraId="2A8AD069" w14:textId="11B1662C" w:rsidR="00AC4642" w:rsidRDefault="00AC4642" w:rsidP="00AC4642">
          <w:r>
            <w:t>Moreover, traditional budgeting methods tend to be overly complex and time-consuming, requiring significant resources to prepare and maintain. This can result in a lack of buy-in from employees who are tasked with implementing the budget, as they may not fully understand the goals and objectives that have been set</w:t>
          </w:r>
          <w:r w:rsidR="00E42681">
            <w:t xml:space="preserve"> (Buettner, 2017)</w:t>
          </w:r>
          <w:r>
            <w:t>. Furthermore, the complexity of these methods can also lead to a lack of accountability and ownership, as it may be difficult to determine who is responsible for achieving specific targets.</w:t>
          </w:r>
        </w:p>
        <w:p w14:paraId="40CDB96F" w14:textId="060531BD" w:rsidR="00AC4642" w:rsidRDefault="00AC4642" w:rsidP="00AC4642">
          <w:r>
            <w:t>In addition to these flaws, there are several other points that need to be considered when evaluating traditional budgeting methods. First, these methods tend to be overly focused on financial measures of performance, which may not fully capture the value that an organization is creating for its stakeholders. Second, traditional budgeting methods may create a culture of blame and punishment, as employees are held accountable for meeting unrealistic targets that may not be within their control</w:t>
          </w:r>
          <w:r w:rsidR="00E42681">
            <w:t xml:space="preserve"> (Horngren et. al., 2011)</w:t>
          </w:r>
          <w:r>
            <w:t xml:space="preserve">. Third, these methods can be counterproductive to innovation and risk-taking, as they tend to reward conformity and stability over creativity and experimentation. Finally, traditional budgeting methods may also result in </w:t>
          </w:r>
          <w:r w:rsidR="00FD1B27">
            <w:t>isolated</w:t>
          </w:r>
          <w:r>
            <w:t xml:space="preserve"> thinking and decision-making, as each department or business unit is focused on achieving its own targets rather than collaborating with others to achieve shared goals</w:t>
          </w:r>
          <w:r w:rsidR="00E42681">
            <w:t xml:space="preserve"> (Seal et. al., 2018)</w:t>
          </w:r>
          <w:r>
            <w:t>.</w:t>
          </w:r>
        </w:p>
        <w:p w14:paraId="151A3784" w14:textId="377201E4" w:rsidR="00AC4642" w:rsidRDefault="0006684D" w:rsidP="00AC4642">
          <w:r>
            <w:t>This can be concluded that</w:t>
          </w:r>
          <w:r w:rsidR="00AC4642">
            <w:t xml:space="preserve"> traditional approaches to budgeting have inherent flaws that make them problematic in a fast-changing business environment. These methods can be overly focused on short-term results, rigid and inflexible, overly complex and time-consuming, and may create a culture of blame and punishment. To overcome these issues, organizations need to adopt more flexible and agile approaches to budgeting that are better suited to the dynamic and uncertain business environment of today. This may include techniques such as rolling budgets, zero-based budgeting, or activity-based budgeting, which focus on continuous planning and review rather than fixed targets and rigid </w:t>
          </w:r>
          <w:r w:rsidR="00892E8E">
            <w:t>structures</w:t>
          </w:r>
          <w:r w:rsidR="003C7672">
            <w:t xml:space="preserve"> (</w:t>
          </w:r>
          <w:proofErr w:type="spellStart"/>
          <w:r w:rsidR="003C7672">
            <w:t>Atrill</w:t>
          </w:r>
          <w:proofErr w:type="spellEnd"/>
          <w:r w:rsidR="003C7672">
            <w:t xml:space="preserve"> &amp; McLaney, 2011)</w:t>
          </w:r>
          <w:r w:rsidR="00892E8E">
            <w:t>.</w:t>
          </w:r>
        </w:p>
        <w:p w14:paraId="7027A117" w14:textId="77777777" w:rsidR="00F72839" w:rsidRPr="00AC4642" w:rsidRDefault="00F72839" w:rsidP="00AC4642"/>
        <w:p w14:paraId="0564DAD0" w14:textId="586E115F" w:rsidR="002968EC" w:rsidRDefault="002968EC" w:rsidP="006D09BF">
          <w:pPr>
            <w:pStyle w:val="Heading2"/>
            <w:jc w:val="center"/>
          </w:pPr>
          <w:bookmarkStart w:id="9" w:name="_Toc131075551"/>
          <w:r>
            <w:t>2.</w:t>
          </w:r>
          <w:r w:rsidR="00CE251A">
            <w:t>5</w:t>
          </w:r>
          <w:r w:rsidR="006D09BF">
            <w:t xml:space="preserve"> </w:t>
          </w:r>
          <w:r w:rsidR="00CE251A">
            <w:t>Master budget and cash cycle</w:t>
          </w:r>
          <w:bookmarkEnd w:id="9"/>
        </w:p>
        <w:p w14:paraId="12B7190C" w14:textId="77777777" w:rsidR="00CE251A" w:rsidRPr="00CE251A" w:rsidRDefault="00CE251A" w:rsidP="00CE251A"/>
        <w:p w14:paraId="203A1C9C" w14:textId="533DA081" w:rsidR="00CE251A" w:rsidRDefault="00CE251A" w:rsidP="00CE251A">
          <w:r>
            <w:t xml:space="preserve">The master budget is a comprehensive financial plan that integrates all of an organization's individual budgets and forecasts, serving as a blueprint for the company's operations over a </w:t>
          </w:r>
          <w:r>
            <w:lastRenderedPageBreak/>
            <w:t>specified period, typically a year</w:t>
          </w:r>
          <w:r w:rsidR="00340667">
            <w:t xml:space="preserve"> (Garrison et. al., 2018)</w:t>
          </w:r>
          <w:r>
            <w:t>. The master budget provides a detailed outline of the company's financial performance in terms of revenues, costs, and profits.</w:t>
          </w:r>
        </w:p>
        <w:p w14:paraId="3E5BBEF1" w14:textId="7FFD50A1" w:rsidR="00CE251A" w:rsidRDefault="00CE251A" w:rsidP="00CE251A">
          <w:r>
            <w:t>The primary purpose of the master budget is to help organizations plan and control their finances effectively. By developing a master budget, companies can ensure that their financial goals and objectives are aligned with their operational plans, and resources are allocated optimally across various departments</w:t>
          </w:r>
          <w:r w:rsidR="003C7672">
            <w:t xml:space="preserve"> (Kimmel et. al., 2018)</w:t>
          </w:r>
          <w:r>
            <w:t>. It is also an essential tool for decision-making, enabling managers to identify potential issues, make adjustments, and take corrective action before it is too late.</w:t>
          </w:r>
        </w:p>
        <w:p w14:paraId="33F4B5F7" w14:textId="66CACBE7" w:rsidR="00CE251A" w:rsidRDefault="00CE251A" w:rsidP="00CE251A">
          <w:r>
            <w:t>One of the key components of the master budget is the cash budget, which outlines the expected cash inflows and outflows over the budget period. The cash budget is critical as it helps companies to manage their cash flows more effectively, ensuring that they have sufficient cash on hand to meet their financial obligations</w:t>
          </w:r>
          <w:r w:rsidR="003C7672">
            <w:t xml:space="preserve"> (Mayo, 2015)</w:t>
          </w:r>
          <w:r>
            <w:t>.</w:t>
          </w:r>
        </w:p>
        <w:p w14:paraId="638ED02C" w14:textId="27C7D73E" w:rsidR="00CE251A" w:rsidRDefault="00CE251A" w:rsidP="00CE251A">
          <w:r>
            <w:t>The cash cycle is the time it takes for a company to convert its investments in inventory, accounts receivable, and other assets into cash</w:t>
          </w:r>
          <w:r w:rsidR="00D52211">
            <w:t xml:space="preserve"> (Sudhindra, 2008)</w:t>
          </w:r>
          <w:r>
            <w:t>. A shorter cash cycle indicates that a company can generate cash faster and is, therefore, more efficient. A longer cash cycle can indicate that a company is holding too much inventory or that its credit terms are too lenient.</w:t>
          </w:r>
        </w:p>
        <w:p w14:paraId="23DE11D6" w14:textId="3F7DA418" w:rsidR="00CE251A" w:rsidRDefault="00CE251A" w:rsidP="00CE251A">
          <w:r>
            <w:t>Managing the cash cycle is crucial to a company's success, as it directly impacts its liquidity and working capital. By reducing the cash cycle, companies can free up cash, reducing the need for external financing and improving their financial position.</w:t>
          </w:r>
        </w:p>
        <w:p w14:paraId="41563F3E" w14:textId="4D841AD7" w:rsidR="00CE251A" w:rsidRDefault="00CE251A" w:rsidP="00CE251A">
          <w:r>
            <w:t>A company can reduce its cash cycle by managing its inventory effectively, optimizing its accounts receivable and accounts payable, and improving its cash collection processes</w:t>
          </w:r>
          <w:r w:rsidR="00D52211">
            <w:t xml:space="preserve"> </w:t>
          </w:r>
          <w:r w:rsidR="00F72839">
            <w:t>(Tracy</w:t>
          </w:r>
          <w:r w:rsidR="00D52211">
            <w:t xml:space="preserve"> &amp; Tracy, 2018)</w:t>
          </w:r>
          <w:r>
            <w:t>. By managing these elements of the cash cycle, companies can improve their cash flows, reduce their reliance on external financing, and improve their overall financial health.</w:t>
          </w:r>
        </w:p>
        <w:p w14:paraId="0BC5A1E6" w14:textId="77777777" w:rsidR="0017728F" w:rsidRPr="00CE251A" w:rsidRDefault="0017728F" w:rsidP="00CE251A"/>
        <w:p w14:paraId="6504F871" w14:textId="063D5913" w:rsidR="00480872" w:rsidRDefault="002968EC" w:rsidP="0017728F">
          <w:pPr>
            <w:pStyle w:val="Heading2"/>
            <w:jc w:val="center"/>
          </w:pPr>
          <w:bookmarkStart w:id="10" w:name="_Toc131075552"/>
          <w:r>
            <w:t>2.</w:t>
          </w:r>
          <w:r w:rsidR="00CE251A">
            <w:t>6</w:t>
          </w:r>
          <w:r w:rsidR="0017728F">
            <w:t xml:space="preserve"> KPIs and KMRs</w:t>
          </w:r>
          <w:bookmarkEnd w:id="10"/>
        </w:p>
        <w:p w14:paraId="58B09DA8" w14:textId="77777777" w:rsidR="0017728F" w:rsidRDefault="0017728F" w:rsidP="0017728F"/>
        <w:p w14:paraId="29CE4D14" w14:textId="537E4185" w:rsidR="0017728F" w:rsidRDefault="0017728F" w:rsidP="0017728F">
          <w:r>
            <w:t>Key performance indicators (KPIs) and key management ratios are vital tools for businesses to assess and monitor their performance. KPIs are quantifiable measures that reflect the progress or success of an organization in achieving its objectives</w:t>
          </w:r>
          <w:r w:rsidR="00F72839">
            <w:t xml:space="preserve"> (Marr, 2013)</w:t>
          </w:r>
          <w:r>
            <w:t>. Key management ratios, on the other hand, are financial ratios that provide insight into a company's financial performance and position</w:t>
          </w:r>
          <w:r w:rsidR="00F72839">
            <w:t xml:space="preserve"> (Walsh, 2008)</w:t>
          </w:r>
          <w:r>
            <w:t>.</w:t>
          </w:r>
        </w:p>
        <w:p w14:paraId="5CDC7E80" w14:textId="3643297C" w:rsidR="0017728F" w:rsidRDefault="0017728F" w:rsidP="0017728F">
          <w:r>
            <w:t>The importance of KPIs and key management ratios in the business environment cannot be overstated. Below are some reasons why businesses need to pay attention to these metrics:</w:t>
          </w:r>
        </w:p>
        <w:p w14:paraId="11EDD28A" w14:textId="77777777" w:rsidR="0017728F" w:rsidRDefault="0017728F" w:rsidP="0017728F">
          <w:r>
            <w:t>Strategy alignment: KPIs and key management ratios help organizations align their operations with their strategic objectives. By setting targets and monitoring KPIs and ratios, management can ensure that they are moving in the right direction and achieving their goals.</w:t>
          </w:r>
        </w:p>
        <w:p w14:paraId="6BB2AA08" w14:textId="77777777" w:rsidR="0017728F" w:rsidRDefault="0017728F" w:rsidP="0017728F"/>
        <w:p w14:paraId="576CC6BA" w14:textId="36112FB8" w:rsidR="0017728F" w:rsidRDefault="0017728F" w:rsidP="0017728F">
          <w:r>
            <w:t>Performance measurement: KPIs and ratios provide an objective way of measuring the performance of an organization. They help management to identify areas where they are underperforming and take corrective action.</w:t>
          </w:r>
        </w:p>
        <w:p w14:paraId="34D2EC33" w14:textId="74728784" w:rsidR="0017728F" w:rsidRDefault="0017728F" w:rsidP="0017728F">
          <w:r>
            <w:lastRenderedPageBreak/>
            <w:t>Continuous improvement: KPIs and ratios enable businesses to continuously improve their performance. By tracking their progress over time, organizations can identify trends and patterns and make necessary adjustments to improve their performance</w:t>
          </w:r>
          <w:r w:rsidR="00F72839">
            <w:t xml:space="preserve"> (Mahadevan, 2016)</w:t>
          </w:r>
          <w:r>
            <w:t>.</w:t>
          </w:r>
        </w:p>
        <w:p w14:paraId="41ADB59C" w14:textId="48D1B6CB" w:rsidR="0017728F" w:rsidRDefault="0017728F" w:rsidP="0017728F">
          <w:r>
            <w:t xml:space="preserve">Decision-making: KPIs and ratios provide valuable information that can inform decision-making. By </w:t>
          </w:r>
          <w:proofErr w:type="spellStart"/>
          <w:r>
            <w:t>analyzing</w:t>
          </w:r>
          <w:proofErr w:type="spellEnd"/>
          <w:r>
            <w:t xml:space="preserve"> these metrics, management can make informed decisions about resource allocation, investment opportunities, and other critical aspects of the business.</w:t>
          </w:r>
        </w:p>
        <w:p w14:paraId="3157345E" w14:textId="2868AB53" w:rsidR="0017728F" w:rsidRDefault="0017728F" w:rsidP="0017728F">
          <w:r>
            <w:t>Accountability: KPIs and ratios provide a way to hold individuals and teams accountable for their performance. By setting targets and monitoring progress, management can ensure that everyone is working towards the same objectives and taking responsibility for their contribution to the company's success.</w:t>
          </w:r>
        </w:p>
        <w:p w14:paraId="5E79A0C5" w14:textId="32B04C63" w:rsidR="0017728F" w:rsidRDefault="00BE0D83" w:rsidP="0017728F">
          <w:r>
            <w:t>As Marr (2012) observes, s</w:t>
          </w:r>
          <w:r w:rsidR="0017728F">
            <w:t>ome of the key KPIs that businesses commonly use include revenue growth rate, customer acquisition cost, customer retention rate, net promoter score, and employee satisfaction rate. These metrics provide insight into the company's performance across different areas, including sales, marketing, customer service, and employee engagement.</w:t>
          </w:r>
        </w:p>
        <w:p w14:paraId="1F026A62" w14:textId="0E1BE093" w:rsidR="0017728F" w:rsidRDefault="0017728F" w:rsidP="0017728F">
          <w:r>
            <w:t>Key management ratios, on the other hand, provide insight into the company's financial health. Some of the most commonly used key management ratios include return on investment (ROI), profit margin, debt-to-equity ratio, current ratio, and inventory turnover ratio</w:t>
          </w:r>
          <w:r w:rsidR="00BE0D83">
            <w:t xml:space="preserve"> (Harrison et. al., 2019)</w:t>
          </w:r>
          <w:r>
            <w:t>.</w:t>
          </w:r>
        </w:p>
        <w:p w14:paraId="4784E387" w14:textId="3AB7F291" w:rsidR="0017728F" w:rsidRPr="0017728F" w:rsidRDefault="0017728F" w:rsidP="0017728F">
          <w:r>
            <w:t>By tracking these ratios, businesses can assess their financial performance and make informed decisions about resource allocation and investment opportunities. For example, a company with a high ROI and profit margin may decide to invest more in its operations to further increase profitability, while a company with a high debt-to-equity ratio may prioritize debt reduction to improve its financial position.</w:t>
          </w:r>
        </w:p>
        <w:p w14:paraId="3BD248D8" w14:textId="262756D0" w:rsidR="000C115B" w:rsidRDefault="000C115B">
          <w:pPr>
            <w:rPr>
              <w:rFonts w:asciiTheme="majorHAnsi" w:eastAsiaTheme="majorEastAsia" w:hAnsiTheme="majorHAnsi" w:cstheme="majorBidi"/>
              <w:color w:val="2E74B5" w:themeColor="accent1" w:themeShade="BF"/>
              <w:sz w:val="32"/>
              <w:szCs w:val="32"/>
            </w:rPr>
          </w:pPr>
        </w:p>
        <w:p w14:paraId="3A85C2DE" w14:textId="77777777" w:rsidR="00274F44" w:rsidRDefault="00274F44">
          <w:pPr>
            <w:rPr>
              <w:rFonts w:asciiTheme="majorHAnsi" w:eastAsiaTheme="majorEastAsia" w:hAnsiTheme="majorHAnsi" w:cstheme="majorBidi"/>
              <w:color w:val="2E74B5" w:themeColor="accent1" w:themeShade="BF"/>
              <w:sz w:val="32"/>
              <w:szCs w:val="32"/>
            </w:rPr>
          </w:pPr>
        </w:p>
        <w:p w14:paraId="466E0FBE" w14:textId="77777777" w:rsidR="00274F44" w:rsidRDefault="00274F44">
          <w:pPr>
            <w:rPr>
              <w:rFonts w:asciiTheme="majorHAnsi" w:eastAsiaTheme="majorEastAsia" w:hAnsiTheme="majorHAnsi" w:cstheme="majorBidi"/>
              <w:color w:val="2E74B5" w:themeColor="accent1" w:themeShade="BF"/>
              <w:sz w:val="32"/>
              <w:szCs w:val="32"/>
            </w:rPr>
          </w:pPr>
        </w:p>
        <w:p w14:paraId="34010C4B" w14:textId="77777777" w:rsidR="00274F44" w:rsidRDefault="00274F44">
          <w:pPr>
            <w:rPr>
              <w:rFonts w:asciiTheme="majorHAnsi" w:eastAsiaTheme="majorEastAsia" w:hAnsiTheme="majorHAnsi" w:cstheme="majorBidi"/>
              <w:color w:val="2E74B5" w:themeColor="accent1" w:themeShade="BF"/>
              <w:sz w:val="32"/>
              <w:szCs w:val="32"/>
            </w:rPr>
          </w:pPr>
        </w:p>
        <w:p w14:paraId="1C89CC28" w14:textId="77777777" w:rsidR="00274F44" w:rsidRDefault="00274F44">
          <w:pPr>
            <w:rPr>
              <w:rFonts w:asciiTheme="majorHAnsi" w:eastAsiaTheme="majorEastAsia" w:hAnsiTheme="majorHAnsi" w:cstheme="majorBidi"/>
              <w:color w:val="2E74B5" w:themeColor="accent1" w:themeShade="BF"/>
              <w:sz w:val="32"/>
              <w:szCs w:val="32"/>
            </w:rPr>
          </w:pPr>
        </w:p>
        <w:p w14:paraId="470384FE" w14:textId="77777777" w:rsidR="00274F44" w:rsidRDefault="00274F44">
          <w:pPr>
            <w:rPr>
              <w:rFonts w:asciiTheme="majorHAnsi" w:eastAsiaTheme="majorEastAsia" w:hAnsiTheme="majorHAnsi" w:cstheme="majorBidi"/>
              <w:color w:val="2E74B5" w:themeColor="accent1" w:themeShade="BF"/>
              <w:sz w:val="32"/>
              <w:szCs w:val="32"/>
            </w:rPr>
          </w:pPr>
        </w:p>
        <w:p w14:paraId="6553E9C2" w14:textId="77777777" w:rsidR="00274F44" w:rsidRDefault="00274F44">
          <w:pPr>
            <w:rPr>
              <w:rFonts w:asciiTheme="majorHAnsi" w:eastAsiaTheme="majorEastAsia" w:hAnsiTheme="majorHAnsi" w:cstheme="majorBidi"/>
              <w:color w:val="2E74B5" w:themeColor="accent1" w:themeShade="BF"/>
              <w:sz w:val="32"/>
              <w:szCs w:val="32"/>
            </w:rPr>
          </w:pPr>
        </w:p>
        <w:p w14:paraId="46B24873" w14:textId="77777777" w:rsidR="00274F44" w:rsidRDefault="00274F44">
          <w:pPr>
            <w:rPr>
              <w:rFonts w:asciiTheme="majorHAnsi" w:eastAsiaTheme="majorEastAsia" w:hAnsiTheme="majorHAnsi" w:cstheme="majorBidi"/>
              <w:color w:val="2E74B5" w:themeColor="accent1" w:themeShade="BF"/>
              <w:sz w:val="32"/>
              <w:szCs w:val="32"/>
            </w:rPr>
          </w:pPr>
        </w:p>
        <w:p w14:paraId="5ACDD45E" w14:textId="77777777" w:rsidR="00274F44" w:rsidRDefault="00274F44">
          <w:pPr>
            <w:rPr>
              <w:rFonts w:asciiTheme="majorHAnsi" w:eastAsiaTheme="majorEastAsia" w:hAnsiTheme="majorHAnsi" w:cstheme="majorBidi"/>
              <w:color w:val="2E74B5" w:themeColor="accent1" w:themeShade="BF"/>
              <w:sz w:val="32"/>
              <w:szCs w:val="32"/>
            </w:rPr>
          </w:pPr>
        </w:p>
        <w:p w14:paraId="52CA83EE" w14:textId="77777777" w:rsidR="00274F44" w:rsidRDefault="00274F44">
          <w:pPr>
            <w:rPr>
              <w:rFonts w:asciiTheme="majorHAnsi" w:eastAsiaTheme="majorEastAsia" w:hAnsiTheme="majorHAnsi" w:cstheme="majorBidi"/>
              <w:color w:val="2E74B5" w:themeColor="accent1" w:themeShade="BF"/>
              <w:sz w:val="32"/>
              <w:szCs w:val="32"/>
            </w:rPr>
          </w:pPr>
        </w:p>
        <w:p w14:paraId="6D99D577" w14:textId="77777777" w:rsidR="00274F44" w:rsidRDefault="00274F44">
          <w:pPr>
            <w:rPr>
              <w:rFonts w:asciiTheme="majorHAnsi" w:eastAsiaTheme="majorEastAsia" w:hAnsiTheme="majorHAnsi" w:cstheme="majorBidi"/>
              <w:color w:val="2E74B5" w:themeColor="accent1" w:themeShade="BF"/>
              <w:sz w:val="32"/>
              <w:szCs w:val="32"/>
            </w:rPr>
          </w:pPr>
        </w:p>
        <w:p w14:paraId="3C2C4E14" w14:textId="088682F5" w:rsidR="00AA2A91" w:rsidRDefault="000C115B" w:rsidP="004500F0">
          <w:pPr>
            <w:pStyle w:val="Heading1"/>
            <w:jc w:val="center"/>
          </w:pPr>
          <w:bookmarkStart w:id="11" w:name="_Toc131075553"/>
          <w:r>
            <w:lastRenderedPageBreak/>
            <w:t xml:space="preserve">3.0 </w:t>
          </w:r>
          <w:r w:rsidR="00AA2A91">
            <w:t>Conclusion</w:t>
          </w:r>
          <w:bookmarkEnd w:id="11"/>
        </w:p>
        <w:p w14:paraId="2438C8C5" w14:textId="77777777" w:rsidR="004500F0" w:rsidRDefault="004500F0" w:rsidP="00364FA0"/>
        <w:p w14:paraId="7D4687E6" w14:textId="3D493D2D" w:rsidR="004500F0" w:rsidRDefault="004500F0" w:rsidP="004500F0">
          <w:r>
            <w:t>It is evident that budgeting and management play a crucial role in the success of a business. The master budget, which includes the operating, financial, and capital budgets, provides a comprehensive framework for planning and controlling a company's operations. Additionally, the cash cycle is an essential aspect of financial management that involves monitoring cash inflows and outflows to ensure sufficient liquidity.</w:t>
          </w:r>
        </w:p>
        <w:p w14:paraId="2ACA4481" w14:textId="783BF523" w:rsidR="004500F0" w:rsidRDefault="004500F0" w:rsidP="004500F0">
          <w:r>
            <w:t xml:space="preserve">Furthermore, key performance indicators (KPIs) and management ratios are crucial tools that help businesses track their performance and make informed decisions. By </w:t>
          </w:r>
          <w:proofErr w:type="spellStart"/>
          <w:r>
            <w:t>analyzing</w:t>
          </w:r>
          <w:proofErr w:type="spellEnd"/>
          <w:r>
            <w:t xml:space="preserve"> KPIs such as revenue growth, profit margins, and customer satisfaction, companies can identify areas that require improvement and develop strategies to enhance their overall performance.</w:t>
          </w:r>
        </w:p>
        <w:p w14:paraId="657F0742" w14:textId="3FC11CEB" w:rsidR="004500F0" w:rsidRDefault="004500F0" w:rsidP="004500F0">
          <w:r>
            <w:t>However, it is important to note that traditional budgeting methods may have inherent flaws that limit their effectiveness, especially in a fast-changing business environment. As such, companies need to adopt flexible budgeting approaches that allow for adjustments and changes as circumstances change.</w:t>
          </w:r>
        </w:p>
        <w:p w14:paraId="53BBE1C9" w14:textId="5546680F" w:rsidR="004500F0" w:rsidRPr="00364FA0" w:rsidRDefault="004500F0" w:rsidP="004500F0">
          <w:r>
            <w:t>Overall, good budgeting and management practices are critical to the success of any business. By effectively planning, monitoring, and controlling their operations, businesses can achieve their goals, remain competitive, and sustain their growth in the long term.</w:t>
          </w:r>
        </w:p>
        <w:p w14:paraId="0ABC39D3" w14:textId="77777777" w:rsidR="00AA2A91" w:rsidRDefault="00AA2A91" w:rsidP="00AA2A91"/>
        <w:p w14:paraId="211E1C9B" w14:textId="77777777" w:rsidR="000C115B" w:rsidRDefault="000C115B">
          <w:pPr>
            <w:rPr>
              <w:rFonts w:asciiTheme="majorHAnsi" w:eastAsiaTheme="majorEastAsia" w:hAnsiTheme="majorHAnsi" w:cstheme="majorBidi"/>
              <w:color w:val="2E74B5" w:themeColor="accent1" w:themeShade="BF"/>
              <w:sz w:val="32"/>
              <w:szCs w:val="32"/>
            </w:rPr>
          </w:pPr>
          <w:r>
            <w:br w:type="page"/>
          </w:r>
        </w:p>
        <w:p w14:paraId="7202FDFC" w14:textId="0D416721" w:rsidR="00AA2A91" w:rsidRPr="00AA2A91" w:rsidRDefault="00AA2A91" w:rsidP="004500F0">
          <w:pPr>
            <w:pStyle w:val="Heading1"/>
            <w:jc w:val="center"/>
          </w:pPr>
          <w:bookmarkStart w:id="12" w:name="_Toc131075554"/>
          <w:r>
            <w:lastRenderedPageBreak/>
            <w:t>Bibliography</w:t>
          </w:r>
          <w:bookmarkEnd w:id="12"/>
        </w:p>
        <w:p w14:paraId="3E645F37" w14:textId="77777777" w:rsidR="006A450A" w:rsidRDefault="00000000" w:rsidP="0006684D"/>
      </w:sdtContent>
    </w:sdt>
    <w:p w14:paraId="3E3C5C4D" w14:textId="77777777" w:rsidR="00BE0D83" w:rsidRDefault="00BE0D83" w:rsidP="004500F0">
      <w:pPr>
        <w:numPr>
          <w:ilvl w:val="0"/>
          <w:numId w:val="2"/>
        </w:numPr>
      </w:pPr>
      <w:r w:rsidRPr="00333F49">
        <w:t xml:space="preserve">Anthony, R.N. </w:t>
      </w:r>
      <w:r>
        <w:t>&amp;</w:t>
      </w:r>
      <w:r w:rsidRPr="00333F49">
        <w:t xml:space="preserve"> Vijay Govindarajan (2007). Management control systems. Boston: </w:t>
      </w:r>
      <w:proofErr w:type="spellStart"/>
      <w:r w:rsidRPr="00333F49">
        <w:t>Mcgraw-Hill</w:t>
      </w:r>
      <w:proofErr w:type="spellEnd"/>
      <w:r w:rsidRPr="00333F49">
        <w:t>/Irwin</w:t>
      </w:r>
    </w:p>
    <w:p w14:paraId="2CADBE5B" w14:textId="77777777" w:rsidR="00BE0D83" w:rsidRDefault="00BE0D83" w:rsidP="00CE251A">
      <w:pPr>
        <w:numPr>
          <w:ilvl w:val="0"/>
          <w:numId w:val="2"/>
        </w:numPr>
      </w:pPr>
      <w:proofErr w:type="spellStart"/>
      <w:r w:rsidRPr="00CE251A">
        <w:t>Atrill</w:t>
      </w:r>
      <w:proofErr w:type="spellEnd"/>
      <w:r w:rsidRPr="00CE251A">
        <w:t>, P. and McLaney, E. (2021), Management Accounting for Decision Makers, (Tenth Edition), Harlow: Pearson Education Limited</w:t>
      </w:r>
    </w:p>
    <w:p w14:paraId="206C6E5F" w14:textId="77777777" w:rsidR="00BE0D83" w:rsidRDefault="00BE0D83" w:rsidP="00CE251A">
      <w:pPr>
        <w:numPr>
          <w:ilvl w:val="0"/>
          <w:numId w:val="2"/>
        </w:numPr>
      </w:pPr>
      <w:r w:rsidRPr="00CE251A">
        <w:t>Bhimani, A. (Ed) (2006), Contemporary Issues in Management Accounting, Oxford: Oxford University Press</w:t>
      </w:r>
    </w:p>
    <w:p w14:paraId="7AD2E6A9" w14:textId="77777777" w:rsidR="00BE0D83" w:rsidRDefault="00BE0D83" w:rsidP="0006684D">
      <w:pPr>
        <w:numPr>
          <w:ilvl w:val="0"/>
          <w:numId w:val="2"/>
        </w:numPr>
      </w:pPr>
      <w:r>
        <w:t>Block, S.B., Hirt, G.A., &amp; Danielsen, B.R. (2017). Foundations of Financial Management (16th ed.). McGraw-Hill Education.</w:t>
      </w:r>
    </w:p>
    <w:p w14:paraId="07E7CB6C" w14:textId="77777777" w:rsidR="00BE0D83" w:rsidRDefault="00BE0D83" w:rsidP="00F72839">
      <w:pPr>
        <w:numPr>
          <w:ilvl w:val="0"/>
          <w:numId w:val="2"/>
        </w:numPr>
      </w:pPr>
      <w:r>
        <w:t xml:space="preserve">Brody, R. and </w:t>
      </w:r>
      <w:proofErr w:type="spellStart"/>
      <w:r>
        <w:t>Tropman</w:t>
      </w:r>
      <w:proofErr w:type="spellEnd"/>
      <w:r>
        <w:t xml:space="preserve">, J.E. (2014). Effectively Managing and Leading Human Service Organizations, 4th Ed. + Effective Meetings, 3rd Ed. Sage </w:t>
      </w:r>
      <w:proofErr w:type="spellStart"/>
      <w:r>
        <w:t>Pubns</w:t>
      </w:r>
      <w:proofErr w:type="spellEnd"/>
      <w:r>
        <w:t>.</w:t>
      </w:r>
    </w:p>
    <w:p w14:paraId="6273A29C" w14:textId="77777777" w:rsidR="00BE0D83" w:rsidRDefault="00BE0D83" w:rsidP="00E42681">
      <w:pPr>
        <w:numPr>
          <w:ilvl w:val="0"/>
          <w:numId w:val="2"/>
        </w:numPr>
      </w:pPr>
      <w:r>
        <w:t>Buettner, D. (2017). The Blue Zones of Happiness. National Geographic Books.</w:t>
      </w:r>
    </w:p>
    <w:p w14:paraId="0932133E" w14:textId="77777777" w:rsidR="00BE0D83" w:rsidRDefault="00BE0D83" w:rsidP="00CE251A">
      <w:pPr>
        <w:numPr>
          <w:ilvl w:val="0"/>
          <w:numId w:val="2"/>
        </w:numPr>
      </w:pPr>
      <w:r w:rsidRPr="00CE251A">
        <w:t xml:space="preserve">Datar, S.M and Rajan, M.V. (2017), </w:t>
      </w:r>
      <w:proofErr w:type="spellStart"/>
      <w:r w:rsidRPr="00CE251A">
        <w:t>Horgren’s</w:t>
      </w:r>
      <w:proofErr w:type="spellEnd"/>
      <w:r w:rsidRPr="00CE251A">
        <w:t xml:space="preserve"> Cost Accounting, A Managerial Emphasis – Global Edition, (Eleventh Edition), London:  Pearson</w:t>
      </w:r>
    </w:p>
    <w:p w14:paraId="6118D975" w14:textId="77777777" w:rsidR="00BE0D83" w:rsidRPr="006A450A" w:rsidRDefault="00BE0D83" w:rsidP="006A450A">
      <w:pPr>
        <w:numPr>
          <w:ilvl w:val="0"/>
          <w:numId w:val="2"/>
        </w:numPr>
      </w:pPr>
      <w:r w:rsidRPr="006A450A">
        <w:t>Drucker, P. F. (1954). The practice of management. Harper &amp; Row.</w:t>
      </w:r>
    </w:p>
    <w:p w14:paraId="115B5697" w14:textId="77777777" w:rsidR="00BE0D83" w:rsidRDefault="00BE0D83" w:rsidP="004500F0">
      <w:pPr>
        <w:numPr>
          <w:ilvl w:val="0"/>
          <w:numId w:val="2"/>
        </w:numPr>
      </w:pPr>
      <w:r>
        <w:t>Drury, C. (2008). Management and cost accounting. Cengage Learning EMEA.</w:t>
      </w:r>
    </w:p>
    <w:p w14:paraId="7815A6B5" w14:textId="77777777" w:rsidR="00BE0D83" w:rsidRDefault="00BE0D83" w:rsidP="00CE251A">
      <w:pPr>
        <w:numPr>
          <w:ilvl w:val="0"/>
          <w:numId w:val="2"/>
        </w:numPr>
      </w:pPr>
      <w:r w:rsidRPr="00CE251A">
        <w:t>Drury, C. (2021) Management and Cost Accounting, (Eleventh Edition), London: Prentice Hall</w:t>
      </w:r>
      <w:r>
        <w:t>.</w:t>
      </w:r>
    </w:p>
    <w:p w14:paraId="71A9755F" w14:textId="77777777" w:rsidR="00BE0D83" w:rsidRDefault="00BE0D83" w:rsidP="00F72839">
      <w:pPr>
        <w:numPr>
          <w:ilvl w:val="0"/>
          <w:numId w:val="2"/>
        </w:numPr>
      </w:pPr>
      <w:r>
        <w:t>Dwyer, J. (2019). The Business Communication Handbook. 11th ed. South Melbourne, Vic: Cengage Learning Australia</w:t>
      </w:r>
    </w:p>
    <w:p w14:paraId="0D08B507" w14:textId="77777777" w:rsidR="00BE0D83" w:rsidRDefault="00BE0D83" w:rsidP="004500F0">
      <w:pPr>
        <w:numPr>
          <w:ilvl w:val="0"/>
          <w:numId w:val="2"/>
        </w:numPr>
      </w:pPr>
      <w:r>
        <w:t>Epstein, M. J., &amp; Manzoni, J. F. (1998). Implementing corporate strategy: From tableaux de bord to balanced scorecards. Wiley.</w:t>
      </w:r>
    </w:p>
    <w:p w14:paraId="2215763B" w14:textId="77777777" w:rsidR="00BE0D83" w:rsidRDefault="00BE0D83" w:rsidP="0006684D">
      <w:pPr>
        <w:numPr>
          <w:ilvl w:val="0"/>
          <w:numId w:val="2"/>
        </w:numPr>
      </w:pPr>
      <w:r>
        <w:t>Garrison, R.H., Noreen, E.W., &amp; Brewer, P.C. (2018). Managerial Accounting (16th ed.). McGraw-Hill Education.</w:t>
      </w:r>
    </w:p>
    <w:p w14:paraId="2C65811D" w14:textId="77777777" w:rsidR="00BE0D83" w:rsidRDefault="00BE0D83" w:rsidP="0006684D">
      <w:pPr>
        <w:numPr>
          <w:ilvl w:val="0"/>
          <w:numId w:val="2"/>
        </w:numPr>
      </w:pPr>
      <w:r>
        <w:t>Gitman, L.J., &amp; Zutter, C.J. (2019). Principles of Managerial Finance (15th ed.). Pearson Education Limited.</w:t>
      </w:r>
    </w:p>
    <w:p w14:paraId="4D16FA8B" w14:textId="77777777" w:rsidR="00BE0D83" w:rsidRPr="006A450A" w:rsidRDefault="00BE0D83" w:rsidP="00F72839">
      <w:pPr>
        <w:numPr>
          <w:ilvl w:val="0"/>
          <w:numId w:val="2"/>
        </w:numPr>
      </w:pPr>
      <w:r w:rsidRPr="00BE0D83">
        <w:t>Harrison, A., Skipworth, H., Hoek, V. and Aitken, J. (2019). Logistics management and strategy : competing through the supply chain. Harlow Pearson.</w:t>
      </w:r>
    </w:p>
    <w:p w14:paraId="05968B81" w14:textId="77777777" w:rsidR="00BE0D83" w:rsidRDefault="00BE0D83" w:rsidP="00CE251A">
      <w:pPr>
        <w:numPr>
          <w:ilvl w:val="0"/>
          <w:numId w:val="2"/>
        </w:numPr>
      </w:pPr>
      <w:r w:rsidRPr="00CE251A">
        <w:t>Horner, D. (2020), Accounting for Non Accountants, (Twelfth Edition), London; Kogan Press</w:t>
      </w:r>
      <w:r>
        <w:t>.</w:t>
      </w:r>
    </w:p>
    <w:p w14:paraId="7B7281A4" w14:textId="77777777" w:rsidR="00BE0D83" w:rsidRPr="006A450A" w:rsidRDefault="00BE0D83" w:rsidP="006A450A">
      <w:pPr>
        <w:numPr>
          <w:ilvl w:val="0"/>
          <w:numId w:val="2"/>
        </w:numPr>
      </w:pPr>
      <w:r w:rsidRPr="006A450A">
        <w:rPr>
          <w:rFonts w:ascii="Segoe UI" w:eastAsia="Times New Roman" w:hAnsi="Segoe UI" w:cs="Segoe UI"/>
          <w:color w:val="D1D5DB"/>
          <w:sz w:val="24"/>
          <w:szCs w:val="24"/>
          <w:lang w:eastAsia="en-GB"/>
        </w:rPr>
        <w:t xml:space="preserve"> </w:t>
      </w:r>
      <w:r w:rsidRPr="006A450A">
        <w:t>Horngren, C. T., Datar, S. M., &amp; Foster, G. (2003). Cost accounting: a managerial emphasis. Prentice Hall.</w:t>
      </w:r>
    </w:p>
    <w:p w14:paraId="72E4701A" w14:textId="77777777" w:rsidR="00BE0D83" w:rsidRDefault="00BE0D83" w:rsidP="004500F0">
      <w:pPr>
        <w:numPr>
          <w:ilvl w:val="0"/>
          <w:numId w:val="2"/>
        </w:numPr>
      </w:pPr>
      <w:r>
        <w:t>Horngren, C. T., Datar, S. M., &amp; Rajan, M. V. (2011). Cost accounting: a managerial emphasis. Prentice Hall.</w:t>
      </w:r>
    </w:p>
    <w:p w14:paraId="40AD9BA4" w14:textId="77777777" w:rsidR="00BE0D83" w:rsidRDefault="00BE0D83" w:rsidP="0006684D">
      <w:pPr>
        <w:numPr>
          <w:ilvl w:val="0"/>
          <w:numId w:val="2"/>
        </w:numPr>
      </w:pPr>
      <w:r>
        <w:t>Horngren, C.T., Datar, S.M., &amp; Rajan, M.V. (2018). Cost Accounting: A Managerial Emphasis (16th ed.). Pearson Education Limited.</w:t>
      </w:r>
    </w:p>
    <w:p w14:paraId="5F38C8B4" w14:textId="77777777" w:rsidR="00BE0D83" w:rsidRDefault="00BE0D83" w:rsidP="006A450A">
      <w:pPr>
        <w:numPr>
          <w:ilvl w:val="0"/>
          <w:numId w:val="2"/>
        </w:numPr>
      </w:pPr>
      <w:r w:rsidRPr="006A450A">
        <w:lastRenderedPageBreak/>
        <w:t>Kaplan, R. S., &amp; Norton, D. P. (1996). The balanced scorecard: Translating strategy into action. Harvard Business Press.</w:t>
      </w:r>
    </w:p>
    <w:p w14:paraId="20789156" w14:textId="77777777" w:rsidR="00BE0D83" w:rsidRDefault="00BE0D83" w:rsidP="004500F0">
      <w:pPr>
        <w:numPr>
          <w:ilvl w:val="0"/>
          <w:numId w:val="2"/>
        </w:numPr>
      </w:pPr>
      <w:r>
        <w:t>Kaplan, R. S., &amp; Norton, D. P. (2005). The balanced scorecard: measures that drive performance. Harvard Business Press.</w:t>
      </w:r>
    </w:p>
    <w:p w14:paraId="4C6C51F4" w14:textId="77777777" w:rsidR="00BE0D83" w:rsidRDefault="00BE0D83" w:rsidP="003C7672">
      <w:pPr>
        <w:numPr>
          <w:ilvl w:val="0"/>
          <w:numId w:val="2"/>
        </w:numPr>
      </w:pPr>
      <w:r>
        <w:t xml:space="preserve">Kimmel, P.D., Weygandt, J.J. and </w:t>
      </w:r>
      <w:proofErr w:type="spellStart"/>
      <w:r>
        <w:t>Kieso</w:t>
      </w:r>
      <w:proofErr w:type="spellEnd"/>
      <w:r>
        <w:t>, D.E. (2019). Accounting : tools for business decision making. John Wiley &amp; Sons.</w:t>
      </w:r>
    </w:p>
    <w:p w14:paraId="7290E2F1" w14:textId="77777777" w:rsidR="00BE0D83" w:rsidRPr="006A450A" w:rsidRDefault="00BE0D83" w:rsidP="006A450A">
      <w:pPr>
        <w:numPr>
          <w:ilvl w:val="0"/>
          <w:numId w:val="2"/>
        </w:numPr>
      </w:pPr>
      <w:r w:rsidRPr="006A450A">
        <w:t>Lawrence, P. R., &amp; Lorsch, J. W. (1967). Differentiation and integration in complex organizations. Administrative science quarterly, 1(1), 1-47.</w:t>
      </w:r>
    </w:p>
    <w:p w14:paraId="3B5F2792" w14:textId="77777777" w:rsidR="00BE0D83" w:rsidRDefault="00BE0D83" w:rsidP="00045FB0">
      <w:pPr>
        <w:numPr>
          <w:ilvl w:val="0"/>
          <w:numId w:val="2"/>
        </w:numPr>
      </w:pPr>
      <w:r>
        <w:t>Leinwand, P., Cesare Mainardi and Kleiner, A. (2016). Strategy that works : how winning companies close the strategy-to-execution gap. Boston, Ma: Harvard Business Review Press</w:t>
      </w:r>
    </w:p>
    <w:p w14:paraId="4C7DD4CB" w14:textId="77777777" w:rsidR="00BE0D83" w:rsidRDefault="00BE0D83" w:rsidP="00E42681">
      <w:pPr>
        <w:numPr>
          <w:ilvl w:val="0"/>
          <w:numId w:val="2"/>
        </w:numPr>
      </w:pPr>
      <w:r w:rsidRPr="001F236B">
        <w:t xml:space="preserve">M W E </w:t>
      </w:r>
      <w:proofErr w:type="spellStart"/>
      <w:r w:rsidRPr="001F236B">
        <w:t>Glautier</w:t>
      </w:r>
      <w:proofErr w:type="spellEnd"/>
      <w:r w:rsidRPr="001F236B">
        <w:t>, Underdown, B. and Morris, D. (2011). Accounting theory and practice. Harlow: Financial Times Prentice Hall.</w:t>
      </w:r>
    </w:p>
    <w:p w14:paraId="125957E6" w14:textId="77777777" w:rsidR="00BE0D83" w:rsidRDefault="00BE0D83" w:rsidP="00F72839">
      <w:pPr>
        <w:numPr>
          <w:ilvl w:val="0"/>
          <w:numId w:val="2"/>
        </w:numPr>
      </w:pPr>
      <w:r w:rsidRPr="00BE0D83">
        <w:t>Marr, B. (2012). Key performance indicators : the 75 measures every manager needs to know. Harlow, England ; New York: Pearson Financial Times Pub</w:t>
      </w:r>
      <w:r>
        <w:t>.</w:t>
      </w:r>
    </w:p>
    <w:p w14:paraId="088DD877" w14:textId="77777777" w:rsidR="00BE0D83" w:rsidRDefault="00BE0D83" w:rsidP="00CE251A">
      <w:pPr>
        <w:numPr>
          <w:ilvl w:val="0"/>
          <w:numId w:val="2"/>
        </w:numPr>
      </w:pPr>
      <w:r w:rsidRPr="00CE251A">
        <w:t>Marr, B. (2013), Key Performance Indicators (KPI), Harlow: Pearson</w:t>
      </w:r>
      <w:r>
        <w:t>.</w:t>
      </w:r>
    </w:p>
    <w:p w14:paraId="44B612C4" w14:textId="77777777" w:rsidR="00BE0D83" w:rsidRDefault="00BE0D83" w:rsidP="00D52211">
      <w:pPr>
        <w:numPr>
          <w:ilvl w:val="0"/>
          <w:numId w:val="2"/>
        </w:numPr>
      </w:pPr>
      <w:r>
        <w:t>Mayo, H.B. (2015). Basic Finance: An Introduction to Financial Institutions, Investments, and Management. Cengage Learning</w:t>
      </w:r>
    </w:p>
    <w:p w14:paraId="17FAB243" w14:textId="77777777" w:rsidR="00BE0D83" w:rsidRDefault="00BE0D83" w:rsidP="00F72839">
      <w:pPr>
        <w:numPr>
          <w:ilvl w:val="0"/>
          <w:numId w:val="2"/>
        </w:numPr>
      </w:pPr>
      <w:r>
        <w:t>R S N Pillai and Kala, S. (2013). Principles and practice of management. New Delhi: S Chand</w:t>
      </w:r>
    </w:p>
    <w:p w14:paraId="07956BA4" w14:textId="77777777" w:rsidR="00BE0D83" w:rsidRDefault="00BE0D83" w:rsidP="00CE251A">
      <w:pPr>
        <w:numPr>
          <w:ilvl w:val="0"/>
          <w:numId w:val="2"/>
        </w:numPr>
      </w:pPr>
      <w:r w:rsidRPr="00CE251A">
        <w:t>Seal, W., Garrison, R.H, and Noreen, E. (2018), Management Accounting, (Sixth Edition), UK: McGraw Hill</w:t>
      </w:r>
      <w:r>
        <w:t>.</w:t>
      </w:r>
    </w:p>
    <w:p w14:paraId="0A4F2801" w14:textId="77777777" w:rsidR="00BE0D83" w:rsidRDefault="00BE0D83" w:rsidP="003C7672">
      <w:pPr>
        <w:numPr>
          <w:ilvl w:val="0"/>
          <w:numId w:val="2"/>
        </w:numPr>
      </w:pPr>
      <w:r>
        <w:t>Seal, W., Rohde, C., Garrison, R. and Noreen, E. (2018). EBOOK: Management Accounting, 6e. McGraw-Hill Education (UK)</w:t>
      </w:r>
    </w:p>
    <w:p w14:paraId="19BE7566" w14:textId="77777777" w:rsidR="00BE0D83" w:rsidRDefault="00BE0D83" w:rsidP="00045FB0">
      <w:pPr>
        <w:numPr>
          <w:ilvl w:val="0"/>
          <w:numId w:val="2"/>
        </w:numPr>
      </w:pPr>
      <w:r w:rsidRPr="00E55B18">
        <w:t xml:space="preserve">Staff, A.T.E. (2022). What’s the Profit Margin on Shoes? - </w:t>
      </w:r>
      <w:proofErr w:type="spellStart"/>
      <w:r w:rsidRPr="00E55B18">
        <w:t>ThreadCurve</w:t>
      </w:r>
      <w:proofErr w:type="spellEnd"/>
      <w:r w:rsidRPr="00E55B18">
        <w:t>. [online] Thread Curve. Available at: https://threadcurve.com/whats-the-profit-margin-on-shoes/ [Accessed 29 Mar. 2023]</w:t>
      </w:r>
    </w:p>
    <w:p w14:paraId="3AAA8506" w14:textId="77777777" w:rsidR="00BE0D83" w:rsidRDefault="00BE0D83" w:rsidP="00D52211">
      <w:pPr>
        <w:numPr>
          <w:ilvl w:val="0"/>
          <w:numId w:val="2"/>
        </w:numPr>
      </w:pPr>
      <w:r>
        <w:t>Sudhindra Bhat (2008). Financial management : principles and practice. New Delhi: Excel Books</w:t>
      </w:r>
    </w:p>
    <w:p w14:paraId="3ABE0F25" w14:textId="77777777" w:rsidR="00BE0D83" w:rsidRDefault="00BE0D83" w:rsidP="00663888">
      <w:pPr>
        <w:numPr>
          <w:ilvl w:val="0"/>
          <w:numId w:val="2"/>
        </w:numPr>
      </w:pPr>
      <w:r>
        <w:t>Tracy, T.C. and Tracy, J.A. (2012). Cash flow for dummies. Hoboken, N.J.: Wiley ; Chichester.</w:t>
      </w:r>
    </w:p>
    <w:p w14:paraId="2857E1B9" w14:textId="77777777" w:rsidR="00BE0D83" w:rsidRPr="006A450A" w:rsidRDefault="00BE0D83" w:rsidP="006A450A">
      <w:pPr>
        <w:numPr>
          <w:ilvl w:val="0"/>
          <w:numId w:val="2"/>
        </w:numPr>
      </w:pPr>
      <w:r w:rsidRPr="006A450A">
        <w:t>Van Horne, J. C., &amp; Wachowicz Jr, J. M. (2004). Fundamentals of financial management. Pearson Education.</w:t>
      </w:r>
    </w:p>
    <w:p w14:paraId="4E7B4388" w14:textId="77777777" w:rsidR="00BE0D83" w:rsidRDefault="00BE0D83" w:rsidP="00BE0D83">
      <w:pPr>
        <w:numPr>
          <w:ilvl w:val="0"/>
          <w:numId w:val="2"/>
        </w:numPr>
      </w:pPr>
      <w:r>
        <w:t>Van Horne, J.C., &amp; Wachowicz, J.M. (2018). Fundamentals of Financial Management (15th ed.). Pearson Education Limited.</w:t>
      </w:r>
    </w:p>
    <w:p w14:paraId="69DAA3A0" w14:textId="77777777" w:rsidR="00BE0D83" w:rsidRDefault="00BE0D83" w:rsidP="00CE251A">
      <w:pPr>
        <w:numPr>
          <w:ilvl w:val="0"/>
          <w:numId w:val="2"/>
        </w:numPr>
      </w:pPr>
      <w:r w:rsidRPr="00CE251A">
        <w:t>Walsh, C. (2008), Key Management Ratios, (Fourth Edition), UK: Prentice Hall</w:t>
      </w:r>
      <w:r>
        <w:t>.</w:t>
      </w:r>
    </w:p>
    <w:p w14:paraId="7F890C1F" w14:textId="6B1CA948"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B3203"/>
    <w:multiLevelType w:val="multilevel"/>
    <w:tmpl w:val="C7688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9A27956"/>
    <w:multiLevelType w:val="hybridMultilevel"/>
    <w:tmpl w:val="1400AE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num w:numId="1" w16cid:durableId="1441024678">
    <w:abstractNumId w:val="2"/>
  </w:num>
  <w:num w:numId="2" w16cid:durableId="1290164373">
    <w:abstractNumId w:val="0"/>
  </w:num>
  <w:num w:numId="3" w16cid:durableId="8646357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45FB0"/>
    <w:rsid w:val="00066818"/>
    <w:rsid w:val="0006684D"/>
    <w:rsid w:val="00084E65"/>
    <w:rsid w:val="000C115B"/>
    <w:rsid w:val="000E5CB4"/>
    <w:rsid w:val="00107936"/>
    <w:rsid w:val="00115B96"/>
    <w:rsid w:val="0017728F"/>
    <w:rsid w:val="0019146B"/>
    <w:rsid w:val="001B648A"/>
    <w:rsid w:val="001D749F"/>
    <w:rsid w:val="001F236B"/>
    <w:rsid w:val="00200805"/>
    <w:rsid w:val="00274F44"/>
    <w:rsid w:val="002968EC"/>
    <w:rsid w:val="002A0098"/>
    <w:rsid w:val="002C43E3"/>
    <w:rsid w:val="00324CCD"/>
    <w:rsid w:val="00333F49"/>
    <w:rsid w:val="00340667"/>
    <w:rsid w:val="00362323"/>
    <w:rsid w:val="00364FA0"/>
    <w:rsid w:val="003A04D9"/>
    <w:rsid w:val="003C7672"/>
    <w:rsid w:val="003E35E8"/>
    <w:rsid w:val="003E55A7"/>
    <w:rsid w:val="00410513"/>
    <w:rsid w:val="004500F0"/>
    <w:rsid w:val="00480872"/>
    <w:rsid w:val="004A11F6"/>
    <w:rsid w:val="004D519C"/>
    <w:rsid w:val="004E6BD3"/>
    <w:rsid w:val="004F151A"/>
    <w:rsid w:val="00505BB5"/>
    <w:rsid w:val="00517DE4"/>
    <w:rsid w:val="00582570"/>
    <w:rsid w:val="005845DC"/>
    <w:rsid w:val="00591872"/>
    <w:rsid w:val="005A457D"/>
    <w:rsid w:val="005D6722"/>
    <w:rsid w:val="005F24F7"/>
    <w:rsid w:val="00662802"/>
    <w:rsid w:val="00663888"/>
    <w:rsid w:val="00667868"/>
    <w:rsid w:val="00670080"/>
    <w:rsid w:val="006A450A"/>
    <w:rsid w:val="006D09BF"/>
    <w:rsid w:val="006E0906"/>
    <w:rsid w:val="00762891"/>
    <w:rsid w:val="00773D43"/>
    <w:rsid w:val="00777D6A"/>
    <w:rsid w:val="007834EB"/>
    <w:rsid w:val="007B7BA1"/>
    <w:rsid w:val="007C6ADD"/>
    <w:rsid w:val="007D1947"/>
    <w:rsid w:val="00814F6A"/>
    <w:rsid w:val="0082556C"/>
    <w:rsid w:val="0089260D"/>
    <w:rsid w:val="00892E8E"/>
    <w:rsid w:val="0089655F"/>
    <w:rsid w:val="008D25D7"/>
    <w:rsid w:val="008F4B79"/>
    <w:rsid w:val="00901992"/>
    <w:rsid w:val="00931CAA"/>
    <w:rsid w:val="009750B9"/>
    <w:rsid w:val="009B5C88"/>
    <w:rsid w:val="00A12B58"/>
    <w:rsid w:val="00A133EE"/>
    <w:rsid w:val="00A7028C"/>
    <w:rsid w:val="00AA2A91"/>
    <w:rsid w:val="00AB28A6"/>
    <w:rsid w:val="00AC4642"/>
    <w:rsid w:val="00B322A7"/>
    <w:rsid w:val="00B76727"/>
    <w:rsid w:val="00BE0D83"/>
    <w:rsid w:val="00C017FF"/>
    <w:rsid w:val="00C329C2"/>
    <w:rsid w:val="00CA09F3"/>
    <w:rsid w:val="00CA553D"/>
    <w:rsid w:val="00CB0125"/>
    <w:rsid w:val="00CB7FD3"/>
    <w:rsid w:val="00CC63C5"/>
    <w:rsid w:val="00CD0203"/>
    <w:rsid w:val="00CD0CF1"/>
    <w:rsid w:val="00CE251A"/>
    <w:rsid w:val="00D23FA1"/>
    <w:rsid w:val="00D52211"/>
    <w:rsid w:val="00D7069E"/>
    <w:rsid w:val="00D854A5"/>
    <w:rsid w:val="00DA3AB1"/>
    <w:rsid w:val="00DB4FEA"/>
    <w:rsid w:val="00DD1267"/>
    <w:rsid w:val="00DF1112"/>
    <w:rsid w:val="00E26602"/>
    <w:rsid w:val="00E329A5"/>
    <w:rsid w:val="00E42681"/>
    <w:rsid w:val="00E477B8"/>
    <w:rsid w:val="00E55B18"/>
    <w:rsid w:val="00F15BE7"/>
    <w:rsid w:val="00F72839"/>
    <w:rsid w:val="00FB16E6"/>
    <w:rsid w:val="00FD1B27"/>
    <w:rsid w:val="00FF22C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401333">
      <w:bodyDiv w:val="1"/>
      <w:marLeft w:val="0"/>
      <w:marRight w:val="0"/>
      <w:marTop w:val="0"/>
      <w:marBottom w:val="0"/>
      <w:divBdr>
        <w:top w:val="none" w:sz="0" w:space="0" w:color="auto"/>
        <w:left w:val="none" w:sz="0" w:space="0" w:color="auto"/>
        <w:bottom w:val="none" w:sz="0" w:space="0" w:color="auto"/>
        <w:right w:val="none" w:sz="0" w:space="0" w:color="auto"/>
      </w:divBdr>
    </w:div>
    <w:div w:id="1065029359">
      <w:bodyDiv w:val="1"/>
      <w:marLeft w:val="0"/>
      <w:marRight w:val="0"/>
      <w:marTop w:val="0"/>
      <w:marBottom w:val="0"/>
      <w:divBdr>
        <w:top w:val="none" w:sz="0" w:space="0" w:color="auto"/>
        <w:left w:val="none" w:sz="0" w:space="0" w:color="auto"/>
        <w:bottom w:val="none" w:sz="0" w:space="0" w:color="auto"/>
        <w:right w:val="none" w:sz="0" w:space="0" w:color="auto"/>
      </w:divBdr>
    </w:div>
    <w:div w:id="131494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2A3215"/>
    <w:rsid w:val="003203C2"/>
    <w:rsid w:val="004D2315"/>
    <w:rsid w:val="004D25D2"/>
    <w:rsid w:val="008232E9"/>
    <w:rsid w:val="00A34C42"/>
    <w:rsid w:val="00BC1251"/>
    <w:rsid w:val="00C41F65"/>
    <w:rsid w:val="00C67429"/>
    <w:rsid w:val="00DB4034"/>
    <w:rsid w:val="00E00C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eb28e5e6061830d84be265fbb7791b57">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4224d02f9229432d46e9482a974fe2d1"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C0AA7B9-34D4-4FE0-8943-F573C5C092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customXml/itemProps4.xml><?xml version="1.0" encoding="utf-8"?>
<ds:datastoreItem xmlns:ds="http://schemas.openxmlformats.org/officeDocument/2006/customXml" ds:itemID="{635E69FF-CDE4-4C9F-90F1-CA9BBFC8C812}">
  <ds:schemaRefs>
    <ds:schemaRef ds:uri="http://schemas.microsoft.com/office/2006/metadata/properties"/>
    <ds:schemaRef ds:uri="http://schemas.microsoft.com/office/infopath/2007/PartnerControls"/>
    <ds:schemaRef ds:uri="95817cb9-f0eb-4f4d-892c-47ab9f8957c0"/>
  </ds:schemaRefs>
</ds:datastoreItem>
</file>

<file path=customXml/itemProps5.xml><?xml version="1.0" encoding="utf-8"?>
<ds:datastoreItem xmlns:ds="http://schemas.openxmlformats.org/officeDocument/2006/customXml" ds:itemID="{0C774DDC-8B68-41CF-A5D6-B0F3456F541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15</Pages>
  <Words>4899</Words>
  <Characters>27930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Budgeting principals and approaches</vt:lpstr>
    </vt:vector>
  </TitlesOfParts>
  <Company>University of Wales Trinity Saint David</Company>
  <LinksUpToDate>false</LinksUpToDate>
  <CharactersWithSpaces>32764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Budgeting principals and approaches</dc:title>
  <dc:subject>Andrei Selaru 2112461</dc:subject>
  <dc:creator>Marie Pitson</dc:creator>
  <cp:keywords/>
  <dc:description/>
  <cp:lastModifiedBy>Andrei Selaru</cp:lastModifiedBy>
  <cp:revision>14</cp:revision>
  <dcterms:created xsi:type="dcterms:W3CDTF">2023-03-28T14:04:00Z</dcterms:created>
  <dcterms:modified xsi:type="dcterms:W3CDTF">2023-03-30T12:34:00Z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2bb1f497034e1f52fbebf1775edcf19220bb04876070328ed2ce19fbada00f82</vt:lpwstr>
  </property>
  <property fmtid="{D5CDD505-2E9C-101B-9397-08002B2CF9AE}" pid="3" name="ContentTypeId">
    <vt:lpwstr>0x0101002F3C2EEDB3FECD489FE6CB8E237B85C0</vt:lpwstr>
  </property>
</Properties>
</file>