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3506DB" w14:textId="77777777" w:rsidR="00381318" w:rsidRPr="00187E90" w:rsidRDefault="00381318" w:rsidP="00187E90">
      <w:pPr>
        <w:pStyle w:val="NormalWeb"/>
        <w:spacing w:before="0" w:after="0" w:line="360" w:lineRule="auto"/>
        <w:jc w:val="both"/>
        <w:rPr>
          <w:rFonts w:asciiTheme="minorHAnsi" w:hAnsiTheme="minorHAnsi" w:cstheme="minorHAnsi"/>
          <w:color w:val="000000"/>
          <w:sz w:val="22"/>
          <w:szCs w:val="22"/>
        </w:rPr>
      </w:pPr>
    </w:p>
    <w:p w14:paraId="143506DC" w14:textId="77777777" w:rsidR="00381318" w:rsidRPr="00187E90" w:rsidRDefault="00381318" w:rsidP="00187E90">
      <w:pPr>
        <w:pStyle w:val="NormalWeb"/>
        <w:spacing w:before="0" w:after="0" w:line="360" w:lineRule="auto"/>
        <w:jc w:val="both"/>
        <w:rPr>
          <w:rFonts w:asciiTheme="minorHAnsi" w:hAnsiTheme="minorHAnsi" w:cstheme="minorHAnsi"/>
          <w:color w:val="000000"/>
          <w:sz w:val="22"/>
          <w:szCs w:val="22"/>
        </w:rPr>
      </w:pPr>
    </w:p>
    <w:p w14:paraId="143506DD" w14:textId="77777777" w:rsidR="00381318" w:rsidRPr="00187E90" w:rsidRDefault="00381318" w:rsidP="00187E90">
      <w:pPr>
        <w:pStyle w:val="NormalWeb"/>
        <w:spacing w:before="0" w:after="0" w:line="360" w:lineRule="auto"/>
        <w:jc w:val="both"/>
        <w:rPr>
          <w:rFonts w:asciiTheme="minorHAnsi" w:hAnsiTheme="minorHAnsi" w:cstheme="minorHAnsi"/>
          <w:color w:val="000000"/>
          <w:sz w:val="22"/>
          <w:szCs w:val="22"/>
        </w:rPr>
      </w:pPr>
    </w:p>
    <w:p w14:paraId="143506DE" w14:textId="77777777" w:rsidR="00381318" w:rsidRPr="00187E90" w:rsidRDefault="00381318" w:rsidP="00187E90">
      <w:pPr>
        <w:pStyle w:val="NormalWeb"/>
        <w:spacing w:before="0" w:after="0" w:line="360" w:lineRule="auto"/>
        <w:jc w:val="both"/>
        <w:rPr>
          <w:rFonts w:asciiTheme="minorHAnsi" w:hAnsiTheme="minorHAnsi" w:cstheme="minorHAnsi"/>
          <w:color w:val="000000"/>
          <w:sz w:val="22"/>
          <w:szCs w:val="22"/>
        </w:rPr>
      </w:pPr>
    </w:p>
    <w:p w14:paraId="143506DF" w14:textId="77777777" w:rsidR="00381318" w:rsidRPr="00187E90" w:rsidRDefault="00381318" w:rsidP="00187E90">
      <w:pPr>
        <w:pStyle w:val="NormalWeb"/>
        <w:spacing w:before="0" w:after="0" w:line="360" w:lineRule="auto"/>
        <w:jc w:val="both"/>
        <w:rPr>
          <w:rFonts w:asciiTheme="minorHAnsi" w:hAnsiTheme="minorHAnsi" w:cstheme="minorHAnsi"/>
          <w:color w:val="000000"/>
          <w:sz w:val="22"/>
          <w:szCs w:val="22"/>
        </w:rPr>
      </w:pPr>
    </w:p>
    <w:p w14:paraId="143506E0" w14:textId="77777777" w:rsidR="00381318" w:rsidRPr="00187E90" w:rsidRDefault="00381318" w:rsidP="00187E90">
      <w:pPr>
        <w:pStyle w:val="NormalWeb"/>
        <w:spacing w:before="0" w:after="0" w:line="360" w:lineRule="auto"/>
        <w:jc w:val="both"/>
        <w:rPr>
          <w:rFonts w:asciiTheme="minorHAnsi" w:hAnsiTheme="minorHAnsi" w:cstheme="minorHAnsi"/>
          <w:color w:val="000000"/>
          <w:sz w:val="22"/>
          <w:szCs w:val="22"/>
        </w:rPr>
      </w:pPr>
    </w:p>
    <w:p w14:paraId="143506E1" w14:textId="77777777" w:rsidR="00381318" w:rsidRPr="00187E90" w:rsidRDefault="00894E9D" w:rsidP="00187E90">
      <w:pPr>
        <w:pStyle w:val="NormalWeb"/>
        <w:spacing w:before="0" w:after="0" w:line="360" w:lineRule="auto"/>
        <w:jc w:val="center"/>
        <w:rPr>
          <w:rFonts w:asciiTheme="minorHAnsi" w:hAnsiTheme="minorHAnsi" w:cstheme="minorHAnsi"/>
          <w:sz w:val="22"/>
          <w:szCs w:val="22"/>
        </w:rPr>
      </w:pPr>
      <w:r w:rsidRPr="00187E90">
        <w:rPr>
          <w:rFonts w:asciiTheme="minorHAnsi" w:hAnsiTheme="minorHAnsi" w:cstheme="minorHAnsi"/>
          <w:color w:val="000000"/>
          <w:sz w:val="22"/>
          <w:szCs w:val="22"/>
        </w:rPr>
        <w:t>STRATEGIC MANAGEMENT and SUSTAINABILITY - TESCO PLC</w:t>
      </w:r>
    </w:p>
    <w:p w14:paraId="143506E2" w14:textId="249D5A81" w:rsidR="00381318" w:rsidRPr="00187E90" w:rsidRDefault="00894E9D" w:rsidP="00187E90">
      <w:pPr>
        <w:pStyle w:val="NormalWeb"/>
        <w:spacing w:before="0" w:after="0" w:line="360" w:lineRule="auto"/>
        <w:jc w:val="center"/>
        <w:rPr>
          <w:rFonts w:asciiTheme="minorHAnsi" w:hAnsiTheme="minorHAnsi" w:cstheme="minorHAnsi"/>
          <w:sz w:val="22"/>
          <w:szCs w:val="22"/>
        </w:rPr>
      </w:pPr>
      <w:r w:rsidRPr="00187E90">
        <w:rPr>
          <w:rFonts w:asciiTheme="minorHAnsi" w:hAnsiTheme="minorHAnsi" w:cstheme="minorHAnsi"/>
          <w:color w:val="000000"/>
          <w:sz w:val="22"/>
          <w:szCs w:val="22"/>
        </w:rPr>
        <w:t xml:space="preserve">by </w:t>
      </w:r>
      <w:r w:rsidR="00647236" w:rsidRPr="00187E90">
        <w:rPr>
          <w:rFonts w:asciiTheme="minorHAnsi" w:hAnsiTheme="minorHAnsi" w:cstheme="minorHAnsi"/>
          <w:color w:val="000000"/>
          <w:sz w:val="22"/>
          <w:szCs w:val="22"/>
        </w:rPr>
        <w:t>Ibrahim Gazi</w:t>
      </w:r>
    </w:p>
    <w:p w14:paraId="143506E3" w14:textId="77777777" w:rsidR="00381318" w:rsidRPr="00187E90" w:rsidRDefault="00381318" w:rsidP="00187E90">
      <w:pPr>
        <w:pStyle w:val="NormalWeb"/>
        <w:spacing w:before="0" w:after="0" w:line="360" w:lineRule="auto"/>
        <w:jc w:val="both"/>
        <w:rPr>
          <w:rFonts w:asciiTheme="minorHAnsi" w:hAnsiTheme="minorHAnsi" w:cstheme="minorHAnsi"/>
          <w:color w:val="000000"/>
          <w:sz w:val="22"/>
          <w:szCs w:val="22"/>
        </w:rPr>
      </w:pPr>
    </w:p>
    <w:p w14:paraId="4A404625"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7DFB0986"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558B2931"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6EB10A1A"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03D53210"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60B580CA"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51C7D7EF"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5EFD6D8E"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0C85CF1D"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07BB29D6"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741FCB69"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53DD505A"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4CA5F7C7"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4BA7ED56" w14:textId="77777777" w:rsidR="000B4AE1" w:rsidRDefault="000B4AE1" w:rsidP="00187E90">
      <w:pPr>
        <w:pStyle w:val="NormalWeb"/>
        <w:spacing w:before="0" w:after="0" w:line="360" w:lineRule="auto"/>
        <w:jc w:val="both"/>
        <w:rPr>
          <w:rFonts w:asciiTheme="minorHAnsi" w:hAnsiTheme="minorHAnsi" w:cstheme="minorHAnsi"/>
          <w:color w:val="000000"/>
          <w:sz w:val="22"/>
          <w:szCs w:val="22"/>
        </w:rPr>
      </w:pPr>
    </w:p>
    <w:p w14:paraId="4ED63928" w14:textId="77777777" w:rsidR="00187E90" w:rsidRDefault="00187E90" w:rsidP="00187E90">
      <w:pPr>
        <w:pStyle w:val="NormalWeb"/>
        <w:spacing w:before="0" w:after="0" w:line="360" w:lineRule="auto"/>
        <w:jc w:val="both"/>
        <w:rPr>
          <w:rFonts w:asciiTheme="minorHAnsi" w:hAnsiTheme="minorHAnsi" w:cstheme="minorHAnsi"/>
          <w:color w:val="000000"/>
          <w:sz w:val="22"/>
          <w:szCs w:val="22"/>
        </w:rPr>
      </w:pPr>
    </w:p>
    <w:p w14:paraId="52C121E1" w14:textId="77777777" w:rsidR="00187E90" w:rsidRDefault="00187E90" w:rsidP="00187E90">
      <w:pPr>
        <w:pStyle w:val="NormalWeb"/>
        <w:spacing w:before="0" w:after="0" w:line="360" w:lineRule="auto"/>
        <w:jc w:val="both"/>
        <w:rPr>
          <w:rFonts w:asciiTheme="minorHAnsi" w:hAnsiTheme="minorHAnsi" w:cstheme="minorHAnsi"/>
          <w:color w:val="000000"/>
          <w:sz w:val="22"/>
          <w:szCs w:val="22"/>
        </w:rPr>
      </w:pPr>
    </w:p>
    <w:p w14:paraId="15EF0EC6" w14:textId="77777777" w:rsidR="00187E90" w:rsidRDefault="00187E90" w:rsidP="00187E90">
      <w:pPr>
        <w:pStyle w:val="NormalWeb"/>
        <w:spacing w:before="0" w:after="0" w:line="360" w:lineRule="auto"/>
        <w:jc w:val="both"/>
        <w:rPr>
          <w:rFonts w:asciiTheme="minorHAnsi" w:hAnsiTheme="minorHAnsi" w:cstheme="minorHAnsi"/>
          <w:color w:val="000000"/>
          <w:sz w:val="22"/>
          <w:szCs w:val="22"/>
        </w:rPr>
      </w:pPr>
    </w:p>
    <w:p w14:paraId="6AE2511E" w14:textId="77777777" w:rsidR="00187E90" w:rsidRDefault="00187E90" w:rsidP="00187E90">
      <w:pPr>
        <w:pStyle w:val="NormalWeb"/>
        <w:spacing w:before="0" w:after="0" w:line="360" w:lineRule="auto"/>
        <w:jc w:val="both"/>
        <w:rPr>
          <w:rFonts w:asciiTheme="minorHAnsi" w:hAnsiTheme="minorHAnsi" w:cstheme="minorHAnsi"/>
          <w:color w:val="000000"/>
          <w:sz w:val="22"/>
          <w:szCs w:val="22"/>
        </w:rPr>
      </w:pPr>
    </w:p>
    <w:p w14:paraId="71D8577C" w14:textId="77777777" w:rsidR="00187E90" w:rsidRPr="00187E90" w:rsidRDefault="00187E90" w:rsidP="00187E90">
      <w:pPr>
        <w:pStyle w:val="NormalWeb"/>
        <w:spacing w:before="0" w:after="0" w:line="360" w:lineRule="auto"/>
        <w:jc w:val="both"/>
        <w:rPr>
          <w:rFonts w:asciiTheme="minorHAnsi" w:hAnsiTheme="minorHAnsi" w:cstheme="minorHAnsi"/>
          <w:color w:val="000000"/>
          <w:sz w:val="22"/>
          <w:szCs w:val="22"/>
        </w:rPr>
      </w:pPr>
    </w:p>
    <w:p w14:paraId="782E4524" w14:textId="77777777" w:rsidR="000B4AE1" w:rsidRPr="00187E90" w:rsidRDefault="000B4AE1" w:rsidP="00187E90">
      <w:pPr>
        <w:pStyle w:val="NormalWeb"/>
        <w:spacing w:before="0" w:after="0" w:line="360" w:lineRule="auto"/>
        <w:jc w:val="both"/>
        <w:rPr>
          <w:rFonts w:asciiTheme="minorHAnsi" w:hAnsiTheme="minorHAnsi" w:cstheme="minorHAnsi"/>
          <w:color w:val="000000"/>
          <w:sz w:val="22"/>
          <w:szCs w:val="22"/>
        </w:rPr>
      </w:pPr>
    </w:p>
    <w:p w14:paraId="143506E4" w14:textId="63855AED" w:rsidR="00381318" w:rsidRPr="00187E90" w:rsidRDefault="00C1721A" w:rsidP="00187E90">
      <w:pPr>
        <w:pStyle w:val="NormalWeb"/>
        <w:spacing w:before="0" w:after="0" w:line="360" w:lineRule="auto"/>
        <w:jc w:val="both"/>
        <w:rPr>
          <w:rFonts w:asciiTheme="minorHAnsi" w:hAnsiTheme="minorHAnsi" w:cstheme="minorHAnsi"/>
          <w:sz w:val="22"/>
          <w:szCs w:val="22"/>
        </w:rPr>
      </w:pPr>
      <w:r w:rsidRPr="00187E90">
        <w:rPr>
          <w:rFonts w:asciiTheme="minorHAnsi" w:hAnsiTheme="minorHAnsi" w:cstheme="minorHAnsi"/>
          <w:color w:val="000000"/>
          <w:sz w:val="22"/>
          <w:szCs w:val="22"/>
        </w:rPr>
        <w:t>Module: SMS – LCBB6004</w:t>
      </w:r>
    </w:p>
    <w:p w14:paraId="143506E5" w14:textId="591B2854" w:rsidR="00381318" w:rsidRPr="00187E90" w:rsidRDefault="00C1721A" w:rsidP="00187E90">
      <w:pPr>
        <w:pStyle w:val="NormalWeb"/>
        <w:spacing w:before="0" w:after="0" w:line="360" w:lineRule="auto"/>
        <w:jc w:val="both"/>
        <w:rPr>
          <w:rFonts w:asciiTheme="minorHAnsi" w:hAnsiTheme="minorHAnsi" w:cstheme="minorHAnsi"/>
          <w:color w:val="000000"/>
          <w:sz w:val="22"/>
          <w:szCs w:val="22"/>
        </w:rPr>
      </w:pPr>
      <w:r w:rsidRPr="00187E90">
        <w:rPr>
          <w:rFonts w:asciiTheme="minorHAnsi" w:hAnsiTheme="minorHAnsi" w:cstheme="minorHAnsi"/>
          <w:color w:val="000000"/>
          <w:sz w:val="22"/>
          <w:szCs w:val="22"/>
        </w:rPr>
        <w:t xml:space="preserve">Lecturer: Stephen </w:t>
      </w:r>
      <w:r w:rsidR="00E441C8" w:rsidRPr="00187E90">
        <w:rPr>
          <w:rFonts w:asciiTheme="minorHAnsi" w:hAnsiTheme="minorHAnsi" w:cstheme="minorHAnsi"/>
          <w:color w:val="000000"/>
          <w:sz w:val="22"/>
          <w:szCs w:val="22"/>
        </w:rPr>
        <w:t>Asafo Agyei</w:t>
      </w:r>
    </w:p>
    <w:p w14:paraId="45F6AC44" w14:textId="1A500999" w:rsidR="00187E90" w:rsidRPr="00187E90" w:rsidRDefault="00187E90" w:rsidP="00187E90">
      <w:pPr>
        <w:pStyle w:val="NormalWeb"/>
        <w:spacing w:before="0" w:after="0" w:line="360" w:lineRule="auto"/>
        <w:jc w:val="both"/>
        <w:rPr>
          <w:rFonts w:asciiTheme="minorHAnsi" w:hAnsiTheme="minorHAnsi" w:cstheme="minorHAnsi"/>
          <w:sz w:val="22"/>
          <w:szCs w:val="22"/>
        </w:rPr>
      </w:pPr>
      <w:r w:rsidRPr="00187E90">
        <w:rPr>
          <w:rFonts w:asciiTheme="minorHAnsi" w:hAnsiTheme="minorHAnsi" w:cstheme="minorHAnsi"/>
          <w:color w:val="000000"/>
          <w:sz w:val="22"/>
          <w:szCs w:val="22"/>
        </w:rPr>
        <w:t>Student ID: 2018574</w:t>
      </w:r>
    </w:p>
    <w:p w14:paraId="143506E7" w14:textId="038A1430" w:rsidR="00381318" w:rsidRPr="00187E90" w:rsidRDefault="00E441C8" w:rsidP="00187E90">
      <w:pPr>
        <w:pStyle w:val="NormalWeb"/>
        <w:spacing w:before="0" w:after="0" w:line="360" w:lineRule="auto"/>
        <w:jc w:val="both"/>
        <w:rPr>
          <w:rFonts w:asciiTheme="minorHAnsi" w:hAnsiTheme="minorHAnsi" w:cstheme="minorHAnsi"/>
          <w:sz w:val="22"/>
          <w:szCs w:val="22"/>
        </w:rPr>
      </w:pPr>
      <w:r w:rsidRPr="00187E90">
        <w:rPr>
          <w:rFonts w:asciiTheme="minorHAnsi" w:hAnsiTheme="minorHAnsi" w:cstheme="minorHAnsi"/>
          <w:color w:val="000000"/>
          <w:sz w:val="22"/>
          <w:szCs w:val="22"/>
        </w:rPr>
        <w:t>UWTSD - London</w:t>
      </w:r>
    </w:p>
    <w:p w14:paraId="7FDE5C3B" w14:textId="0F2040E0" w:rsidR="00187E90" w:rsidRDefault="00187E90" w:rsidP="00187E90">
      <w:pPr>
        <w:pStyle w:val="NormalWeb"/>
        <w:spacing w:before="0" w:after="0" w:line="360" w:lineRule="auto"/>
        <w:jc w:val="both"/>
        <w:rPr>
          <w:rFonts w:asciiTheme="minorHAnsi" w:hAnsiTheme="minorHAnsi" w:cstheme="minorHAnsi"/>
          <w:color w:val="000000"/>
          <w:sz w:val="22"/>
          <w:szCs w:val="22"/>
        </w:rPr>
      </w:pPr>
      <w:r w:rsidRPr="00187E90">
        <w:rPr>
          <w:rFonts w:asciiTheme="minorHAnsi" w:hAnsiTheme="minorHAnsi" w:cstheme="minorHAnsi"/>
          <w:color w:val="000000"/>
          <w:sz w:val="22"/>
          <w:szCs w:val="22"/>
        </w:rPr>
        <w:t>August 2024</w:t>
      </w:r>
    </w:p>
    <w:p w14:paraId="60251C8E" w14:textId="77777777" w:rsidR="00187E90" w:rsidRPr="00187E90" w:rsidRDefault="00187E90" w:rsidP="00187E90">
      <w:pPr>
        <w:pStyle w:val="NormalWeb"/>
        <w:spacing w:before="0" w:after="0" w:line="480" w:lineRule="auto"/>
        <w:jc w:val="both"/>
        <w:rPr>
          <w:rFonts w:asciiTheme="minorHAnsi" w:hAnsiTheme="minorHAnsi" w:cstheme="minorHAnsi"/>
          <w:color w:val="000000"/>
          <w:sz w:val="22"/>
          <w:szCs w:val="22"/>
        </w:rPr>
      </w:pPr>
    </w:p>
    <w:sdt>
      <w:sdtPr>
        <w:rPr>
          <w:rFonts w:asciiTheme="minorHAnsi" w:eastAsia="Calibri" w:hAnsiTheme="minorHAnsi" w:cstheme="minorHAnsi"/>
          <w:b w:val="0"/>
          <w:sz w:val="22"/>
          <w:szCs w:val="22"/>
          <w:lang w:val="en-GB"/>
        </w:rPr>
        <w:id w:val="2021888561"/>
        <w:docPartObj>
          <w:docPartGallery w:val="Table of Contents"/>
          <w:docPartUnique/>
        </w:docPartObj>
      </w:sdtPr>
      <w:sdtEndPr/>
      <w:sdtContent>
        <w:p w14:paraId="143506E9" w14:textId="3E9D8122" w:rsidR="00381318" w:rsidRPr="00187E90" w:rsidRDefault="00894E9D" w:rsidP="00187E90">
          <w:pPr>
            <w:pStyle w:val="TOCHeading"/>
            <w:jc w:val="both"/>
            <w:rPr>
              <w:rFonts w:asciiTheme="minorHAnsi" w:hAnsiTheme="minorHAnsi" w:cstheme="minorHAnsi"/>
              <w:sz w:val="22"/>
              <w:szCs w:val="22"/>
              <w:lang w:val="en-GB"/>
            </w:rPr>
          </w:pPr>
          <w:r w:rsidRPr="00187E90">
            <w:rPr>
              <w:rFonts w:asciiTheme="minorHAnsi" w:hAnsiTheme="minorHAnsi" w:cstheme="minorHAnsi"/>
              <w:sz w:val="22"/>
              <w:szCs w:val="22"/>
              <w:lang w:val="en-GB"/>
            </w:rPr>
            <w:t>Table of Contents</w:t>
          </w:r>
        </w:p>
        <w:p w14:paraId="143506EA" w14:textId="77777777" w:rsidR="00381318" w:rsidRPr="00187E90" w:rsidRDefault="00894E9D" w:rsidP="00187E90">
          <w:pPr>
            <w:pStyle w:val="TOC1"/>
            <w:tabs>
              <w:tab w:val="clear" w:pos="9026"/>
              <w:tab w:val="right" w:leader="dot" w:pos="9360"/>
            </w:tabs>
            <w:jc w:val="both"/>
            <w:rPr>
              <w:rFonts w:asciiTheme="minorHAnsi" w:hAnsiTheme="minorHAnsi" w:cstheme="minorHAnsi"/>
              <w:sz w:val="22"/>
            </w:rPr>
          </w:pPr>
          <w:r w:rsidRPr="00187E90">
            <w:fldChar w:fldCharType="begin"/>
          </w:r>
          <w:r w:rsidRPr="00187E90">
            <w:rPr>
              <w:rStyle w:val="a0"/>
              <w:rFonts w:asciiTheme="minorHAnsi" w:hAnsiTheme="minorHAnsi" w:cstheme="minorHAnsi"/>
              <w:sz w:val="22"/>
            </w:rPr>
            <w:instrText xml:space="preserve"> TOC \f \o "1-9" \h</w:instrText>
          </w:r>
          <w:r w:rsidRPr="00187E90">
            <w:rPr>
              <w:rStyle w:val="a0"/>
              <w:rFonts w:asciiTheme="minorHAnsi" w:hAnsiTheme="minorHAnsi" w:cstheme="minorHAnsi"/>
              <w:sz w:val="22"/>
            </w:rPr>
            <w:fldChar w:fldCharType="separate"/>
          </w:r>
          <w:hyperlink w:anchor="__RefHeading___Toc817_145053426">
            <w:r w:rsidRPr="00187E90">
              <w:rPr>
                <w:rStyle w:val="a0"/>
                <w:rFonts w:asciiTheme="minorHAnsi" w:hAnsiTheme="minorHAnsi" w:cstheme="minorHAnsi"/>
                <w:sz w:val="22"/>
              </w:rPr>
              <w:t>Introduction</w:t>
            </w:r>
            <w:r w:rsidRPr="00187E90">
              <w:rPr>
                <w:rStyle w:val="a0"/>
                <w:rFonts w:asciiTheme="minorHAnsi" w:hAnsiTheme="minorHAnsi" w:cstheme="minorHAnsi"/>
                <w:sz w:val="22"/>
              </w:rPr>
              <w:tab/>
              <w:t>3</w:t>
            </w:r>
          </w:hyperlink>
        </w:p>
        <w:p w14:paraId="143506EB"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19_145053426">
            <w:r w:rsidR="00894E9D" w:rsidRPr="00187E90">
              <w:rPr>
                <w:rStyle w:val="a0"/>
                <w:rFonts w:asciiTheme="minorHAnsi" w:hAnsiTheme="minorHAnsi" w:cstheme="minorHAnsi"/>
                <w:sz w:val="22"/>
              </w:rPr>
              <w:t>Company Background</w:t>
            </w:r>
            <w:r w:rsidR="00894E9D" w:rsidRPr="00187E90">
              <w:rPr>
                <w:rStyle w:val="a0"/>
                <w:rFonts w:asciiTheme="minorHAnsi" w:hAnsiTheme="minorHAnsi" w:cstheme="minorHAnsi"/>
                <w:sz w:val="22"/>
              </w:rPr>
              <w:tab/>
              <w:t>3</w:t>
            </w:r>
          </w:hyperlink>
        </w:p>
        <w:p w14:paraId="143506EC"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21_145053426">
            <w:r w:rsidR="00894E9D" w:rsidRPr="00187E90">
              <w:rPr>
                <w:rStyle w:val="a0"/>
                <w:rFonts w:asciiTheme="minorHAnsi" w:hAnsiTheme="minorHAnsi" w:cstheme="minorHAnsi"/>
                <w:sz w:val="22"/>
              </w:rPr>
              <w:t>Main Body</w:t>
            </w:r>
            <w:r w:rsidR="00894E9D" w:rsidRPr="00187E90">
              <w:rPr>
                <w:rStyle w:val="a0"/>
                <w:rFonts w:asciiTheme="minorHAnsi" w:hAnsiTheme="minorHAnsi" w:cstheme="minorHAnsi"/>
                <w:sz w:val="22"/>
              </w:rPr>
              <w:tab/>
              <w:t>4</w:t>
            </w:r>
          </w:hyperlink>
        </w:p>
        <w:p w14:paraId="143506ED" w14:textId="77777777" w:rsidR="00381318" w:rsidRPr="00187E90" w:rsidRDefault="004F60F7" w:rsidP="00187E90">
          <w:pPr>
            <w:pStyle w:val="TOC2"/>
            <w:tabs>
              <w:tab w:val="clear" w:pos="9026"/>
              <w:tab w:val="right" w:leader="dot" w:pos="9360"/>
            </w:tabs>
            <w:jc w:val="both"/>
            <w:rPr>
              <w:rFonts w:asciiTheme="minorHAnsi" w:hAnsiTheme="minorHAnsi" w:cstheme="minorHAnsi"/>
              <w:sz w:val="22"/>
            </w:rPr>
          </w:pPr>
          <w:hyperlink w:anchor="__RefHeading___Toc823_145053426">
            <w:r w:rsidR="00894E9D" w:rsidRPr="00187E90">
              <w:rPr>
                <w:rStyle w:val="a0"/>
                <w:rFonts w:asciiTheme="minorHAnsi" w:hAnsiTheme="minorHAnsi" w:cstheme="minorHAnsi"/>
                <w:sz w:val="22"/>
              </w:rPr>
              <w:t>Identifying Key Business and Corporate Strategies</w:t>
            </w:r>
            <w:r w:rsidR="00894E9D" w:rsidRPr="00187E90">
              <w:rPr>
                <w:rStyle w:val="a0"/>
                <w:rFonts w:asciiTheme="minorHAnsi" w:hAnsiTheme="minorHAnsi" w:cstheme="minorHAnsi"/>
                <w:sz w:val="22"/>
              </w:rPr>
              <w:tab/>
              <w:t>4</w:t>
            </w:r>
          </w:hyperlink>
        </w:p>
        <w:p w14:paraId="143506EE"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25_145053426">
            <w:r w:rsidR="00894E9D" w:rsidRPr="00187E90">
              <w:rPr>
                <w:rStyle w:val="a0"/>
                <w:rFonts w:asciiTheme="minorHAnsi" w:hAnsiTheme="minorHAnsi" w:cstheme="minorHAnsi"/>
                <w:sz w:val="22"/>
              </w:rPr>
              <w:t>Porter's Generic Strategies</w:t>
            </w:r>
            <w:r w:rsidR="00894E9D" w:rsidRPr="00187E90">
              <w:rPr>
                <w:rStyle w:val="a0"/>
                <w:rFonts w:asciiTheme="minorHAnsi" w:hAnsiTheme="minorHAnsi" w:cstheme="minorHAnsi"/>
                <w:sz w:val="22"/>
              </w:rPr>
              <w:tab/>
              <w:t>4</w:t>
            </w:r>
          </w:hyperlink>
        </w:p>
        <w:p w14:paraId="143506EF"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27_145053426">
            <w:r w:rsidR="00894E9D" w:rsidRPr="00187E90">
              <w:rPr>
                <w:rStyle w:val="a0"/>
                <w:rFonts w:asciiTheme="minorHAnsi" w:hAnsiTheme="minorHAnsi" w:cstheme="minorHAnsi"/>
                <w:sz w:val="22"/>
              </w:rPr>
              <w:t>Ansoff Matrix</w:t>
            </w:r>
            <w:r w:rsidR="00894E9D" w:rsidRPr="00187E90">
              <w:rPr>
                <w:rStyle w:val="a0"/>
                <w:rFonts w:asciiTheme="minorHAnsi" w:hAnsiTheme="minorHAnsi" w:cstheme="minorHAnsi"/>
                <w:sz w:val="22"/>
              </w:rPr>
              <w:tab/>
              <w:t>4</w:t>
            </w:r>
          </w:hyperlink>
        </w:p>
        <w:p w14:paraId="143506F0"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29_145053426">
            <w:r w:rsidR="00894E9D" w:rsidRPr="00187E90">
              <w:rPr>
                <w:rStyle w:val="a0"/>
                <w:rFonts w:asciiTheme="minorHAnsi" w:hAnsiTheme="minorHAnsi" w:cstheme="minorHAnsi"/>
                <w:sz w:val="22"/>
              </w:rPr>
              <w:t>Analysing Resources and Capabilities</w:t>
            </w:r>
            <w:r w:rsidR="00894E9D" w:rsidRPr="00187E90">
              <w:rPr>
                <w:rStyle w:val="a0"/>
                <w:rFonts w:asciiTheme="minorHAnsi" w:hAnsiTheme="minorHAnsi" w:cstheme="minorHAnsi"/>
                <w:sz w:val="22"/>
              </w:rPr>
              <w:tab/>
              <w:t>5</w:t>
            </w:r>
          </w:hyperlink>
        </w:p>
        <w:p w14:paraId="143506F1" w14:textId="77777777" w:rsidR="00381318" w:rsidRPr="00187E90" w:rsidRDefault="004F60F7" w:rsidP="00187E90">
          <w:pPr>
            <w:pStyle w:val="TOC2"/>
            <w:tabs>
              <w:tab w:val="clear" w:pos="9026"/>
              <w:tab w:val="right" w:leader="dot" w:pos="9360"/>
            </w:tabs>
            <w:jc w:val="both"/>
            <w:rPr>
              <w:rFonts w:asciiTheme="minorHAnsi" w:hAnsiTheme="minorHAnsi" w:cstheme="minorHAnsi"/>
              <w:sz w:val="22"/>
            </w:rPr>
          </w:pPr>
          <w:hyperlink w:anchor="__RefHeading___Toc831_145053426">
            <w:r w:rsidR="00894E9D" w:rsidRPr="00187E90">
              <w:rPr>
                <w:rStyle w:val="a0"/>
                <w:rFonts w:asciiTheme="minorHAnsi" w:hAnsiTheme="minorHAnsi" w:cstheme="minorHAnsi"/>
                <w:sz w:val="22"/>
              </w:rPr>
              <w:t>Value Chain Analysis</w:t>
            </w:r>
            <w:r w:rsidR="00894E9D" w:rsidRPr="00187E90">
              <w:rPr>
                <w:rStyle w:val="a0"/>
                <w:rFonts w:asciiTheme="minorHAnsi" w:hAnsiTheme="minorHAnsi" w:cstheme="minorHAnsi"/>
                <w:sz w:val="22"/>
              </w:rPr>
              <w:tab/>
              <w:t>5</w:t>
            </w:r>
          </w:hyperlink>
        </w:p>
        <w:p w14:paraId="143506F2"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33_145053426">
            <w:r w:rsidR="00894E9D" w:rsidRPr="00187E90">
              <w:rPr>
                <w:rStyle w:val="a0"/>
                <w:rFonts w:asciiTheme="minorHAnsi" w:hAnsiTheme="minorHAnsi" w:cstheme="minorHAnsi"/>
                <w:sz w:val="22"/>
              </w:rPr>
              <w:t>VRIO Analysis</w:t>
            </w:r>
            <w:r w:rsidR="00894E9D" w:rsidRPr="00187E90">
              <w:rPr>
                <w:rStyle w:val="a0"/>
                <w:rFonts w:asciiTheme="minorHAnsi" w:hAnsiTheme="minorHAnsi" w:cstheme="minorHAnsi"/>
                <w:sz w:val="22"/>
              </w:rPr>
              <w:tab/>
              <w:t>6</w:t>
            </w:r>
          </w:hyperlink>
        </w:p>
        <w:p w14:paraId="143506F3"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35_145053426">
            <w:r w:rsidR="00894E9D" w:rsidRPr="00187E90">
              <w:rPr>
                <w:rStyle w:val="a0"/>
                <w:rFonts w:asciiTheme="minorHAnsi" w:hAnsiTheme="minorHAnsi" w:cstheme="minorHAnsi"/>
                <w:sz w:val="22"/>
              </w:rPr>
              <w:t>Evaluating Strategy in Action</w:t>
            </w:r>
            <w:r w:rsidR="00894E9D" w:rsidRPr="00187E90">
              <w:rPr>
                <w:rStyle w:val="a0"/>
                <w:rFonts w:asciiTheme="minorHAnsi" w:hAnsiTheme="minorHAnsi" w:cstheme="minorHAnsi"/>
                <w:sz w:val="22"/>
              </w:rPr>
              <w:tab/>
              <w:t>6</w:t>
            </w:r>
          </w:hyperlink>
        </w:p>
        <w:p w14:paraId="143506F4" w14:textId="77777777" w:rsidR="00381318" w:rsidRPr="00187E90" w:rsidRDefault="004F60F7" w:rsidP="00187E90">
          <w:pPr>
            <w:pStyle w:val="TOC2"/>
            <w:tabs>
              <w:tab w:val="clear" w:pos="9026"/>
              <w:tab w:val="right" w:leader="dot" w:pos="9360"/>
            </w:tabs>
            <w:jc w:val="both"/>
            <w:rPr>
              <w:rFonts w:asciiTheme="minorHAnsi" w:hAnsiTheme="minorHAnsi" w:cstheme="minorHAnsi"/>
              <w:sz w:val="22"/>
            </w:rPr>
          </w:pPr>
          <w:hyperlink w:anchor="__RefHeading___Toc837_145053426">
            <w:r w:rsidR="00894E9D" w:rsidRPr="00187E90">
              <w:rPr>
                <w:rStyle w:val="a0"/>
                <w:rFonts w:asciiTheme="minorHAnsi" w:hAnsiTheme="minorHAnsi" w:cstheme="minorHAnsi"/>
                <w:sz w:val="22"/>
              </w:rPr>
              <w:t>Suitability</w:t>
            </w:r>
            <w:r w:rsidR="00894E9D" w:rsidRPr="00187E90">
              <w:rPr>
                <w:rStyle w:val="a0"/>
                <w:rFonts w:asciiTheme="minorHAnsi" w:hAnsiTheme="minorHAnsi" w:cstheme="minorHAnsi"/>
                <w:sz w:val="22"/>
              </w:rPr>
              <w:tab/>
              <w:t>6</w:t>
            </w:r>
          </w:hyperlink>
        </w:p>
        <w:p w14:paraId="143506F5" w14:textId="77777777" w:rsidR="00381318" w:rsidRPr="00187E90" w:rsidRDefault="004F60F7" w:rsidP="00187E90">
          <w:pPr>
            <w:pStyle w:val="TOC2"/>
            <w:tabs>
              <w:tab w:val="clear" w:pos="9026"/>
              <w:tab w:val="right" w:leader="dot" w:pos="9360"/>
            </w:tabs>
            <w:jc w:val="both"/>
            <w:rPr>
              <w:rFonts w:asciiTheme="minorHAnsi" w:hAnsiTheme="minorHAnsi" w:cstheme="minorHAnsi"/>
              <w:sz w:val="22"/>
            </w:rPr>
          </w:pPr>
          <w:hyperlink w:anchor="__RefHeading___Toc839_145053426">
            <w:r w:rsidR="00894E9D" w:rsidRPr="00187E90">
              <w:rPr>
                <w:rStyle w:val="a0"/>
                <w:rFonts w:asciiTheme="minorHAnsi" w:hAnsiTheme="minorHAnsi" w:cstheme="minorHAnsi"/>
                <w:sz w:val="22"/>
              </w:rPr>
              <w:t>Acceptability</w:t>
            </w:r>
            <w:r w:rsidR="00894E9D" w:rsidRPr="00187E90">
              <w:rPr>
                <w:rStyle w:val="a0"/>
                <w:rFonts w:asciiTheme="minorHAnsi" w:hAnsiTheme="minorHAnsi" w:cstheme="minorHAnsi"/>
                <w:sz w:val="22"/>
              </w:rPr>
              <w:tab/>
              <w:t>7</w:t>
            </w:r>
          </w:hyperlink>
        </w:p>
        <w:p w14:paraId="143506F6" w14:textId="77777777" w:rsidR="00381318" w:rsidRPr="00187E90" w:rsidRDefault="004F60F7" w:rsidP="00187E90">
          <w:pPr>
            <w:pStyle w:val="TOC2"/>
            <w:tabs>
              <w:tab w:val="clear" w:pos="9026"/>
              <w:tab w:val="right" w:leader="dot" w:pos="9360"/>
            </w:tabs>
            <w:jc w:val="both"/>
            <w:rPr>
              <w:rFonts w:asciiTheme="minorHAnsi" w:hAnsiTheme="minorHAnsi" w:cstheme="minorHAnsi"/>
              <w:sz w:val="22"/>
            </w:rPr>
          </w:pPr>
          <w:hyperlink w:anchor="__RefHeading___Toc841_145053426">
            <w:r w:rsidR="00894E9D" w:rsidRPr="00187E90">
              <w:rPr>
                <w:rStyle w:val="a0"/>
                <w:rFonts w:asciiTheme="minorHAnsi" w:hAnsiTheme="minorHAnsi" w:cstheme="minorHAnsi"/>
                <w:sz w:val="22"/>
              </w:rPr>
              <w:t>Feasibility</w:t>
            </w:r>
            <w:r w:rsidR="00894E9D" w:rsidRPr="00187E90">
              <w:rPr>
                <w:rStyle w:val="a0"/>
                <w:rFonts w:asciiTheme="minorHAnsi" w:hAnsiTheme="minorHAnsi" w:cstheme="minorHAnsi"/>
                <w:sz w:val="22"/>
              </w:rPr>
              <w:tab/>
              <w:t>7</w:t>
            </w:r>
          </w:hyperlink>
        </w:p>
        <w:p w14:paraId="143506F7"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43_145053426">
            <w:r w:rsidR="00894E9D" w:rsidRPr="00187E90">
              <w:rPr>
                <w:rStyle w:val="a0"/>
                <w:rFonts w:asciiTheme="minorHAnsi" w:hAnsiTheme="minorHAnsi" w:cstheme="minorHAnsi"/>
                <w:sz w:val="22"/>
              </w:rPr>
              <w:t>Evidence of Successful Strategy Implementation</w:t>
            </w:r>
            <w:r w:rsidR="00894E9D" w:rsidRPr="00187E90">
              <w:rPr>
                <w:rStyle w:val="a0"/>
                <w:rFonts w:asciiTheme="minorHAnsi" w:hAnsiTheme="minorHAnsi" w:cstheme="minorHAnsi"/>
                <w:sz w:val="22"/>
              </w:rPr>
              <w:tab/>
              <w:t>8</w:t>
            </w:r>
          </w:hyperlink>
        </w:p>
        <w:p w14:paraId="143506F8" w14:textId="77777777" w:rsidR="00381318" w:rsidRPr="00187E90" w:rsidRDefault="004F60F7" w:rsidP="00187E90">
          <w:pPr>
            <w:pStyle w:val="TOC2"/>
            <w:tabs>
              <w:tab w:val="clear" w:pos="9026"/>
              <w:tab w:val="right" w:leader="dot" w:pos="9360"/>
            </w:tabs>
            <w:jc w:val="both"/>
            <w:rPr>
              <w:rFonts w:asciiTheme="minorHAnsi" w:hAnsiTheme="minorHAnsi" w:cstheme="minorHAnsi"/>
              <w:sz w:val="22"/>
            </w:rPr>
          </w:pPr>
          <w:hyperlink w:anchor="__RefHeading___Toc845_145053426">
            <w:r w:rsidR="00894E9D" w:rsidRPr="00187E90">
              <w:rPr>
                <w:rStyle w:val="a0"/>
                <w:rFonts w:asciiTheme="minorHAnsi" w:hAnsiTheme="minorHAnsi" w:cstheme="minorHAnsi"/>
                <w:sz w:val="22"/>
              </w:rPr>
              <w:t>Challenges Faced</w:t>
            </w:r>
            <w:r w:rsidR="00894E9D" w:rsidRPr="00187E90">
              <w:rPr>
                <w:rStyle w:val="a0"/>
                <w:rFonts w:asciiTheme="minorHAnsi" w:hAnsiTheme="minorHAnsi" w:cstheme="minorHAnsi"/>
                <w:sz w:val="22"/>
              </w:rPr>
              <w:tab/>
              <w:t>8</w:t>
            </w:r>
          </w:hyperlink>
        </w:p>
        <w:p w14:paraId="143506F9"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47_145053426">
            <w:r w:rsidR="00894E9D" w:rsidRPr="00187E90">
              <w:rPr>
                <w:rStyle w:val="a0"/>
                <w:rFonts w:asciiTheme="minorHAnsi" w:hAnsiTheme="minorHAnsi" w:cstheme="minorHAnsi"/>
                <w:sz w:val="22"/>
              </w:rPr>
              <w:t>Evaluating Sustainability Efforts</w:t>
            </w:r>
            <w:r w:rsidR="00894E9D" w:rsidRPr="00187E90">
              <w:rPr>
                <w:rStyle w:val="a0"/>
                <w:rFonts w:asciiTheme="minorHAnsi" w:hAnsiTheme="minorHAnsi" w:cstheme="minorHAnsi"/>
                <w:sz w:val="22"/>
              </w:rPr>
              <w:tab/>
              <w:t>9</w:t>
            </w:r>
          </w:hyperlink>
        </w:p>
        <w:p w14:paraId="143506FA"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49_145053426">
            <w:r w:rsidR="00894E9D" w:rsidRPr="00187E90">
              <w:rPr>
                <w:rStyle w:val="a0"/>
                <w:rFonts w:asciiTheme="minorHAnsi" w:hAnsiTheme="minorHAnsi" w:cstheme="minorHAnsi"/>
                <w:sz w:val="22"/>
              </w:rPr>
              <w:t>Alignment with Corporate Strategy</w:t>
            </w:r>
            <w:r w:rsidR="00894E9D" w:rsidRPr="00187E90">
              <w:rPr>
                <w:rStyle w:val="a0"/>
                <w:rFonts w:asciiTheme="minorHAnsi" w:hAnsiTheme="minorHAnsi" w:cstheme="minorHAnsi"/>
                <w:sz w:val="22"/>
              </w:rPr>
              <w:tab/>
              <w:t>9</w:t>
            </w:r>
          </w:hyperlink>
        </w:p>
        <w:p w14:paraId="143506FB"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51_145053426">
            <w:r w:rsidR="00894E9D" w:rsidRPr="00187E90">
              <w:rPr>
                <w:rStyle w:val="a0"/>
                <w:rFonts w:asciiTheme="minorHAnsi" w:hAnsiTheme="minorHAnsi" w:cstheme="minorHAnsi"/>
                <w:sz w:val="22"/>
              </w:rPr>
              <w:t>Conclusion</w:t>
            </w:r>
            <w:r w:rsidR="00894E9D" w:rsidRPr="00187E90">
              <w:rPr>
                <w:rStyle w:val="a0"/>
                <w:rFonts w:asciiTheme="minorHAnsi" w:hAnsiTheme="minorHAnsi" w:cstheme="minorHAnsi"/>
                <w:sz w:val="22"/>
              </w:rPr>
              <w:tab/>
              <w:t>10</w:t>
            </w:r>
          </w:hyperlink>
        </w:p>
        <w:p w14:paraId="143506FC" w14:textId="77777777" w:rsidR="00381318" w:rsidRPr="00187E90" w:rsidRDefault="004F60F7" w:rsidP="00187E90">
          <w:pPr>
            <w:pStyle w:val="TOC1"/>
            <w:tabs>
              <w:tab w:val="clear" w:pos="9026"/>
              <w:tab w:val="right" w:leader="dot" w:pos="9360"/>
            </w:tabs>
            <w:jc w:val="both"/>
            <w:rPr>
              <w:rFonts w:asciiTheme="minorHAnsi" w:hAnsiTheme="minorHAnsi" w:cstheme="minorHAnsi"/>
              <w:sz w:val="22"/>
            </w:rPr>
          </w:pPr>
          <w:hyperlink w:anchor="__RefHeading___Toc853_145053426">
            <w:r w:rsidR="00894E9D" w:rsidRPr="00187E90">
              <w:rPr>
                <w:rStyle w:val="a0"/>
                <w:rFonts w:asciiTheme="minorHAnsi" w:hAnsiTheme="minorHAnsi" w:cstheme="minorHAnsi"/>
                <w:sz w:val="22"/>
              </w:rPr>
              <w:t>References</w:t>
            </w:r>
            <w:r w:rsidR="00894E9D" w:rsidRPr="00187E90">
              <w:rPr>
                <w:rStyle w:val="a0"/>
                <w:rFonts w:asciiTheme="minorHAnsi" w:hAnsiTheme="minorHAnsi" w:cstheme="minorHAnsi"/>
                <w:sz w:val="22"/>
              </w:rPr>
              <w:tab/>
              <w:t>12</w:t>
            </w:r>
          </w:hyperlink>
          <w:r w:rsidR="00894E9D" w:rsidRPr="00187E90">
            <w:rPr>
              <w:rStyle w:val="a0"/>
              <w:rFonts w:asciiTheme="minorHAnsi" w:hAnsiTheme="minorHAnsi" w:cstheme="minorHAnsi"/>
              <w:sz w:val="22"/>
            </w:rPr>
            <w:fldChar w:fldCharType="end"/>
          </w:r>
        </w:p>
      </w:sdtContent>
    </w:sdt>
    <w:p w14:paraId="143506FE" w14:textId="1052B11F" w:rsidR="00381318" w:rsidRPr="00187E90" w:rsidRDefault="00894E9D" w:rsidP="00187E90">
      <w:pPr>
        <w:pStyle w:val="NormalWeb"/>
        <w:spacing w:before="0" w:after="0" w:line="480" w:lineRule="auto"/>
        <w:jc w:val="both"/>
        <w:rPr>
          <w:rFonts w:asciiTheme="minorHAnsi" w:hAnsiTheme="minorHAnsi" w:cstheme="minorHAnsi"/>
          <w:color w:val="000000"/>
          <w:sz w:val="22"/>
          <w:szCs w:val="22"/>
        </w:rPr>
      </w:pPr>
      <w:r w:rsidRPr="00187E90">
        <w:rPr>
          <w:rFonts w:asciiTheme="minorHAnsi" w:hAnsiTheme="minorHAnsi" w:cstheme="minorHAnsi"/>
          <w:sz w:val="22"/>
          <w:szCs w:val="22"/>
        </w:rPr>
        <w:br w:type="page"/>
      </w:r>
    </w:p>
    <w:p w14:paraId="143506FF" w14:textId="77777777" w:rsidR="00381318" w:rsidRPr="00187E90" w:rsidRDefault="00894E9D" w:rsidP="00187E90">
      <w:pPr>
        <w:pStyle w:val="Heading1"/>
        <w:jc w:val="both"/>
        <w:rPr>
          <w:rFonts w:asciiTheme="minorHAnsi" w:hAnsiTheme="minorHAnsi" w:cstheme="minorHAnsi"/>
          <w:sz w:val="22"/>
          <w:szCs w:val="22"/>
        </w:rPr>
      </w:pPr>
      <w:bookmarkStart w:id="0" w:name="__RefHeading___Toc817_145053426"/>
      <w:bookmarkEnd w:id="0"/>
      <w:r w:rsidRPr="00187E90">
        <w:rPr>
          <w:rFonts w:asciiTheme="minorHAnsi" w:hAnsiTheme="minorHAnsi" w:cstheme="minorHAnsi"/>
          <w:sz w:val="22"/>
          <w:szCs w:val="22"/>
        </w:rPr>
        <w:lastRenderedPageBreak/>
        <w:t>Introduction</w:t>
      </w:r>
    </w:p>
    <w:p w14:paraId="14350700"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Business operations nowadays entail the formulation and implementation of strategies that allow organisations to sustain their competitive advantage. This report intends to undertake a detailed strategic analysis of Tesco PLC, commonly referred to as Tesco, a British multinational grocery and general merchandise retailing company with its headquarters in Cheshunt, United Kingdom, which is listed on the London Stock Exchange. Taking into consideration the Tesco case, the practical application of the framework of analysis will be aimed at establishing the extent of the company’s success in comprehensively developing and efficiently applying corporate and business strategies to build foundational competitive advantages. Reading through this report, the reader will be informed on Tesco Corp’s current state, future direction, and strategic emergent selection and implementation sourcing from the real-life case of Tesco.</w:t>
      </w:r>
    </w:p>
    <w:p w14:paraId="14350701" w14:textId="77777777" w:rsidR="00381318" w:rsidRPr="00187E90" w:rsidRDefault="00894E9D" w:rsidP="00187E90">
      <w:pPr>
        <w:pStyle w:val="Heading1"/>
        <w:jc w:val="both"/>
        <w:rPr>
          <w:rFonts w:asciiTheme="minorHAnsi" w:hAnsiTheme="minorHAnsi" w:cstheme="minorHAnsi"/>
          <w:sz w:val="22"/>
          <w:szCs w:val="22"/>
        </w:rPr>
      </w:pPr>
      <w:bookmarkStart w:id="1" w:name="__RefHeading___Toc819_145053426"/>
      <w:bookmarkEnd w:id="1"/>
      <w:r w:rsidRPr="00187E90">
        <w:rPr>
          <w:rFonts w:asciiTheme="minorHAnsi" w:hAnsiTheme="minorHAnsi" w:cstheme="minorHAnsi"/>
          <w:sz w:val="22"/>
          <w:szCs w:val="22"/>
        </w:rPr>
        <w:t>Company Background</w:t>
      </w:r>
    </w:p>
    <w:p w14:paraId="14350702"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Henry (2021) writes that Tesco is among the world’s largest retailing companies, established in 1919 by Jack Cohen. Tesco was originally a small market stall in London; however, it is now a global retail chain based in Welwyn Garden City, Hertfordshire, England. This firm operates in the food retailing industry but has expanded into other industries, such as financial, mobile telecommunication, and online selling. All these segments of the business are grouped under several formats, which include supermarkets, hypermarkets, and convenience stores that satisfy the various needs of the customers.</w:t>
      </w:r>
      <w:r w:rsidRPr="00187E90">
        <w:rPr>
          <w:rFonts w:asciiTheme="minorHAnsi" w:hAnsiTheme="minorHAnsi" w:cstheme="minorHAnsi"/>
          <w:sz w:val="22"/>
        </w:rPr>
        <w:br w:type="page"/>
      </w:r>
    </w:p>
    <w:p w14:paraId="5F158CF7" w14:textId="77777777" w:rsidR="00926CF7" w:rsidRPr="00187E90" w:rsidRDefault="00926CF7" w:rsidP="00187E90">
      <w:pPr>
        <w:pStyle w:val="Heading2"/>
        <w:jc w:val="both"/>
        <w:rPr>
          <w:rFonts w:asciiTheme="minorHAnsi" w:eastAsia="Microsoft YaHei" w:hAnsiTheme="minorHAnsi" w:cstheme="minorHAnsi"/>
          <w:i w:val="0"/>
          <w:iCs w:val="0"/>
          <w:szCs w:val="22"/>
          <w:lang w:eastAsia="en-US"/>
        </w:rPr>
      </w:pPr>
      <w:bookmarkStart w:id="2" w:name="__RefHeading___Toc821_145053426"/>
      <w:bookmarkStart w:id="3" w:name="__RefHeading___Toc823_145053426"/>
      <w:bookmarkEnd w:id="2"/>
      <w:bookmarkEnd w:id="3"/>
      <w:r w:rsidRPr="00187E90">
        <w:rPr>
          <w:rFonts w:asciiTheme="minorHAnsi" w:eastAsia="Microsoft YaHei" w:hAnsiTheme="minorHAnsi" w:cstheme="minorHAnsi"/>
          <w:i w:val="0"/>
          <w:iCs w:val="0"/>
          <w:szCs w:val="22"/>
          <w:lang w:eastAsia="en-US"/>
        </w:rPr>
        <w:lastRenderedPageBreak/>
        <w:t>Identifying Key Business and Corporate Strategies</w:t>
      </w:r>
    </w:p>
    <w:p w14:paraId="14350705"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Tesco's success is due to its business and corporate strategies. This paper will examine these strategies by applying Porter’s generic strategies and Ansoff’s matrix.</w:t>
      </w:r>
    </w:p>
    <w:p w14:paraId="14350706" w14:textId="77777777" w:rsidR="00381318" w:rsidRPr="00187E90" w:rsidRDefault="00894E9D" w:rsidP="00187E90">
      <w:pPr>
        <w:pStyle w:val="Heading1"/>
        <w:jc w:val="both"/>
        <w:rPr>
          <w:rFonts w:asciiTheme="minorHAnsi" w:hAnsiTheme="minorHAnsi" w:cstheme="minorHAnsi"/>
          <w:sz w:val="22"/>
          <w:szCs w:val="22"/>
        </w:rPr>
      </w:pPr>
      <w:bookmarkStart w:id="4" w:name="__RefHeading___Toc825_145053426"/>
      <w:bookmarkEnd w:id="4"/>
      <w:r w:rsidRPr="00187E90">
        <w:rPr>
          <w:rFonts w:asciiTheme="minorHAnsi" w:hAnsiTheme="minorHAnsi" w:cstheme="minorHAnsi"/>
          <w:sz w:val="22"/>
          <w:szCs w:val="22"/>
        </w:rPr>
        <w:t>Porter's Generic Strategies</w:t>
      </w:r>
    </w:p>
    <w:p w14:paraId="14350707"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Taking into account its strategic orientation, it is possible to suggest that Tesco mainly operates under the cost leadership business model, which implies the company’s efforts to offer products at lower prices compared to rivals while keeping up the quality. This is evident in their “Every Little Helps” campaign, which focuses on wallet relief. However, Tesco also uses elements of differentiation, especially in addressing the needs of several customer segments through products like Tesco Finest.</w:t>
      </w:r>
    </w:p>
    <w:p w14:paraId="14350708" w14:textId="77777777" w:rsidR="00381318" w:rsidRPr="00187E90" w:rsidRDefault="00894E9D" w:rsidP="00187E90">
      <w:pPr>
        <w:pStyle w:val="Heading1"/>
        <w:jc w:val="both"/>
        <w:rPr>
          <w:rFonts w:asciiTheme="minorHAnsi" w:hAnsiTheme="minorHAnsi" w:cstheme="minorHAnsi"/>
          <w:sz w:val="22"/>
          <w:szCs w:val="22"/>
        </w:rPr>
      </w:pPr>
      <w:bookmarkStart w:id="5" w:name="__RefHeading___Toc827_145053426"/>
      <w:bookmarkEnd w:id="5"/>
      <w:r w:rsidRPr="00187E90">
        <w:rPr>
          <w:rFonts w:asciiTheme="minorHAnsi" w:hAnsiTheme="minorHAnsi" w:cstheme="minorHAnsi"/>
          <w:sz w:val="22"/>
          <w:szCs w:val="22"/>
        </w:rPr>
        <w:t>Ansoff Matrix</w:t>
      </w:r>
    </w:p>
    <w:p w14:paraId="14350709"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 xml:space="preserve">Tesco has employed various growth strategies in line with Ansoff’s Matrix, which have aimed to consolidate and diversify its market. In the aspect of market coverage, Tesco gives its full effort to expand its market share within its already existing markets; one such example is The Clubcard, which retains its customers and at the same time provokes them to spend more (Moura, 2021). The idea of market development as one of the business growth strategies is also present; for instance, the company has started selling beer in new locations—Central Europe and Asia—but has recently downsized its international operations in favour of the key markets (Woods, 2022). In product portfolio development, Tesco continually innovates its products and services, its own branding ranges, and financial services via Tesco Bank (Henry, 2021). Another management strategy common to Tesco is the process of diversification, as seen in its expansion into related sectors such as internet selling services, financial services, and mobile telecommunication services (Moura, 2021). Secured from such a broad perspective, this strategy has allowed Tesco to react flexibly to shifts in market and consumer preferences and to rely on its strengths to keep growing and make competitors’ strategies less effective. All these strategies </w:t>
      </w:r>
      <w:r w:rsidRPr="00187E90">
        <w:rPr>
          <w:rFonts w:asciiTheme="minorHAnsi" w:hAnsiTheme="minorHAnsi" w:cstheme="minorHAnsi"/>
          <w:sz w:val="22"/>
        </w:rPr>
        <w:lastRenderedPageBreak/>
        <w:t>are adequate for developing the existing organisational operations and looking for additional income and market share.</w:t>
      </w:r>
    </w:p>
    <w:p w14:paraId="1435070A" w14:textId="77777777" w:rsidR="00381318" w:rsidRPr="00187E90" w:rsidRDefault="00894E9D" w:rsidP="00187E90">
      <w:pPr>
        <w:pStyle w:val="Heading1"/>
        <w:jc w:val="both"/>
        <w:rPr>
          <w:rFonts w:asciiTheme="minorHAnsi" w:hAnsiTheme="minorHAnsi" w:cstheme="minorHAnsi"/>
          <w:sz w:val="22"/>
          <w:szCs w:val="22"/>
        </w:rPr>
      </w:pPr>
      <w:bookmarkStart w:id="6" w:name="__RefHeading___Toc829_145053426"/>
      <w:bookmarkEnd w:id="6"/>
      <w:r w:rsidRPr="00187E90">
        <w:rPr>
          <w:rFonts w:asciiTheme="minorHAnsi" w:hAnsiTheme="minorHAnsi" w:cstheme="minorHAnsi"/>
          <w:sz w:val="22"/>
          <w:szCs w:val="22"/>
        </w:rPr>
        <w:t>Analysing Resources and Capabilities</w:t>
      </w:r>
    </w:p>
    <w:p w14:paraId="1435070B"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A value chain analysis and VRIO framework will be used to evaluate Tesco's resource allocation and capabilities.</w:t>
      </w:r>
    </w:p>
    <w:p w14:paraId="1435070C" w14:textId="77777777" w:rsidR="00381318" w:rsidRPr="00187E90" w:rsidRDefault="00894E9D" w:rsidP="00187E90">
      <w:pPr>
        <w:pStyle w:val="Heading2"/>
        <w:jc w:val="both"/>
        <w:rPr>
          <w:rFonts w:asciiTheme="minorHAnsi" w:hAnsiTheme="minorHAnsi" w:cstheme="minorHAnsi"/>
          <w:szCs w:val="22"/>
        </w:rPr>
      </w:pPr>
      <w:bookmarkStart w:id="7" w:name="__RefHeading___Toc831_145053426"/>
      <w:bookmarkEnd w:id="7"/>
      <w:r w:rsidRPr="00187E90">
        <w:rPr>
          <w:rFonts w:asciiTheme="minorHAnsi" w:hAnsiTheme="minorHAnsi" w:cstheme="minorHAnsi"/>
          <w:szCs w:val="22"/>
        </w:rPr>
        <w:t>Value Chain Analysis</w:t>
      </w:r>
    </w:p>
    <w:p w14:paraId="1435070D"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There is evidence that Tesco has effectively managed its value chain to support its cost leadership strategy. Regarding inbound logistics, Tesco also optimised supply chain processes, for instance, adopting Just in Time rules to reduce costs and ensure the products’ freshness (</w:t>
      </w:r>
      <w:proofErr w:type="spellStart"/>
      <w:r w:rsidRPr="00187E90">
        <w:rPr>
          <w:rFonts w:asciiTheme="minorHAnsi" w:hAnsiTheme="minorHAnsi" w:cstheme="minorHAnsi"/>
          <w:sz w:val="22"/>
        </w:rPr>
        <w:t>Chkanikova</w:t>
      </w:r>
      <w:proofErr w:type="spellEnd"/>
      <w:r w:rsidRPr="00187E90">
        <w:rPr>
          <w:rFonts w:asciiTheme="minorHAnsi" w:hAnsiTheme="minorHAnsi" w:cstheme="minorHAnsi"/>
          <w:sz w:val="22"/>
        </w:rPr>
        <w:t xml:space="preserve"> and </w:t>
      </w:r>
      <w:proofErr w:type="spellStart"/>
      <w:r w:rsidRPr="00187E90">
        <w:rPr>
          <w:rFonts w:asciiTheme="minorHAnsi" w:hAnsiTheme="minorHAnsi" w:cstheme="minorHAnsi"/>
          <w:sz w:val="22"/>
        </w:rPr>
        <w:t>Sroute</w:t>
      </w:r>
      <w:proofErr w:type="spellEnd"/>
      <w:r w:rsidRPr="00187E90">
        <w:rPr>
          <w:rFonts w:asciiTheme="minorHAnsi" w:hAnsiTheme="minorHAnsi" w:cstheme="minorHAnsi"/>
          <w:sz w:val="22"/>
        </w:rPr>
        <w:t>, 2021). For operations, the company has leveraged new technology to improve store operations, like self-checkout and digital shelf labels (</w:t>
      </w:r>
      <w:proofErr w:type="spellStart"/>
      <w:r w:rsidRPr="00187E90">
        <w:rPr>
          <w:rFonts w:asciiTheme="minorHAnsi" w:hAnsiTheme="minorHAnsi" w:cstheme="minorHAnsi"/>
          <w:sz w:val="22"/>
        </w:rPr>
        <w:t>Chkanikova</w:t>
      </w:r>
      <w:proofErr w:type="spellEnd"/>
      <w:r w:rsidRPr="00187E90">
        <w:rPr>
          <w:rFonts w:asciiTheme="minorHAnsi" w:hAnsiTheme="minorHAnsi" w:cstheme="minorHAnsi"/>
          <w:sz w:val="22"/>
        </w:rPr>
        <w:t xml:space="preserve"> and </w:t>
      </w:r>
      <w:proofErr w:type="spellStart"/>
      <w:r w:rsidRPr="00187E90">
        <w:rPr>
          <w:rFonts w:asciiTheme="minorHAnsi" w:hAnsiTheme="minorHAnsi" w:cstheme="minorHAnsi"/>
          <w:sz w:val="22"/>
        </w:rPr>
        <w:t>Sroute</w:t>
      </w:r>
      <w:proofErr w:type="spellEnd"/>
      <w:r w:rsidRPr="00187E90">
        <w:rPr>
          <w:rFonts w:asciiTheme="minorHAnsi" w:hAnsiTheme="minorHAnsi" w:cstheme="minorHAnsi"/>
          <w:sz w:val="22"/>
        </w:rPr>
        <w:t>, 2021). As for the outbound logistics, the location of each store and the warehouses is excellent, fulfilling both physical stores and online stores (Woods, 2022). In marketing and its follow-up and sales, the Tesco Clubcard works like a marketing communications tool by offering relevant customer information for marketing communication activity promotions (Moura, 2021). Last is in service; the company ought to ensure that adequate training on customer service is provided and has put in place measures to enhance the shopping experience (Ajibola, 2022). All these strategic optimisations help Tesco cut costs while maintaining service quality, thus strengthening the company’s cost advantage in the retail industry.</w:t>
      </w:r>
      <w:r w:rsidRPr="00187E90">
        <w:rPr>
          <w:rFonts w:asciiTheme="minorHAnsi" w:hAnsiTheme="minorHAnsi" w:cstheme="minorHAnsi"/>
          <w:sz w:val="22"/>
        </w:rPr>
        <w:br w:type="page"/>
      </w:r>
    </w:p>
    <w:p w14:paraId="1435070E" w14:textId="2F31D98B" w:rsidR="00381318" w:rsidRPr="00187E90" w:rsidRDefault="00894E9D" w:rsidP="00187E90">
      <w:pPr>
        <w:pStyle w:val="Heading1"/>
        <w:numPr>
          <w:ilvl w:val="0"/>
          <w:numId w:val="0"/>
        </w:numPr>
        <w:jc w:val="both"/>
        <w:rPr>
          <w:rFonts w:asciiTheme="minorHAnsi" w:hAnsiTheme="minorHAnsi" w:cstheme="minorHAnsi"/>
          <w:sz w:val="22"/>
          <w:szCs w:val="22"/>
        </w:rPr>
      </w:pPr>
      <w:bookmarkStart w:id="8" w:name="__RefHeading___Toc833_145053426"/>
      <w:bookmarkEnd w:id="8"/>
      <w:r w:rsidRPr="00187E90">
        <w:rPr>
          <w:rFonts w:asciiTheme="minorHAnsi" w:hAnsiTheme="minorHAnsi" w:cstheme="minorHAnsi"/>
          <w:sz w:val="22"/>
          <w:szCs w:val="22"/>
        </w:rPr>
        <w:lastRenderedPageBreak/>
        <w:t>VRIO Analysis</w:t>
      </w:r>
    </w:p>
    <w:p w14:paraId="1435070F"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Tesco’s advantages include a favourable brand image, a large number of stores, and consumer databases. The company’s size in the UK market and its sophisticated big data processing solutions are more limited among competitors. In addition, the full replication of Tesco’s integrated ecosystem of retailing closed financial services, and a loyalty scheme trio is not easy to achieve, as claimed (Henry, 2021). Moreover, some of the resources the company employs are as follows: Besides, these resources form a significant part of Tesco’s strengths, and the firm has well-organised its operations to exploit such resources in the optimal realisation of strategic goals.</w:t>
      </w:r>
    </w:p>
    <w:p w14:paraId="14350710" w14:textId="77777777" w:rsidR="00381318" w:rsidRPr="00187E90" w:rsidRDefault="00894E9D" w:rsidP="00187E90">
      <w:pPr>
        <w:pStyle w:val="Heading1"/>
        <w:jc w:val="both"/>
        <w:rPr>
          <w:rFonts w:asciiTheme="minorHAnsi" w:hAnsiTheme="minorHAnsi" w:cstheme="minorHAnsi"/>
          <w:sz w:val="22"/>
          <w:szCs w:val="22"/>
        </w:rPr>
      </w:pPr>
      <w:bookmarkStart w:id="9" w:name="__RefHeading___Toc835_145053426"/>
      <w:bookmarkEnd w:id="9"/>
      <w:r w:rsidRPr="00187E90">
        <w:rPr>
          <w:rFonts w:asciiTheme="minorHAnsi" w:hAnsiTheme="minorHAnsi" w:cstheme="minorHAnsi"/>
          <w:sz w:val="22"/>
          <w:szCs w:val="22"/>
        </w:rPr>
        <w:t>Evaluating Strategy in Action</w:t>
      </w:r>
    </w:p>
    <w:p w14:paraId="14350711"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To assess the effectiveness of Tesco's strategy implementation, the SAF (Suitability, Acceptability, and Feasibility) framework will be used.</w:t>
      </w:r>
    </w:p>
    <w:p w14:paraId="14350712" w14:textId="77777777" w:rsidR="00381318" w:rsidRPr="00187E90" w:rsidRDefault="00894E9D" w:rsidP="00187E90">
      <w:pPr>
        <w:pStyle w:val="Heading2"/>
        <w:jc w:val="both"/>
        <w:rPr>
          <w:rFonts w:asciiTheme="minorHAnsi" w:hAnsiTheme="minorHAnsi" w:cstheme="minorHAnsi"/>
          <w:szCs w:val="22"/>
        </w:rPr>
      </w:pPr>
      <w:bookmarkStart w:id="10" w:name="__RefHeading___Toc837_145053426"/>
      <w:bookmarkEnd w:id="10"/>
      <w:r w:rsidRPr="00187E90">
        <w:rPr>
          <w:rFonts w:asciiTheme="minorHAnsi" w:hAnsiTheme="minorHAnsi" w:cstheme="minorHAnsi"/>
          <w:szCs w:val="22"/>
        </w:rPr>
        <w:t>Suitability</w:t>
      </w:r>
    </w:p>
    <w:p w14:paraId="14350713"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 xml:space="preserve">Tesco's strategies are appropriately matched with its organisational position and the external environment. Thus, the value and convenience concept </w:t>
      </w:r>
      <w:proofErr w:type="gramStart"/>
      <w:r w:rsidRPr="00187E90">
        <w:rPr>
          <w:rFonts w:asciiTheme="minorHAnsi" w:hAnsiTheme="minorHAnsi" w:cstheme="minorHAnsi"/>
          <w:sz w:val="22"/>
        </w:rPr>
        <w:t>serves</w:t>
      </w:r>
      <w:proofErr w:type="gramEnd"/>
      <w:r w:rsidRPr="00187E90">
        <w:rPr>
          <w:rFonts w:asciiTheme="minorHAnsi" w:hAnsiTheme="minorHAnsi" w:cstheme="minorHAnsi"/>
          <w:sz w:val="22"/>
        </w:rPr>
        <w:t xml:space="preserve"> the company’s focus on consumer wants, especially in the worst economic climates when the main concern is saving money. Also, Tesco’s goal to improve its digital capacities is equally reasonable, given the continuous shift to e-commerce at the moment (Moura, 2021). It really means that Tesco’s decision to invest in digital transformation covers it with a suitable attitude to cover the shifting needs of the clients who skip the brick-and-mortar stores in favour of online and multichannel experiences. It also contributes to the company’s pledge to deliver value and helps maintain the competitive edge for a firm functioning in a world that is rapidly shifting towards digital retailing. In summary, this paper has demonstrated how Tesco’s strategic direction in these key areas enables it to operate effectively within changing market conditions and consumer preferences to secure its position in the retail industry.</w:t>
      </w:r>
    </w:p>
    <w:p w14:paraId="14350714" w14:textId="77777777" w:rsidR="00381318" w:rsidRPr="00187E90" w:rsidRDefault="00894E9D" w:rsidP="00187E90">
      <w:pPr>
        <w:pStyle w:val="Heading2"/>
        <w:jc w:val="both"/>
        <w:rPr>
          <w:rFonts w:asciiTheme="minorHAnsi" w:hAnsiTheme="minorHAnsi" w:cstheme="minorHAnsi"/>
          <w:szCs w:val="22"/>
        </w:rPr>
      </w:pPr>
      <w:bookmarkStart w:id="11" w:name="__RefHeading___Toc839_145053426"/>
      <w:bookmarkEnd w:id="11"/>
      <w:r w:rsidRPr="00187E90">
        <w:rPr>
          <w:rFonts w:asciiTheme="minorHAnsi" w:hAnsiTheme="minorHAnsi" w:cstheme="minorHAnsi"/>
          <w:szCs w:val="22"/>
        </w:rPr>
        <w:lastRenderedPageBreak/>
        <w:t>Acceptability</w:t>
      </w:r>
    </w:p>
    <w:p w14:paraId="14350715"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The strategies often devised by Tesco have received social acceptance from the major stakeholders. In the past, shareholders have enjoyed sustainable returns, as evidenced by the company's current performance and strategy. It also results in the availability of cheaper prices and better services, making the shopping experience for customers better. Employees have also benefited from the efforts made through employee-friendly activities, inclusive of improved remuneration and extensive training (Woods, 2022). Such activities demonstrate Tesco’s awareness of the fact that it is possible to favour various stakeholders while striving for the company’s competitive advantage. Thus, Tesco has tended to the interests of its shareholders, customers, and employees and has succeeded in maintaining a good rapport with its key stakeholders as well as its status in the field of retailing.</w:t>
      </w:r>
    </w:p>
    <w:p w14:paraId="14350716" w14:textId="77777777" w:rsidR="00381318" w:rsidRPr="00187E90" w:rsidRDefault="00894E9D" w:rsidP="00187E90">
      <w:pPr>
        <w:pStyle w:val="Heading2"/>
        <w:jc w:val="both"/>
        <w:rPr>
          <w:rFonts w:asciiTheme="minorHAnsi" w:hAnsiTheme="minorHAnsi" w:cstheme="minorHAnsi"/>
          <w:szCs w:val="22"/>
        </w:rPr>
      </w:pPr>
      <w:bookmarkStart w:id="12" w:name="__RefHeading___Toc841_145053426"/>
      <w:bookmarkEnd w:id="12"/>
      <w:r w:rsidRPr="00187E90">
        <w:rPr>
          <w:rFonts w:asciiTheme="minorHAnsi" w:hAnsiTheme="minorHAnsi" w:cstheme="minorHAnsi"/>
          <w:szCs w:val="22"/>
        </w:rPr>
        <w:t>Feasibility</w:t>
      </w:r>
    </w:p>
    <w:p w14:paraId="14350717"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The capability to implement strategies: Tesco has revealed the capability to deploy various strategies through well-managed financial capital, people’s talents, and technology to successfully complete various endeavours. This was due to the strong and broad infrastructure in the company, which enhanced its strategic directions aimed at the firm's growth and effective operations. However, some international expansion efforts have been difficult, enabling military strategists to pull out of some areas (Henry, 2021). Such challenges prove that the process of going international is full of obstacles and stresses the need for a thorough analysis of the environment in which organisations operate and the application of suitable management methods. Nevertheless, Tesco’s overall strategic outcomes are still robust, which speaks to the company’s ability to address and manage dynamically changing business contexts.</w:t>
      </w:r>
    </w:p>
    <w:p w14:paraId="14350718" w14:textId="77777777" w:rsidR="00381318" w:rsidRPr="00187E90" w:rsidRDefault="00894E9D" w:rsidP="00187E90">
      <w:pPr>
        <w:pStyle w:val="Heading1"/>
        <w:jc w:val="both"/>
        <w:rPr>
          <w:rFonts w:asciiTheme="minorHAnsi" w:hAnsiTheme="minorHAnsi" w:cstheme="minorHAnsi"/>
          <w:sz w:val="22"/>
          <w:szCs w:val="22"/>
        </w:rPr>
      </w:pPr>
      <w:bookmarkStart w:id="13" w:name="__RefHeading___Toc843_145053426"/>
      <w:bookmarkEnd w:id="13"/>
      <w:r w:rsidRPr="00187E90">
        <w:rPr>
          <w:rFonts w:asciiTheme="minorHAnsi" w:hAnsiTheme="minorHAnsi" w:cstheme="minorHAnsi"/>
          <w:sz w:val="22"/>
          <w:szCs w:val="22"/>
        </w:rPr>
        <w:t>Evidence of Successful Strategy Implementation</w:t>
      </w:r>
    </w:p>
    <w:p w14:paraId="14350719"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 xml:space="preserve">Over the years, the firm has effectively built its online grocery sales and ranked among the biggest online grocers in the UK (Moura, 2021). The firm has successfully created different store formats to ensure it fulfils the numerous shoppers’ trips, from hypermarkets to convenience </w:t>
      </w:r>
      <w:r w:rsidRPr="00187E90">
        <w:rPr>
          <w:rFonts w:asciiTheme="minorHAnsi" w:hAnsiTheme="minorHAnsi" w:cstheme="minorHAnsi"/>
          <w:sz w:val="22"/>
        </w:rPr>
        <w:lastRenderedPageBreak/>
        <w:t>stores (Henry, 2021). Also, Tesco’s private label has increased its market share notably, enabling both cost advantage and differentiation strategies, as written by (</w:t>
      </w:r>
      <w:proofErr w:type="spellStart"/>
      <w:r w:rsidRPr="00187E90">
        <w:rPr>
          <w:rFonts w:asciiTheme="minorHAnsi" w:hAnsiTheme="minorHAnsi" w:cstheme="minorHAnsi"/>
          <w:sz w:val="22"/>
        </w:rPr>
        <w:t>Chkanikova</w:t>
      </w:r>
      <w:proofErr w:type="spellEnd"/>
      <w:r w:rsidRPr="00187E90">
        <w:rPr>
          <w:rFonts w:asciiTheme="minorHAnsi" w:hAnsiTheme="minorHAnsi" w:cstheme="minorHAnsi"/>
          <w:sz w:val="22"/>
        </w:rPr>
        <w:t xml:space="preserve"> and Sroufe, 2021). With those strategic undertakings, Tesco has bolstered its market standing and boosted its capacity to address differentiated customer requirements in order to sustain its competitive edge in the retail industry.</w:t>
      </w:r>
    </w:p>
    <w:p w14:paraId="1435071A" w14:textId="77777777" w:rsidR="00381318" w:rsidRPr="00187E90" w:rsidRDefault="00894E9D" w:rsidP="00187E90">
      <w:pPr>
        <w:pStyle w:val="Heading2"/>
        <w:jc w:val="both"/>
        <w:rPr>
          <w:rFonts w:asciiTheme="minorHAnsi" w:hAnsiTheme="minorHAnsi" w:cstheme="minorHAnsi"/>
          <w:szCs w:val="22"/>
        </w:rPr>
      </w:pPr>
      <w:bookmarkStart w:id="14" w:name="__RefHeading___Toc845_145053426"/>
      <w:bookmarkEnd w:id="14"/>
      <w:r w:rsidRPr="00187E90">
        <w:rPr>
          <w:rFonts w:asciiTheme="minorHAnsi" w:hAnsiTheme="minorHAnsi" w:cstheme="minorHAnsi"/>
          <w:szCs w:val="22"/>
        </w:rPr>
        <w:t>Challenges Faced</w:t>
      </w:r>
    </w:p>
    <w:p w14:paraId="1435071B" w14:textId="56E04811" w:rsidR="00F920A3"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Tesco has experienced noteworthy failures in its growth strategy, including internationalisation and corporate governance. The expansion strategy to the US market with Fresh &amp; Easy was a failure and highly unprofitable, making it a market invasion failure, as highlighted by Krummel (2022). Overall, this could be seen as a failure, which shows that Tesco faced numerous challenges in moving to the United States and changing its operational model. Also, in 2014, the group admitted that it had failed to submit the proper accounts for several years due to the inflation of profits and engaged in an accounting scandal, which negatively affected Tesco’s reputation and financial results (Woods, 2022). This gave rise to some corruption cases that exposed the susceptibilities of Tesco’s internal control system and pulled down investor confidence. Despite these problems, Tesco has embarked on efforts to counter such issues as part of its measures to enhance its governance, besides strengthening its strategic markets. These examples demonstrate how difficult it can be for a business to go abroad and why the Far Account constructions play a vital role in preserving a company’s good standing and financial stability.</w:t>
      </w:r>
    </w:p>
    <w:p w14:paraId="32DCACDC" w14:textId="36E02FBA" w:rsidR="00381318" w:rsidRPr="00F920A3" w:rsidRDefault="00F920A3" w:rsidP="00F920A3">
      <w:pPr>
        <w:spacing w:after="0" w:line="240" w:lineRule="auto"/>
        <w:rPr>
          <w:rFonts w:asciiTheme="minorHAnsi" w:hAnsiTheme="minorHAnsi" w:cstheme="minorHAnsi"/>
          <w:color w:val="000000"/>
          <w:sz w:val="22"/>
        </w:rPr>
      </w:pPr>
      <w:r>
        <w:rPr>
          <w:rFonts w:asciiTheme="minorHAnsi" w:hAnsiTheme="minorHAnsi" w:cstheme="minorHAnsi"/>
          <w:sz w:val="22"/>
        </w:rPr>
        <w:br w:type="page"/>
      </w:r>
    </w:p>
    <w:p w14:paraId="1435071C" w14:textId="77777777" w:rsidR="00381318" w:rsidRPr="00187E90" w:rsidRDefault="00894E9D" w:rsidP="00187E90">
      <w:pPr>
        <w:pStyle w:val="Heading1"/>
        <w:jc w:val="both"/>
        <w:rPr>
          <w:rFonts w:asciiTheme="minorHAnsi" w:hAnsiTheme="minorHAnsi" w:cstheme="minorHAnsi"/>
          <w:sz w:val="22"/>
          <w:szCs w:val="22"/>
        </w:rPr>
      </w:pPr>
      <w:bookmarkStart w:id="15" w:name="__RefHeading___Toc847_145053426"/>
      <w:bookmarkEnd w:id="15"/>
      <w:r w:rsidRPr="00187E90">
        <w:rPr>
          <w:rFonts w:asciiTheme="minorHAnsi" w:hAnsiTheme="minorHAnsi" w:cstheme="minorHAnsi"/>
          <w:sz w:val="22"/>
          <w:szCs w:val="22"/>
        </w:rPr>
        <w:lastRenderedPageBreak/>
        <w:t>Evaluating Sustainability Efforts</w:t>
      </w:r>
    </w:p>
    <w:p w14:paraId="1435071D"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Sustainability has become a growing part of Tesco’s organisational strategic planning due to its incorporation into business management plans and meeting stakeholders’ demands. Some important sustainability focuses present are the stated goals of achieving net zero carbon status by 2050 and undertaking several actions to lessen the carbon footprint of operations (MacIntosh, Maclean, and Robinson, 2023). There are also measurable goals, such as sustainable sourcing of some core products like fish and seafood, where the firm aims to source all of them sustainably by certain years (</w:t>
      </w:r>
      <w:proofErr w:type="spellStart"/>
      <w:r w:rsidRPr="00187E90">
        <w:rPr>
          <w:rFonts w:asciiTheme="minorHAnsi" w:hAnsiTheme="minorHAnsi" w:cstheme="minorHAnsi"/>
          <w:sz w:val="22"/>
        </w:rPr>
        <w:t>Chkanikova</w:t>
      </w:r>
      <w:proofErr w:type="spellEnd"/>
      <w:r w:rsidRPr="00187E90">
        <w:rPr>
          <w:rFonts w:asciiTheme="minorHAnsi" w:hAnsiTheme="minorHAnsi" w:cstheme="minorHAnsi"/>
          <w:sz w:val="22"/>
        </w:rPr>
        <w:t xml:space="preserve"> and Sroufe, 2021). Regarding the waste management policy, the following have been put in place to address the issue of food waste: collaborations with food banks and charities (Jones, Wynn, and Comfort, 2020). Furthermore, the company’s goal is to ensure that all packaging material is reusable and recyclable in the shortest time possible, with an aspiration of 2025 (</w:t>
      </w:r>
      <w:proofErr w:type="spellStart"/>
      <w:r w:rsidRPr="00187E90">
        <w:rPr>
          <w:rFonts w:asciiTheme="minorHAnsi" w:hAnsiTheme="minorHAnsi" w:cstheme="minorHAnsi"/>
          <w:sz w:val="22"/>
        </w:rPr>
        <w:t>Benghezal</w:t>
      </w:r>
      <w:proofErr w:type="spellEnd"/>
      <w:r w:rsidRPr="00187E90">
        <w:rPr>
          <w:rFonts w:asciiTheme="minorHAnsi" w:hAnsiTheme="minorHAnsi" w:cstheme="minorHAnsi"/>
          <w:sz w:val="22"/>
        </w:rPr>
        <w:t xml:space="preserve"> and Izadi, 2022). One example of Tesco’s active involvement in community activities is the Community Food Connection scheme kicked off by the company for donating food in the correct cycle to the needy. Such endeavours show that Tesco is geared towards a sustainability approach through its readiness to tackle environmental and social issues.</w:t>
      </w:r>
    </w:p>
    <w:p w14:paraId="4F77A343" w14:textId="77777777" w:rsidR="00001ED9" w:rsidRPr="00187E90" w:rsidRDefault="00001ED9" w:rsidP="00187E90">
      <w:pPr>
        <w:pStyle w:val="BodyText"/>
        <w:ind w:firstLine="0"/>
        <w:jc w:val="both"/>
        <w:rPr>
          <w:rFonts w:asciiTheme="minorHAnsi" w:hAnsiTheme="minorHAnsi" w:cstheme="minorHAnsi"/>
          <w:sz w:val="22"/>
        </w:rPr>
      </w:pPr>
    </w:p>
    <w:p w14:paraId="1435071E" w14:textId="77777777" w:rsidR="00381318" w:rsidRPr="00187E90" w:rsidRDefault="00894E9D" w:rsidP="00187E90">
      <w:pPr>
        <w:pStyle w:val="Heading1"/>
        <w:jc w:val="both"/>
        <w:rPr>
          <w:rFonts w:asciiTheme="minorHAnsi" w:hAnsiTheme="minorHAnsi" w:cstheme="minorHAnsi"/>
          <w:sz w:val="22"/>
          <w:szCs w:val="22"/>
        </w:rPr>
      </w:pPr>
      <w:bookmarkStart w:id="16" w:name="__RefHeading___Toc849_145053426"/>
      <w:bookmarkEnd w:id="16"/>
      <w:r w:rsidRPr="00187E90">
        <w:rPr>
          <w:rFonts w:asciiTheme="minorHAnsi" w:hAnsiTheme="minorHAnsi" w:cstheme="minorHAnsi"/>
          <w:sz w:val="22"/>
          <w:szCs w:val="22"/>
        </w:rPr>
        <w:t>Alignment with Corporate Strategy</w:t>
      </w:r>
    </w:p>
    <w:p w14:paraId="1435071F"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 xml:space="preserve">Sustainability has been incorporated into strategic management by Tesco, as the company best knows that sustainability can be instrumental in reducing costs and enhancing differentiation. In this regard, Tesco integrates energy efficiency processes into its operation to support the firm’s cost leadership goals because cutting energy costs will also translate to a decreased operation cost, as stated by Mohanty (2022). All these efforts help in reducing costs while at the same time helping the company gain a competitive advantage by being environmentally sensitive. Also, sourcing sustainably is another crucial element of Tesco’s development; it contributes to product differentiation. The company has grand goals for sourcing the products sustainably, for instance, attaining 100% sustainably sourced fish and seafood. They </w:t>
      </w:r>
      <w:r w:rsidRPr="00187E90">
        <w:rPr>
          <w:rFonts w:asciiTheme="minorHAnsi" w:hAnsiTheme="minorHAnsi" w:cstheme="minorHAnsi"/>
          <w:sz w:val="22"/>
        </w:rPr>
        <w:lastRenderedPageBreak/>
        <w:t>engage in it to offer their consumers a unique value proposition, as they additionally care about the environment.</w:t>
      </w:r>
    </w:p>
    <w:p w14:paraId="14350720"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Also, it is noteworthy that the company has connected its sustainability objectives with the UN Sustainable Development Goals, primarily UN SDG 12, which is associated with consumption and production responsibility. This alignment shows that Tesco is really serious about the global sustainability agenda and fits with a larger pattern of the firm’s participation in meeting major environmental and social objectives (Jones, Wynn, and Comfort, 2020). When incorporated into organisational processes, such principles improve Tesco’s operations and image while contributing to the worldwide fight against climate change. This strategy shows how sustainability can be a leading factor in business performance and a distinctive instrument.</w:t>
      </w:r>
    </w:p>
    <w:p w14:paraId="2E151ECA" w14:textId="77777777" w:rsidR="00001ED9" w:rsidRPr="00187E90" w:rsidRDefault="00001ED9" w:rsidP="00187E90">
      <w:pPr>
        <w:pStyle w:val="BodyText"/>
        <w:ind w:firstLine="0"/>
        <w:jc w:val="both"/>
        <w:rPr>
          <w:rFonts w:asciiTheme="minorHAnsi" w:hAnsiTheme="minorHAnsi" w:cstheme="minorHAnsi"/>
          <w:sz w:val="22"/>
        </w:rPr>
      </w:pPr>
    </w:p>
    <w:p w14:paraId="2A5B54C1" w14:textId="77777777" w:rsidR="00F920A3" w:rsidRDefault="00F920A3">
      <w:pPr>
        <w:spacing w:after="0" w:line="240" w:lineRule="auto"/>
        <w:rPr>
          <w:rFonts w:asciiTheme="minorHAnsi" w:eastAsia="Microsoft YaHei" w:hAnsiTheme="minorHAnsi" w:cstheme="minorHAnsi"/>
          <w:b/>
          <w:color w:val="000000"/>
          <w:sz w:val="22"/>
        </w:rPr>
      </w:pPr>
      <w:bookmarkStart w:id="17" w:name="__RefHeading___Toc851_145053426"/>
      <w:bookmarkEnd w:id="17"/>
      <w:r>
        <w:rPr>
          <w:rFonts w:asciiTheme="minorHAnsi" w:hAnsiTheme="minorHAnsi" w:cstheme="minorHAnsi"/>
          <w:sz w:val="22"/>
        </w:rPr>
        <w:br w:type="page"/>
      </w:r>
    </w:p>
    <w:p w14:paraId="14350721" w14:textId="5193B388" w:rsidR="00381318" w:rsidRPr="00187E90" w:rsidRDefault="00894E9D" w:rsidP="00187E90">
      <w:pPr>
        <w:pStyle w:val="Heading1"/>
        <w:jc w:val="both"/>
        <w:rPr>
          <w:rFonts w:asciiTheme="minorHAnsi" w:hAnsiTheme="minorHAnsi" w:cstheme="minorHAnsi"/>
          <w:sz w:val="22"/>
          <w:szCs w:val="22"/>
        </w:rPr>
      </w:pPr>
      <w:r w:rsidRPr="00187E90">
        <w:rPr>
          <w:rFonts w:asciiTheme="minorHAnsi" w:hAnsiTheme="minorHAnsi" w:cstheme="minorHAnsi"/>
          <w:sz w:val="22"/>
          <w:szCs w:val="22"/>
        </w:rPr>
        <w:lastRenderedPageBreak/>
        <w:t>Conclusion</w:t>
      </w:r>
    </w:p>
    <w:p w14:paraId="14350722" w14:textId="55EE26CC"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 xml:space="preserve">Tesco has shown </w:t>
      </w:r>
      <w:r w:rsidR="001E270D" w:rsidRPr="00187E90">
        <w:rPr>
          <w:rFonts w:asciiTheme="minorHAnsi" w:hAnsiTheme="minorHAnsi" w:cstheme="minorHAnsi"/>
          <w:sz w:val="22"/>
        </w:rPr>
        <w:t>appropriate</w:t>
      </w:r>
      <w:r w:rsidRPr="00187E90">
        <w:rPr>
          <w:rFonts w:asciiTheme="minorHAnsi" w:hAnsiTheme="minorHAnsi" w:cstheme="minorHAnsi"/>
          <w:sz w:val="22"/>
        </w:rPr>
        <w:t xml:space="preserve"> strategic management </w:t>
      </w:r>
      <w:r w:rsidR="0078226A" w:rsidRPr="00187E90">
        <w:rPr>
          <w:rFonts w:asciiTheme="minorHAnsi" w:hAnsiTheme="minorHAnsi" w:cstheme="minorHAnsi"/>
          <w:sz w:val="22"/>
        </w:rPr>
        <w:t>competence</w:t>
      </w:r>
      <w:r w:rsidRPr="00187E90">
        <w:rPr>
          <w:rFonts w:asciiTheme="minorHAnsi" w:hAnsiTheme="minorHAnsi" w:cstheme="minorHAnsi"/>
          <w:sz w:val="22"/>
        </w:rPr>
        <w:t xml:space="preserve"> by ensuring that the business and corporate strategies meet the firm’s resources and capabilities. These strategies can be classified as cost leadership or cost focus accompanied by various measures of differentiation; therefore, the company has been able to build a competitive advantage in a highly competitive retail segment. The effectiveness of strategy implementation in Tesco is seen through its market share leadership in the UK, successful trapping of the online market, and variety in store formats. However, problems in </w:t>
      </w:r>
      <w:r w:rsidR="00340371">
        <w:rPr>
          <w:rFonts w:asciiTheme="minorHAnsi" w:hAnsiTheme="minorHAnsi" w:cstheme="minorHAnsi"/>
          <w:sz w:val="22"/>
        </w:rPr>
        <w:t>U</w:t>
      </w:r>
      <w:r w:rsidRPr="00187E90">
        <w:rPr>
          <w:rFonts w:asciiTheme="minorHAnsi" w:hAnsiTheme="minorHAnsi" w:cstheme="minorHAnsi"/>
          <w:sz w:val="22"/>
        </w:rPr>
        <w:t>S growth and such barriers as the accounting scandal indicate that the strategic change is to be a never-ending process.</w:t>
      </w:r>
    </w:p>
    <w:p w14:paraId="14350723" w14:textId="77777777" w:rsidR="00381318" w:rsidRPr="00187E90" w:rsidRDefault="00894E9D" w:rsidP="00187E90">
      <w:pPr>
        <w:pStyle w:val="BodyText"/>
        <w:jc w:val="both"/>
        <w:rPr>
          <w:rFonts w:asciiTheme="minorHAnsi" w:hAnsiTheme="minorHAnsi" w:cstheme="minorHAnsi"/>
          <w:sz w:val="22"/>
        </w:rPr>
      </w:pPr>
      <w:r w:rsidRPr="00187E90">
        <w:rPr>
          <w:rFonts w:asciiTheme="minorHAnsi" w:hAnsiTheme="minorHAnsi" w:cstheme="minorHAnsi"/>
          <w:sz w:val="22"/>
        </w:rPr>
        <w:t>One of the most significant positive changes here is that the company demonstrates greater concern about sustainable development, which corresponds to current trends and customers’ preferences on a global level. Based on this, sustainability has been made a part of Tesco’s strategic direction, and this would help the company adapt to prevailing conditions in the long run. Moving forward, the company can benefit from investing in stronger digital competencies for the goods to improve the omnichannel operation and build sustainability deeper into the company’s functions and networks. Emphasis on innovation on the private labels will help in the company’s cost leadership as well as its differentiation. Also, opportunities in the international markets should be analysed, and a keen eye should be kept on certain markets not to repeat past mistakes. Proposed advancements in the firm’s data analysis function will improve individualization and organisational effectiveness. With the help of strategic flexibility and proper resource positioning, it is possible for Tesco to effectively adapt to the changes and continue escaping the critical rivalry in the retail industry.</w:t>
      </w:r>
      <w:r w:rsidRPr="00187E90">
        <w:rPr>
          <w:rFonts w:asciiTheme="minorHAnsi" w:hAnsiTheme="minorHAnsi" w:cstheme="minorHAnsi"/>
          <w:sz w:val="22"/>
        </w:rPr>
        <w:br w:type="page"/>
      </w:r>
    </w:p>
    <w:p w14:paraId="14350724" w14:textId="77777777" w:rsidR="00381318" w:rsidRPr="00187E90" w:rsidRDefault="00894E9D" w:rsidP="007255FB">
      <w:pPr>
        <w:pStyle w:val="Heading1"/>
        <w:jc w:val="both"/>
        <w:rPr>
          <w:rFonts w:asciiTheme="minorHAnsi" w:hAnsiTheme="minorHAnsi" w:cstheme="minorHAnsi"/>
          <w:sz w:val="22"/>
          <w:szCs w:val="22"/>
        </w:rPr>
      </w:pPr>
      <w:bookmarkStart w:id="18" w:name="__RefHeading___Toc853_145053426"/>
      <w:bookmarkEnd w:id="18"/>
      <w:r w:rsidRPr="00187E90">
        <w:rPr>
          <w:rFonts w:asciiTheme="minorHAnsi" w:hAnsiTheme="minorHAnsi" w:cstheme="minorHAnsi"/>
          <w:sz w:val="22"/>
          <w:szCs w:val="22"/>
        </w:rPr>
        <w:lastRenderedPageBreak/>
        <w:t>References</w:t>
      </w:r>
    </w:p>
    <w:p w14:paraId="14350725" w14:textId="4365586D" w:rsidR="00381318" w:rsidRPr="00187E90" w:rsidRDefault="00894E9D" w:rsidP="007255FB">
      <w:pPr>
        <w:pStyle w:val="BodyText"/>
        <w:ind w:left="720" w:hanging="720"/>
        <w:jc w:val="both"/>
        <w:rPr>
          <w:rFonts w:asciiTheme="minorHAnsi" w:hAnsiTheme="minorHAnsi" w:cstheme="minorHAnsi"/>
          <w:sz w:val="22"/>
        </w:rPr>
      </w:pPr>
      <w:r w:rsidRPr="00187E90">
        <w:rPr>
          <w:rFonts w:asciiTheme="minorHAnsi" w:hAnsiTheme="minorHAnsi" w:cstheme="minorHAnsi"/>
          <w:sz w:val="22"/>
        </w:rPr>
        <w:t xml:space="preserve">Ajibola, E.B., 2022. </w:t>
      </w:r>
      <w:r w:rsidRPr="00187E90">
        <w:rPr>
          <w:rFonts w:asciiTheme="minorHAnsi" w:hAnsiTheme="minorHAnsi" w:cstheme="minorHAnsi"/>
          <w:i/>
          <w:iCs/>
          <w:sz w:val="22"/>
        </w:rPr>
        <w:t>An investigation into talent management in the Irish retail sector: a case of Tesco, Aldi and Super Valu</w:t>
      </w:r>
      <w:r w:rsidRPr="00187E90">
        <w:rPr>
          <w:rFonts w:asciiTheme="minorHAnsi" w:hAnsiTheme="minorHAnsi" w:cstheme="minorHAnsi"/>
          <w:sz w:val="22"/>
        </w:rPr>
        <w:t xml:space="preserve"> (Doctoral dissertation). Dublin, National College of Ireland. [Online]. Available at: </w:t>
      </w:r>
      <w:hyperlink r:id="rId7" w:history="1">
        <w:r w:rsidR="007B5FE7" w:rsidRPr="00187E90">
          <w:rPr>
            <w:rStyle w:val="Hyperlink"/>
            <w:rFonts w:asciiTheme="minorHAnsi" w:hAnsiTheme="minorHAnsi" w:cstheme="minorHAnsi"/>
            <w:sz w:val="22"/>
          </w:rPr>
          <w:t>norma.ncirl.ie/pdf</w:t>
        </w:r>
      </w:hyperlink>
      <w:r w:rsidRPr="00187E90">
        <w:rPr>
          <w:rFonts w:asciiTheme="minorHAnsi" w:hAnsiTheme="minorHAnsi" w:cstheme="minorHAnsi"/>
          <w:sz w:val="22"/>
        </w:rPr>
        <w:t xml:space="preserve"> [Accessed </w:t>
      </w:r>
      <w:r w:rsidR="00EE442D" w:rsidRPr="00187E90">
        <w:rPr>
          <w:rFonts w:asciiTheme="minorHAnsi" w:hAnsiTheme="minorHAnsi" w:cstheme="minorHAnsi"/>
          <w:sz w:val="22"/>
        </w:rPr>
        <w:t>19</w:t>
      </w:r>
      <w:r w:rsidRPr="00187E90">
        <w:rPr>
          <w:rFonts w:asciiTheme="minorHAnsi" w:hAnsiTheme="minorHAnsi" w:cstheme="minorHAnsi"/>
          <w:sz w:val="22"/>
        </w:rPr>
        <w:t xml:space="preserve"> </w:t>
      </w:r>
      <w:r w:rsidR="00EE442D" w:rsidRPr="00187E90">
        <w:rPr>
          <w:rFonts w:asciiTheme="minorHAnsi" w:hAnsiTheme="minorHAnsi" w:cstheme="minorHAnsi"/>
          <w:sz w:val="22"/>
        </w:rPr>
        <w:t>August</w:t>
      </w:r>
      <w:r w:rsidRPr="00187E90">
        <w:rPr>
          <w:rFonts w:asciiTheme="minorHAnsi" w:hAnsiTheme="minorHAnsi" w:cstheme="minorHAnsi"/>
          <w:sz w:val="22"/>
        </w:rPr>
        <w:t xml:space="preserve"> 2024].</w:t>
      </w:r>
    </w:p>
    <w:p w14:paraId="14350726" w14:textId="330891FB" w:rsidR="00381318" w:rsidRPr="00187E90" w:rsidRDefault="00894E9D" w:rsidP="007255FB">
      <w:pPr>
        <w:pStyle w:val="BodyText"/>
        <w:ind w:left="720" w:hanging="720"/>
        <w:jc w:val="both"/>
        <w:rPr>
          <w:rFonts w:asciiTheme="minorHAnsi" w:hAnsiTheme="minorHAnsi" w:cstheme="minorHAnsi"/>
          <w:sz w:val="22"/>
        </w:rPr>
      </w:pPr>
      <w:proofErr w:type="spellStart"/>
      <w:r w:rsidRPr="00187E90">
        <w:rPr>
          <w:rFonts w:asciiTheme="minorHAnsi" w:hAnsiTheme="minorHAnsi" w:cstheme="minorHAnsi"/>
          <w:sz w:val="22"/>
        </w:rPr>
        <w:t>Benghezal</w:t>
      </w:r>
      <w:proofErr w:type="spellEnd"/>
      <w:r w:rsidRPr="00187E90">
        <w:rPr>
          <w:rFonts w:asciiTheme="minorHAnsi" w:hAnsiTheme="minorHAnsi" w:cstheme="minorHAnsi"/>
          <w:sz w:val="22"/>
        </w:rPr>
        <w:t xml:space="preserve">, D. and Izadi, J., 2022. </w:t>
      </w:r>
      <w:r w:rsidRPr="00187E90">
        <w:rPr>
          <w:rFonts w:asciiTheme="minorHAnsi" w:hAnsiTheme="minorHAnsi" w:cstheme="minorHAnsi"/>
          <w:i/>
          <w:iCs/>
          <w:sz w:val="22"/>
        </w:rPr>
        <w:t>Exploring the impact of CSR strategy in food retail sector firms</w:t>
      </w:r>
      <w:r w:rsidRPr="00187E90">
        <w:rPr>
          <w:rFonts w:asciiTheme="minorHAnsi" w:hAnsiTheme="minorHAnsi" w:cstheme="minorHAnsi"/>
          <w:sz w:val="22"/>
        </w:rPr>
        <w:t xml:space="preserve">. UWL Repository. [Online]. Available at: </w:t>
      </w:r>
      <w:hyperlink r:id="rId8" w:history="1">
        <w:proofErr w:type="spellStart"/>
        <w:r w:rsidR="007255FB">
          <w:rPr>
            <w:rStyle w:val="Hyperlink"/>
            <w:rFonts w:asciiTheme="minorHAnsi" w:hAnsiTheme="minorHAnsi" w:cstheme="minorHAnsi"/>
            <w:sz w:val="22"/>
          </w:rPr>
          <w:t>sciencedirect</w:t>
        </w:r>
        <w:proofErr w:type="spellEnd"/>
      </w:hyperlink>
      <w:r w:rsidR="00825DFA" w:rsidRPr="00187E90">
        <w:rPr>
          <w:rFonts w:asciiTheme="minorHAnsi" w:hAnsiTheme="minorHAnsi" w:cstheme="minorHAnsi"/>
          <w:sz w:val="22"/>
        </w:rPr>
        <w:t xml:space="preserve"> </w:t>
      </w:r>
      <w:r w:rsidRPr="00187E90">
        <w:rPr>
          <w:rFonts w:asciiTheme="minorHAnsi" w:hAnsiTheme="minorHAnsi" w:cstheme="minorHAnsi"/>
          <w:sz w:val="22"/>
        </w:rPr>
        <w:t xml:space="preserve">[Accessed </w:t>
      </w:r>
      <w:r w:rsidR="00EE442D" w:rsidRPr="00187E90">
        <w:rPr>
          <w:rFonts w:asciiTheme="minorHAnsi" w:hAnsiTheme="minorHAnsi" w:cstheme="minorHAnsi"/>
          <w:sz w:val="22"/>
        </w:rPr>
        <w:t xml:space="preserve">19 August </w:t>
      </w:r>
      <w:r w:rsidRPr="00187E90">
        <w:rPr>
          <w:rFonts w:asciiTheme="minorHAnsi" w:hAnsiTheme="minorHAnsi" w:cstheme="minorHAnsi"/>
          <w:sz w:val="22"/>
        </w:rPr>
        <w:t>2024].</w:t>
      </w:r>
    </w:p>
    <w:p w14:paraId="14350727" w14:textId="5F908D20" w:rsidR="00381318" w:rsidRPr="00187E90" w:rsidRDefault="00894E9D" w:rsidP="007255FB">
      <w:pPr>
        <w:pStyle w:val="BodyText"/>
        <w:ind w:left="720" w:hanging="720"/>
        <w:jc w:val="both"/>
        <w:rPr>
          <w:rFonts w:asciiTheme="minorHAnsi" w:hAnsiTheme="minorHAnsi" w:cstheme="minorHAnsi"/>
          <w:sz w:val="22"/>
        </w:rPr>
      </w:pPr>
      <w:proofErr w:type="spellStart"/>
      <w:r w:rsidRPr="00187E90">
        <w:rPr>
          <w:rFonts w:asciiTheme="minorHAnsi" w:hAnsiTheme="minorHAnsi" w:cstheme="minorHAnsi"/>
          <w:sz w:val="22"/>
        </w:rPr>
        <w:t>Chkanikova</w:t>
      </w:r>
      <w:proofErr w:type="spellEnd"/>
      <w:r w:rsidRPr="00187E90">
        <w:rPr>
          <w:rFonts w:asciiTheme="minorHAnsi" w:hAnsiTheme="minorHAnsi" w:cstheme="minorHAnsi"/>
          <w:sz w:val="22"/>
        </w:rPr>
        <w:t xml:space="preserve">, O. and Sroufe, R., 2021. Third-party sustainability certifications in food retailing: certification design from a sustainable supply chain management perspective. </w:t>
      </w:r>
      <w:r w:rsidRPr="00187E90">
        <w:rPr>
          <w:rFonts w:asciiTheme="minorHAnsi" w:hAnsiTheme="minorHAnsi" w:cstheme="minorHAnsi"/>
          <w:i/>
          <w:iCs/>
          <w:sz w:val="22"/>
        </w:rPr>
        <w:t>Journal of Cleaner Production</w:t>
      </w:r>
      <w:r w:rsidRPr="00187E90">
        <w:rPr>
          <w:rFonts w:asciiTheme="minorHAnsi" w:hAnsiTheme="minorHAnsi" w:cstheme="minorHAnsi"/>
          <w:sz w:val="22"/>
        </w:rPr>
        <w:t xml:space="preserve">, </w:t>
      </w:r>
      <w:r w:rsidRPr="00187E90">
        <w:rPr>
          <w:rFonts w:asciiTheme="minorHAnsi" w:hAnsiTheme="minorHAnsi" w:cstheme="minorHAnsi"/>
          <w:b/>
          <w:bCs/>
          <w:sz w:val="22"/>
        </w:rPr>
        <w:t>282</w:t>
      </w:r>
      <w:r w:rsidRPr="00187E90">
        <w:rPr>
          <w:rFonts w:asciiTheme="minorHAnsi" w:hAnsiTheme="minorHAnsi" w:cstheme="minorHAnsi"/>
          <w:sz w:val="22"/>
        </w:rPr>
        <w:t xml:space="preserve">, 124344, pp.1-15. </w:t>
      </w:r>
    </w:p>
    <w:p w14:paraId="14350728" w14:textId="77777777" w:rsidR="00381318" w:rsidRPr="00187E90" w:rsidRDefault="00894E9D" w:rsidP="007255FB">
      <w:pPr>
        <w:pStyle w:val="BodyText"/>
        <w:ind w:left="720" w:hanging="720"/>
        <w:jc w:val="both"/>
        <w:rPr>
          <w:rFonts w:asciiTheme="minorHAnsi" w:hAnsiTheme="minorHAnsi" w:cstheme="minorHAnsi"/>
          <w:sz w:val="22"/>
        </w:rPr>
      </w:pPr>
      <w:r w:rsidRPr="00187E90">
        <w:rPr>
          <w:rFonts w:asciiTheme="minorHAnsi" w:hAnsiTheme="minorHAnsi" w:cstheme="minorHAnsi"/>
          <w:sz w:val="22"/>
        </w:rPr>
        <w:t xml:space="preserve">Henry, A., 2021. </w:t>
      </w:r>
      <w:r w:rsidRPr="00187E90">
        <w:rPr>
          <w:rFonts w:asciiTheme="minorHAnsi" w:hAnsiTheme="minorHAnsi" w:cstheme="minorHAnsi"/>
          <w:i/>
          <w:iCs/>
          <w:sz w:val="22"/>
        </w:rPr>
        <w:t>Understanding strategic management</w:t>
      </w:r>
      <w:r w:rsidRPr="00187E90">
        <w:rPr>
          <w:rFonts w:asciiTheme="minorHAnsi" w:hAnsiTheme="minorHAnsi" w:cstheme="minorHAnsi"/>
          <w:sz w:val="22"/>
        </w:rPr>
        <w:t>. Oxford: Oxford University Press. ISBN 9780198859833.</w:t>
      </w:r>
    </w:p>
    <w:p w14:paraId="14350729" w14:textId="74369E88" w:rsidR="00381318" w:rsidRPr="00187E90" w:rsidRDefault="00894E9D" w:rsidP="007255FB">
      <w:pPr>
        <w:pStyle w:val="BodyText"/>
        <w:ind w:left="720" w:hanging="720"/>
        <w:jc w:val="both"/>
        <w:rPr>
          <w:rFonts w:asciiTheme="minorHAnsi" w:hAnsiTheme="minorHAnsi" w:cstheme="minorHAnsi"/>
          <w:sz w:val="22"/>
        </w:rPr>
      </w:pPr>
      <w:r w:rsidRPr="00187E90">
        <w:rPr>
          <w:rFonts w:asciiTheme="minorHAnsi" w:hAnsiTheme="minorHAnsi" w:cstheme="minorHAnsi"/>
          <w:sz w:val="22"/>
        </w:rPr>
        <w:t xml:space="preserve">Jones, P., Wynn, M. and Comfort, D., 2020. SDG 12, Sustainable consumption and the UK’s leading retailers. In: McNeill, L. ed. </w:t>
      </w:r>
      <w:r w:rsidRPr="00187E90">
        <w:rPr>
          <w:rFonts w:asciiTheme="minorHAnsi" w:hAnsiTheme="minorHAnsi" w:cstheme="minorHAnsi"/>
          <w:i/>
          <w:iCs/>
          <w:sz w:val="22"/>
        </w:rPr>
        <w:t>Responsible consumption and production</w:t>
      </w:r>
      <w:r w:rsidRPr="00187E90">
        <w:rPr>
          <w:rFonts w:asciiTheme="minorHAnsi" w:hAnsiTheme="minorHAnsi" w:cstheme="minorHAnsi"/>
          <w:sz w:val="22"/>
        </w:rPr>
        <w:t xml:space="preserve">. Basel: MDPI, pp.7-26. </w:t>
      </w:r>
    </w:p>
    <w:p w14:paraId="1435072A" w14:textId="196060A2" w:rsidR="00381318" w:rsidRPr="00187E90" w:rsidRDefault="00894E9D" w:rsidP="007255FB">
      <w:pPr>
        <w:pStyle w:val="BodyText"/>
        <w:ind w:left="720" w:hanging="720"/>
        <w:jc w:val="both"/>
        <w:rPr>
          <w:rFonts w:asciiTheme="minorHAnsi" w:hAnsiTheme="minorHAnsi" w:cstheme="minorHAnsi"/>
          <w:sz w:val="22"/>
        </w:rPr>
      </w:pPr>
      <w:r w:rsidRPr="00187E90">
        <w:rPr>
          <w:rFonts w:asciiTheme="minorHAnsi" w:hAnsiTheme="minorHAnsi" w:cstheme="minorHAnsi"/>
          <w:sz w:val="22"/>
        </w:rPr>
        <w:t xml:space="preserve">Krummel, D., 2022. Expansion in the retail sector - market entry strategies in consideration of formal and informal institutions: a Tesco case study. </w:t>
      </w:r>
      <w:r w:rsidRPr="00187E90">
        <w:rPr>
          <w:rFonts w:asciiTheme="minorHAnsi" w:hAnsiTheme="minorHAnsi" w:cstheme="minorHAnsi"/>
          <w:i/>
          <w:iCs/>
          <w:sz w:val="22"/>
        </w:rPr>
        <w:t>Open Access Library Journal</w:t>
      </w:r>
      <w:r w:rsidRPr="00187E90">
        <w:rPr>
          <w:rFonts w:asciiTheme="minorHAnsi" w:hAnsiTheme="minorHAnsi" w:cstheme="minorHAnsi"/>
          <w:sz w:val="22"/>
        </w:rPr>
        <w:t xml:space="preserve">, </w:t>
      </w:r>
      <w:r w:rsidRPr="00187E90">
        <w:rPr>
          <w:rFonts w:asciiTheme="minorHAnsi" w:hAnsiTheme="minorHAnsi" w:cstheme="minorHAnsi"/>
          <w:b/>
          <w:bCs/>
          <w:sz w:val="22"/>
        </w:rPr>
        <w:t>9</w:t>
      </w:r>
      <w:r w:rsidRPr="00187E90">
        <w:rPr>
          <w:rFonts w:asciiTheme="minorHAnsi" w:hAnsiTheme="minorHAnsi" w:cstheme="minorHAnsi"/>
          <w:sz w:val="22"/>
        </w:rPr>
        <w:t>(2), pp.1-19.</w:t>
      </w:r>
    </w:p>
    <w:p w14:paraId="1435072B" w14:textId="6DF669E2" w:rsidR="00381318" w:rsidRPr="00187E90" w:rsidRDefault="00894E9D" w:rsidP="007255FB">
      <w:pPr>
        <w:pStyle w:val="BodyText"/>
        <w:ind w:left="720" w:hanging="720"/>
        <w:jc w:val="both"/>
        <w:rPr>
          <w:rFonts w:asciiTheme="minorHAnsi" w:hAnsiTheme="minorHAnsi" w:cstheme="minorHAnsi"/>
          <w:sz w:val="22"/>
        </w:rPr>
      </w:pPr>
      <w:r w:rsidRPr="00187E90">
        <w:rPr>
          <w:rFonts w:asciiTheme="minorHAnsi" w:hAnsiTheme="minorHAnsi" w:cstheme="minorHAnsi"/>
          <w:sz w:val="22"/>
        </w:rPr>
        <w:t xml:space="preserve">MacIntosh, R., Maclean, D. and Robinson, C., 2023. </w:t>
      </w:r>
      <w:r w:rsidRPr="00187E90">
        <w:rPr>
          <w:rFonts w:asciiTheme="minorHAnsi" w:hAnsiTheme="minorHAnsi" w:cstheme="minorHAnsi"/>
          <w:i/>
          <w:iCs/>
          <w:sz w:val="22"/>
        </w:rPr>
        <w:t>Strategic management: strategists at work</w:t>
      </w:r>
      <w:r w:rsidRPr="00187E90">
        <w:rPr>
          <w:rFonts w:asciiTheme="minorHAnsi" w:hAnsiTheme="minorHAnsi" w:cstheme="minorHAnsi"/>
          <w:sz w:val="22"/>
        </w:rPr>
        <w:t xml:space="preserve">. London: Bloomsbury Publishing. </w:t>
      </w:r>
    </w:p>
    <w:p w14:paraId="1435072C" w14:textId="4D34C300" w:rsidR="00381318" w:rsidRPr="00187E90" w:rsidRDefault="00894E9D" w:rsidP="007255FB">
      <w:pPr>
        <w:pStyle w:val="BodyText"/>
        <w:ind w:left="720" w:hanging="720"/>
        <w:jc w:val="both"/>
        <w:rPr>
          <w:rFonts w:asciiTheme="minorHAnsi" w:hAnsiTheme="minorHAnsi" w:cstheme="minorHAnsi"/>
          <w:sz w:val="22"/>
        </w:rPr>
      </w:pPr>
      <w:r w:rsidRPr="00187E90">
        <w:rPr>
          <w:rFonts w:asciiTheme="minorHAnsi" w:hAnsiTheme="minorHAnsi" w:cstheme="minorHAnsi"/>
          <w:sz w:val="22"/>
        </w:rPr>
        <w:t xml:space="preserve">Mohanty, J., 2022. Sustainable marketing of CSR through employee volunteering: the Tesco experience. </w:t>
      </w:r>
      <w:r w:rsidRPr="00187E90">
        <w:rPr>
          <w:rFonts w:asciiTheme="minorHAnsi" w:hAnsiTheme="minorHAnsi" w:cstheme="minorHAnsi"/>
          <w:i/>
          <w:iCs/>
          <w:sz w:val="22"/>
        </w:rPr>
        <w:t>Academy of Marketing Studies Journal</w:t>
      </w:r>
      <w:r w:rsidRPr="00187E90">
        <w:rPr>
          <w:rFonts w:asciiTheme="minorHAnsi" w:hAnsiTheme="minorHAnsi" w:cstheme="minorHAnsi"/>
          <w:sz w:val="22"/>
        </w:rPr>
        <w:t xml:space="preserve">, </w:t>
      </w:r>
      <w:r w:rsidRPr="00187E90">
        <w:rPr>
          <w:rFonts w:asciiTheme="minorHAnsi" w:hAnsiTheme="minorHAnsi" w:cstheme="minorHAnsi"/>
          <w:b/>
          <w:bCs/>
          <w:sz w:val="22"/>
        </w:rPr>
        <w:t>26</w:t>
      </w:r>
      <w:r w:rsidRPr="00187E90">
        <w:rPr>
          <w:rFonts w:asciiTheme="minorHAnsi" w:hAnsiTheme="minorHAnsi" w:cstheme="minorHAnsi"/>
          <w:sz w:val="22"/>
        </w:rPr>
        <w:t xml:space="preserve">(S2), pp.1-7. </w:t>
      </w:r>
    </w:p>
    <w:p w14:paraId="1435072D" w14:textId="075FF3AA" w:rsidR="00381318" w:rsidRPr="00187E90" w:rsidRDefault="00894E9D" w:rsidP="007255FB">
      <w:pPr>
        <w:pStyle w:val="BodyText"/>
        <w:ind w:left="720" w:hanging="720"/>
        <w:jc w:val="both"/>
        <w:rPr>
          <w:rFonts w:asciiTheme="minorHAnsi" w:hAnsiTheme="minorHAnsi" w:cstheme="minorHAnsi"/>
          <w:sz w:val="22"/>
        </w:rPr>
      </w:pPr>
      <w:r w:rsidRPr="00187E90">
        <w:rPr>
          <w:rFonts w:asciiTheme="minorHAnsi" w:hAnsiTheme="minorHAnsi" w:cstheme="minorHAnsi"/>
          <w:sz w:val="22"/>
        </w:rPr>
        <w:t xml:space="preserve">Moura, M.B.L., 2021. </w:t>
      </w:r>
      <w:r w:rsidRPr="00187E90">
        <w:rPr>
          <w:rFonts w:asciiTheme="minorHAnsi" w:hAnsiTheme="minorHAnsi" w:cstheme="minorHAnsi"/>
          <w:i/>
          <w:iCs/>
          <w:sz w:val="22"/>
        </w:rPr>
        <w:t>Equity research in food &amp; retail industry - TESCO PLC</w:t>
      </w:r>
      <w:r w:rsidRPr="00187E90">
        <w:rPr>
          <w:rFonts w:asciiTheme="minorHAnsi" w:hAnsiTheme="minorHAnsi" w:cstheme="minorHAnsi"/>
          <w:sz w:val="22"/>
        </w:rPr>
        <w:t xml:space="preserve"> (Doctoral dissertation). Instituto Superior de Economia e </w:t>
      </w:r>
      <w:proofErr w:type="spellStart"/>
      <w:r w:rsidRPr="00187E90">
        <w:rPr>
          <w:rFonts w:asciiTheme="minorHAnsi" w:hAnsiTheme="minorHAnsi" w:cstheme="minorHAnsi"/>
          <w:sz w:val="22"/>
        </w:rPr>
        <w:t>Gestão</w:t>
      </w:r>
      <w:proofErr w:type="spellEnd"/>
      <w:r w:rsidRPr="00187E90">
        <w:rPr>
          <w:rFonts w:asciiTheme="minorHAnsi" w:hAnsiTheme="minorHAnsi" w:cstheme="minorHAnsi"/>
          <w:sz w:val="22"/>
        </w:rPr>
        <w:t xml:space="preserve">. [Online]. Available at: </w:t>
      </w:r>
      <w:hyperlink r:id="rId9" w:history="1">
        <w:proofErr w:type="spellStart"/>
        <w:r w:rsidR="00825DFA" w:rsidRPr="00187E90">
          <w:rPr>
            <w:rStyle w:val="Hyperlink"/>
            <w:rFonts w:asciiTheme="minorHAnsi" w:hAnsiTheme="minorHAnsi" w:cstheme="minorHAnsi"/>
            <w:sz w:val="22"/>
          </w:rPr>
          <w:t>repository.utl</w:t>
        </w:r>
        <w:proofErr w:type="spellEnd"/>
      </w:hyperlink>
      <w:r w:rsidR="00DF5498" w:rsidRPr="00187E90">
        <w:rPr>
          <w:rFonts w:asciiTheme="minorHAnsi" w:hAnsiTheme="minorHAnsi" w:cstheme="minorHAnsi"/>
          <w:sz w:val="22"/>
        </w:rPr>
        <w:t xml:space="preserve"> </w:t>
      </w:r>
      <w:r w:rsidRPr="00187E90">
        <w:rPr>
          <w:rFonts w:asciiTheme="minorHAnsi" w:hAnsiTheme="minorHAnsi" w:cstheme="minorHAnsi"/>
          <w:sz w:val="22"/>
        </w:rPr>
        <w:t xml:space="preserve">[Accessed </w:t>
      </w:r>
      <w:r w:rsidR="00EE442D" w:rsidRPr="00187E90">
        <w:rPr>
          <w:rFonts w:asciiTheme="minorHAnsi" w:hAnsiTheme="minorHAnsi" w:cstheme="minorHAnsi"/>
          <w:sz w:val="22"/>
        </w:rPr>
        <w:t xml:space="preserve">19 August </w:t>
      </w:r>
      <w:r w:rsidRPr="00187E90">
        <w:rPr>
          <w:rFonts w:asciiTheme="minorHAnsi" w:hAnsiTheme="minorHAnsi" w:cstheme="minorHAnsi"/>
          <w:sz w:val="22"/>
        </w:rPr>
        <w:t>2024].</w:t>
      </w:r>
    </w:p>
    <w:p w14:paraId="1435072E" w14:textId="431250D9" w:rsidR="00381318" w:rsidRPr="00D4798A" w:rsidRDefault="00894E9D" w:rsidP="007255FB">
      <w:pPr>
        <w:pStyle w:val="BodyText"/>
        <w:ind w:left="720" w:hanging="720"/>
        <w:jc w:val="both"/>
        <w:rPr>
          <w:rFonts w:ascii="Arial" w:hAnsi="Arial" w:cs="Arial"/>
        </w:rPr>
      </w:pPr>
      <w:r w:rsidRPr="00187E90">
        <w:rPr>
          <w:rFonts w:asciiTheme="minorHAnsi" w:hAnsiTheme="minorHAnsi" w:cstheme="minorHAnsi"/>
          <w:sz w:val="22"/>
        </w:rPr>
        <w:t xml:space="preserve">Woods, M., 2022. Risk management in retail: Tesco PLC (2004-2019). In: Woods, M. ed. </w:t>
      </w:r>
      <w:r w:rsidRPr="00187E90">
        <w:rPr>
          <w:rFonts w:asciiTheme="minorHAnsi" w:hAnsiTheme="minorHAnsi" w:cstheme="minorHAnsi"/>
          <w:i/>
          <w:iCs/>
          <w:sz w:val="22"/>
        </w:rPr>
        <w:t>Risk management in organisations</w:t>
      </w:r>
      <w:r w:rsidRPr="00187E90">
        <w:rPr>
          <w:rFonts w:asciiTheme="minorHAnsi" w:hAnsiTheme="minorHAnsi" w:cstheme="minorHAnsi"/>
          <w:sz w:val="22"/>
        </w:rPr>
        <w:t>. London: Routledge, pp.109-156</w:t>
      </w:r>
      <w:r w:rsidRPr="00D4798A">
        <w:rPr>
          <w:rFonts w:ascii="Arial" w:hAnsi="Arial" w:cs="Arial"/>
          <w:szCs w:val="24"/>
        </w:rPr>
        <w:t>.</w:t>
      </w:r>
    </w:p>
    <w:sectPr w:rsidR="00381318" w:rsidRPr="00D4798A" w:rsidSect="004F60F7">
      <w:headerReference w:type="default" r:id="rId10"/>
      <w:footerReference w:type="default" r:id="rId11"/>
      <w:pgSz w:w="12240" w:h="15840"/>
      <w:pgMar w:top="1440" w:right="1440" w:bottom="1440" w:left="1440" w:header="567"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B7F5D" w14:textId="77777777" w:rsidR="00CD2F47" w:rsidRDefault="00CD2F47">
      <w:pPr>
        <w:spacing w:after="0" w:line="240" w:lineRule="auto"/>
      </w:pPr>
      <w:r>
        <w:separator/>
      </w:r>
    </w:p>
  </w:endnote>
  <w:endnote w:type="continuationSeparator" w:id="0">
    <w:p w14:paraId="6A913D3F" w14:textId="77777777" w:rsidR="00CD2F47" w:rsidRDefault="00CD2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CC"/>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27917187"/>
      <w:docPartObj>
        <w:docPartGallery w:val="Page Numbers (Bottom of Page)"/>
        <w:docPartUnique/>
      </w:docPartObj>
    </w:sdtPr>
    <w:sdtEndPr/>
    <w:sdtContent>
      <w:sdt>
        <w:sdtPr>
          <w:id w:val="1728636285"/>
          <w:docPartObj>
            <w:docPartGallery w:val="Page Numbers (Top of Page)"/>
            <w:docPartUnique/>
          </w:docPartObj>
        </w:sdtPr>
        <w:sdtEndPr/>
        <w:sdtContent>
          <w:p w14:paraId="7B526BEC" w14:textId="77777777" w:rsidR="00111D7D" w:rsidRDefault="001C55E6">
            <w:pPr>
              <w:pStyle w:val="Footer"/>
              <w:jc w:val="center"/>
              <w:rPr>
                <w:b/>
                <w:bCs/>
                <w:szCs w:val="24"/>
              </w:rP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p w14:paraId="41846249" w14:textId="77777777" w:rsidR="00F3154B" w:rsidRDefault="00F3154B">
            <w:pPr>
              <w:pStyle w:val="Footer"/>
              <w:jc w:val="center"/>
              <w:rPr>
                <w:b/>
                <w:bCs/>
                <w:szCs w:val="24"/>
              </w:rPr>
            </w:pPr>
          </w:p>
          <w:p w14:paraId="23DE1DC7" w14:textId="7BD71E62" w:rsidR="001C55E6" w:rsidRDefault="00111D7D">
            <w:pPr>
              <w:pStyle w:val="Footer"/>
              <w:jc w:val="center"/>
            </w:pPr>
            <w:r>
              <w:rPr>
                <w:noProof/>
              </w:rPr>
              <w:drawing>
                <wp:inline distT="0" distB="0" distL="0" distR="0" wp14:anchorId="06B5A265" wp14:editId="07B5F800">
                  <wp:extent cx="1219502" cy="252000"/>
                  <wp:effectExtent l="0" t="0" r="0" b="0"/>
                  <wp:docPr id="79217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760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219502" cy="252000"/>
                          </a:xfrm>
                          <a:prstGeom prst="rect">
                            <a:avLst/>
                          </a:prstGeom>
                        </pic:spPr>
                      </pic:pic>
                    </a:graphicData>
                  </a:graphic>
                </wp:inline>
              </w:drawing>
            </w:r>
          </w:p>
        </w:sdtContent>
      </w:sdt>
    </w:sdtContent>
  </w:sdt>
  <w:p w14:paraId="5694D81A" w14:textId="77777777" w:rsidR="001C55E6" w:rsidRDefault="001C55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D86F0B" w14:textId="77777777" w:rsidR="00CD2F47" w:rsidRDefault="00CD2F47">
      <w:pPr>
        <w:spacing w:after="0" w:line="240" w:lineRule="auto"/>
      </w:pPr>
      <w:r>
        <w:separator/>
      </w:r>
    </w:p>
  </w:footnote>
  <w:footnote w:type="continuationSeparator" w:id="0">
    <w:p w14:paraId="07CD4CA0" w14:textId="77777777" w:rsidR="00CD2F47" w:rsidRDefault="00CD2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rPr>
      <w:id w:val="2146230974"/>
      <w:docPartObj>
        <w:docPartGallery w:val="Page Numbers (Top of Page)"/>
        <w:docPartUnique/>
      </w:docPartObj>
    </w:sdtPr>
    <w:sdtEndPr/>
    <w:sdtContent>
      <w:p w14:paraId="14350730" w14:textId="75777E04" w:rsidR="00381318" w:rsidRPr="005B09D0" w:rsidRDefault="00894E9D" w:rsidP="001C55E6">
        <w:pPr>
          <w:spacing w:after="0"/>
          <w:jc w:val="center"/>
          <w:rPr>
            <w:rFonts w:ascii="Arial" w:hAnsi="Arial" w:cs="Arial"/>
            <w:color w:val="000000"/>
            <w:szCs w:val="24"/>
          </w:rPr>
        </w:pPr>
        <w:r w:rsidRPr="005B09D0">
          <w:rPr>
            <w:rFonts w:ascii="Arial" w:hAnsi="Arial" w:cs="Arial"/>
            <w:color w:val="000000"/>
            <w:szCs w:val="24"/>
          </w:rPr>
          <w:t>Strategic Management and Sustainability - TESCO PLC</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543D89"/>
    <w:multiLevelType w:val="multilevel"/>
    <w:tmpl w:val="DB6EAC3A"/>
    <w:lvl w:ilvl="0">
      <w:start w:val="1"/>
      <w:numFmt w:val="none"/>
      <w:pStyle w:val="Heading1"/>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15:restartNumberingAfterBreak="0">
    <w:nsid w:val="756B5386"/>
    <w:multiLevelType w:val="multilevel"/>
    <w:tmpl w:val="0A0E40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49873770">
    <w:abstractNumId w:val="0"/>
  </w:num>
  <w:num w:numId="2" w16cid:durableId="359166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318"/>
    <w:rsid w:val="00001ED9"/>
    <w:rsid w:val="000B4AE1"/>
    <w:rsid w:val="00111D7D"/>
    <w:rsid w:val="00156C16"/>
    <w:rsid w:val="00187E90"/>
    <w:rsid w:val="001C55E6"/>
    <w:rsid w:val="001E270D"/>
    <w:rsid w:val="002469D6"/>
    <w:rsid w:val="003236DC"/>
    <w:rsid w:val="00340371"/>
    <w:rsid w:val="00347C4C"/>
    <w:rsid w:val="00381318"/>
    <w:rsid w:val="00490601"/>
    <w:rsid w:val="004F60F7"/>
    <w:rsid w:val="005B09D0"/>
    <w:rsid w:val="0064249E"/>
    <w:rsid w:val="00647236"/>
    <w:rsid w:val="007255FB"/>
    <w:rsid w:val="0078226A"/>
    <w:rsid w:val="0078662B"/>
    <w:rsid w:val="007B5FE7"/>
    <w:rsid w:val="008223D5"/>
    <w:rsid w:val="00825DFA"/>
    <w:rsid w:val="00894E9D"/>
    <w:rsid w:val="008D2EA7"/>
    <w:rsid w:val="009266EA"/>
    <w:rsid w:val="00926CF7"/>
    <w:rsid w:val="00AE7942"/>
    <w:rsid w:val="00B81C7F"/>
    <w:rsid w:val="00C1721A"/>
    <w:rsid w:val="00C3306E"/>
    <w:rsid w:val="00C76C37"/>
    <w:rsid w:val="00CD2F47"/>
    <w:rsid w:val="00D4798A"/>
    <w:rsid w:val="00DF5498"/>
    <w:rsid w:val="00E01CA3"/>
    <w:rsid w:val="00E441C8"/>
    <w:rsid w:val="00EE442D"/>
    <w:rsid w:val="00F15196"/>
    <w:rsid w:val="00F3154B"/>
    <w:rsid w:val="00F920A3"/>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3506DB"/>
  <w15:docId w15:val="{6ABDC0FB-D4D0-4DA6-829C-086EDC239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ahoma"/>
        <w:sz w:val="24"/>
        <w:szCs w:val="22"/>
        <w:lang w:val="en-GB"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Heading1">
    <w:name w:val="heading 1"/>
    <w:basedOn w:val="a"/>
    <w:next w:val="BodyText"/>
    <w:link w:val="Heading1Char"/>
    <w:autoRedefine/>
    <w:qFormat/>
    <w:rsid w:val="000B4AE1"/>
    <w:pPr>
      <w:numPr>
        <w:numId w:val="1"/>
      </w:numPr>
      <w:spacing w:before="0" w:after="0" w:line="480" w:lineRule="auto"/>
      <w:jc w:val="center"/>
      <w:outlineLvl w:val="0"/>
    </w:pPr>
    <w:rPr>
      <w:rFonts w:ascii="Arial" w:hAnsi="Arial"/>
      <w:b/>
      <w:color w:val="000000"/>
      <w:sz w:val="24"/>
      <w:szCs w:val="24"/>
    </w:rPr>
  </w:style>
  <w:style w:type="paragraph" w:styleId="Heading2">
    <w:name w:val="heading 2"/>
    <w:basedOn w:val="Normal"/>
    <w:next w:val="Normal"/>
    <w:link w:val="Heading2Char"/>
    <w:autoRedefine/>
    <w:qFormat/>
    <w:rsid w:val="000B4AE1"/>
    <w:pPr>
      <w:keepNext/>
      <w:keepLines/>
      <w:spacing w:after="0" w:line="480" w:lineRule="auto"/>
      <w:outlineLvl w:val="1"/>
    </w:pPr>
    <w:rPr>
      <w:rFonts w:ascii="Arial" w:eastAsia="Calibri" w:hAnsi="Arial"/>
      <w:b/>
      <w:i/>
      <w:iCs/>
      <w:color w:val="000000"/>
      <w:sz w:val="22"/>
      <w:szCs w:val="24"/>
      <w:lang w:eastAsia="en-GB"/>
    </w:rPr>
  </w:style>
  <w:style w:type="paragraph" w:styleId="Heading3">
    <w:name w:val="heading 3"/>
    <w:basedOn w:val="a"/>
    <w:next w:val="BodyText"/>
    <w:link w:val="Heading3Char"/>
    <w:qFormat/>
    <w:pPr>
      <w:spacing w:before="0" w:after="0" w:line="480" w:lineRule="auto"/>
      <w:ind w:firstLine="720"/>
      <w:outlineLvl w:val="2"/>
    </w:pPr>
    <w:rPr>
      <w:rFonts w:ascii="Times New Roman" w:hAnsi="Times New Roman"/>
      <w:i/>
      <w:i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1"/>
    <w:uiPriority w:val="99"/>
    <w:unhideWhenUsed/>
    <w:rsid w:val="00F82619"/>
    <w:rPr>
      <w:color w:val="0000FF"/>
      <w:u w:val="single"/>
    </w:rPr>
  </w:style>
  <w:style w:type="character" w:customStyle="1" w:styleId="HeaderChar">
    <w:name w:val="Header Char"/>
    <w:basedOn w:val="DefaultParagraphFont1"/>
    <w:link w:val="Header"/>
    <w:uiPriority w:val="99"/>
    <w:qFormat/>
    <w:rsid w:val="00C04FB7"/>
  </w:style>
  <w:style w:type="character" w:customStyle="1" w:styleId="FooterChar">
    <w:name w:val="Footer Char"/>
    <w:basedOn w:val="DefaultParagraphFont1"/>
    <w:link w:val="Footer"/>
    <w:uiPriority w:val="99"/>
    <w:qFormat/>
    <w:rsid w:val="00C04FB7"/>
  </w:style>
  <w:style w:type="character" w:customStyle="1" w:styleId="HTMLPreformattedChar">
    <w:name w:val="HTML Preformatted Char"/>
    <w:basedOn w:val="DefaultParagraphFont"/>
    <w:link w:val="HTMLPreformatted"/>
    <w:uiPriority w:val="99"/>
    <w:semiHidden/>
    <w:qFormat/>
    <w:rsid w:val="00D86370"/>
    <w:rPr>
      <w:rFonts w:ascii="Courier New" w:eastAsia="Times New Roman" w:hAnsi="Courier New" w:cs="Courier New"/>
      <w:sz w:val="20"/>
      <w:szCs w:val="20"/>
    </w:rPr>
  </w:style>
  <w:style w:type="character" w:styleId="HTMLCode">
    <w:name w:val="HTML Code"/>
    <w:basedOn w:val="DefaultParagraphFont"/>
    <w:uiPriority w:val="99"/>
    <w:semiHidden/>
    <w:unhideWhenUsed/>
    <w:qFormat/>
    <w:rsid w:val="00D86370"/>
    <w:rPr>
      <w:rFonts w:ascii="Courier New" w:eastAsia="Times New Roman" w:hAnsi="Courier New" w:cs="Courier New"/>
      <w:sz w:val="20"/>
      <w:szCs w:val="20"/>
    </w:rPr>
  </w:style>
  <w:style w:type="character" w:styleId="Strong">
    <w:name w:val="Strong"/>
    <w:basedOn w:val="DefaultParagraphFont"/>
    <w:uiPriority w:val="22"/>
    <w:qFormat/>
    <w:rsid w:val="00D86370"/>
    <w:rPr>
      <w:b/>
      <w:bCs/>
    </w:rPr>
  </w:style>
  <w:style w:type="character" w:customStyle="1" w:styleId="DefaultParagraphFont1">
    <w:name w:val="Default Paragraph Font1"/>
    <w:qFormat/>
  </w:style>
  <w:style w:type="character" w:customStyle="1" w:styleId="BodyTextChar">
    <w:name w:val="Body Text Char"/>
    <w:basedOn w:val="DefaultParagraphFont1"/>
    <w:link w:val="BodyText"/>
    <w:qFormat/>
    <w:rPr>
      <w:rFonts w:ascii="Times New Roman" w:hAnsi="Times New Roman"/>
      <w:sz w:val="24"/>
    </w:rPr>
  </w:style>
  <w:style w:type="character" w:customStyle="1" w:styleId="Heading3Char">
    <w:name w:val="Heading 3 Char"/>
    <w:basedOn w:val="DefaultParagraphFont1"/>
    <w:link w:val="Heading3"/>
    <w:qFormat/>
    <w:rPr>
      <w:rFonts w:ascii="Times New Roman" w:eastAsia="Microsoft YaHei" w:hAnsi="Times New Roman" w:cs="Arial"/>
      <w:i/>
      <w:iCs/>
      <w:sz w:val="24"/>
      <w:szCs w:val="24"/>
    </w:rPr>
  </w:style>
  <w:style w:type="character" w:customStyle="1" w:styleId="Heading1Char">
    <w:name w:val="Heading 1 Char"/>
    <w:basedOn w:val="DefaultParagraphFont1"/>
    <w:link w:val="Heading1"/>
    <w:qFormat/>
    <w:rsid w:val="000B4AE1"/>
    <w:rPr>
      <w:rFonts w:ascii="Arial" w:eastAsia="Microsoft YaHei" w:hAnsi="Arial" w:cs="Arial"/>
      <w:b/>
      <w:color w:val="000000"/>
      <w:szCs w:val="24"/>
    </w:rPr>
  </w:style>
  <w:style w:type="character" w:customStyle="1" w:styleId="Heading2Char">
    <w:name w:val="Heading 2 Char"/>
    <w:basedOn w:val="DefaultParagraphFont1"/>
    <w:link w:val="Heading2"/>
    <w:qFormat/>
    <w:rsid w:val="000B4AE1"/>
    <w:rPr>
      <w:rFonts w:ascii="Arial" w:eastAsia="Calibri" w:hAnsi="Arial"/>
      <w:b/>
      <w:i/>
      <w:iCs/>
      <w:color w:val="000000"/>
      <w:sz w:val="22"/>
      <w:szCs w:val="24"/>
      <w:lang w:eastAsia="en-GB"/>
    </w:rPr>
  </w:style>
  <w:style w:type="character" w:customStyle="1" w:styleId="a0">
    <w:name w:val="Ссылка указателя"/>
    <w:qFormat/>
  </w:style>
  <w:style w:type="character" w:customStyle="1" w:styleId="Strong1">
    <w:name w:val="Strong1"/>
    <w:basedOn w:val="DefaultParagraphFont1"/>
    <w:qFormat/>
    <w:rPr>
      <w:b/>
      <w:bCs/>
    </w:rPr>
  </w:style>
  <w:style w:type="character" w:styleId="FollowedHyperlink">
    <w:name w:val="FollowedHyperlink"/>
    <w:basedOn w:val="DefaultParagraphFont1"/>
    <w:rPr>
      <w:color w:val="954F72"/>
      <w:u w:val="single"/>
    </w:rPr>
  </w:style>
  <w:style w:type="character" w:styleId="Emphasis">
    <w:name w:val="Emphasis"/>
    <w:basedOn w:val="DefaultParagraphFont1"/>
    <w:qFormat/>
    <w:rPr>
      <w:i/>
      <w:iCs/>
    </w:rPr>
  </w:style>
  <w:style w:type="character" w:customStyle="1" w:styleId="entry-author-name">
    <w:name w:val="entry-author-name"/>
    <w:basedOn w:val="DefaultParagraphFont1"/>
    <w:qFormat/>
  </w:style>
  <w:style w:type="character" w:customStyle="1" w:styleId="httpswwwtescoplccom">
    <w:name w:val="https://www.tescoplc.com/"/>
    <w:basedOn w:val="DefaultParagraphFont1"/>
    <w:qFormat/>
  </w:style>
  <w:style w:type="paragraph" w:customStyle="1" w:styleId="a">
    <w:name w:val="Заголовок"/>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pPr>
      <w:spacing w:after="0" w:line="480" w:lineRule="auto"/>
      <w:ind w:firstLine="720"/>
    </w:pPr>
    <w:rPr>
      <w:color w:val="000000"/>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a1">
    <w:name w:val="Указатель"/>
    <w:basedOn w:val="Normal"/>
    <w:qFormat/>
    <w:pPr>
      <w:suppressLineNumbers/>
    </w:pPr>
    <w:rPr>
      <w:rFonts w:cs="Arial"/>
    </w:rPr>
  </w:style>
  <w:style w:type="paragraph" w:customStyle="1" w:styleId="a2">
    <w:name w:val="Колонтитул"/>
    <w:basedOn w:val="Normal"/>
    <w:qFormat/>
  </w:style>
  <w:style w:type="paragraph" w:styleId="Header">
    <w:name w:val="header"/>
    <w:basedOn w:val="Normal"/>
    <w:link w:val="HeaderChar"/>
    <w:uiPriority w:val="99"/>
    <w:unhideWhenUsed/>
    <w:rsid w:val="00C04FB7"/>
    <w:pPr>
      <w:tabs>
        <w:tab w:val="center" w:pos="4513"/>
        <w:tab w:val="right" w:pos="9026"/>
      </w:tabs>
      <w:spacing w:after="0" w:line="240" w:lineRule="auto"/>
      <w:jc w:val="right"/>
    </w:pPr>
    <w:rPr>
      <w:color w:val="000000"/>
    </w:rPr>
  </w:style>
  <w:style w:type="paragraph" w:styleId="Footer">
    <w:name w:val="footer"/>
    <w:basedOn w:val="Normal"/>
    <w:link w:val="FooterChar"/>
    <w:uiPriority w:val="99"/>
    <w:unhideWhenUsed/>
    <w:rsid w:val="00C04FB7"/>
    <w:pPr>
      <w:tabs>
        <w:tab w:val="center" w:pos="4513"/>
        <w:tab w:val="right" w:pos="9026"/>
      </w:tabs>
      <w:spacing w:after="0" w:line="240" w:lineRule="auto"/>
    </w:pPr>
  </w:style>
  <w:style w:type="paragraph" w:styleId="HTMLPreformatted">
    <w:name w:val="HTML Preformatted"/>
    <w:basedOn w:val="Normal"/>
    <w:link w:val="HTMLPreformattedChar"/>
    <w:uiPriority w:val="99"/>
    <w:semiHidden/>
    <w:unhideWhenUsed/>
    <w:qFormat/>
    <w:rsid w:val="00D863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NormalWeb">
    <w:name w:val="Normal (Web)"/>
    <w:basedOn w:val="Normal"/>
    <w:uiPriority w:val="99"/>
    <w:unhideWhenUsed/>
    <w:qFormat/>
    <w:rsid w:val="00D86370"/>
    <w:pPr>
      <w:spacing w:before="280" w:after="280" w:line="240" w:lineRule="auto"/>
    </w:pPr>
    <w:rPr>
      <w:rFonts w:eastAsia="Times New Roman" w:cs="Times New Roman"/>
      <w:szCs w:val="24"/>
      <w:lang w:eastAsia="en-GB"/>
    </w:rPr>
  </w:style>
  <w:style w:type="paragraph" w:styleId="IndexHeading">
    <w:name w:val="index heading"/>
    <w:basedOn w:val="a"/>
  </w:style>
  <w:style w:type="paragraph" w:styleId="TOCHeading">
    <w:name w:val="TOC Heading"/>
    <w:basedOn w:val="Heading1"/>
    <w:next w:val="Normal"/>
    <w:qFormat/>
    <w:pPr>
      <w:suppressAutoHyphens w:val="0"/>
      <w:outlineLvl w:val="9"/>
    </w:pPr>
    <w:rPr>
      <w:lang w:val="en-US"/>
    </w:rPr>
  </w:style>
  <w:style w:type="paragraph" w:styleId="TOC1">
    <w:name w:val="toc 1"/>
    <w:basedOn w:val="Normal"/>
    <w:next w:val="Normal"/>
    <w:autoRedefine/>
    <w:pPr>
      <w:tabs>
        <w:tab w:val="right" w:leader="dot" w:pos="9026"/>
      </w:tabs>
      <w:spacing w:after="0" w:line="480" w:lineRule="auto"/>
    </w:pPr>
    <w:rPr>
      <w:rFonts w:eastAsia="Calibri"/>
      <w:color w:val="000000"/>
    </w:rPr>
  </w:style>
  <w:style w:type="paragraph" w:styleId="TOC2">
    <w:name w:val="toc 2"/>
    <w:basedOn w:val="Normal"/>
    <w:next w:val="Normal"/>
    <w:autoRedefine/>
    <w:pPr>
      <w:tabs>
        <w:tab w:val="right" w:leader="dot" w:pos="9026"/>
      </w:tabs>
      <w:spacing w:after="0" w:line="480" w:lineRule="auto"/>
      <w:ind w:left="360"/>
    </w:pPr>
    <w:rPr>
      <w:color w:val="000000"/>
    </w:rPr>
  </w:style>
  <w:style w:type="paragraph" w:styleId="TOC3">
    <w:name w:val="toc 3"/>
    <w:basedOn w:val="Normal"/>
    <w:next w:val="Normal"/>
    <w:autoRedefine/>
    <w:pPr>
      <w:tabs>
        <w:tab w:val="right" w:leader="dot" w:pos="9026"/>
      </w:tabs>
      <w:spacing w:after="0" w:line="480" w:lineRule="auto"/>
      <w:ind w:left="720"/>
    </w:pPr>
    <w:rPr>
      <w:color w:val="000000"/>
    </w:rPr>
  </w:style>
  <w:style w:type="paragraph" w:styleId="ListParagraph">
    <w:name w:val="List Paragraph"/>
    <w:basedOn w:val="Normal"/>
    <w:qFormat/>
    <w:pPr>
      <w:ind w:left="720"/>
      <w:contextualSpacing/>
    </w:pPr>
  </w:style>
  <w:style w:type="paragraph" w:customStyle="1" w:styleId="q-text">
    <w:name w:val="q-text"/>
    <w:basedOn w:val="Normal"/>
    <w:qFormat/>
    <w:pPr>
      <w:spacing w:before="280" w:after="280" w:line="240" w:lineRule="auto"/>
    </w:pPr>
    <w:rPr>
      <w:rFonts w:eastAsia="Times New Roman" w:cs="Times New Roman"/>
      <w:szCs w:val="24"/>
      <w:lang w:val="en-US"/>
    </w:rPr>
  </w:style>
  <w:style w:type="paragraph" w:customStyle="1" w:styleId="a3">
    <w:name w:val="Содержимое таблицы"/>
    <w:basedOn w:val="Normal"/>
    <w:qFormat/>
    <w:pPr>
      <w:widowControl w:val="0"/>
      <w:suppressLineNumbers/>
    </w:pPr>
  </w:style>
  <w:style w:type="character" w:styleId="UnresolvedMention">
    <w:name w:val="Unresolved Mention"/>
    <w:basedOn w:val="DefaultParagraphFont"/>
    <w:uiPriority w:val="99"/>
    <w:semiHidden/>
    <w:unhideWhenUsed/>
    <w:rsid w:val="00DF54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959652620343894?via%3Dihub"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orma.ncirl.ie/5851/1/estherbolanleajibola.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repository.utl.pt/bitstream/10400.5/23303/1/DM-MBLM-2021.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12</Pages>
  <Words>2929</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Youdjel Gazi (2018574)</dc:creator>
  <dc:description/>
  <cp:lastModifiedBy>Building Manager</cp:lastModifiedBy>
  <cp:revision>11</cp:revision>
  <dcterms:created xsi:type="dcterms:W3CDTF">2024-08-19T09:57:00Z</dcterms:created>
  <dcterms:modified xsi:type="dcterms:W3CDTF">2024-08-28T10:04:00Z</dcterms:modified>
  <dc:language>en-EN</dc:language>
</cp:coreProperties>
</file>