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3D7B" w:rsidRPr="00026A96" w:rsidRDefault="00573D7B">
      <w:pPr>
        <w:pStyle w:val="Normal1"/>
        <w:spacing w:line="360" w:lineRule="auto"/>
        <w:jc w:val="both"/>
        <w:rPr>
          <w:rFonts w:ascii="Times New Roman" w:eastAsia="Times New Roman" w:hAnsi="Times New Roman" w:cs="Times New Roman"/>
          <w:b/>
          <w:sz w:val="24"/>
          <w:szCs w:val="24"/>
          <w:lang w:val="en-GB"/>
        </w:rPr>
      </w:pPr>
    </w:p>
    <w:p w:rsidR="00573D7B" w:rsidRPr="00026A96" w:rsidRDefault="00573D7B">
      <w:pPr>
        <w:pStyle w:val="Normal1"/>
        <w:spacing w:line="360" w:lineRule="auto"/>
        <w:jc w:val="both"/>
        <w:rPr>
          <w:rFonts w:ascii="Times New Roman" w:eastAsia="Times New Roman" w:hAnsi="Times New Roman" w:cs="Times New Roman"/>
          <w:b/>
          <w:sz w:val="24"/>
          <w:szCs w:val="24"/>
          <w:lang w:val="en-GB"/>
        </w:rPr>
      </w:pPr>
    </w:p>
    <w:p w:rsidR="00573D7B" w:rsidRPr="00026A96" w:rsidRDefault="00573D7B">
      <w:pPr>
        <w:pStyle w:val="Normal1"/>
        <w:spacing w:line="360" w:lineRule="auto"/>
        <w:jc w:val="both"/>
        <w:rPr>
          <w:rFonts w:ascii="Times New Roman" w:eastAsia="Times New Roman" w:hAnsi="Times New Roman" w:cs="Times New Roman"/>
          <w:b/>
          <w:sz w:val="24"/>
          <w:szCs w:val="24"/>
          <w:lang w:val="en-GB"/>
        </w:rPr>
      </w:pPr>
    </w:p>
    <w:p w:rsidR="00573D7B" w:rsidRPr="00026A96" w:rsidRDefault="00573D7B">
      <w:pPr>
        <w:pStyle w:val="Normal1"/>
        <w:spacing w:line="360" w:lineRule="auto"/>
        <w:jc w:val="both"/>
        <w:rPr>
          <w:rFonts w:ascii="Times New Roman" w:eastAsia="Times New Roman" w:hAnsi="Times New Roman" w:cs="Times New Roman"/>
          <w:b/>
          <w:sz w:val="24"/>
          <w:szCs w:val="24"/>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bookmarkStart w:id="0" w:name="_GoBack"/>
      <w:bookmarkEnd w:id="0"/>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573D7B">
      <w:pPr>
        <w:pStyle w:val="Normal1"/>
        <w:spacing w:line="360" w:lineRule="auto"/>
        <w:jc w:val="center"/>
        <w:rPr>
          <w:rFonts w:ascii="Times New Roman" w:eastAsia="Times New Roman" w:hAnsi="Times New Roman" w:cs="Times New Roman"/>
          <w:b/>
          <w:sz w:val="32"/>
          <w:szCs w:val="32"/>
          <w:lang w:val="en-GB"/>
        </w:rPr>
      </w:pPr>
    </w:p>
    <w:p w:rsidR="00573D7B" w:rsidRPr="00026A96" w:rsidRDefault="000E4DB4" w:rsidP="000E4DB4">
      <w:pPr>
        <w:pStyle w:val="Normal1"/>
        <w:spacing w:line="360" w:lineRule="auto"/>
        <w:jc w:val="center"/>
        <w:rPr>
          <w:rFonts w:ascii="Times New Roman" w:eastAsia="Times New Roman" w:hAnsi="Times New Roman" w:cs="Times New Roman"/>
          <w:b/>
          <w:sz w:val="36"/>
          <w:szCs w:val="32"/>
          <w:lang w:val="en-GB"/>
        </w:rPr>
      </w:pPr>
      <w:r w:rsidRPr="00026A96">
        <w:rPr>
          <w:rFonts w:ascii="Times New Roman" w:eastAsia="Times New Roman" w:hAnsi="Times New Roman" w:cs="Times New Roman"/>
          <w:b/>
          <w:sz w:val="36"/>
          <w:szCs w:val="32"/>
          <w:lang w:val="en-GB"/>
        </w:rPr>
        <w:t>LCBB6004 STRATEGIC MANAGEMENT &amp; SUSTAINABILITY</w:t>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lang w:val="en-GB"/>
        </w:rPr>
        <w:br w:type="page"/>
      </w:r>
    </w:p>
    <w:p w:rsidR="00573D7B" w:rsidRPr="00026A96" w:rsidRDefault="00AC577B" w:rsidP="00986B5A">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lastRenderedPageBreak/>
        <w:t>Executive summary</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sz w:val="24"/>
          <w:szCs w:val="24"/>
          <w:lang w:val="en-GB"/>
        </w:rPr>
        <w:t xml:space="preserve">Strategic management and sustainability are connected to each other as the organisation has to set its possible strategies to maintain sustainability in business operations. This study helps to discuss the importance of strategies with the popper evidence of a renowned organisation, British Petroleum PLC or BP PLC. It helps to understand the key strategies of this company which have already been implemented in the business and support the organisation in achieving its goals and objectives. Therefore, the sustainability approaches along with the analysis of internal and external environmental factors are also included in the analysis of the study. The competitive analysis helps to understand the key competitors and their power in the current market along with the position of BP PLC. Based on this information, some recommendations are suggested for further growth of the company. </w:t>
      </w:r>
      <w:r w:rsidRPr="00026A96">
        <w:rPr>
          <w:lang w:val="en-GB"/>
        </w:rPr>
        <w:br w:type="page"/>
      </w:r>
    </w:p>
    <w:sdt>
      <w:sdtPr>
        <w:rPr>
          <w:rFonts w:ascii="Times New Roman" w:eastAsia="Arial" w:hAnsi="Times New Roman" w:cs="Times New Roman"/>
          <w:color w:val="000000" w:themeColor="text1"/>
          <w:sz w:val="24"/>
          <w:szCs w:val="24"/>
          <w:lang w:val="en-GB"/>
        </w:rPr>
        <w:id w:val="-1800056070"/>
        <w:docPartObj>
          <w:docPartGallery w:val="Table of Contents"/>
          <w:docPartUnique/>
        </w:docPartObj>
      </w:sdtPr>
      <w:sdtEndPr>
        <w:rPr>
          <w:b/>
          <w:bCs/>
          <w:noProof/>
          <w:color w:val="auto"/>
        </w:rPr>
      </w:sdtEndPr>
      <w:sdtContent>
        <w:p w:rsidR="000C3794" w:rsidRPr="00026A96" w:rsidRDefault="000C3794" w:rsidP="000C3794">
          <w:pPr>
            <w:pStyle w:val="TOCHeading"/>
            <w:spacing w:line="360" w:lineRule="auto"/>
            <w:jc w:val="center"/>
            <w:rPr>
              <w:rFonts w:ascii="Times New Roman" w:hAnsi="Times New Roman" w:cs="Times New Roman"/>
              <w:b/>
              <w:color w:val="000000" w:themeColor="text1"/>
              <w:sz w:val="24"/>
              <w:szCs w:val="24"/>
              <w:lang w:val="en-GB"/>
            </w:rPr>
          </w:pPr>
          <w:r w:rsidRPr="00026A96">
            <w:rPr>
              <w:rFonts w:ascii="Times New Roman" w:hAnsi="Times New Roman" w:cs="Times New Roman"/>
              <w:b/>
              <w:color w:val="000000" w:themeColor="text1"/>
              <w:sz w:val="24"/>
              <w:szCs w:val="24"/>
              <w:lang w:val="en-GB"/>
            </w:rPr>
            <w:t>Table of Contents</w:t>
          </w:r>
        </w:p>
        <w:p w:rsidR="000C3794" w:rsidRPr="00D42D84" w:rsidRDefault="000C3794" w:rsidP="00D42D84">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D42D84">
            <w:rPr>
              <w:rFonts w:ascii="Times New Roman" w:hAnsi="Times New Roman" w:cs="Times New Roman"/>
              <w:b/>
              <w:bCs/>
              <w:noProof/>
              <w:color w:val="000000" w:themeColor="text1"/>
              <w:sz w:val="24"/>
              <w:szCs w:val="24"/>
              <w:lang w:val="en-GB"/>
            </w:rPr>
            <w:fldChar w:fldCharType="begin"/>
          </w:r>
          <w:r w:rsidRPr="00D42D84">
            <w:rPr>
              <w:rFonts w:ascii="Times New Roman" w:hAnsi="Times New Roman" w:cs="Times New Roman"/>
              <w:b/>
              <w:bCs/>
              <w:noProof/>
              <w:color w:val="000000" w:themeColor="text1"/>
              <w:sz w:val="24"/>
              <w:szCs w:val="24"/>
              <w:lang w:val="en-GB"/>
            </w:rPr>
            <w:instrText xml:space="preserve"> TOC \o "1-3" \h \z \u </w:instrText>
          </w:r>
          <w:r w:rsidRPr="00D42D84">
            <w:rPr>
              <w:rFonts w:ascii="Times New Roman" w:hAnsi="Times New Roman" w:cs="Times New Roman"/>
              <w:b/>
              <w:bCs/>
              <w:noProof/>
              <w:color w:val="000000" w:themeColor="text1"/>
              <w:sz w:val="24"/>
              <w:szCs w:val="24"/>
              <w:lang w:val="en-GB"/>
            </w:rPr>
            <w:fldChar w:fldCharType="separate"/>
          </w:r>
          <w:hyperlink w:anchor="_Toc151733323" w:history="1">
            <w:r w:rsidRPr="00D42D84">
              <w:rPr>
                <w:rStyle w:val="Hyperlink"/>
                <w:rFonts w:ascii="Times New Roman" w:hAnsi="Times New Roman" w:cs="Times New Roman"/>
                <w:noProof/>
                <w:color w:val="000000" w:themeColor="text1"/>
                <w:sz w:val="24"/>
                <w:szCs w:val="24"/>
                <w:lang w:val="en-GB"/>
              </w:rPr>
              <w:t>1. Introduction</w:t>
            </w:r>
            <w:r w:rsidRPr="00D42D84">
              <w:rPr>
                <w:rFonts w:ascii="Times New Roman" w:hAnsi="Times New Roman" w:cs="Times New Roman"/>
                <w:noProof/>
                <w:webHidden/>
                <w:color w:val="000000" w:themeColor="text1"/>
                <w:sz w:val="24"/>
                <w:szCs w:val="24"/>
                <w:lang w:val="en-GB"/>
              </w:rPr>
              <w:tab/>
            </w:r>
            <w:r w:rsidRPr="00D42D84">
              <w:rPr>
                <w:rFonts w:ascii="Times New Roman" w:hAnsi="Times New Roman" w:cs="Times New Roman"/>
                <w:noProof/>
                <w:webHidden/>
                <w:color w:val="000000" w:themeColor="text1"/>
                <w:sz w:val="24"/>
                <w:szCs w:val="24"/>
                <w:lang w:val="en-GB"/>
              </w:rPr>
              <w:fldChar w:fldCharType="begin"/>
            </w:r>
            <w:r w:rsidRPr="00D42D84">
              <w:rPr>
                <w:rFonts w:ascii="Times New Roman" w:hAnsi="Times New Roman" w:cs="Times New Roman"/>
                <w:noProof/>
                <w:webHidden/>
                <w:color w:val="000000" w:themeColor="text1"/>
                <w:sz w:val="24"/>
                <w:szCs w:val="24"/>
                <w:lang w:val="en-GB"/>
              </w:rPr>
              <w:instrText xml:space="preserve"> PAGEREF _Toc151733323 \h </w:instrText>
            </w:r>
            <w:r w:rsidRPr="00D42D84">
              <w:rPr>
                <w:rFonts w:ascii="Times New Roman" w:hAnsi="Times New Roman" w:cs="Times New Roman"/>
                <w:noProof/>
                <w:webHidden/>
                <w:color w:val="000000" w:themeColor="text1"/>
                <w:sz w:val="24"/>
                <w:szCs w:val="24"/>
                <w:lang w:val="en-GB"/>
              </w:rPr>
            </w:r>
            <w:r w:rsidRPr="00D42D84">
              <w:rPr>
                <w:rFonts w:ascii="Times New Roman" w:hAnsi="Times New Roman" w:cs="Times New Roman"/>
                <w:noProof/>
                <w:webHidden/>
                <w:color w:val="000000" w:themeColor="text1"/>
                <w:sz w:val="24"/>
                <w:szCs w:val="24"/>
                <w:lang w:val="en-GB"/>
              </w:rPr>
              <w:fldChar w:fldCharType="separate"/>
            </w:r>
            <w:r w:rsidRPr="00D42D84">
              <w:rPr>
                <w:rFonts w:ascii="Times New Roman" w:hAnsi="Times New Roman" w:cs="Times New Roman"/>
                <w:noProof/>
                <w:webHidden/>
                <w:color w:val="000000" w:themeColor="text1"/>
                <w:sz w:val="24"/>
                <w:szCs w:val="24"/>
                <w:lang w:val="en-GB"/>
              </w:rPr>
              <w:t>4</w:t>
            </w:r>
            <w:r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24" w:history="1">
            <w:r w:rsidR="000C3794" w:rsidRPr="00D42D84">
              <w:rPr>
                <w:rStyle w:val="Hyperlink"/>
                <w:rFonts w:ascii="Times New Roman" w:hAnsi="Times New Roman" w:cs="Times New Roman"/>
                <w:noProof/>
                <w:color w:val="000000" w:themeColor="text1"/>
                <w:sz w:val="24"/>
                <w:szCs w:val="24"/>
                <w:lang w:val="en-GB"/>
              </w:rPr>
              <w:t>2. Main analysis</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_Toc151733324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5</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25" w:history="1">
            <w:r w:rsidR="000C3794" w:rsidRPr="00D42D84">
              <w:rPr>
                <w:rStyle w:val="Hyperlink"/>
                <w:rFonts w:ascii="Times New Roman" w:hAnsi="Times New Roman" w:cs="Times New Roman"/>
                <w:noProof/>
                <w:color w:val="000000" w:themeColor="text1"/>
                <w:sz w:val="24"/>
                <w:szCs w:val="24"/>
                <w:lang w:val="en-GB"/>
              </w:rPr>
              <w:t>2.1 Identification of the key business and corporate strategies of the company</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_Toc151733325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5</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26" w:history="1">
            <w:r w:rsidR="000C3794" w:rsidRPr="00D42D84">
              <w:rPr>
                <w:rStyle w:val="Hyperlink"/>
                <w:rFonts w:ascii="Times New Roman" w:hAnsi="Times New Roman" w:cs="Times New Roman"/>
                <w:noProof/>
                <w:color w:val="000000" w:themeColor="text1"/>
                <w:sz w:val="24"/>
                <w:szCs w:val="24"/>
                <w:lang w:val="en-GB"/>
              </w:rPr>
              <w:t>2.2 Evaluation of the resources and capabilities of the selected company with the analysis of what extent the company has aligned its resources and capabilities to its current business/corporate strategies</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_Toc151733326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6</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27" w:history="1">
            <w:r w:rsidR="000C3794" w:rsidRPr="00D42D84">
              <w:rPr>
                <w:rStyle w:val="Hyperlink"/>
                <w:rFonts w:ascii="Times New Roman" w:hAnsi="Times New Roman" w:cs="Times New Roman"/>
                <w:noProof/>
                <w:color w:val="000000" w:themeColor="text1"/>
                <w:sz w:val="24"/>
                <w:szCs w:val="24"/>
                <w:lang w:val="en-GB"/>
              </w:rPr>
              <w:t>2.3 Illustration of the outcome of the company after implementing selected business and corporate strategies to compete in the market and create competitive advantages over rivals</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_Toc151733327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10</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28" w:history="1">
            <w:r w:rsidR="000C3794" w:rsidRPr="00D42D84">
              <w:rPr>
                <w:rStyle w:val="Hyperlink"/>
                <w:rFonts w:ascii="Times New Roman" w:hAnsi="Times New Roman" w:cs="Times New Roman"/>
                <w:noProof/>
                <w:color w:val="000000" w:themeColor="text1"/>
                <w:sz w:val="24"/>
                <w:szCs w:val="24"/>
                <w:lang w:val="en-GB"/>
              </w:rPr>
              <w:t>2.4 Discussion of how the selected company has tried to become more competitive while taking into consideration sustainability and the environment</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_Toc151733328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12</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29" w:history="1">
            <w:r w:rsidR="000C3794" w:rsidRPr="00D42D84">
              <w:rPr>
                <w:rStyle w:val="Hyperlink"/>
                <w:rFonts w:ascii="Times New Roman" w:hAnsi="Times New Roman" w:cs="Times New Roman"/>
                <w:noProof/>
                <w:color w:val="000000" w:themeColor="text1"/>
                <w:sz w:val="24"/>
                <w:szCs w:val="24"/>
                <w:lang w:val="en-GB"/>
              </w:rPr>
              <w:t>2.5 Recommendation for the company for further sustainability that can help the organisation to develop competitive advantages in the future</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_Toc151733329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13</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1F040C" w:rsidP="00D42D84">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51733330" w:history="1">
            <w:r w:rsidR="000C3794" w:rsidRPr="00D42D84">
              <w:rPr>
                <w:rStyle w:val="Hyperlink"/>
                <w:rFonts w:ascii="Times New Roman" w:hAnsi="Times New Roman" w:cs="Times New Roman"/>
                <w:noProof/>
                <w:color w:val="000000" w:themeColor="text1"/>
                <w:sz w:val="24"/>
                <w:szCs w:val="24"/>
                <w:lang w:val="en-GB"/>
              </w:rPr>
              <w:t>3. Conclusion</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_Toc151733330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14</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D42D84" w:rsidP="00D42D84">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D42D84">
            <w:rPr>
              <w:rFonts w:ascii="Times New Roman" w:hAnsi="Times New Roman" w:cs="Times New Roman"/>
              <w:sz w:val="24"/>
              <w:szCs w:val="24"/>
              <w:lang w:val="en-GB"/>
            </w:rPr>
            <w:t xml:space="preserve">4. </w:t>
          </w:r>
          <w:hyperlink w:anchor="_Toc151733331" w:history="1">
            <w:r w:rsidR="000C3794" w:rsidRPr="00D42D84">
              <w:rPr>
                <w:rStyle w:val="Hyperlink"/>
                <w:rFonts w:ascii="Times New Roman" w:hAnsi="Times New Roman" w:cs="Times New Roman"/>
                <w:noProof/>
                <w:color w:val="000000" w:themeColor="text1"/>
                <w:sz w:val="24"/>
                <w:szCs w:val="24"/>
                <w:lang w:val="en-GB"/>
              </w:rPr>
              <w:t>References</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_Toc151733331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15</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D42D84" w:rsidP="00D42D84">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D42D84">
            <w:rPr>
              <w:rFonts w:ascii="Times New Roman" w:hAnsi="Times New Roman" w:cs="Times New Roman"/>
              <w:sz w:val="24"/>
              <w:szCs w:val="24"/>
              <w:lang w:val="en-GB"/>
            </w:rPr>
            <w:t xml:space="preserve">5. </w:t>
          </w:r>
          <w:hyperlink w:anchor="_Toc151733332" w:history="1">
            <w:r w:rsidR="000C3794" w:rsidRPr="00D42D84">
              <w:rPr>
                <w:rStyle w:val="Hyperlink"/>
                <w:rFonts w:ascii="Times New Roman" w:hAnsi="Times New Roman" w:cs="Times New Roman"/>
                <w:noProof/>
                <w:color w:val="000000" w:themeColor="text1"/>
                <w:sz w:val="24"/>
                <w:szCs w:val="24"/>
                <w:lang w:val="en-GB"/>
              </w:rPr>
              <w:t>Appendices</w:t>
            </w:r>
            <w:r w:rsidR="000C3794" w:rsidRPr="00D42D84">
              <w:rPr>
                <w:rFonts w:ascii="Times New Roman" w:hAnsi="Times New Roman" w:cs="Times New Roman"/>
                <w:noProof/>
                <w:webHidden/>
                <w:color w:val="000000" w:themeColor="text1"/>
                <w:sz w:val="24"/>
                <w:szCs w:val="24"/>
                <w:lang w:val="en-GB"/>
              </w:rPr>
              <w:tab/>
            </w:r>
            <w:r w:rsidR="000C3794" w:rsidRPr="00D42D84">
              <w:rPr>
                <w:rFonts w:ascii="Times New Roman" w:hAnsi="Times New Roman" w:cs="Times New Roman"/>
                <w:noProof/>
                <w:webHidden/>
                <w:color w:val="000000" w:themeColor="text1"/>
                <w:sz w:val="24"/>
                <w:szCs w:val="24"/>
                <w:lang w:val="en-GB"/>
              </w:rPr>
              <w:fldChar w:fldCharType="begin"/>
            </w:r>
            <w:r w:rsidR="000C3794" w:rsidRPr="00D42D84">
              <w:rPr>
                <w:rFonts w:ascii="Times New Roman" w:hAnsi="Times New Roman" w:cs="Times New Roman"/>
                <w:noProof/>
                <w:webHidden/>
                <w:color w:val="000000" w:themeColor="text1"/>
                <w:sz w:val="24"/>
                <w:szCs w:val="24"/>
                <w:lang w:val="en-GB"/>
              </w:rPr>
              <w:instrText xml:space="preserve"> PAGEREF _Toc151733332 \h </w:instrText>
            </w:r>
            <w:r w:rsidR="000C3794" w:rsidRPr="00D42D84">
              <w:rPr>
                <w:rFonts w:ascii="Times New Roman" w:hAnsi="Times New Roman" w:cs="Times New Roman"/>
                <w:noProof/>
                <w:webHidden/>
                <w:color w:val="000000" w:themeColor="text1"/>
                <w:sz w:val="24"/>
                <w:szCs w:val="24"/>
                <w:lang w:val="en-GB"/>
              </w:rPr>
            </w:r>
            <w:r w:rsidR="000C3794" w:rsidRPr="00D42D84">
              <w:rPr>
                <w:rFonts w:ascii="Times New Roman" w:hAnsi="Times New Roman" w:cs="Times New Roman"/>
                <w:noProof/>
                <w:webHidden/>
                <w:color w:val="000000" w:themeColor="text1"/>
                <w:sz w:val="24"/>
                <w:szCs w:val="24"/>
                <w:lang w:val="en-GB"/>
              </w:rPr>
              <w:fldChar w:fldCharType="separate"/>
            </w:r>
            <w:r w:rsidR="000C3794" w:rsidRPr="00D42D84">
              <w:rPr>
                <w:rFonts w:ascii="Times New Roman" w:hAnsi="Times New Roman" w:cs="Times New Roman"/>
                <w:noProof/>
                <w:webHidden/>
                <w:color w:val="000000" w:themeColor="text1"/>
                <w:sz w:val="24"/>
                <w:szCs w:val="24"/>
                <w:lang w:val="en-GB"/>
              </w:rPr>
              <w:t>18</w:t>
            </w:r>
            <w:r w:rsidR="000C3794" w:rsidRPr="00D42D84">
              <w:rPr>
                <w:rFonts w:ascii="Times New Roman" w:hAnsi="Times New Roman" w:cs="Times New Roman"/>
                <w:noProof/>
                <w:webHidden/>
                <w:color w:val="000000" w:themeColor="text1"/>
                <w:sz w:val="24"/>
                <w:szCs w:val="24"/>
                <w:lang w:val="en-GB"/>
              </w:rPr>
              <w:fldChar w:fldCharType="end"/>
            </w:r>
          </w:hyperlink>
        </w:p>
        <w:p w:rsidR="000C3794" w:rsidRPr="00D42D84" w:rsidRDefault="000C3794" w:rsidP="00D42D84">
          <w:pPr>
            <w:spacing w:line="360" w:lineRule="auto"/>
            <w:jc w:val="both"/>
            <w:rPr>
              <w:rFonts w:ascii="Times New Roman" w:hAnsi="Times New Roman" w:cs="Times New Roman"/>
              <w:sz w:val="24"/>
              <w:szCs w:val="24"/>
              <w:lang w:val="en-GB"/>
            </w:rPr>
          </w:pPr>
          <w:r w:rsidRPr="00D42D84">
            <w:rPr>
              <w:rFonts w:ascii="Times New Roman" w:hAnsi="Times New Roman" w:cs="Times New Roman"/>
              <w:b/>
              <w:bCs/>
              <w:noProof/>
              <w:color w:val="000000" w:themeColor="text1"/>
              <w:sz w:val="24"/>
              <w:szCs w:val="24"/>
              <w:lang w:val="en-GB"/>
            </w:rPr>
            <w:fldChar w:fldCharType="end"/>
          </w:r>
        </w:p>
      </w:sdtContent>
    </w:sdt>
    <w:p w:rsidR="00EC1923" w:rsidRPr="00026A96" w:rsidRDefault="00EC1923">
      <w:pPr>
        <w:rPr>
          <w:rFonts w:ascii="Times New Roman" w:hAnsi="Times New Roman"/>
          <w:b/>
          <w:color w:val="000000" w:themeColor="text1"/>
          <w:sz w:val="24"/>
          <w:szCs w:val="40"/>
          <w:lang w:val="en-GB"/>
        </w:rPr>
      </w:pPr>
      <w:r w:rsidRPr="00026A96">
        <w:rPr>
          <w:lang w:val="en-GB"/>
        </w:rPr>
        <w:br w:type="page"/>
      </w:r>
    </w:p>
    <w:p w:rsidR="00573D7B" w:rsidRPr="00026A96" w:rsidRDefault="00AC577B" w:rsidP="00060EE8">
      <w:pPr>
        <w:pStyle w:val="Heading1"/>
        <w:rPr>
          <w:lang w:val="en-GB"/>
        </w:rPr>
      </w:pPr>
      <w:bookmarkStart w:id="1" w:name="_Toc151733323"/>
      <w:r w:rsidRPr="00026A96">
        <w:rPr>
          <w:lang w:val="en-GB"/>
        </w:rPr>
        <w:lastRenderedPageBreak/>
        <w:t>1. Introduction</w:t>
      </w:r>
      <w:bookmarkEnd w:id="1"/>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As depicted by Hill (2022), strategic management refers to the process of developing and applying the plans of an organisation for future growth to achieve its objectives. This includes planning, resource allocation, and organisational structure of the company leading to the changes for managing the processes and resources. Apart from this, sustainability refers to meeting the organisation's needs and requirements without compromising the resources for future generations. This study involves the strategic management and sustainability of a popular company, BP PLC, one of the British multinational companies. </w:t>
      </w:r>
      <w:r w:rsidR="00D637B2" w:rsidRPr="00026A96">
        <w:rPr>
          <w:rFonts w:ascii="Times New Roman" w:eastAsia="Times New Roman" w:hAnsi="Times New Roman" w:cs="Times New Roman"/>
          <w:sz w:val="24"/>
          <w:szCs w:val="24"/>
          <w:lang w:val="en-GB"/>
        </w:rPr>
        <w:t xml:space="preserve">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 xml:space="preserve">Overview of the company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BP PLC which is formerly known as the British Petroleum Company, is one of the British multinational oil and gas organisations. The headquarters of the company are situated in London (bp.com, 2023). The company has more than 68,000 people who help with the operations. The company is listed under the London Stock Exchange with a stock price of £0.20. According to September 2023, the net profit of the company is £ 64.12 billion (macrotrends.net, 2023). The company is engaged with the marketing, refining, transporting, trading and supplying of crude oil such as petroleum, and its prevalent products.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b/>
          <w:i/>
          <w:noProof/>
          <w:sz w:val="24"/>
          <w:szCs w:val="24"/>
          <w:lang w:val="en-GB" w:eastAsia="en-IN"/>
        </w:rPr>
        <w:drawing>
          <wp:inline distT="114300" distB="114300" distL="114300" distR="114300">
            <wp:extent cx="1968337" cy="20574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a:stretch>
                      <a:fillRect/>
                    </a:stretch>
                  </pic:blipFill>
                  <pic:spPr>
                    <a:xfrm>
                      <a:off x="0" y="0"/>
                      <a:ext cx="1968337" cy="2057400"/>
                    </a:xfrm>
                    <a:prstGeom prst="rect">
                      <a:avLst/>
                    </a:prstGeom>
                    <a:ln w="12700">
                      <a:solidFill>
                        <a:srgbClr val="000000"/>
                      </a:solidFill>
                      <a:prstDash val="solid"/>
                    </a:ln>
                  </pic:spPr>
                </pic:pic>
              </a:graphicData>
            </a:graphic>
          </wp:inline>
        </w:drawing>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Figure</w:t>
      </w:r>
      <w:r w:rsidR="00F354F3" w:rsidRPr="00026A96">
        <w:rPr>
          <w:rFonts w:ascii="Times New Roman" w:eastAsia="Times New Roman" w:hAnsi="Times New Roman" w:cs="Times New Roman"/>
          <w:b/>
          <w:sz w:val="24"/>
          <w:szCs w:val="24"/>
          <w:lang w:val="en-GB"/>
        </w:rPr>
        <w:t xml:space="preserve"> 1</w:t>
      </w:r>
      <w:r w:rsidRPr="00026A96">
        <w:rPr>
          <w:rFonts w:ascii="Times New Roman" w:eastAsia="Times New Roman" w:hAnsi="Times New Roman" w:cs="Times New Roman"/>
          <w:b/>
          <w:sz w:val="24"/>
          <w:szCs w:val="24"/>
          <w:lang w:val="en-GB"/>
        </w:rPr>
        <w:t>: The logo of BP PLC</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(Source: bp.com, 2023)</w:t>
      </w:r>
    </w:p>
    <w:p w:rsidR="00573D7B" w:rsidRPr="00026A96" w:rsidRDefault="00AC577B" w:rsidP="00060EE8">
      <w:pPr>
        <w:pStyle w:val="Heading1"/>
        <w:rPr>
          <w:lang w:val="en-GB"/>
        </w:rPr>
      </w:pPr>
      <w:bookmarkStart w:id="2" w:name="_Toc151733324"/>
      <w:r w:rsidRPr="00026A96">
        <w:rPr>
          <w:lang w:val="en-GB"/>
        </w:rPr>
        <w:t>2. Main analysis</w:t>
      </w:r>
      <w:bookmarkEnd w:id="2"/>
      <w:r w:rsidRPr="00026A96">
        <w:rPr>
          <w:lang w:val="en-GB"/>
        </w:rPr>
        <w:t xml:space="preserve"> </w:t>
      </w:r>
    </w:p>
    <w:p w:rsidR="00573D7B" w:rsidRPr="00026A96" w:rsidRDefault="00AC577B" w:rsidP="00060EE8">
      <w:pPr>
        <w:pStyle w:val="Heading2"/>
        <w:rPr>
          <w:lang w:val="en-GB"/>
        </w:rPr>
      </w:pPr>
      <w:bookmarkStart w:id="3" w:name="_Toc151733325"/>
      <w:r w:rsidRPr="00026A96">
        <w:rPr>
          <w:lang w:val="en-GB"/>
        </w:rPr>
        <w:t>2.1 Identification of the key business and corporate strategies of the company</w:t>
      </w:r>
      <w:bookmarkEnd w:id="3"/>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2.1.1 Resilient hydrocarbons</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Resilient hydrocarbons are one of the most affecting factors in the business production of BP PLC. The company is totally committed to the strategy of lowering the carbon energy and its reductions in the production of gas and oil as well. The company has made a plan based on this to reduce production by 40% by the year 2030 (bp.com, 2023). With the help of this strategy, </w:t>
      </w:r>
      <w:r w:rsidRPr="00026A96">
        <w:rPr>
          <w:rFonts w:ascii="Times New Roman" w:eastAsia="Times New Roman" w:hAnsi="Times New Roman" w:cs="Times New Roman"/>
          <w:sz w:val="24"/>
          <w:szCs w:val="24"/>
          <w:lang w:val="en-GB"/>
        </w:rPr>
        <w:lastRenderedPageBreak/>
        <w:t xml:space="preserve">the company produces 2.3 </w:t>
      </w:r>
      <w:proofErr w:type="spellStart"/>
      <w:r w:rsidRPr="00026A96">
        <w:rPr>
          <w:rFonts w:ascii="Times New Roman" w:eastAsia="Times New Roman" w:hAnsi="Times New Roman" w:cs="Times New Roman"/>
          <w:sz w:val="24"/>
          <w:szCs w:val="24"/>
          <w:lang w:val="en-GB"/>
        </w:rPr>
        <w:t>mmboe</w:t>
      </w:r>
      <w:proofErr w:type="spellEnd"/>
      <w:r w:rsidRPr="00026A96">
        <w:rPr>
          <w:rFonts w:ascii="Times New Roman" w:eastAsia="Times New Roman" w:hAnsi="Times New Roman" w:cs="Times New Roman"/>
          <w:sz w:val="24"/>
          <w:szCs w:val="24"/>
          <w:lang w:val="en-GB"/>
        </w:rPr>
        <w:t xml:space="preserve">/d. This strategy of the company also helps to create a new production line by bringing all the operations related to hydrocarbons into one place. It makes the production fast to refine oil and gas to drive the business safe and resilient in the international market. Besides, the safety of the employees and the people is also maintained by this strategy.  </w:t>
      </w:r>
      <w:r w:rsidR="00336DD0" w:rsidRPr="00026A96">
        <w:rPr>
          <w:rFonts w:ascii="Times New Roman" w:eastAsia="Times New Roman" w:hAnsi="Times New Roman" w:cs="Times New Roman"/>
          <w:sz w:val="24"/>
          <w:szCs w:val="24"/>
          <w:lang w:val="en-GB"/>
        </w:rPr>
        <w:t>T</w:t>
      </w:r>
      <w:r w:rsidRPr="00026A96">
        <w:rPr>
          <w:rFonts w:ascii="Times New Roman" w:eastAsia="Times New Roman" w:hAnsi="Times New Roman" w:cs="Times New Roman"/>
          <w:sz w:val="24"/>
          <w:szCs w:val="24"/>
          <w:lang w:val="en-GB"/>
        </w:rPr>
        <w:t xml:space="preserve">he company aims to achieve its goals by maximising the returns in the business and cash flow and reducing the emissions in the business and the environment as well. With the help of this strategy, the company also plans to grow the underlying production by 2025 as a key mission (bp.com, 2023). This strategy also lets the company plan for developing production by 30 </w:t>
      </w:r>
      <w:proofErr w:type="spellStart"/>
      <w:r w:rsidRPr="00026A96">
        <w:rPr>
          <w:rFonts w:ascii="Times New Roman" w:eastAsia="Times New Roman" w:hAnsi="Times New Roman" w:cs="Times New Roman"/>
          <w:sz w:val="24"/>
          <w:szCs w:val="24"/>
          <w:lang w:val="en-GB"/>
        </w:rPr>
        <w:t>m</w:t>
      </w:r>
      <w:r w:rsidR="005C6AA2">
        <w:rPr>
          <w:rFonts w:ascii="Times New Roman" w:eastAsia="Times New Roman" w:hAnsi="Times New Roman" w:cs="Times New Roman"/>
          <w:sz w:val="24"/>
          <w:szCs w:val="24"/>
          <w:lang w:val="en-GB"/>
        </w:rPr>
        <w:t>m</w:t>
      </w:r>
      <w:r w:rsidRPr="00026A96">
        <w:rPr>
          <w:rFonts w:ascii="Times New Roman" w:eastAsia="Times New Roman" w:hAnsi="Times New Roman" w:cs="Times New Roman"/>
          <w:sz w:val="24"/>
          <w:szCs w:val="24"/>
          <w:lang w:val="en-GB"/>
        </w:rPr>
        <w:t>boe</w:t>
      </w:r>
      <w:proofErr w:type="spellEnd"/>
      <w:r w:rsidR="005C6AA2">
        <w:rPr>
          <w:rFonts w:ascii="Times New Roman" w:eastAsia="Times New Roman" w:hAnsi="Times New Roman" w:cs="Times New Roman"/>
          <w:sz w:val="24"/>
          <w:szCs w:val="24"/>
          <w:lang w:val="en-GB"/>
        </w:rPr>
        <w:t>/</w:t>
      </w:r>
      <w:r w:rsidRPr="00026A96">
        <w:rPr>
          <w:rFonts w:ascii="Times New Roman" w:eastAsia="Times New Roman" w:hAnsi="Times New Roman" w:cs="Times New Roman"/>
          <w:sz w:val="24"/>
          <w:szCs w:val="24"/>
          <w:lang w:val="en-GB"/>
        </w:rPr>
        <w:t xml:space="preserve">d and secure the planning permission for a 1.25km pipeline for a long-term reliable gas supply (bp.com, 2023).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noProof/>
          <w:sz w:val="24"/>
          <w:szCs w:val="24"/>
          <w:lang w:val="en-GB" w:eastAsia="en-IN"/>
        </w:rPr>
        <w:drawing>
          <wp:inline distT="114300" distB="114300" distL="114300" distR="114300">
            <wp:extent cx="4600575" cy="3076575"/>
            <wp:effectExtent l="19050" t="19050" r="28575" b="28575"/>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9"/>
                    <a:stretch>
                      <a:fillRect/>
                    </a:stretch>
                  </pic:blipFill>
                  <pic:spPr>
                    <a:xfrm>
                      <a:off x="0" y="0"/>
                      <a:ext cx="4600575" cy="3076575"/>
                    </a:xfrm>
                    <a:prstGeom prst="rect">
                      <a:avLst/>
                    </a:prstGeom>
                    <a:ln w="12700">
                      <a:solidFill>
                        <a:srgbClr val="000000"/>
                      </a:solidFill>
                      <a:prstDash val="solid"/>
                    </a:ln>
                  </pic:spPr>
                </pic:pic>
              </a:graphicData>
            </a:graphic>
          </wp:inline>
        </w:drawing>
      </w:r>
      <w:r w:rsidRPr="00026A96">
        <w:rPr>
          <w:rFonts w:ascii="Times New Roman" w:eastAsia="Times New Roman" w:hAnsi="Times New Roman" w:cs="Times New Roman"/>
          <w:sz w:val="24"/>
          <w:szCs w:val="24"/>
          <w:lang w:val="en-GB"/>
        </w:rPr>
        <w:t xml:space="preserve">  </w:t>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Figure</w:t>
      </w:r>
      <w:r w:rsidR="00F354F3" w:rsidRPr="00026A96">
        <w:rPr>
          <w:rFonts w:ascii="Times New Roman" w:eastAsia="Times New Roman" w:hAnsi="Times New Roman" w:cs="Times New Roman"/>
          <w:b/>
          <w:sz w:val="24"/>
          <w:szCs w:val="24"/>
          <w:lang w:val="en-GB"/>
        </w:rPr>
        <w:t xml:space="preserve"> 2</w:t>
      </w:r>
      <w:r w:rsidRPr="00026A96">
        <w:rPr>
          <w:rFonts w:ascii="Times New Roman" w:eastAsia="Times New Roman" w:hAnsi="Times New Roman" w:cs="Times New Roman"/>
          <w:b/>
          <w:sz w:val="24"/>
          <w:szCs w:val="24"/>
          <w:lang w:val="en-GB"/>
        </w:rPr>
        <w:t>: The strategies of BP PLC</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(Source: bp.com, 2023)</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2.1.2 Low Carbon Energy</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This is another key strategy of BP PLC that helps it to reduce carbon emissions and use renewable energy in its business function. The team of this strategy plays a significant role in the business to maintain its market price and value accordingly, it is very active in most of the carbon and environmental production markets of the world. With the help of this strategy, the company has achieved some core goals that affect the trading of the company positively and make a positive impact on the environment. Besides, the company also aims to achieve Zero net carbon emissions by 2050 and increase the investment in renewable energies by billions of pounds (bp.com, 2023). Furthermore, this strategy helps the company to grow its earnings with </w:t>
      </w:r>
      <w:r w:rsidRPr="00026A96">
        <w:rPr>
          <w:rFonts w:ascii="Times New Roman" w:eastAsia="Times New Roman" w:hAnsi="Times New Roman" w:cs="Times New Roman"/>
          <w:sz w:val="24"/>
          <w:szCs w:val="24"/>
          <w:lang w:val="en-GB"/>
        </w:rPr>
        <w:lastRenderedPageBreak/>
        <w:t xml:space="preserve">the updated engines and reduce carbon emissions. The company also plans to create integrated regional hubs for two of the transition growth engines in high-growth sectors which are hydrogen and renewable power of BP PLC. Therefore, the company supports the local community by developing job vacancies in the company and providing opportunities for the growth of their career. Apart from this, BP PLC is committed to the X-Academy to reskill experienced workers and create energy transition roles (bp.com, 2023).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2.1.3 Convenience and Mobility</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This strategy is one of the significant strategies of the company that helps to increase the capabilities of the business and reach convenience with electronic vehicle charging. This is also a customer-focused strategy that supports carbon transport solutions over the period. In the year 2022, the company has accelerated electric vehicle charging around the world by expanding the network in Charing (bp.com, 2023). The company is teaming up with Iberdrola to develop the infrastructure of electric vehicle charging. Along with the strategy, the organisation plans to invest up to £1 billion to increase the charging point up to 11,000 by the year 2030 (bp.com, 2023). The strategy also allows the company to establish a BP pulse </w:t>
      </w:r>
      <w:proofErr w:type="spellStart"/>
      <w:r w:rsidRPr="00026A96">
        <w:rPr>
          <w:rFonts w:ascii="Times New Roman" w:eastAsia="Times New Roman" w:hAnsi="Times New Roman" w:cs="Times New Roman"/>
          <w:sz w:val="24"/>
          <w:szCs w:val="24"/>
          <w:lang w:val="en-GB"/>
        </w:rPr>
        <w:t>Gigahub</w:t>
      </w:r>
      <w:proofErr w:type="spellEnd"/>
      <w:r w:rsidRPr="00026A96">
        <w:rPr>
          <w:rFonts w:ascii="Times New Roman" w:eastAsia="Times New Roman" w:hAnsi="Times New Roman" w:cs="Times New Roman"/>
          <w:sz w:val="24"/>
          <w:szCs w:val="24"/>
          <w:lang w:val="en-GB"/>
        </w:rPr>
        <w:t xml:space="preserve"> network for fast charging and serve ride-hailing and taxi fleets. Not in the UK, the company gets to expand its business in other international nations with the help of the strategy. Therefore, in China, the company signed an agreement worth the technology named AVATR to accelerate the development of the ultra-fast charging network with the support of the internet. </w:t>
      </w:r>
    </w:p>
    <w:p w:rsidR="00573D7B" w:rsidRPr="00026A96" w:rsidRDefault="00AC577B" w:rsidP="00060EE8">
      <w:pPr>
        <w:pStyle w:val="Heading2"/>
        <w:rPr>
          <w:lang w:val="en-GB"/>
        </w:rPr>
      </w:pPr>
      <w:bookmarkStart w:id="4" w:name="_Toc151733326"/>
      <w:r w:rsidRPr="00026A96">
        <w:rPr>
          <w:lang w:val="en-GB"/>
        </w:rPr>
        <w:t>2.2 Evaluation of the resources and capabilities of the selected company with the analysis of what extent the company has aligned its resources and capabilities to its current b</w:t>
      </w:r>
      <w:r w:rsidR="00060EE8" w:rsidRPr="00026A96">
        <w:rPr>
          <w:lang w:val="en-GB"/>
        </w:rPr>
        <w:t>usiness/corporate strategies</w:t>
      </w:r>
      <w:bookmarkEnd w:id="4"/>
      <w:r w:rsidR="00060EE8" w:rsidRPr="00026A96">
        <w:rPr>
          <w:lang w:val="en-GB"/>
        </w:rPr>
        <w:t xml:space="preserve"> </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i/>
          <w:sz w:val="24"/>
          <w:szCs w:val="24"/>
          <w:lang w:val="en-GB"/>
        </w:rPr>
        <w:t>2.2.1 VRIO Analysis</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03"/>
        <w:gridCol w:w="1394"/>
        <w:gridCol w:w="1394"/>
        <w:gridCol w:w="1310"/>
        <w:gridCol w:w="1547"/>
        <w:gridCol w:w="1661"/>
      </w:tblGrid>
      <w:tr w:rsidR="00573D7B" w:rsidRPr="00026A96" w:rsidTr="00BD47A6">
        <w:tc>
          <w:tcPr>
            <w:tcW w:w="952"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Resources </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Valuable </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Rarity</w:t>
            </w:r>
          </w:p>
        </w:tc>
        <w:tc>
          <w:tcPr>
            <w:tcW w:w="733"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Imitability </w:t>
            </w:r>
          </w:p>
        </w:tc>
        <w:tc>
          <w:tcPr>
            <w:tcW w:w="827"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Organisation </w:t>
            </w:r>
          </w:p>
        </w:tc>
        <w:tc>
          <w:tcPr>
            <w:tcW w:w="928"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Competitive advantage</w:t>
            </w:r>
          </w:p>
        </w:tc>
      </w:tr>
      <w:tr w:rsidR="00573D7B" w:rsidRPr="00026A96" w:rsidTr="00BD47A6">
        <w:tc>
          <w:tcPr>
            <w:tcW w:w="952"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Supply chain </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33"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X</w:t>
            </w:r>
          </w:p>
        </w:tc>
        <w:tc>
          <w:tcPr>
            <w:tcW w:w="827"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928"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supply chain of the company provides competitive parity. </w:t>
            </w:r>
          </w:p>
        </w:tc>
      </w:tr>
      <w:tr w:rsidR="00573D7B" w:rsidRPr="00026A96" w:rsidTr="00BD47A6">
        <w:tc>
          <w:tcPr>
            <w:tcW w:w="952"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lastRenderedPageBreak/>
              <w:t xml:space="preserve">Inventory management </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33"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827"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928"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This provides a sustainable advantage for the company. </w:t>
            </w:r>
          </w:p>
        </w:tc>
      </w:tr>
      <w:tr w:rsidR="00573D7B" w:rsidRPr="00026A96" w:rsidTr="00BD47A6">
        <w:tc>
          <w:tcPr>
            <w:tcW w:w="952"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Talented HR</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33"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X</w:t>
            </w:r>
          </w:p>
        </w:tc>
        <w:tc>
          <w:tcPr>
            <w:tcW w:w="827"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928"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It delivers a competitive advantage in the market of the oil and gas market. </w:t>
            </w:r>
          </w:p>
        </w:tc>
      </w:tr>
      <w:tr w:rsidR="00573D7B" w:rsidRPr="00026A96" w:rsidTr="00BD47A6">
        <w:tc>
          <w:tcPr>
            <w:tcW w:w="952"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Brand equity </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33"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827"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928"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It provides a sustainable competitive advantage to the company. </w:t>
            </w:r>
          </w:p>
        </w:tc>
      </w:tr>
      <w:tr w:rsidR="00573D7B" w:rsidRPr="00026A96" w:rsidTr="00BD47A6">
        <w:tc>
          <w:tcPr>
            <w:tcW w:w="952"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Portfolio </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80"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733"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827"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Arial Unicode MS" w:eastAsia="Arial Unicode MS" w:hAnsi="Arial Unicode MS" w:cs="Arial Unicode MS"/>
                <w:sz w:val="24"/>
                <w:szCs w:val="24"/>
                <w:lang w:val="en-GB"/>
              </w:rPr>
              <w:t>✔</w:t>
            </w:r>
          </w:p>
        </w:tc>
        <w:tc>
          <w:tcPr>
            <w:tcW w:w="928" w:type="pct"/>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This also provides a sustainable advantage to BP PLC. </w:t>
            </w:r>
          </w:p>
        </w:tc>
      </w:tr>
    </w:tbl>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Table 1: VRIO analysis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(Source: Self-created)</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Analysis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The VRIO analysis provides the elaboration of the competitive advantage of BP PLC in the current market with its resources. It has a rare supply chain management that provides the support to get enough supplies in the business. This resource is also valuable for the company and it is dependent on the raw materials to produce the products from the company (</w:t>
      </w:r>
      <w:proofErr w:type="spellStart"/>
      <w:r w:rsidRPr="00026A96">
        <w:rPr>
          <w:rFonts w:ascii="Times New Roman" w:eastAsia="Times New Roman" w:hAnsi="Times New Roman" w:cs="Times New Roman"/>
          <w:sz w:val="24"/>
          <w:szCs w:val="24"/>
          <w:lang w:val="en-GB"/>
        </w:rPr>
        <w:t>Tsangas</w:t>
      </w:r>
      <w:proofErr w:type="spellEnd"/>
      <w:r w:rsidRPr="00026A96">
        <w:rPr>
          <w:rFonts w:ascii="Times New Roman" w:eastAsia="Times New Roman" w:hAnsi="Times New Roman" w:cs="Times New Roman"/>
          <w:i/>
          <w:sz w:val="24"/>
          <w:szCs w:val="24"/>
          <w:lang w:val="en-GB"/>
        </w:rPr>
        <w:t xml:space="preserve"> et al.,</w:t>
      </w:r>
      <w:r w:rsidRPr="00026A96">
        <w:rPr>
          <w:rFonts w:ascii="Times New Roman" w:eastAsia="Times New Roman" w:hAnsi="Times New Roman" w:cs="Times New Roman"/>
          <w:sz w:val="24"/>
          <w:szCs w:val="24"/>
          <w:lang w:val="en-GB"/>
        </w:rPr>
        <w:t xml:space="preserve"> 2019). The use of renewable energies in the business also provides a rarity in the production line and makes it valuable for the company which also provides the competitive advantages in the business. </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i/>
          <w:sz w:val="24"/>
          <w:szCs w:val="24"/>
          <w:lang w:val="en-GB"/>
        </w:rPr>
        <w:t xml:space="preserve">2.2.2 SWOT Analysis </w:t>
      </w:r>
    </w:p>
    <w:tbl>
      <w:tblPr>
        <w:tblStyle w:val="Table2"/>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26"/>
        <w:gridCol w:w="4483"/>
      </w:tblGrid>
      <w:tr w:rsidR="00573D7B" w:rsidRPr="00026A96" w:rsidTr="007E686D">
        <w:trPr>
          <w:jc w:val="center"/>
        </w:trPr>
        <w:tc>
          <w:tcPr>
            <w:tcW w:w="4526" w:type="dxa"/>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lastRenderedPageBreak/>
              <w:t xml:space="preserve">Strengths </w:t>
            </w:r>
          </w:p>
        </w:tc>
        <w:tc>
          <w:tcPr>
            <w:tcW w:w="4483" w:type="dxa"/>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Weaknesses </w:t>
            </w:r>
          </w:p>
        </w:tc>
      </w:tr>
      <w:tr w:rsidR="00573D7B" w:rsidRPr="00026A96" w:rsidTr="007E686D">
        <w:trPr>
          <w:jc w:val="center"/>
        </w:trPr>
        <w:tc>
          <w:tcPr>
            <w:tcW w:w="4526" w:type="dxa"/>
            <w:shd w:val="clear" w:color="auto" w:fill="auto"/>
            <w:tcMar>
              <w:top w:w="100" w:type="dxa"/>
              <w:left w:w="100" w:type="dxa"/>
              <w:bottom w:w="100" w:type="dxa"/>
              <w:right w:w="100" w:type="dxa"/>
            </w:tcMar>
          </w:tcPr>
          <w:p w:rsidR="00573D7B" w:rsidRPr="00026A96" w:rsidRDefault="00AC577B">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company has a diversified interest in business as the company provides lubricants, energy, aviation fuel and IT besides the services of oil and gas. </w:t>
            </w:r>
          </w:p>
          <w:p w:rsidR="00573D7B" w:rsidRPr="00026A96" w:rsidRDefault="00AC577B" w:rsidP="00FE36E6">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BP PLC has a loyal base of customers in th</w:t>
            </w:r>
            <w:r w:rsidR="007E686D" w:rsidRPr="00026A96">
              <w:rPr>
                <w:rFonts w:ascii="Times New Roman" w:eastAsia="Times New Roman" w:hAnsi="Times New Roman" w:cs="Times New Roman"/>
                <w:sz w:val="24"/>
                <w:szCs w:val="24"/>
                <w:lang w:val="en-GB"/>
              </w:rPr>
              <w:t>e market of the United Kingdom and t</w:t>
            </w:r>
            <w:r w:rsidRPr="00026A96">
              <w:rPr>
                <w:rFonts w:ascii="Times New Roman" w:eastAsia="Times New Roman" w:hAnsi="Times New Roman" w:cs="Times New Roman"/>
                <w:sz w:val="24"/>
                <w:szCs w:val="24"/>
                <w:lang w:val="en-GB"/>
              </w:rPr>
              <w:t xml:space="preserve">he company is the leader in most of the areas </w:t>
            </w:r>
            <w:r w:rsidR="00FE36E6" w:rsidRPr="00026A96">
              <w:rPr>
                <w:rFonts w:ascii="Times New Roman" w:eastAsia="Times New Roman" w:hAnsi="Times New Roman" w:cs="Times New Roman"/>
                <w:sz w:val="24"/>
                <w:szCs w:val="24"/>
                <w:lang w:val="en-GB"/>
              </w:rPr>
              <w:t xml:space="preserve">of the industry of the country, it </w:t>
            </w:r>
            <w:r w:rsidRPr="00026A96">
              <w:rPr>
                <w:rFonts w:ascii="Times New Roman" w:eastAsia="Times New Roman" w:hAnsi="Times New Roman" w:cs="Times New Roman"/>
                <w:sz w:val="24"/>
                <w:szCs w:val="24"/>
                <w:lang w:val="en-GB"/>
              </w:rPr>
              <w:t xml:space="preserve">has a vast presence in international locations including Spain, North America, Africa, and others. </w:t>
            </w:r>
          </w:p>
        </w:tc>
        <w:tc>
          <w:tcPr>
            <w:tcW w:w="4483" w:type="dxa"/>
            <w:shd w:val="clear" w:color="auto" w:fill="auto"/>
            <w:tcMar>
              <w:top w:w="100" w:type="dxa"/>
              <w:left w:w="100" w:type="dxa"/>
              <w:bottom w:w="100" w:type="dxa"/>
              <w:right w:w="100" w:type="dxa"/>
            </w:tcMar>
          </w:tcPr>
          <w:p w:rsidR="00573D7B" w:rsidRPr="00026A96" w:rsidRDefault="00AC577B">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company has to face controversy which affects the business operations of the company. </w:t>
            </w:r>
          </w:p>
          <w:p w:rsidR="00573D7B" w:rsidRPr="00026A96" w:rsidRDefault="00AC577B">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Ethical issues such as dishonest employee transactions hamper the reputation of the organisation. </w:t>
            </w:r>
          </w:p>
        </w:tc>
      </w:tr>
      <w:tr w:rsidR="00573D7B" w:rsidRPr="00026A96" w:rsidTr="007E686D">
        <w:trPr>
          <w:jc w:val="center"/>
        </w:trPr>
        <w:tc>
          <w:tcPr>
            <w:tcW w:w="4526" w:type="dxa"/>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Opportunities </w:t>
            </w:r>
          </w:p>
        </w:tc>
        <w:tc>
          <w:tcPr>
            <w:tcW w:w="4483" w:type="dxa"/>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Threats </w:t>
            </w:r>
          </w:p>
        </w:tc>
      </w:tr>
      <w:tr w:rsidR="00573D7B" w:rsidRPr="00026A96" w:rsidTr="007E686D">
        <w:trPr>
          <w:jc w:val="center"/>
        </w:trPr>
        <w:tc>
          <w:tcPr>
            <w:tcW w:w="4526" w:type="dxa"/>
            <w:shd w:val="clear" w:color="auto" w:fill="auto"/>
            <w:tcMar>
              <w:top w:w="100" w:type="dxa"/>
              <w:left w:w="100" w:type="dxa"/>
              <w:bottom w:w="100" w:type="dxa"/>
              <w:right w:w="100" w:type="dxa"/>
            </w:tcMar>
          </w:tcPr>
          <w:p w:rsidR="00FE36E6" w:rsidRPr="00026A96" w:rsidRDefault="00AC577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most important opportunity for the company is investing in other energies like renewable energy (Ball, 2021). </w:t>
            </w:r>
          </w:p>
          <w:p w:rsidR="00573D7B" w:rsidRPr="00026A96" w:rsidRDefault="00AC577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growing demand for renewable energy for sustainability in the business would give a large opportunity to BP PLC. </w:t>
            </w:r>
          </w:p>
        </w:tc>
        <w:tc>
          <w:tcPr>
            <w:tcW w:w="4483" w:type="dxa"/>
            <w:shd w:val="clear" w:color="auto" w:fill="auto"/>
            <w:tcMar>
              <w:top w:w="100" w:type="dxa"/>
              <w:left w:w="100" w:type="dxa"/>
              <w:bottom w:w="100" w:type="dxa"/>
              <w:right w:w="100" w:type="dxa"/>
            </w:tcMar>
          </w:tcPr>
          <w:p w:rsidR="00573D7B" w:rsidRPr="00026A96" w:rsidRDefault="00AC577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The company has some key competitors in the market such as Shell PLC, Chevron, and others which have good brand reputations in the market (Adel and Anis, 2022).</w:t>
            </w:r>
          </w:p>
          <w:p w:rsidR="00573D7B" w:rsidRPr="00026A96" w:rsidRDefault="00AC577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Environmental issues like oil leaks, environmental hazards, and others create threats for the company. </w:t>
            </w:r>
          </w:p>
        </w:tc>
      </w:tr>
    </w:tbl>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Table 2: SWOT analysis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(Source: Self-developed)</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i/>
          <w:sz w:val="24"/>
          <w:szCs w:val="24"/>
          <w:lang w:val="en-GB"/>
        </w:rPr>
        <w:t>2.2.3 PESTLE Analysis</w:t>
      </w:r>
    </w:p>
    <w:tbl>
      <w:tblPr>
        <w:tblStyle w:val="Table3"/>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27"/>
        <w:gridCol w:w="2594"/>
        <w:gridCol w:w="4788"/>
      </w:tblGrid>
      <w:tr w:rsidR="00573D7B" w:rsidRPr="00026A96" w:rsidTr="00BD47A6">
        <w:trPr>
          <w:jc w:val="center"/>
        </w:trPr>
        <w:tc>
          <w:tcPr>
            <w:tcW w:w="0" w:type="auto"/>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Factors </w:t>
            </w:r>
          </w:p>
        </w:tc>
        <w:tc>
          <w:tcPr>
            <w:tcW w:w="0" w:type="auto"/>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Description </w:t>
            </w:r>
          </w:p>
        </w:tc>
        <w:tc>
          <w:tcPr>
            <w:tcW w:w="0" w:type="auto"/>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Impacts </w:t>
            </w:r>
          </w:p>
        </w:tc>
      </w:tr>
      <w:tr w:rsidR="00573D7B" w:rsidRPr="00026A96" w:rsidTr="002375F8">
        <w:trPr>
          <w:jc w:val="center"/>
        </w:trPr>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Political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Stability of government </w:t>
            </w:r>
          </w:p>
          <w:p w:rsidR="00573D7B" w:rsidRPr="00026A96" w:rsidRDefault="00AC577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Ukraine War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stability of the government of the United Kingdom impacts the company positively with the minimum economic uncertainty in the </w:t>
            </w:r>
            <w:r w:rsidRPr="00026A96">
              <w:rPr>
                <w:rFonts w:ascii="Times New Roman" w:eastAsia="Times New Roman" w:hAnsi="Times New Roman" w:cs="Times New Roman"/>
                <w:sz w:val="24"/>
                <w:szCs w:val="24"/>
                <w:lang w:val="en-GB"/>
              </w:rPr>
              <w:lastRenderedPageBreak/>
              <w:t xml:space="preserve">country. Opposite, the Ukrainian War created negative impacts by disrupting the supply of oil and gas. </w:t>
            </w:r>
          </w:p>
        </w:tc>
      </w:tr>
      <w:tr w:rsidR="00573D7B" w:rsidRPr="00026A96" w:rsidTr="002375F8">
        <w:trPr>
          <w:jc w:val="center"/>
        </w:trPr>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lastRenderedPageBreak/>
              <w:t>Economic</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decline in the prices of energy </w:t>
            </w:r>
          </w:p>
          <w:p w:rsidR="00573D7B" w:rsidRPr="00026A96" w:rsidRDefault="00AC577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Changes in exchange rates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decline in the price of Oil and gas impacted the company negatively and at the same time, the exchange rates made some positive impacts on the business by collecting more foreign currency (Lyse, 2019). </w:t>
            </w:r>
          </w:p>
        </w:tc>
      </w:tr>
      <w:tr w:rsidR="00573D7B" w:rsidRPr="00026A96" w:rsidTr="002375F8">
        <w:trPr>
          <w:jc w:val="center"/>
        </w:trPr>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Social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Decrease in demand </w:t>
            </w:r>
          </w:p>
          <w:p w:rsidR="00573D7B" w:rsidRPr="00026A96" w:rsidRDefault="00AC577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Changes in customer preferences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After the COVID-19 pandemic, the demand for oil and gas has decreased due to the decline in travel restrictions. Therefore, customer preferences have changed because of the growing demand for electric vehicles. </w:t>
            </w:r>
          </w:p>
        </w:tc>
      </w:tr>
      <w:tr w:rsidR="00573D7B" w:rsidRPr="00026A96" w:rsidTr="002375F8">
        <w:trPr>
          <w:jc w:val="center"/>
        </w:trPr>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Technological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Artificial intelligence </w:t>
            </w:r>
          </w:p>
          <w:p w:rsidR="00573D7B" w:rsidRPr="00026A96" w:rsidRDefault="00AC577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Integration of up-to-date machinery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use of artificial intelligence develops automation in the industry which affects the business of the company negatively. The dependency of the company on technology has a positive impact on the business of BP PLC. </w:t>
            </w:r>
          </w:p>
        </w:tc>
      </w:tr>
      <w:tr w:rsidR="00573D7B" w:rsidRPr="00026A96" w:rsidTr="002375F8">
        <w:trPr>
          <w:jc w:val="center"/>
        </w:trPr>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Environmental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Environmental standards </w:t>
            </w:r>
          </w:p>
          <w:p w:rsidR="00573D7B" w:rsidRPr="00026A96" w:rsidRDefault="00AC577B">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Carbon emissions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The environmental standards of the United Kingdom make some restrictions on the company to maintain the regulations (Zhang</w:t>
            </w:r>
            <w:r w:rsidRPr="00026A96">
              <w:rPr>
                <w:rFonts w:ascii="Times New Roman" w:eastAsia="Times New Roman" w:hAnsi="Times New Roman" w:cs="Times New Roman"/>
                <w:i/>
                <w:sz w:val="24"/>
                <w:szCs w:val="24"/>
                <w:lang w:val="en-GB"/>
              </w:rPr>
              <w:t xml:space="preserve"> et al.,</w:t>
            </w:r>
            <w:r w:rsidRPr="00026A96">
              <w:rPr>
                <w:rFonts w:ascii="Times New Roman" w:eastAsia="Times New Roman" w:hAnsi="Times New Roman" w:cs="Times New Roman"/>
                <w:sz w:val="24"/>
                <w:szCs w:val="24"/>
                <w:lang w:val="en-GB"/>
              </w:rPr>
              <w:t xml:space="preserve"> 2020). It impacts negatively the company. On the other hand, carbon emission is a part of the company which impacts the environment negatively. </w:t>
            </w:r>
          </w:p>
        </w:tc>
      </w:tr>
      <w:tr w:rsidR="00573D7B" w:rsidRPr="00026A96" w:rsidTr="002375F8">
        <w:trPr>
          <w:jc w:val="center"/>
        </w:trPr>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Legal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Environmental protection law </w:t>
            </w:r>
          </w:p>
        </w:tc>
        <w:tc>
          <w:tcPr>
            <w:tcW w:w="0" w:type="auto"/>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Environmental protection law allows the company to maintain the environmental regulations to have fewer negative impacts on the environment.  </w:t>
            </w:r>
          </w:p>
        </w:tc>
      </w:tr>
    </w:tbl>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Table 3: PESTEL analysis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lastRenderedPageBreak/>
        <w:t>(Source: Self-created)</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Analysis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BP PLC has some positive and negative impacts of the external environmental factors in the business. The company has the support of the UK government with its economic stability despite some negative impacts of the Ukraine war that disrupted the supply of oil in the country (Jiang, 2022). On the other hand, the exchange rate helps the company to earn foreign currency but the decline in the prices of oil and gas after the pandemic period affects the business which directly hampers the profit of BP PLC. Besides these factors, the reduction in the demand for oil and gas made it difficult for the company to maintain its profitability as in the earlier period. The environmental regulations are very important that the company needs to follow and it is also noted that the company is planning for them. </w:t>
      </w:r>
    </w:p>
    <w:p w:rsidR="00573D7B" w:rsidRPr="00026A96" w:rsidRDefault="00AC577B" w:rsidP="002375F8">
      <w:pPr>
        <w:pStyle w:val="Heading2"/>
        <w:rPr>
          <w:lang w:val="en-GB"/>
        </w:rPr>
      </w:pPr>
      <w:bookmarkStart w:id="5" w:name="_Toc151733327"/>
      <w:r w:rsidRPr="00026A96">
        <w:rPr>
          <w:lang w:val="en-GB"/>
        </w:rPr>
        <w:t>2.3 Illustration of the outcome of the company after implementing selected business and corporate strategies to compete in the market and create competitive advantages over rivals</w:t>
      </w:r>
      <w:bookmarkEnd w:id="5"/>
      <w:r w:rsidRPr="00026A96">
        <w:rPr>
          <w:lang w:val="en-GB"/>
        </w:rPr>
        <w:t xml:space="preserve">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2.3.1 Result Based on the Corporate and Business Level Strategies</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strategies of British Petroleum help the company to get some valuable competitive advantages in the market of the United Kingdom. The environmental impact of the company is reduced than the other British oil and gas companies. The renewable energies produced by the company create another threat to other companies in the market. Apart from this, other companies in the market of oil and gas are doing better in their operations as they are creating relationships with other governments whether BP PLC is focused on the domestic market (Santhosh Kumar, 2023). The immense competition in non-renewable energy production affects the company's activities in the market while it has a better chance to promote the business with renewable energy production. Environmental regulation plays a great role in the management of the company to maintain sustainability in the environment of the country and the government of the UK is supporting the company and helping to refine the business operations for upgradation.  </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i/>
          <w:sz w:val="24"/>
          <w:szCs w:val="24"/>
          <w:lang w:val="en-GB"/>
        </w:rPr>
        <w:t>2.3.2 Competitive Advantages Based on Porter’s Five Forces Analysis</w:t>
      </w:r>
    </w:p>
    <w:tbl>
      <w:tblPr>
        <w:tblStyle w:val="Table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1559"/>
        <w:gridCol w:w="5041"/>
      </w:tblGrid>
      <w:tr w:rsidR="00573D7B" w:rsidRPr="00026A96" w:rsidTr="003C136F">
        <w:tc>
          <w:tcPr>
            <w:tcW w:w="2400" w:type="dxa"/>
            <w:shd w:val="clear" w:color="auto" w:fill="CCFFCC"/>
            <w:tcMar>
              <w:top w:w="100" w:type="dxa"/>
              <w:left w:w="100" w:type="dxa"/>
              <w:bottom w:w="100" w:type="dxa"/>
              <w:right w:w="100" w:type="dxa"/>
            </w:tcMar>
          </w:tcPr>
          <w:p w:rsidR="00573D7B" w:rsidRPr="00026A96" w:rsidRDefault="00BD47A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Parameters</w:t>
            </w:r>
            <w:r w:rsidR="00AC577B" w:rsidRPr="00026A96">
              <w:rPr>
                <w:rFonts w:ascii="Times New Roman" w:eastAsia="Times New Roman" w:hAnsi="Times New Roman" w:cs="Times New Roman"/>
                <w:b/>
                <w:sz w:val="24"/>
                <w:szCs w:val="24"/>
                <w:lang w:val="en-GB"/>
              </w:rPr>
              <w:t xml:space="preserve"> </w:t>
            </w:r>
          </w:p>
        </w:tc>
        <w:tc>
          <w:tcPr>
            <w:tcW w:w="1559" w:type="dxa"/>
            <w:shd w:val="clear" w:color="auto" w:fill="CCFFCC"/>
            <w:tcMar>
              <w:top w:w="100" w:type="dxa"/>
              <w:left w:w="100" w:type="dxa"/>
              <w:bottom w:w="100" w:type="dxa"/>
              <w:right w:w="100" w:type="dxa"/>
            </w:tcMar>
          </w:tcPr>
          <w:p w:rsidR="00573D7B" w:rsidRPr="00026A96" w:rsidRDefault="00BD47A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Proximity</w:t>
            </w:r>
            <w:r w:rsidR="00AC577B" w:rsidRPr="00026A96">
              <w:rPr>
                <w:rFonts w:ascii="Times New Roman" w:eastAsia="Times New Roman" w:hAnsi="Times New Roman" w:cs="Times New Roman"/>
                <w:b/>
                <w:sz w:val="24"/>
                <w:szCs w:val="24"/>
                <w:lang w:val="en-GB"/>
              </w:rPr>
              <w:t xml:space="preserve"> </w:t>
            </w:r>
          </w:p>
        </w:tc>
        <w:tc>
          <w:tcPr>
            <w:tcW w:w="5041" w:type="dxa"/>
            <w:shd w:val="clear" w:color="auto" w:fill="CCFFCC"/>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Impacts </w:t>
            </w:r>
          </w:p>
        </w:tc>
      </w:tr>
      <w:tr w:rsidR="00573D7B" w:rsidRPr="00026A96" w:rsidTr="003C136F">
        <w:tc>
          <w:tcPr>
            <w:tcW w:w="2400"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Threats of new entrants </w:t>
            </w:r>
          </w:p>
        </w:tc>
        <w:tc>
          <w:tcPr>
            <w:tcW w:w="1559"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Low </w:t>
            </w:r>
          </w:p>
        </w:tc>
        <w:tc>
          <w:tcPr>
            <w:tcW w:w="5041"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existing reputation and brand identity of BP PLC cannot be replaced by the new entrants in the market. </w:t>
            </w:r>
          </w:p>
        </w:tc>
      </w:tr>
      <w:tr w:rsidR="00573D7B" w:rsidRPr="00026A96" w:rsidTr="003C136F">
        <w:tc>
          <w:tcPr>
            <w:tcW w:w="2400"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lastRenderedPageBreak/>
              <w:t xml:space="preserve">Threats of Substitutes </w:t>
            </w:r>
          </w:p>
        </w:tc>
        <w:tc>
          <w:tcPr>
            <w:tcW w:w="1559"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High </w:t>
            </w:r>
          </w:p>
        </w:tc>
        <w:tc>
          <w:tcPr>
            <w:tcW w:w="5041"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use of biofuels and other renewable energies can affect the profitability of the company. </w:t>
            </w:r>
          </w:p>
        </w:tc>
      </w:tr>
      <w:tr w:rsidR="00573D7B" w:rsidRPr="00026A96" w:rsidTr="003C136F">
        <w:tc>
          <w:tcPr>
            <w:tcW w:w="2400"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Bargaining power of suppliers </w:t>
            </w:r>
          </w:p>
        </w:tc>
        <w:tc>
          <w:tcPr>
            <w:tcW w:w="1559"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Low </w:t>
            </w:r>
          </w:p>
        </w:tc>
        <w:tc>
          <w:tcPr>
            <w:tcW w:w="5041"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company is one of the largest enterprises in the United Kingdom with a wide range of suppliers which would not be affected by the bargaining power of suppliers. </w:t>
            </w:r>
          </w:p>
        </w:tc>
      </w:tr>
      <w:tr w:rsidR="00573D7B" w:rsidRPr="00026A96" w:rsidTr="003C136F">
        <w:tc>
          <w:tcPr>
            <w:tcW w:w="2400"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Bargaining power of customers </w:t>
            </w:r>
          </w:p>
        </w:tc>
        <w:tc>
          <w:tcPr>
            <w:tcW w:w="1559"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High </w:t>
            </w:r>
          </w:p>
        </w:tc>
        <w:tc>
          <w:tcPr>
            <w:tcW w:w="5041"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bargaining power of buyers or customers can affect the business at its high prices by switching to another company. </w:t>
            </w:r>
          </w:p>
        </w:tc>
      </w:tr>
      <w:tr w:rsidR="00573D7B" w:rsidRPr="00026A96" w:rsidTr="003C136F">
        <w:tc>
          <w:tcPr>
            <w:tcW w:w="2400"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Rivalry of Competitors </w:t>
            </w:r>
          </w:p>
        </w:tc>
        <w:tc>
          <w:tcPr>
            <w:tcW w:w="1559"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High </w:t>
            </w:r>
          </w:p>
        </w:tc>
        <w:tc>
          <w:tcPr>
            <w:tcW w:w="5041" w:type="dxa"/>
            <w:shd w:val="clear" w:color="auto" w:fill="auto"/>
            <w:tcMar>
              <w:top w:w="100" w:type="dxa"/>
              <w:left w:w="100" w:type="dxa"/>
              <w:bottom w:w="100" w:type="dxa"/>
              <w:right w:w="100" w:type="dxa"/>
            </w:tcMar>
          </w:tcPr>
          <w:p w:rsidR="00573D7B" w:rsidRPr="00026A96" w:rsidRDefault="00AC577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company has some core competitors in the market such as Shell PLC, Gulf Coast, and others. These companies create great competition in the market. </w:t>
            </w:r>
          </w:p>
        </w:tc>
      </w:tr>
    </w:tbl>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Table 4: Porter’s Five Forces</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(Source: Self-created)</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Analysis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It can be analysed from the above elaboration that BP PLC has a good brand identity with its core products and services which help the company to grow the business and present itself in the international market (Hamdani and </w:t>
      </w:r>
      <w:proofErr w:type="spellStart"/>
      <w:r w:rsidRPr="00026A96">
        <w:rPr>
          <w:rFonts w:ascii="Times New Roman" w:eastAsia="Times New Roman" w:hAnsi="Times New Roman" w:cs="Times New Roman"/>
          <w:sz w:val="24"/>
          <w:szCs w:val="24"/>
          <w:lang w:val="en-GB"/>
        </w:rPr>
        <w:t>Wicaksono</w:t>
      </w:r>
      <w:proofErr w:type="spellEnd"/>
      <w:r w:rsidRPr="00026A96">
        <w:rPr>
          <w:rFonts w:ascii="Times New Roman" w:eastAsia="Times New Roman" w:hAnsi="Times New Roman" w:cs="Times New Roman"/>
          <w:sz w:val="24"/>
          <w:szCs w:val="24"/>
          <w:lang w:val="en-GB"/>
        </w:rPr>
        <w:t xml:space="preserve">, 2023). At the same time, the competition in the market also affects business operations and creates threats. </w:t>
      </w:r>
    </w:p>
    <w:p w:rsidR="00573D7B" w:rsidRPr="00026A96" w:rsidRDefault="00AC577B" w:rsidP="002375F8">
      <w:pPr>
        <w:pStyle w:val="Heading2"/>
        <w:rPr>
          <w:lang w:val="en-GB"/>
        </w:rPr>
      </w:pPr>
      <w:bookmarkStart w:id="6" w:name="_Toc151733328"/>
      <w:r w:rsidRPr="00026A96">
        <w:rPr>
          <w:lang w:val="en-GB"/>
        </w:rPr>
        <w:t>2.4 Discussion of how the selected company has tried to become more competitive while taking into consideration sustainability and the environment</w:t>
      </w:r>
      <w:bookmarkEnd w:id="6"/>
      <w:r w:rsidRPr="00026A96">
        <w:rPr>
          <w:lang w:val="en-GB"/>
        </w:rPr>
        <w:t xml:space="preserve">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The sustainability concerns in BP PLC are significant to evaluate and understand its goals for the future</w:t>
      </w:r>
      <w:r w:rsidR="00831CCE" w:rsidRPr="00026A96">
        <w:rPr>
          <w:rFonts w:ascii="Times New Roman" w:eastAsia="Times New Roman" w:hAnsi="Times New Roman" w:cs="Times New Roman"/>
          <w:sz w:val="24"/>
          <w:szCs w:val="24"/>
          <w:lang w:val="en-GB"/>
        </w:rPr>
        <w:t xml:space="preserve"> are as follows,</w:t>
      </w:r>
      <w:r w:rsidRPr="00026A96">
        <w:rPr>
          <w:rFonts w:ascii="Times New Roman" w:eastAsia="Times New Roman" w:hAnsi="Times New Roman" w:cs="Times New Roman"/>
          <w:sz w:val="24"/>
          <w:szCs w:val="24"/>
          <w:lang w:val="en-GB"/>
        </w:rPr>
        <w:t xml:space="preserve">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 xml:space="preserve">Purpose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main purposes of the company for sustainability are to get to net zero in 2025 and help the world by lowering the impacts on the earth. The company has five aims to care for the planet and improve the lives of people. The mission of getting to net </w:t>
      </w:r>
      <w:proofErr w:type="spellStart"/>
      <w:r w:rsidRPr="00026A96">
        <w:rPr>
          <w:rFonts w:ascii="Times New Roman" w:eastAsia="Times New Roman" w:hAnsi="Times New Roman" w:cs="Times New Roman"/>
          <w:sz w:val="24"/>
          <w:szCs w:val="24"/>
          <w:lang w:val="en-GB"/>
        </w:rPr>
        <w:t>seri</w:t>
      </w:r>
      <w:proofErr w:type="spellEnd"/>
      <w:r w:rsidRPr="00026A96">
        <w:rPr>
          <w:rFonts w:ascii="Times New Roman" w:eastAsia="Times New Roman" w:hAnsi="Times New Roman" w:cs="Times New Roman"/>
          <w:sz w:val="24"/>
          <w:szCs w:val="24"/>
          <w:lang w:val="en-GB"/>
        </w:rPr>
        <w:t xml:space="preserve"> was started in 2020 which would be accomplished by 2025 and the other aims would help the company to set out the paths which would be consistent with the goals (bp.com, 2023). This aim involves a reduction in </w:t>
      </w:r>
      <w:r w:rsidRPr="00026A96">
        <w:rPr>
          <w:rFonts w:ascii="Times New Roman" w:eastAsia="Times New Roman" w:hAnsi="Times New Roman" w:cs="Times New Roman"/>
          <w:sz w:val="24"/>
          <w:szCs w:val="24"/>
          <w:lang w:val="en-GB"/>
        </w:rPr>
        <w:lastRenderedPageBreak/>
        <w:t xml:space="preserve">carbon intensity in the production, inverse the proportion of </w:t>
      </w:r>
      <w:proofErr w:type="spellStart"/>
      <w:r w:rsidRPr="00026A96">
        <w:rPr>
          <w:rFonts w:ascii="Times New Roman" w:eastAsia="Times New Roman" w:hAnsi="Times New Roman" w:cs="Times New Roman"/>
          <w:sz w:val="24"/>
          <w:szCs w:val="24"/>
          <w:lang w:val="en-GB"/>
        </w:rPr>
        <w:t>inventment</w:t>
      </w:r>
      <w:proofErr w:type="spellEnd"/>
      <w:r w:rsidRPr="00026A96">
        <w:rPr>
          <w:rFonts w:ascii="Times New Roman" w:eastAsia="Times New Roman" w:hAnsi="Times New Roman" w:cs="Times New Roman"/>
          <w:sz w:val="24"/>
          <w:szCs w:val="24"/>
          <w:lang w:val="en-GB"/>
        </w:rPr>
        <w:t xml:space="preserve">, active advocate policies and others.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 xml:space="preserve">People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According to the sustainability concerns of the company, it has some aims that involve enhancing the well-being of people, creating greater equality, sustainable livelihood, transition, and more clear energy for lower environmental impacts on the country. The company wants to engage the demand of more than 36 million people with additional customers in the future by 2023 (bp.com, 2023). Therefore, implementing 50GW of renewable energy would be developed by the company by the end of the year 2030 as expected.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noProof/>
          <w:sz w:val="24"/>
          <w:szCs w:val="24"/>
          <w:lang w:val="en-GB" w:eastAsia="en-IN"/>
        </w:rPr>
        <w:drawing>
          <wp:inline distT="114300" distB="114300" distL="114300" distR="114300">
            <wp:extent cx="2986088" cy="3016872"/>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2986088" cy="3016872"/>
                    </a:xfrm>
                    <a:prstGeom prst="rect">
                      <a:avLst/>
                    </a:prstGeom>
                    <a:ln w="12700">
                      <a:solidFill>
                        <a:srgbClr val="000000"/>
                      </a:solidFill>
                      <a:prstDash val="solid"/>
                    </a:ln>
                  </pic:spPr>
                </pic:pic>
              </a:graphicData>
            </a:graphic>
          </wp:inline>
        </w:drawing>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Figure</w:t>
      </w:r>
      <w:r w:rsidR="00FE799C" w:rsidRPr="00026A96">
        <w:rPr>
          <w:rFonts w:ascii="Times New Roman" w:eastAsia="Times New Roman" w:hAnsi="Times New Roman" w:cs="Times New Roman"/>
          <w:b/>
          <w:sz w:val="24"/>
          <w:szCs w:val="24"/>
          <w:lang w:val="en-GB"/>
        </w:rPr>
        <w:t xml:space="preserve"> 3</w:t>
      </w:r>
      <w:r w:rsidRPr="00026A96">
        <w:rPr>
          <w:rFonts w:ascii="Times New Roman" w:eastAsia="Times New Roman" w:hAnsi="Times New Roman" w:cs="Times New Roman"/>
          <w:b/>
          <w:sz w:val="24"/>
          <w:szCs w:val="24"/>
          <w:lang w:val="en-GB"/>
        </w:rPr>
        <w:t xml:space="preserve">: The sustainability in BP PLC </w:t>
      </w:r>
    </w:p>
    <w:p w:rsidR="00573D7B" w:rsidRPr="00026A96" w:rsidRDefault="00AC577B">
      <w:pPr>
        <w:pStyle w:val="Normal1"/>
        <w:spacing w:line="360" w:lineRule="auto"/>
        <w:jc w:val="center"/>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(Source: bp.com, 2023)</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 xml:space="preserve">Planet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sustainability frame of the company focuses on developing the difference to the environment where the company operates. It has the actual aim of enhancing biodiversity, reducing carbon emissions, and other issues which can be covered by nature-based solutions. This aim includes increasing demand for sustainable purchasing, unlocking circularity and creating nature-based solutions.   </w:t>
      </w:r>
    </w:p>
    <w:p w:rsidR="00573D7B" w:rsidRPr="00026A96" w:rsidRDefault="00AC577B" w:rsidP="002375F8">
      <w:pPr>
        <w:pStyle w:val="Heading2"/>
        <w:rPr>
          <w:lang w:val="en-GB"/>
        </w:rPr>
      </w:pPr>
      <w:bookmarkStart w:id="7" w:name="_Toc151733329"/>
      <w:r w:rsidRPr="00026A96">
        <w:rPr>
          <w:lang w:val="en-GB"/>
        </w:rPr>
        <w:t>2.5 Recommendation for the company for further sustainability that can help the organisation to develop competitive advantages in the future</w:t>
      </w:r>
      <w:bookmarkEnd w:id="7"/>
      <w:r w:rsidRPr="00026A96">
        <w:rPr>
          <w:lang w:val="en-GB"/>
        </w:rPr>
        <w:t xml:space="preserve">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analysis of the strategic management of BP PLC indicates some places which need to be developed and it requires some additional recommendations which are listed below.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lastRenderedPageBreak/>
        <w:t>R1: Implementation of the 3R (reduce, reuse, and recycle) approach</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BP PLC can implement reduce, reuse, and recycle in the business production to avoid waste and extra charges in production. The company can reuse the waste and other raw materials like water and reduce the use of these natural elements in the business. It would help to secure non-renewable energy for future generations and increase sustainability in the business along with the environment (</w:t>
      </w:r>
      <w:proofErr w:type="spellStart"/>
      <w:r w:rsidRPr="00026A96">
        <w:rPr>
          <w:rFonts w:ascii="Times New Roman" w:eastAsia="Times New Roman" w:hAnsi="Times New Roman" w:cs="Times New Roman"/>
          <w:sz w:val="24"/>
          <w:szCs w:val="24"/>
          <w:lang w:val="en-GB"/>
        </w:rPr>
        <w:t>Hazboun</w:t>
      </w:r>
      <w:proofErr w:type="spellEnd"/>
      <w:r w:rsidRPr="00026A96">
        <w:rPr>
          <w:rFonts w:ascii="Times New Roman" w:eastAsia="Times New Roman" w:hAnsi="Times New Roman" w:cs="Times New Roman"/>
          <w:sz w:val="24"/>
          <w:szCs w:val="24"/>
          <w:lang w:val="en-GB"/>
        </w:rPr>
        <w:t xml:space="preserve"> and </w:t>
      </w:r>
      <w:proofErr w:type="spellStart"/>
      <w:r w:rsidRPr="00026A96">
        <w:rPr>
          <w:rFonts w:ascii="Times New Roman" w:eastAsia="Times New Roman" w:hAnsi="Times New Roman" w:cs="Times New Roman"/>
          <w:sz w:val="24"/>
          <w:szCs w:val="24"/>
          <w:lang w:val="en-GB"/>
        </w:rPr>
        <w:t>Boudet</w:t>
      </w:r>
      <w:proofErr w:type="spellEnd"/>
      <w:r w:rsidRPr="00026A96">
        <w:rPr>
          <w:rFonts w:ascii="Times New Roman" w:eastAsia="Times New Roman" w:hAnsi="Times New Roman" w:cs="Times New Roman"/>
          <w:sz w:val="24"/>
          <w:szCs w:val="24"/>
          <w:lang w:val="en-GB"/>
        </w:rPr>
        <w:t xml:space="preserve">, 2020).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 xml:space="preserve">R2: Expansion of the business in the developing countries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 xml:space="preserve">The company can focus on market expansion in the international market basically in developing countries. As the developed countries are parts of the company already, it would be a good opportunity for the company to enter a new market with the production of renewable energy (Poirier, 2022). Therefore, the company can also use the charging points of electric vehicles as the key product as the growth in demand for electric vehicles is increasing day by day.  </w:t>
      </w:r>
    </w:p>
    <w:p w:rsidR="00573D7B" w:rsidRPr="00026A96" w:rsidRDefault="00AC577B">
      <w:pPr>
        <w:pStyle w:val="Normal1"/>
        <w:spacing w:line="360" w:lineRule="auto"/>
        <w:jc w:val="both"/>
        <w:rPr>
          <w:rFonts w:ascii="Times New Roman" w:eastAsia="Times New Roman" w:hAnsi="Times New Roman" w:cs="Times New Roman"/>
          <w:b/>
          <w:i/>
          <w:sz w:val="24"/>
          <w:szCs w:val="24"/>
          <w:lang w:val="en-GB"/>
        </w:rPr>
      </w:pPr>
      <w:r w:rsidRPr="00026A96">
        <w:rPr>
          <w:rFonts w:ascii="Times New Roman" w:eastAsia="Times New Roman" w:hAnsi="Times New Roman" w:cs="Times New Roman"/>
          <w:b/>
          <w:i/>
          <w:sz w:val="24"/>
          <w:szCs w:val="24"/>
          <w:lang w:val="en-GB"/>
        </w:rPr>
        <w:t xml:space="preserve">R3: Using biofuel in business production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The developing demand for biofuel for the lower impact on the environment would be helpful for the company to go with the trends. In the United Kingdom, the use of biofuel and biomaterials is increasing because of the change in the preferences of the customers (</w:t>
      </w:r>
      <w:proofErr w:type="spellStart"/>
      <w:r w:rsidRPr="00026A96">
        <w:rPr>
          <w:rFonts w:ascii="Times New Roman" w:eastAsia="Times New Roman" w:hAnsi="Times New Roman" w:cs="Times New Roman"/>
          <w:sz w:val="24"/>
          <w:szCs w:val="24"/>
          <w:lang w:val="en-GB"/>
        </w:rPr>
        <w:t>Taherahmadi</w:t>
      </w:r>
      <w:proofErr w:type="spellEnd"/>
      <w:r w:rsidRPr="00026A96">
        <w:rPr>
          <w:rFonts w:ascii="Times New Roman" w:eastAsia="Times New Roman" w:hAnsi="Times New Roman" w:cs="Times New Roman"/>
          <w:i/>
          <w:sz w:val="24"/>
          <w:szCs w:val="24"/>
          <w:lang w:val="en-GB"/>
        </w:rPr>
        <w:t xml:space="preserve"> et al.,</w:t>
      </w:r>
      <w:r w:rsidRPr="00026A96">
        <w:rPr>
          <w:rFonts w:ascii="Times New Roman" w:eastAsia="Times New Roman" w:hAnsi="Times New Roman" w:cs="Times New Roman"/>
          <w:sz w:val="24"/>
          <w:szCs w:val="24"/>
          <w:lang w:val="en-GB"/>
        </w:rPr>
        <w:t xml:space="preserve"> 2021). Besides, the rise of environmental concerns also indicates the advantages of using biofuel in the business for lower carbon emissions.  This would help the company to get an increase in business production with the rising demand for the products. </w:t>
      </w:r>
    </w:p>
    <w:p w:rsidR="00573D7B" w:rsidRPr="00026A96" w:rsidRDefault="00AC577B" w:rsidP="002375F8">
      <w:pPr>
        <w:pStyle w:val="Heading1"/>
        <w:rPr>
          <w:lang w:val="en-GB"/>
        </w:rPr>
      </w:pPr>
      <w:bookmarkStart w:id="8" w:name="_Toc151733330"/>
      <w:r w:rsidRPr="00026A96">
        <w:rPr>
          <w:lang w:val="en-GB"/>
        </w:rPr>
        <w:t>3. Conclusion</w:t>
      </w:r>
      <w:bookmarkEnd w:id="8"/>
      <w:r w:rsidRPr="00026A96">
        <w:rPr>
          <w:lang w:val="en-GB"/>
        </w:rPr>
        <w:t xml:space="preserve"> </w:t>
      </w:r>
    </w:p>
    <w:p w:rsidR="00573D7B" w:rsidRPr="00026A96" w:rsidRDefault="00AC577B">
      <w:pPr>
        <w:pStyle w:val="Normal1"/>
        <w:spacing w:line="360" w:lineRule="auto"/>
        <w:jc w:val="both"/>
        <w:rPr>
          <w:rFonts w:ascii="Times New Roman" w:eastAsia="Times New Roman" w:hAnsi="Times New Roman" w:cs="Times New Roman"/>
          <w:sz w:val="24"/>
          <w:szCs w:val="24"/>
          <w:lang w:val="en-GB"/>
        </w:rPr>
      </w:pPr>
      <w:r w:rsidRPr="00026A96">
        <w:rPr>
          <w:rFonts w:ascii="Times New Roman" w:eastAsia="Times New Roman" w:hAnsi="Times New Roman" w:cs="Times New Roman"/>
          <w:sz w:val="24"/>
          <w:szCs w:val="24"/>
          <w:lang w:val="en-GB"/>
        </w:rPr>
        <w:t>According to the analysis, it can be concluded that British Petroleum is one of the key players in the market in the United Kingdom. The company has a good brand identity that helps to support its international operations and has a loyal customer base in the international market. Therefore, its strategies and aims for the environmental impacts are also very influential and motivating. The approaches to sustainability concerns in the business of BP are also very impactful and would help the company to reduce carbon emissions and increase the production line.</w:t>
      </w:r>
      <w:r w:rsidR="00B46661" w:rsidRPr="00026A96">
        <w:rPr>
          <w:rFonts w:ascii="Times New Roman" w:eastAsia="Times New Roman" w:hAnsi="Times New Roman" w:cs="Times New Roman"/>
          <w:sz w:val="24"/>
          <w:szCs w:val="24"/>
          <w:lang w:val="en-GB"/>
        </w:rPr>
        <w:t xml:space="preserve"> </w:t>
      </w:r>
      <w:r w:rsidRPr="00026A96">
        <w:rPr>
          <w:lang w:val="en-GB"/>
        </w:rPr>
        <w:br w:type="page"/>
      </w:r>
    </w:p>
    <w:p w:rsidR="00573D7B" w:rsidRPr="00026A96" w:rsidRDefault="00AC577B" w:rsidP="002375F8">
      <w:pPr>
        <w:pStyle w:val="Heading1"/>
        <w:rPr>
          <w:lang w:val="en-GB"/>
        </w:rPr>
      </w:pPr>
      <w:bookmarkStart w:id="9" w:name="_Toc151733331"/>
      <w:r w:rsidRPr="00026A96">
        <w:rPr>
          <w:lang w:val="en-GB"/>
        </w:rPr>
        <w:lastRenderedPageBreak/>
        <w:t>References</w:t>
      </w:r>
      <w:bookmarkEnd w:id="9"/>
      <w:r w:rsidRPr="00026A96">
        <w:rPr>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Adel, N. and Anis, J., 2022. The impact of corporate social responsibility on financial performance: the case of United Kingdom’s companies.</w:t>
      </w:r>
      <w:r w:rsidRPr="00026A96">
        <w:rPr>
          <w:rFonts w:ascii="Times New Roman" w:eastAsia="Times New Roman" w:hAnsi="Times New Roman" w:cs="Times New Roman"/>
          <w:i/>
          <w:color w:val="000000" w:themeColor="text1"/>
          <w:sz w:val="24"/>
          <w:szCs w:val="24"/>
          <w:lang w:val="en-GB"/>
        </w:rPr>
        <w:t xml:space="preserve"> International Journal of Economics &amp; Business Administration, 10</w:t>
      </w:r>
      <w:r w:rsidRPr="00026A96">
        <w:rPr>
          <w:rFonts w:ascii="Times New Roman" w:eastAsia="Times New Roman" w:hAnsi="Times New Roman" w:cs="Times New Roman"/>
          <w:color w:val="000000" w:themeColor="text1"/>
          <w:sz w:val="24"/>
          <w:szCs w:val="24"/>
          <w:lang w:val="en-GB"/>
        </w:rPr>
        <w:t xml:space="preserve">(4). </w:t>
      </w:r>
      <w:hyperlink r:id="rId11">
        <w:r w:rsidRPr="00026A96">
          <w:rPr>
            <w:rFonts w:ascii="Times New Roman" w:eastAsia="Times New Roman" w:hAnsi="Times New Roman" w:cs="Times New Roman"/>
            <w:color w:val="000000" w:themeColor="text1"/>
            <w:sz w:val="24"/>
            <w:szCs w:val="24"/>
            <w:lang w:val="en-GB"/>
          </w:rPr>
          <w:t>https://www.researchgate.net/profile/Adel-Necib/publication/366952870_The_Impact_of_Corporate_Social_Responsibility_on_Financial_Performance_The_Case_of_United_Kingdom's_Companies/links/63ba762d097c7832ca9cecc1/The-Impact-of-Corporate-Social-Responsibility-on-Financial-Performance-The-Case-of-United-Kingdoms-Companies.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Ball, P.J., 2021. Macro energy trends and the future of geothermal within the low-carbon energy portfolio. </w:t>
      </w:r>
      <w:r w:rsidRPr="00026A96">
        <w:rPr>
          <w:rFonts w:ascii="Times New Roman" w:eastAsia="Times New Roman" w:hAnsi="Times New Roman" w:cs="Times New Roman"/>
          <w:i/>
          <w:color w:val="000000" w:themeColor="text1"/>
          <w:sz w:val="24"/>
          <w:szCs w:val="24"/>
          <w:lang w:val="en-GB"/>
        </w:rPr>
        <w:t>Journal of Energy Resources Technology, 143</w:t>
      </w:r>
      <w:r w:rsidRPr="00026A96">
        <w:rPr>
          <w:rFonts w:ascii="Times New Roman" w:eastAsia="Times New Roman" w:hAnsi="Times New Roman" w:cs="Times New Roman"/>
          <w:color w:val="000000" w:themeColor="text1"/>
          <w:sz w:val="24"/>
          <w:szCs w:val="24"/>
          <w:lang w:val="en-GB"/>
        </w:rPr>
        <w:t xml:space="preserve">(1), p.010904. </w:t>
      </w:r>
      <w:hyperlink r:id="rId12">
        <w:r w:rsidRPr="00026A96">
          <w:rPr>
            <w:rFonts w:ascii="Times New Roman" w:eastAsia="Times New Roman" w:hAnsi="Times New Roman" w:cs="Times New Roman"/>
            <w:color w:val="000000" w:themeColor="text1"/>
            <w:sz w:val="24"/>
            <w:szCs w:val="24"/>
            <w:lang w:val="en-GB"/>
          </w:rPr>
          <w:t>https://eprints.keele.ac.uk/id/eprint/9050/1/Ball_2020_Paper2_Energy_Transition_Macro_Trends_AcceptedPaper.pdf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bp.com, 2023. Annual report: Investors: Home (2023) </w:t>
      </w:r>
      <w:proofErr w:type="spellStart"/>
      <w:r w:rsidRPr="00026A96">
        <w:rPr>
          <w:rFonts w:ascii="Times New Roman" w:eastAsia="Times New Roman" w:hAnsi="Times New Roman" w:cs="Times New Roman"/>
          <w:color w:val="000000" w:themeColor="text1"/>
          <w:sz w:val="24"/>
          <w:szCs w:val="24"/>
          <w:lang w:val="en-GB"/>
        </w:rPr>
        <w:t>bp</w:t>
      </w:r>
      <w:proofErr w:type="spellEnd"/>
      <w:r w:rsidRPr="00026A96">
        <w:rPr>
          <w:rFonts w:ascii="Times New Roman" w:eastAsia="Times New Roman" w:hAnsi="Times New Roman" w:cs="Times New Roman"/>
          <w:color w:val="000000" w:themeColor="text1"/>
          <w:sz w:val="24"/>
          <w:szCs w:val="24"/>
          <w:lang w:val="en-GB"/>
        </w:rPr>
        <w:t xml:space="preserve"> global. Available at: https://www.bp.com/en/global/corporate/investors/results-reporting-and-presentations/annual-report.html#strategy (Accessed: 24 November 2023).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bp.com, 2023. </w:t>
      </w:r>
      <w:proofErr w:type="spellStart"/>
      <w:r w:rsidRPr="00026A96">
        <w:rPr>
          <w:rFonts w:ascii="Times New Roman" w:eastAsia="Times New Roman" w:hAnsi="Times New Roman" w:cs="Times New Roman"/>
          <w:color w:val="000000" w:themeColor="text1"/>
          <w:sz w:val="24"/>
          <w:szCs w:val="24"/>
          <w:lang w:val="en-GB"/>
        </w:rPr>
        <w:t>bp</w:t>
      </w:r>
      <w:proofErr w:type="spellEnd"/>
      <w:r w:rsidRPr="00026A96">
        <w:rPr>
          <w:rFonts w:ascii="Times New Roman" w:eastAsia="Times New Roman" w:hAnsi="Times New Roman" w:cs="Times New Roman"/>
          <w:color w:val="000000" w:themeColor="text1"/>
          <w:sz w:val="24"/>
          <w:szCs w:val="24"/>
          <w:lang w:val="en-GB"/>
        </w:rPr>
        <w:t xml:space="preserve"> global. Available at: https://www.bp.com/ (Accessed: 24 November 2023).</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bp.com, 2023. Sustainability: Home (2023) </w:t>
      </w:r>
      <w:proofErr w:type="spellStart"/>
      <w:r w:rsidRPr="00026A96">
        <w:rPr>
          <w:rFonts w:ascii="Times New Roman" w:eastAsia="Times New Roman" w:hAnsi="Times New Roman" w:cs="Times New Roman"/>
          <w:color w:val="000000" w:themeColor="text1"/>
          <w:sz w:val="24"/>
          <w:szCs w:val="24"/>
          <w:lang w:val="en-GB"/>
        </w:rPr>
        <w:t>bp</w:t>
      </w:r>
      <w:proofErr w:type="spellEnd"/>
      <w:r w:rsidRPr="00026A96">
        <w:rPr>
          <w:rFonts w:ascii="Times New Roman" w:eastAsia="Times New Roman" w:hAnsi="Times New Roman" w:cs="Times New Roman"/>
          <w:color w:val="000000" w:themeColor="text1"/>
          <w:sz w:val="24"/>
          <w:szCs w:val="24"/>
          <w:lang w:val="en-GB"/>
        </w:rPr>
        <w:t xml:space="preserve"> global. Available at: https://www.bp.com/en/global/corporate/sustainability.html (Accessed: 24 November 2023).</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Hamdani, E.Y. and </w:t>
      </w:r>
      <w:proofErr w:type="spellStart"/>
      <w:r w:rsidRPr="00026A96">
        <w:rPr>
          <w:rFonts w:ascii="Times New Roman" w:eastAsia="Times New Roman" w:hAnsi="Times New Roman" w:cs="Times New Roman"/>
          <w:color w:val="000000" w:themeColor="text1"/>
          <w:sz w:val="24"/>
          <w:szCs w:val="24"/>
          <w:lang w:val="en-GB"/>
        </w:rPr>
        <w:t>Wicaksono</w:t>
      </w:r>
      <w:proofErr w:type="spellEnd"/>
      <w:r w:rsidRPr="00026A96">
        <w:rPr>
          <w:rFonts w:ascii="Times New Roman" w:eastAsia="Times New Roman" w:hAnsi="Times New Roman" w:cs="Times New Roman"/>
          <w:color w:val="000000" w:themeColor="text1"/>
          <w:sz w:val="24"/>
          <w:szCs w:val="24"/>
          <w:lang w:val="en-GB"/>
        </w:rPr>
        <w:t xml:space="preserve">, A., 2023. Renewable Energy Transition Strategy for PT. CI to Reduce 50% Emission by 2030. </w:t>
      </w:r>
      <w:hyperlink r:id="rId13">
        <w:r w:rsidRPr="00026A96">
          <w:rPr>
            <w:rFonts w:ascii="Times New Roman" w:eastAsia="Times New Roman" w:hAnsi="Times New Roman" w:cs="Times New Roman"/>
            <w:color w:val="000000" w:themeColor="text1"/>
            <w:sz w:val="24"/>
            <w:szCs w:val="24"/>
            <w:lang w:val="en-GB"/>
          </w:rPr>
          <w:t>https://ijcsrr.org/wp-content/uploads/2022/01/09-07-2022.pdf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26A96">
        <w:rPr>
          <w:rFonts w:ascii="Times New Roman" w:eastAsia="Times New Roman" w:hAnsi="Times New Roman" w:cs="Times New Roman"/>
          <w:color w:val="000000" w:themeColor="text1"/>
          <w:sz w:val="24"/>
          <w:szCs w:val="24"/>
          <w:lang w:val="en-GB"/>
        </w:rPr>
        <w:t>Hazboun</w:t>
      </w:r>
      <w:proofErr w:type="spellEnd"/>
      <w:r w:rsidRPr="00026A96">
        <w:rPr>
          <w:rFonts w:ascii="Times New Roman" w:eastAsia="Times New Roman" w:hAnsi="Times New Roman" w:cs="Times New Roman"/>
          <w:color w:val="000000" w:themeColor="text1"/>
          <w:sz w:val="24"/>
          <w:szCs w:val="24"/>
          <w:lang w:val="en-GB"/>
        </w:rPr>
        <w:t xml:space="preserve">, S.O. and </w:t>
      </w:r>
      <w:proofErr w:type="spellStart"/>
      <w:r w:rsidRPr="00026A96">
        <w:rPr>
          <w:rFonts w:ascii="Times New Roman" w:eastAsia="Times New Roman" w:hAnsi="Times New Roman" w:cs="Times New Roman"/>
          <w:color w:val="000000" w:themeColor="text1"/>
          <w:sz w:val="24"/>
          <w:szCs w:val="24"/>
          <w:lang w:val="en-GB"/>
        </w:rPr>
        <w:t>Boudet</w:t>
      </w:r>
      <w:proofErr w:type="spellEnd"/>
      <w:r w:rsidRPr="00026A96">
        <w:rPr>
          <w:rFonts w:ascii="Times New Roman" w:eastAsia="Times New Roman" w:hAnsi="Times New Roman" w:cs="Times New Roman"/>
          <w:color w:val="000000" w:themeColor="text1"/>
          <w:sz w:val="24"/>
          <w:szCs w:val="24"/>
          <w:lang w:val="en-GB"/>
        </w:rPr>
        <w:t xml:space="preserve">, H.S., 2020. Public preferences in a shifting energy future: </w:t>
      </w:r>
      <w:r w:rsidRPr="00026A96">
        <w:rPr>
          <w:rFonts w:ascii="Times New Roman" w:eastAsia="Times New Roman" w:hAnsi="Times New Roman" w:cs="Times New Roman"/>
          <w:i/>
          <w:color w:val="000000" w:themeColor="text1"/>
          <w:sz w:val="24"/>
          <w:szCs w:val="24"/>
          <w:lang w:val="en-GB"/>
        </w:rPr>
        <w:t>Comparing public views of eight energy sources in North America’s Pacific Northwest. Energies, 13</w:t>
      </w:r>
      <w:r w:rsidRPr="00026A96">
        <w:rPr>
          <w:rFonts w:ascii="Times New Roman" w:eastAsia="Times New Roman" w:hAnsi="Times New Roman" w:cs="Times New Roman"/>
          <w:color w:val="000000" w:themeColor="text1"/>
          <w:sz w:val="24"/>
          <w:szCs w:val="24"/>
          <w:lang w:val="en-GB"/>
        </w:rPr>
        <w:t xml:space="preserve">(8), p.1940. </w:t>
      </w:r>
      <w:hyperlink r:id="rId14">
        <w:r w:rsidRPr="00026A96">
          <w:rPr>
            <w:rFonts w:ascii="Times New Roman" w:eastAsia="Times New Roman" w:hAnsi="Times New Roman" w:cs="Times New Roman"/>
            <w:color w:val="000000" w:themeColor="text1"/>
            <w:sz w:val="24"/>
            <w:szCs w:val="24"/>
            <w:lang w:val="en-GB"/>
          </w:rPr>
          <w:t>https://www.mdpi.com/1996-1073/13/8/1940/pdf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Hill, C.W., 2022. Essentials of strategic management. Cengage Learning. </w:t>
      </w:r>
      <w:hyperlink r:id="rId15">
        <w:r w:rsidRPr="00026A96">
          <w:rPr>
            <w:rFonts w:ascii="Times New Roman" w:eastAsia="Times New Roman" w:hAnsi="Times New Roman" w:cs="Times New Roman"/>
            <w:color w:val="000000" w:themeColor="text1"/>
            <w:sz w:val="24"/>
            <w:szCs w:val="24"/>
            <w:lang w:val="en-GB"/>
          </w:rPr>
          <w:t>http://portal.belesparadisecollege.edu.et:8080/library/bitstream/123456789/1761/1/26.strategic-management-hill-melson.pdf</w:t>
        </w:r>
      </w:hyperlink>
      <w:r w:rsidRPr="00026A96">
        <w:rPr>
          <w:rFonts w:ascii="Times New Roman" w:eastAsia="Times New Roman" w:hAnsi="Times New Roman" w:cs="Times New Roman"/>
          <w:color w:val="000000" w:themeColor="text1"/>
          <w:sz w:val="24"/>
          <w:szCs w:val="24"/>
          <w:lang w:val="en-GB"/>
        </w:rPr>
        <w:t xml:space="preserve"> </w:t>
      </w:r>
      <w:r w:rsidRPr="00026A96">
        <w:rPr>
          <w:color w:val="000000" w:themeColor="text1"/>
          <w:lang w:val="en-GB"/>
        </w:rPr>
        <w:br w:type="page"/>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lastRenderedPageBreak/>
        <w:t xml:space="preserve">Jiang, C., 2022, December. The Influence of the Russia-Ukraine War on BP. In 2022 2nd International Conference on Economic Development and Business Culture (ICEDBC 2022) (pp. 245-250). Atlantis Press. </w:t>
      </w:r>
      <w:hyperlink r:id="rId16">
        <w:r w:rsidRPr="00026A96">
          <w:rPr>
            <w:rFonts w:ascii="Times New Roman" w:eastAsia="Times New Roman" w:hAnsi="Times New Roman" w:cs="Times New Roman"/>
            <w:color w:val="000000" w:themeColor="text1"/>
            <w:sz w:val="24"/>
            <w:szCs w:val="24"/>
            <w:lang w:val="en-GB"/>
          </w:rPr>
          <w:t>https://www.atlantis-press.com/article/125983771.pdf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Lyse, C., 2019. Oil &amp; Gas Investments: Valuation Analysis of Aker BP ASA-</w:t>
      </w:r>
      <w:proofErr w:type="spellStart"/>
      <w:r w:rsidRPr="00026A96">
        <w:rPr>
          <w:rFonts w:ascii="Times New Roman" w:eastAsia="Times New Roman" w:hAnsi="Times New Roman" w:cs="Times New Roman"/>
          <w:color w:val="000000" w:themeColor="text1"/>
          <w:sz w:val="24"/>
          <w:szCs w:val="24"/>
          <w:lang w:val="en-GB"/>
        </w:rPr>
        <w:t>Valhall</w:t>
      </w:r>
      <w:proofErr w:type="spellEnd"/>
      <w:r w:rsidRPr="00026A96">
        <w:rPr>
          <w:rFonts w:ascii="Times New Roman" w:eastAsia="Times New Roman" w:hAnsi="Times New Roman" w:cs="Times New Roman"/>
          <w:color w:val="000000" w:themeColor="text1"/>
          <w:sz w:val="24"/>
          <w:szCs w:val="24"/>
          <w:lang w:val="en-GB"/>
        </w:rPr>
        <w:t xml:space="preserve"> IP Upgrade (Master's thesis, University of Stavanger, Norway). </w:t>
      </w:r>
      <w:hyperlink r:id="rId17">
        <w:r w:rsidRPr="00026A96">
          <w:rPr>
            <w:rFonts w:ascii="Times New Roman" w:eastAsia="Times New Roman" w:hAnsi="Times New Roman" w:cs="Times New Roman"/>
            <w:color w:val="000000" w:themeColor="text1"/>
            <w:sz w:val="24"/>
            <w:szCs w:val="24"/>
            <w:lang w:val="en-GB"/>
          </w:rPr>
          <w:t>https://uis.brage.unit.no/uis-xmlui/bitstream/handle/11250/2619839/Lyse_Christian.pdf?sequence=1</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macrotrends.net, 2023. BP gross profit 2010-2023: BP (2023) Macrotrends. Available at: https://www.macrotrends.net/stocks/charts/BP/bp/gross-profit#:~:text=BP%20Gross%20Profit%202010%2D2023%20%7C%20BP,-Prices&amp;amp;text=BP%20gross%20profit%20for%20the%20twelve%20months%20ending%20September%2030,a%2056.42%25%20increase%20from%202020. (Accessed: 24 November 2023).</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Poirier, N., 2022. Wishing to Be Part of That Court: How the Supreme Court's Decision in BP PLC v. Mayor of Baltimore Lets Energy Companies Wander Free and Drown the Shore up above. </w:t>
      </w:r>
      <w:proofErr w:type="spellStart"/>
      <w:r w:rsidRPr="00026A96">
        <w:rPr>
          <w:rFonts w:ascii="Times New Roman" w:eastAsia="Times New Roman" w:hAnsi="Times New Roman" w:cs="Times New Roman"/>
          <w:color w:val="000000" w:themeColor="text1"/>
          <w:sz w:val="24"/>
          <w:szCs w:val="24"/>
          <w:lang w:val="en-GB"/>
        </w:rPr>
        <w:t>Vill</w:t>
      </w:r>
      <w:proofErr w:type="spellEnd"/>
      <w:r w:rsidRPr="00026A96">
        <w:rPr>
          <w:rFonts w:ascii="Times New Roman" w:eastAsia="Times New Roman" w:hAnsi="Times New Roman" w:cs="Times New Roman"/>
          <w:color w:val="000000" w:themeColor="text1"/>
          <w:sz w:val="24"/>
          <w:szCs w:val="24"/>
          <w:lang w:val="en-GB"/>
        </w:rPr>
        <w:t xml:space="preserve">. Env't LJ, 33, p.221. </w:t>
      </w:r>
      <w:hyperlink r:id="rId18">
        <w:r w:rsidRPr="00026A96">
          <w:rPr>
            <w:rFonts w:ascii="Times New Roman" w:eastAsia="Times New Roman" w:hAnsi="Times New Roman" w:cs="Times New Roman"/>
            <w:color w:val="000000" w:themeColor="text1"/>
            <w:sz w:val="24"/>
            <w:szCs w:val="24"/>
            <w:lang w:val="en-GB"/>
          </w:rPr>
          <w:t>https://digitalcommons.law.villanova.edu/cgi/viewcontent.cgi?article=1460&amp;context=elj</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t xml:space="preserve">Santhosh Kumar, A., 2023. Shaping sustainability strategies: A comprehensive analysis of greenhouse gas reporting in the oil and gas sector and its strategic implications. </w:t>
      </w:r>
      <w:hyperlink r:id="rId19">
        <w:r w:rsidRPr="00026A96">
          <w:rPr>
            <w:rFonts w:ascii="Times New Roman" w:eastAsia="Times New Roman" w:hAnsi="Times New Roman" w:cs="Times New Roman"/>
            <w:color w:val="000000" w:themeColor="text1"/>
            <w:sz w:val="24"/>
            <w:szCs w:val="24"/>
            <w:lang w:val="en-GB"/>
          </w:rPr>
          <w:t>https://odr.chalmers.se/bitstreams/6de25d5e-c003-432c-901a-40246f261117/download</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26A96">
        <w:rPr>
          <w:rFonts w:ascii="Times New Roman" w:eastAsia="Times New Roman" w:hAnsi="Times New Roman" w:cs="Times New Roman"/>
          <w:color w:val="000000" w:themeColor="text1"/>
          <w:sz w:val="24"/>
          <w:szCs w:val="24"/>
          <w:lang w:val="en-GB"/>
        </w:rPr>
        <w:t>Taherahmadi</w:t>
      </w:r>
      <w:proofErr w:type="spellEnd"/>
      <w:r w:rsidRPr="00026A96">
        <w:rPr>
          <w:rFonts w:ascii="Times New Roman" w:eastAsia="Times New Roman" w:hAnsi="Times New Roman" w:cs="Times New Roman"/>
          <w:color w:val="000000" w:themeColor="text1"/>
          <w:sz w:val="24"/>
          <w:szCs w:val="24"/>
          <w:lang w:val="en-GB"/>
        </w:rPr>
        <w:t xml:space="preserve">, J., </w:t>
      </w:r>
      <w:proofErr w:type="spellStart"/>
      <w:r w:rsidRPr="00026A96">
        <w:rPr>
          <w:rFonts w:ascii="Times New Roman" w:eastAsia="Times New Roman" w:hAnsi="Times New Roman" w:cs="Times New Roman"/>
          <w:color w:val="000000" w:themeColor="text1"/>
          <w:sz w:val="24"/>
          <w:szCs w:val="24"/>
          <w:lang w:val="en-GB"/>
        </w:rPr>
        <w:t>Noorollahi</w:t>
      </w:r>
      <w:proofErr w:type="spellEnd"/>
      <w:r w:rsidRPr="00026A96">
        <w:rPr>
          <w:rFonts w:ascii="Times New Roman" w:eastAsia="Times New Roman" w:hAnsi="Times New Roman" w:cs="Times New Roman"/>
          <w:color w:val="000000" w:themeColor="text1"/>
          <w:sz w:val="24"/>
          <w:szCs w:val="24"/>
          <w:lang w:val="en-GB"/>
        </w:rPr>
        <w:t xml:space="preserve">, Y. and Panahi, M., 2021. Toward comprehensive zero energy building definitions: a literature review and recommendations. </w:t>
      </w:r>
      <w:r w:rsidRPr="00026A96">
        <w:rPr>
          <w:rFonts w:ascii="Times New Roman" w:eastAsia="Times New Roman" w:hAnsi="Times New Roman" w:cs="Times New Roman"/>
          <w:i/>
          <w:color w:val="000000" w:themeColor="text1"/>
          <w:sz w:val="24"/>
          <w:szCs w:val="24"/>
          <w:lang w:val="en-GB"/>
        </w:rPr>
        <w:t>International Journal of Sustainable Energy, 40</w:t>
      </w:r>
      <w:r w:rsidRPr="00026A96">
        <w:rPr>
          <w:rFonts w:ascii="Times New Roman" w:eastAsia="Times New Roman" w:hAnsi="Times New Roman" w:cs="Times New Roman"/>
          <w:color w:val="000000" w:themeColor="text1"/>
          <w:sz w:val="24"/>
          <w:szCs w:val="24"/>
          <w:lang w:val="en-GB"/>
        </w:rPr>
        <w:t xml:space="preserve">(2), pp.120-148. </w:t>
      </w:r>
      <w:hyperlink r:id="rId20">
        <w:r w:rsidRPr="00026A96">
          <w:rPr>
            <w:rFonts w:ascii="Times New Roman" w:eastAsia="Times New Roman" w:hAnsi="Times New Roman" w:cs="Times New Roman"/>
            <w:color w:val="000000" w:themeColor="text1"/>
            <w:sz w:val="24"/>
            <w:szCs w:val="24"/>
            <w:lang w:val="en-GB"/>
          </w:rPr>
          <w:t>https://www.researchgate.net/profile/Younes-Noorollahi/publication/343342402_Toward_comprehensive_zero_energy_building_definitions_a_literature_review_and_recommendations/links/5f2c01e8458515b729072ce1/Toward-comprehensive-zero-energy-building-definitions-a-literature-review-and-recommendations.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26A96">
        <w:rPr>
          <w:rFonts w:ascii="Times New Roman" w:eastAsia="Times New Roman" w:hAnsi="Times New Roman" w:cs="Times New Roman"/>
          <w:color w:val="000000" w:themeColor="text1"/>
          <w:sz w:val="24"/>
          <w:szCs w:val="24"/>
          <w:lang w:val="en-GB"/>
        </w:rPr>
        <w:t>Tsangas</w:t>
      </w:r>
      <w:proofErr w:type="spellEnd"/>
      <w:r w:rsidRPr="00026A96">
        <w:rPr>
          <w:rFonts w:ascii="Times New Roman" w:eastAsia="Times New Roman" w:hAnsi="Times New Roman" w:cs="Times New Roman"/>
          <w:color w:val="000000" w:themeColor="text1"/>
          <w:sz w:val="24"/>
          <w:szCs w:val="24"/>
          <w:lang w:val="en-GB"/>
        </w:rPr>
        <w:t xml:space="preserve">, M., </w:t>
      </w:r>
      <w:proofErr w:type="spellStart"/>
      <w:r w:rsidRPr="00026A96">
        <w:rPr>
          <w:rFonts w:ascii="Times New Roman" w:eastAsia="Times New Roman" w:hAnsi="Times New Roman" w:cs="Times New Roman"/>
          <w:color w:val="000000" w:themeColor="text1"/>
          <w:sz w:val="24"/>
          <w:szCs w:val="24"/>
          <w:lang w:val="en-GB"/>
        </w:rPr>
        <w:t>Jeguirim</w:t>
      </w:r>
      <w:proofErr w:type="spellEnd"/>
      <w:r w:rsidRPr="00026A96">
        <w:rPr>
          <w:rFonts w:ascii="Times New Roman" w:eastAsia="Times New Roman" w:hAnsi="Times New Roman" w:cs="Times New Roman"/>
          <w:color w:val="000000" w:themeColor="text1"/>
          <w:sz w:val="24"/>
          <w:szCs w:val="24"/>
          <w:lang w:val="en-GB"/>
        </w:rPr>
        <w:t xml:space="preserve">, M., </w:t>
      </w:r>
      <w:proofErr w:type="spellStart"/>
      <w:r w:rsidRPr="00026A96">
        <w:rPr>
          <w:rFonts w:ascii="Times New Roman" w:eastAsia="Times New Roman" w:hAnsi="Times New Roman" w:cs="Times New Roman"/>
          <w:color w:val="000000" w:themeColor="text1"/>
          <w:sz w:val="24"/>
          <w:szCs w:val="24"/>
          <w:lang w:val="en-GB"/>
        </w:rPr>
        <w:t>Limousy</w:t>
      </w:r>
      <w:proofErr w:type="spellEnd"/>
      <w:r w:rsidRPr="00026A96">
        <w:rPr>
          <w:rFonts w:ascii="Times New Roman" w:eastAsia="Times New Roman" w:hAnsi="Times New Roman" w:cs="Times New Roman"/>
          <w:color w:val="000000" w:themeColor="text1"/>
          <w:sz w:val="24"/>
          <w:szCs w:val="24"/>
          <w:lang w:val="en-GB"/>
        </w:rPr>
        <w:t xml:space="preserve">, L. and </w:t>
      </w:r>
      <w:proofErr w:type="spellStart"/>
      <w:r w:rsidRPr="00026A96">
        <w:rPr>
          <w:rFonts w:ascii="Times New Roman" w:eastAsia="Times New Roman" w:hAnsi="Times New Roman" w:cs="Times New Roman"/>
          <w:color w:val="000000" w:themeColor="text1"/>
          <w:sz w:val="24"/>
          <w:szCs w:val="24"/>
          <w:lang w:val="en-GB"/>
        </w:rPr>
        <w:t>Zorpas</w:t>
      </w:r>
      <w:proofErr w:type="spellEnd"/>
      <w:r w:rsidRPr="00026A96">
        <w:rPr>
          <w:rFonts w:ascii="Times New Roman" w:eastAsia="Times New Roman" w:hAnsi="Times New Roman" w:cs="Times New Roman"/>
          <w:color w:val="000000" w:themeColor="text1"/>
          <w:sz w:val="24"/>
          <w:szCs w:val="24"/>
          <w:lang w:val="en-GB"/>
        </w:rPr>
        <w:t xml:space="preserve">, A., 2019. </w:t>
      </w:r>
      <w:r w:rsidRPr="00026A96">
        <w:rPr>
          <w:rFonts w:ascii="Times New Roman" w:eastAsia="Times New Roman" w:hAnsi="Times New Roman" w:cs="Times New Roman"/>
          <w:i/>
          <w:color w:val="000000" w:themeColor="text1"/>
          <w:sz w:val="24"/>
          <w:szCs w:val="24"/>
          <w:lang w:val="en-GB"/>
        </w:rPr>
        <w:t>The application of the analytical hierarchy process in combination with PESTEL-SWOT analysis to assess the hydrocarbons sector in Cyprus. Energies, 12</w:t>
      </w:r>
      <w:r w:rsidRPr="00026A96">
        <w:rPr>
          <w:rFonts w:ascii="Times New Roman" w:eastAsia="Times New Roman" w:hAnsi="Times New Roman" w:cs="Times New Roman"/>
          <w:color w:val="000000" w:themeColor="text1"/>
          <w:sz w:val="24"/>
          <w:szCs w:val="24"/>
          <w:lang w:val="en-GB"/>
        </w:rPr>
        <w:t xml:space="preserve">(5), p.791. </w:t>
      </w:r>
      <w:hyperlink r:id="rId21">
        <w:r w:rsidRPr="00026A96">
          <w:rPr>
            <w:rFonts w:ascii="Times New Roman" w:eastAsia="Times New Roman" w:hAnsi="Times New Roman" w:cs="Times New Roman"/>
            <w:color w:val="000000" w:themeColor="text1"/>
            <w:sz w:val="24"/>
            <w:szCs w:val="24"/>
            <w:lang w:val="en-GB"/>
          </w:rPr>
          <w:t>https://www.mdpi.com/1996-1073/12/5/791/pdf</w:t>
        </w:r>
      </w:hyperlink>
      <w:r w:rsidRPr="00026A96">
        <w:rPr>
          <w:rFonts w:ascii="Times New Roman" w:eastAsia="Times New Roman" w:hAnsi="Times New Roman" w:cs="Times New Roman"/>
          <w:color w:val="000000" w:themeColor="text1"/>
          <w:sz w:val="24"/>
          <w:szCs w:val="24"/>
          <w:lang w:val="en-GB"/>
        </w:rPr>
        <w:t xml:space="preserve"> </w:t>
      </w:r>
    </w:p>
    <w:p w:rsidR="007E686D" w:rsidRPr="00026A96" w:rsidRDefault="007E686D" w:rsidP="003C46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26A96">
        <w:rPr>
          <w:rFonts w:ascii="Times New Roman" w:eastAsia="Times New Roman" w:hAnsi="Times New Roman" w:cs="Times New Roman"/>
          <w:color w:val="000000" w:themeColor="text1"/>
          <w:sz w:val="24"/>
          <w:szCs w:val="24"/>
          <w:lang w:val="en-GB"/>
        </w:rPr>
        <w:lastRenderedPageBreak/>
        <w:t xml:space="preserve">Zhang, Y., </w:t>
      </w:r>
      <w:proofErr w:type="spellStart"/>
      <w:r w:rsidRPr="00026A96">
        <w:rPr>
          <w:rFonts w:ascii="Times New Roman" w:eastAsia="Times New Roman" w:hAnsi="Times New Roman" w:cs="Times New Roman"/>
          <w:color w:val="000000" w:themeColor="text1"/>
          <w:sz w:val="24"/>
          <w:szCs w:val="24"/>
          <w:lang w:val="en-GB"/>
        </w:rPr>
        <w:t>Rysiecki</w:t>
      </w:r>
      <w:proofErr w:type="spellEnd"/>
      <w:r w:rsidRPr="00026A96">
        <w:rPr>
          <w:rFonts w:ascii="Times New Roman" w:eastAsia="Times New Roman" w:hAnsi="Times New Roman" w:cs="Times New Roman"/>
          <w:color w:val="000000" w:themeColor="text1"/>
          <w:sz w:val="24"/>
          <w:szCs w:val="24"/>
          <w:lang w:val="en-GB"/>
        </w:rPr>
        <w:t>, L., Gong, Y. and Shi, Q., 2020.</w:t>
      </w:r>
      <w:r w:rsidRPr="00026A96">
        <w:rPr>
          <w:rFonts w:ascii="Times New Roman" w:eastAsia="Times New Roman" w:hAnsi="Times New Roman" w:cs="Times New Roman"/>
          <w:i/>
          <w:color w:val="000000" w:themeColor="text1"/>
          <w:sz w:val="24"/>
          <w:szCs w:val="24"/>
          <w:lang w:val="en-GB"/>
        </w:rPr>
        <w:t xml:space="preserve"> A SWOT analysis of the UK EV battery supply chain. Sustainability, 12</w:t>
      </w:r>
      <w:r w:rsidRPr="00026A96">
        <w:rPr>
          <w:rFonts w:ascii="Times New Roman" w:eastAsia="Times New Roman" w:hAnsi="Times New Roman" w:cs="Times New Roman"/>
          <w:color w:val="000000" w:themeColor="text1"/>
          <w:sz w:val="24"/>
          <w:szCs w:val="24"/>
          <w:lang w:val="en-GB"/>
        </w:rPr>
        <w:t xml:space="preserve">(23), p.9807. </w:t>
      </w:r>
      <w:hyperlink r:id="rId22">
        <w:r w:rsidRPr="00026A96">
          <w:rPr>
            <w:rFonts w:ascii="Times New Roman" w:eastAsia="Times New Roman" w:hAnsi="Times New Roman" w:cs="Times New Roman"/>
            <w:color w:val="000000" w:themeColor="text1"/>
            <w:sz w:val="24"/>
            <w:szCs w:val="24"/>
            <w:lang w:val="en-GB"/>
          </w:rPr>
          <w:t>https://www.mdpi.com/2071-1050/12/23/9807/pdf</w:t>
        </w:r>
      </w:hyperlink>
    </w:p>
    <w:p w:rsidR="00EC1923" w:rsidRPr="00026A96" w:rsidRDefault="00EC1923">
      <w:pP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br w:type="page"/>
      </w:r>
    </w:p>
    <w:p w:rsidR="00573D7B" w:rsidRPr="00026A96" w:rsidRDefault="00AC577B" w:rsidP="00EC1923">
      <w:pPr>
        <w:pStyle w:val="Heading1"/>
        <w:rPr>
          <w:lang w:val="en-GB"/>
        </w:rPr>
      </w:pPr>
      <w:bookmarkStart w:id="10" w:name="_Toc151733332"/>
      <w:r w:rsidRPr="00026A96">
        <w:rPr>
          <w:lang w:val="en-GB"/>
        </w:rPr>
        <w:lastRenderedPageBreak/>
        <w:t>Appendices</w:t>
      </w:r>
      <w:bookmarkEnd w:id="10"/>
      <w:r w:rsidRPr="00026A96">
        <w:rPr>
          <w:lang w:val="en-GB"/>
        </w:rPr>
        <w:t xml:space="preserve"> </w:t>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Appendix 1: SWOT analysis </w:t>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noProof/>
          <w:sz w:val="24"/>
          <w:szCs w:val="24"/>
          <w:lang w:val="en-GB" w:eastAsia="en-IN"/>
        </w:rPr>
        <w:drawing>
          <wp:inline distT="114300" distB="114300" distL="114300" distR="114300">
            <wp:extent cx="4886325" cy="4419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23"/>
                    <a:stretch>
                      <a:fillRect/>
                    </a:stretch>
                  </pic:blipFill>
                  <pic:spPr>
                    <a:xfrm>
                      <a:off x="0" y="0"/>
                      <a:ext cx="4886325" cy="4419600"/>
                    </a:xfrm>
                    <a:prstGeom prst="rect">
                      <a:avLst/>
                    </a:prstGeom>
                  </pic:spPr>
                </pic:pic>
              </a:graphicData>
            </a:graphic>
          </wp:inline>
        </w:drawing>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Appendix 2: PESTEL analysis </w:t>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noProof/>
          <w:sz w:val="24"/>
          <w:szCs w:val="24"/>
          <w:lang w:val="en-GB" w:eastAsia="en-IN"/>
        </w:rPr>
        <w:lastRenderedPageBreak/>
        <w:drawing>
          <wp:inline distT="114300" distB="114300" distL="114300" distR="114300">
            <wp:extent cx="4667250" cy="4953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24"/>
                    <a:stretch>
                      <a:fillRect/>
                    </a:stretch>
                  </pic:blipFill>
                  <pic:spPr>
                    <a:xfrm>
                      <a:off x="0" y="0"/>
                      <a:ext cx="4667250" cy="4953000"/>
                    </a:xfrm>
                    <a:prstGeom prst="rect">
                      <a:avLst/>
                    </a:prstGeom>
                  </pic:spPr>
                </pic:pic>
              </a:graphicData>
            </a:graphic>
          </wp:inline>
        </w:drawing>
      </w:r>
    </w:p>
    <w:p w:rsidR="00573D7B" w:rsidRPr="00026A96" w:rsidRDefault="00AC577B">
      <w:pPr>
        <w:pStyle w:val="Normal1"/>
        <w:spacing w:line="360" w:lineRule="auto"/>
        <w:jc w:val="both"/>
        <w:rPr>
          <w:rFonts w:ascii="Times New Roman" w:eastAsia="Times New Roman" w:hAnsi="Times New Roman" w:cs="Times New Roman"/>
          <w:b/>
          <w:sz w:val="24"/>
          <w:szCs w:val="24"/>
          <w:lang w:val="en-GB"/>
        </w:rPr>
      </w:pPr>
      <w:r w:rsidRPr="00026A96">
        <w:rPr>
          <w:rFonts w:ascii="Times New Roman" w:eastAsia="Times New Roman" w:hAnsi="Times New Roman" w:cs="Times New Roman"/>
          <w:b/>
          <w:sz w:val="24"/>
          <w:szCs w:val="24"/>
          <w:lang w:val="en-GB"/>
        </w:rPr>
        <w:t xml:space="preserve">Appendix 3: Porter’s five forces </w:t>
      </w:r>
    </w:p>
    <w:p w:rsidR="00573D7B" w:rsidRPr="00026A96" w:rsidRDefault="00AC577B">
      <w:pPr>
        <w:pStyle w:val="Normal1"/>
        <w:spacing w:line="360" w:lineRule="auto"/>
        <w:jc w:val="center"/>
        <w:rPr>
          <w:rFonts w:ascii="Times New Roman" w:eastAsia="Times New Roman" w:hAnsi="Times New Roman" w:cs="Times New Roman"/>
          <w:b/>
          <w:sz w:val="24"/>
          <w:szCs w:val="24"/>
          <w:lang w:val="en-GB"/>
        </w:rPr>
      </w:pPr>
      <w:r w:rsidRPr="00026A96">
        <w:rPr>
          <w:rFonts w:ascii="Times New Roman" w:eastAsia="Times New Roman" w:hAnsi="Times New Roman" w:cs="Times New Roman"/>
          <w:b/>
          <w:noProof/>
          <w:sz w:val="24"/>
          <w:szCs w:val="24"/>
          <w:lang w:val="en-GB" w:eastAsia="en-IN"/>
        </w:rPr>
        <w:lastRenderedPageBreak/>
        <w:drawing>
          <wp:inline distT="114300" distB="114300" distL="114300" distR="114300">
            <wp:extent cx="3857625" cy="37719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25"/>
                    <a:stretch>
                      <a:fillRect/>
                    </a:stretch>
                  </pic:blipFill>
                  <pic:spPr>
                    <a:xfrm>
                      <a:off x="0" y="0"/>
                      <a:ext cx="3857625" cy="3771900"/>
                    </a:xfrm>
                    <a:prstGeom prst="rect">
                      <a:avLst/>
                    </a:prstGeom>
                  </pic:spPr>
                </pic:pic>
              </a:graphicData>
            </a:graphic>
          </wp:inline>
        </w:drawing>
      </w:r>
    </w:p>
    <w:sectPr w:rsidR="00573D7B" w:rsidRPr="00026A96" w:rsidSect="00EC1923">
      <w:footerReference w:type="default" r:id="rId26"/>
      <w:headerReference w:type="first" r:id="rId27"/>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040C" w:rsidRDefault="001F040C" w:rsidP="00EC1923">
      <w:pPr>
        <w:spacing w:line="240" w:lineRule="auto"/>
      </w:pPr>
      <w:r>
        <w:separator/>
      </w:r>
    </w:p>
  </w:endnote>
  <w:endnote w:type="continuationSeparator" w:id="0">
    <w:p w:rsidR="001F040C" w:rsidRDefault="001F040C" w:rsidP="00EC19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rPr>
      <w:id w:val="-1108190834"/>
      <w:docPartObj>
        <w:docPartGallery w:val="Page Numbers (Bottom of Page)"/>
        <w:docPartUnique/>
      </w:docPartObj>
    </w:sdtPr>
    <w:sdtEndPr>
      <w:rPr>
        <w:noProof/>
      </w:rPr>
    </w:sdtEndPr>
    <w:sdtContent>
      <w:p w:rsidR="000E4DB4" w:rsidRPr="000E4DB4" w:rsidRDefault="000E4DB4">
        <w:pPr>
          <w:pStyle w:val="Footer"/>
          <w:rPr>
            <w:rFonts w:ascii="Times New Roman" w:hAnsi="Times New Roman" w:cs="Times New Roman"/>
            <w:sz w:val="24"/>
          </w:rPr>
        </w:pPr>
        <w:r w:rsidRPr="000E4DB4">
          <w:rPr>
            <w:rFonts w:ascii="Times New Roman" w:hAnsi="Times New Roman" w:cs="Times New Roman"/>
            <w:sz w:val="24"/>
          </w:rPr>
          <w:t xml:space="preserve">Page | </w:t>
        </w:r>
        <w:r w:rsidRPr="000E4DB4">
          <w:rPr>
            <w:rFonts w:ascii="Times New Roman" w:hAnsi="Times New Roman" w:cs="Times New Roman"/>
            <w:sz w:val="24"/>
          </w:rPr>
          <w:fldChar w:fldCharType="begin"/>
        </w:r>
        <w:r w:rsidRPr="000E4DB4">
          <w:rPr>
            <w:rFonts w:ascii="Times New Roman" w:hAnsi="Times New Roman" w:cs="Times New Roman"/>
            <w:sz w:val="24"/>
          </w:rPr>
          <w:instrText xml:space="preserve"> PAGE   \* MERGEFORMAT </w:instrText>
        </w:r>
        <w:r w:rsidRPr="000E4DB4">
          <w:rPr>
            <w:rFonts w:ascii="Times New Roman" w:hAnsi="Times New Roman" w:cs="Times New Roman"/>
            <w:sz w:val="24"/>
          </w:rPr>
          <w:fldChar w:fldCharType="separate"/>
        </w:r>
        <w:r w:rsidR="005C6AA2">
          <w:rPr>
            <w:rFonts w:ascii="Times New Roman" w:hAnsi="Times New Roman" w:cs="Times New Roman"/>
            <w:noProof/>
            <w:sz w:val="24"/>
          </w:rPr>
          <w:t>4</w:t>
        </w:r>
        <w:r w:rsidRPr="000E4DB4">
          <w:rPr>
            <w:rFonts w:ascii="Times New Roman" w:hAnsi="Times New Roman" w:cs="Times New Roman"/>
            <w:noProof/>
            <w:sz w:val="24"/>
          </w:rPr>
          <w:fldChar w:fldCharType="end"/>
        </w:r>
      </w:p>
    </w:sdtContent>
  </w:sdt>
  <w:p w:rsidR="00EC1923" w:rsidRDefault="00EC1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040C" w:rsidRDefault="001F040C" w:rsidP="00EC1923">
      <w:pPr>
        <w:spacing w:line="240" w:lineRule="auto"/>
      </w:pPr>
      <w:r>
        <w:separator/>
      </w:r>
    </w:p>
  </w:footnote>
  <w:footnote w:type="continuationSeparator" w:id="0">
    <w:p w:rsidR="001F040C" w:rsidRDefault="001F040C" w:rsidP="00EC19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3C8A" w:rsidRDefault="00853C8A" w:rsidP="00853C8A">
    <w:pPr>
      <w:pStyle w:val="Header"/>
      <w:jc w:val="right"/>
      <w:rPr>
        <w:lang w:val="en-GB"/>
      </w:rPr>
    </w:pPr>
    <w:r>
      <w:rPr>
        <w:lang w:val="en-GB"/>
      </w:rPr>
      <w:t>1921883</w:t>
    </w:r>
  </w:p>
  <w:p w:rsidR="00853C8A" w:rsidRPr="00853C8A" w:rsidRDefault="00853C8A" w:rsidP="00853C8A">
    <w:pPr>
      <w:pStyle w:val="Header"/>
      <w:jc w:val="righ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A974"/>
    <w:multiLevelType w:val="hybridMultilevel"/>
    <w:tmpl w:val="00000000"/>
    <w:lvl w:ilvl="0" w:tplc="C11CE48E">
      <w:start w:val="1"/>
      <w:numFmt w:val="bullet"/>
      <w:lvlText w:val="●"/>
      <w:lvlJc w:val="left"/>
      <w:pPr>
        <w:ind w:left="720" w:hanging="360"/>
      </w:pPr>
      <w:rPr>
        <w:u w:val="none"/>
      </w:rPr>
    </w:lvl>
    <w:lvl w:ilvl="1" w:tplc="C3B0D17C">
      <w:start w:val="1"/>
      <w:numFmt w:val="bullet"/>
      <w:lvlText w:val="○"/>
      <w:lvlJc w:val="left"/>
      <w:pPr>
        <w:ind w:left="1440" w:hanging="360"/>
      </w:pPr>
      <w:rPr>
        <w:u w:val="none"/>
      </w:rPr>
    </w:lvl>
    <w:lvl w:ilvl="2" w:tplc="3ECC71A8">
      <w:start w:val="1"/>
      <w:numFmt w:val="bullet"/>
      <w:lvlText w:val="■"/>
      <w:lvlJc w:val="left"/>
      <w:pPr>
        <w:ind w:left="2160" w:hanging="360"/>
      </w:pPr>
      <w:rPr>
        <w:u w:val="none"/>
      </w:rPr>
    </w:lvl>
    <w:lvl w:ilvl="3" w:tplc="B608CFDC">
      <w:start w:val="1"/>
      <w:numFmt w:val="bullet"/>
      <w:lvlText w:val="●"/>
      <w:lvlJc w:val="left"/>
      <w:pPr>
        <w:ind w:left="2880" w:hanging="360"/>
      </w:pPr>
      <w:rPr>
        <w:u w:val="none"/>
      </w:rPr>
    </w:lvl>
    <w:lvl w:ilvl="4" w:tplc="A3AEB68C">
      <w:start w:val="1"/>
      <w:numFmt w:val="bullet"/>
      <w:lvlText w:val="○"/>
      <w:lvlJc w:val="left"/>
      <w:pPr>
        <w:ind w:left="3600" w:hanging="360"/>
      </w:pPr>
      <w:rPr>
        <w:u w:val="none"/>
      </w:rPr>
    </w:lvl>
    <w:lvl w:ilvl="5" w:tplc="B4AA4ABE">
      <w:start w:val="1"/>
      <w:numFmt w:val="bullet"/>
      <w:lvlText w:val="■"/>
      <w:lvlJc w:val="left"/>
      <w:pPr>
        <w:ind w:left="4320" w:hanging="360"/>
      </w:pPr>
      <w:rPr>
        <w:u w:val="none"/>
      </w:rPr>
    </w:lvl>
    <w:lvl w:ilvl="6" w:tplc="F0B86026">
      <w:start w:val="1"/>
      <w:numFmt w:val="bullet"/>
      <w:lvlText w:val="●"/>
      <w:lvlJc w:val="left"/>
      <w:pPr>
        <w:ind w:left="5040" w:hanging="360"/>
      </w:pPr>
      <w:rPr>
        <w:u w:val="none"/>
      </w:rPr>
    </w:lvl>
    <w:lvl w:ilvl="7" w:tplc="F8CEBC00">
      <w:start w:val="1"/>
      <w:numFmt w:val="bullet"/>
      <w:lvlText w:val="○"/>
      <w:lvlJc w:val="left"/>
      <w:pPr>
        <w:ind w:left="5760" w:hanging="360"/>
      </w:pPr>
      <w:rPr>
        <w:u w:val="none"/>
      </w:rPr>
    </w:lvl>
    <w:lvl w:ilvl="8" w:tplc="FFE6AF24">
      <w:start w:val="1"/>
      <w:numFmt w:val="bullet"/>
      <w:lvlText w:val="■"/>
      <w:lvlJc w:val="left"/>
      <w:pPr>
        <w:ind w:left="6480" w:hanging="360"/>
      </w:pPr>
      <w:rPr>
        <w:u w:val="none"/>
      </w:rPr>
    </w:lvl>
  </w:abstractNum>
  <w:abstractNum w:abstractNumId="1" w15:restartNumberingAfterBreak="0">
    <w:nsid w:val="2438643B"/>
    <w:multiLevelType w:val="hybridMultilevel"/>
    <w:tmpl w:val="00000000"/>
    <w:lvl w:ilvl="0" w:tplc="42286992">
      <w:start w:val="1"/>
      <w:numFmt w:val="decimal"/>
      <w:lvlText w:val="%1."/>
      <w:lvlJc w:val="left"/>
      <w:pPr>
        <w:ind w:left="720" w:hanging="360"/>
      </w:pPr>
      <w:rPr>
        <w:u w:val="none"/>
      </w:rPr>
    </w:lvl>
    <w:lvl w:ilvl="1" w:tplc="A7446B82">
      <w:start w:val="1"/>
      <w:numFmt w:val="lowerLetter"/>
      <w:lvlText w:val="%2."/>
      <w:lvlJc w:val="left"/>
      <w:pPr>
        <w:ind w:left="1440" w:hanging="360"/>
      </w:pPr>
      <w:rPr>
        <w:u w:val="none"/>
      </w:rPr>
    </w:lvl>
    <w:lvl w:ilvl="2" w:tplc="C9A420CA">
      <w:start w:val="1"/>
      <w:numFmt w:val="lowerRoman"/>
      <w:lvlText w:val="%3."/>
      <w:lvlJc w:val="right"/>
      <w:pPr>
        <w:ind w:left="2160" w:hanging="360"/>
      </w:pPr>
      <w:rPr>
        <w:u w:val="none"/>
      </w:rPr>
    </w:lvl>
    <w:lvl w:ilvl="3" w:tplc="4A98165A">
      <w:start w:val="1"/>
      <w:numFmt w:val="decimal"/>
      <w:lvlText w:val="%4."/>
      <w:lvlJc w:val="left"/>
      <w:pPr>
        <w:ind w:left="2880" w:hanging="360"/>
      </w:pPr>
      <w:rPr>
        <w:u w:val="none"/>
      </w:rPr>
    </w:lvl>
    <w:lvl w:ilvl="4" w:tplc="BA3C41C0">
      <w:start w:val="1"/>
      <w:numFmt w:val="lowerLetter"/>
      <w:lvlText w:val="%5."/>
      <w:lvlJc w:val="left"/>
      <w:pPr>
        <w:ind w:left="3600" w:hanging="360"/>
      </w:pPr>
      <w:rPr>
        <w:u w:val="none"/>
      </w:rPr>
    </w:lvl>
    <w:lvl w:ilvl="5" w:tplc="EB443384">
      <w:start w:val="1"/>
      <w:numFmt w:val="lowerRoman"/>
      <w:lvlText w:val="%6."/>
      <w:lvlJc w:val="right"/>
      <w:pPr>
        <w:ind w:left="4320" w:hanging="360"/>
      </w:pPr>
      <w:rPr>
        <w:u w:val="none"/>
      </w:rPr>
    </w:lvl>
    <w:lvl w:ilvl="6" w:tplc="B4A22EE2">
      <w:start w:val="1"/>
      <w:numFmt w:val="decimal"/>
      <w:lvlText w:val="%7."/>
      <w:lvlJc w:val="left"/>
      <w:pPr>
        <w:ind w:left="5040" w:hanging="360"/>
      </w:pPr>
      <w:rPr>
        <w:u w:val="none"/>
      </w:rPr>
    </w:lvl>
    <w:lvl w:ilvl="7" w:tplc="1AA0ABD8">
      <w:start w:val="1"/>
      <w:numFmt w:val="lowerLetter"/>
      <w:lvlText w:val="%8."/>
      <w:lvlJc w:val="left"/>
      <w:pPr>
        <w:ind w:left="5760" w:hanging="360"/>
      </w:pPr>
      <w:rPr>
        <w:u w:val="none"/>
      </w:rPr>
    </w:lvl>
    <w:lvl w:ilvl="8" w:tplc="13841554">
      <w:start w:val="1"/>
      <w:numFmt w:val="lowerRoman"/>
      <w:lvlText w:val="%9."/>
      <w:lvlJc w:val="right"/>
      <w:pPr>
        <w:ind w:left="6480" w:hanging="360"/>
      </w:pPr>
      <w:rPr>
        <w:u w:val="none"/>
      </w:rPr>
    </w:lvl>
  </w:abstractNum>
  <w:abstractNum w:abstractNumId="2" w15:restartNumberingAfterBreak="0">
    <w:nsid w:val="2BC10F23"/>
    <w:multiLevelType w:val="hybridMultilevel"/>
    <w:tmpl w:val="00000000"/>
    <w:lvl w:ilvl="0" w:tplc="051C4100">
      <w:start w:val="1"/>
      <w:numFmt w:val="bullet"/>
      <w:lvlText w:val="●"/>
      <w:lvlJc w:val="left"/>
      <w:pPr>
        <w:ind w:left="720" w:hanging="360"/>
      </w:pPr>
      <w:rPr>
        <w:u w:val="none"/>
      </w:rPr>
    </w:lvl>
    <w:lvl w:ilvl="1" w:tplc="3000CD80">
      <w:start w:val="1"/>
      <w:numFmt w:val="bullet"/>
      <w:lvlText w:val="○"/>
      <w:lvlJc w:val="left"/>
      <w:pPr>
        <w:ind w:left="1440" w:hanging="360"/>
      </w:pPr>
      <w:rPr>
        <w:u w:val="none"/>
      </w:rPr>
    </w:lvl>
    <w:lvl w:ilvl="2" w:tplc="5ABA12C0">
      <w:start w:val="1"/>
      <w:numFmt w:val="bullet"/>
      <w:lvlText w:val="■"/>
      <w:lvlJc w:val="left"/>
      <w:pPr>
        <w:ind w:left="2160" w:hanging="360"/>
      </w:pPr>
      <w:rPr>
        <w:u w:val="none"/>
      </w:rPr>
    </w:lvl>
    <w:lvl w:ilvl="3" w:tplc="C994D434">
      <w:start w:val="1"/>
      <w:numFmt w:val="bullet"/>
      <w:lvlText w:val="●"/>
      <w:lvlJc w:val="left"/>
      <w:pPr>
        <w:ind w:left="2880" w:hanging="360"/>
      </w:pPr>
      <w:rPr>
        <w:u w:val="none"/>
      </w:rPr>
    </w:lvl>
    <w:lvl w:ilvl="4" w:tplc="8EAE277C">
      <w:start w:val="1"/>
      <w:numFmt w:val="bullet"/>
      <w:lvlText w:val="○"/>
      <w:lvlJc w:val="left"/>
      <w:pPr>
        <w:ind w:left="3600" w:hanging="360"/>
      </w:pPr>
      <w:rPr>
        <w:u w:val="none"/>
      </w:rPr>
    </w:lvl>
    <w:lvl w:ilvl="5" w:tplc="46883A0C">
      <w:start w:val="1"/>
      <w:numFmt w:val="bullet"/>
      <w:lvlText w:val="■"/>
      <w:lvlJc w:val="left"/>
      <w:pPr>
        <w:ind w:left="4320" w:hanging="360"/>
      </w:pPr>
      <w:rPr>
        <w:u w:val="none"/>
      </w:rPr>
    </w:lvl>
    <w:lvl w:ilvl="6" w:tplc="344E138C">
      <w:start w:val="1"/>
      <w:numFmt w:val="bullet"/>
      <w:lvlText w:val="●"/>
      <w:lvlJc w:val="left"/>
      <w:pPr>
        <w:ind w:left="5040" w:hanging="360"/>
      </w:pPr>
      <w:rPr>
        <w:u w:val="none"/>
      </w:rPr>
    </w:lvl>
    <w:lvl w:ilvl="7" w:tplc="2FD8C160">
      <w:start w:val="1"/>
      <w:numFmt w:val="bullet"/>
      <w:lvlText w:val="○"/>
      <w:lvlJc w:val="left"/>
      <w:pPr>
        <w:ind w:left="5760" w:hanging="360"/>
      </w:pPr>
      <w:rPr>
        <w:u w:val="none"/>
      </w:rPr>
    </w:lvl>
    <w:lvl w:ilvl="8" w:tplc="FC226FD2">
      <w:start w:val="1"/>
      <w:numFmt w:val="bullet"/>
      <w:lvlText w:val="■"/>
      <w:lvlJc w:val="left"/>
      <w:pPr>
        <w:ind w:left="6480" w:hanging="360"/>
      </w:pPr>
      <w:rPr>
        <w:u w:val="none"/>
      </w:rPr>
    </w:lvl>
  </w:abstractNum>
  <w:abstractNum w:abstractNumId="3" w15:restartNumberingAfterBreak="0">
    <w:nsid w:val="2F373C1A"/>
    <w:multiLevelType w:val="hybridMultilevel"/>
    <w:tmpl w:val="00000000"/>
    <w:lvl w:ilvl="0" w:tplc="444A4F18">
      <w:start w:val="1"/>
      <w:numFmt w:val="bullet"/>
      <w:lvlText w:val="●"/>
      <w:lvlJc w:val="left"/>
      <w:pPr>
        <w:ind w:left="720" w:hanging="360"/>
      </w:pPr>
      <w:rPr>
        <w:u w:val="none"/>
      </w:rPr>
    </w:lvl>
    <w:lvl w:ilvl="1" w:tplc="9DB0075A">
      <w:start w:val="1"/>
      <w:numFmt w:val="bullet"/>
      <w:lvlText w:val="○"/>
      <w:lvlJc w:val="left"/>
      <w:pPr>
        <w:ind w:left="1440" w:hanging="360"/>
      </w:pPr>
      <w:rPr>
        <w:u w:val="none"/>
      </w:rPr>
    </w:lvl>
    <w:lvl w:ilvl="2" w:tplc="6EF88776">
      <w:start w:val="1"/>
      <w:numFmt w:val="bullet"/>
      <w:lvlText w:val="■"/>
      <w:lvlJc w:val="left"/>
      <w:pPr>
        <w:ind w:left="2160" w:hanging="360"/>
      </w:pPr>
      <w:rPr>
        <w:u w:val="none"/>
      </w:rPr>
    </w:lvl>
    <w:lvl w:ilvl="3" w:tplc="306AA830">
      <w:start w:val="1"/>
      <w:numFmt w:val="bullet"/>
      <w:lvlText w:val="●"/>
      <w:lvlJc w:val="left"/>
      <w:pPr>
        <w:ind w:left="2880" w:hanging="360"/>
      </w:pPr>
      <w:rPr>
        <w:u w:val="none"/>
      </w:rPr>
    </w:lvl>
    <w:lvl w:ilvl="4" w:tplc="A2B6ABA6">
      <w:start w:val="1"/>
      <w:numFmt w:val="bullet"/>
      <w:lvlText w:val="○"/>
      <w:lvlJc w:val="left"/>
      <w:pPr>
        <w:ind w:left="3600" w:hanging="360"/>
      </w:pPr>
      <w:rPr>
        <w:u w:val="none"/>
      </w:rPr>
    </w:lvl>
    <w:lvl w:ilvl="5" w:tplc="68F02100">
      <w:start w:val="1"/>
      <w:numFmt w:val="bullet"/>
      <w:lvlText w:val="■"/>
      <w:lvlJc w:val="left"/>
      <w:pPr>
        <w:ind w:left="4320" w:hanging="360"/>
      </w:pPr>
      <w:rPr>
        <w:u w:val="none"/>
      </w:rPr>
    </w:lvl>
    <w:lvl w:ilvl="6" w:tplc="7D161B66">
      <w:start w:val="1"/>
      <w:numFmt w:val="bullet"/>
      <w:lvlText w:val="●"/>
      <w:lvlJc w:val="left"/>
      <w:pPr>
        <w:ind w:left="5040" w:hanging="360"/>
      </w:pPr>
      <w:rPr>
        <w:u w:val="none"/>
      </w:rPr>
    </w:lvl>
    <w:lvl w:ilvl="7" w:tplc="A2949E80">
      <w:start w:val="1"/>
      <w:numFmt w:val="bullet"/>
      <w:lvlText w:val="○"/>
      <w:lvlJc w:val="left"/>
      <w:pPr>
        <w:ind w:left="5760" w:hanging="360"/>
      </w:pPr>
      <w:rPr>
        <w:u w:val="none"/>
      </w:rPr>
    </w:lvl>
    <w:lvl w:ilvl="8" w:tplc="0A8E4336">
      <w:start w:val="1"/>
      <w:numFmt w:val="bullet"/>
      <w:lvlText w:val="■"/>
      <w:lvlJc w:val="left"/>
      <w:pPr>
        <w:ind w:left="6480" w:hanging="360"/>
      </w:pPr>
      <w:rPr>
        <w:u w:val="none"/>
      </w:rPr>
    </w:lvl>
  </w:abstractNum>
  <w:abstractNum w:abstractNumId="4" w15:restartNumberingAfterBreak="0">
    <w:nsid w:val="31088338"/>
    <w:multiLevelType w:val="hybridMultilevel"/>
    <w:tmpl w:val="00000000"/>
    <w:lvl w:ilvl="0" w:tplc="022471FC">
      <w:start w:val="1"/>
      <w:numFmt w:val="bullet"/>
      <w:lvlText w:val="●"/>
      <w:lvlJc w:val="left"/>
      <w:pPr>
        <w:ind w:left="720" w:hanging="360"/>
      </w:pPr>
      <w:rPr>
        <w:u w:val="none"/>
      </w:rPr>
    </w:lvl>
    <w:lvl w:ilvl="1" w:tplc="2A267BF4">
      <w:start w:val="1"/>
      <w:numFmt w:val="bullet"/>
      <w:lvlText w:val="○"/>
      <w:lvlJc w:val="left"/>
      <w:pPr>
        <w:ind w:left="1440" w:hanging="360"/>
      </w:pPr>
      <w:rPr>
        <w:u w:val="none"/>
      </w:rPr>
    </w:lvl>
    <w:lvl w:ilvl="2" w:tplc="9D30B93C">
      <w:start w:val="1"/>
      <w:numFmt w:val="bullet"/>
      <w:lvlText w:val="■"/>
      <w:lvlJc w:val="left"/>
      <w:pPr>
        <w:ind w:left="2160" w:hanging="360"/>
      </w:pPr>
      <w:rPr>
        <w:u w:val="none"/>
      </w:rPr>
    </w:lvl>
    <w:lvl w:ilvl="3" w:tplc="C33203B8">
      <w:start w:val="1"/>
      <w:numFmt w:val="bullet"/>
      <w:lvlText w:val="●"/>
      <w:lvlJc w:val="left"/>
      <w:pPr>
        <w:ind w:left="2880" w:hanging="360"/>
      </w:pPr>
      <w:rPr>
        <w:u w:val="none"/>
      </w:rPr>
    </w:lvl>
    <w:lvl w:ilvl="4" w:tplc="FABCB9D4">
      <w:start w:val="1"/>
      <w:numFmt w:val="bullet"/>
      <w:lvlText w:val="○"/>
      <w:lvlJc w:val="left"/>
      <w:pPr>
        <w:ind w:left="3600" w:hanging="360"/>
      </w:pPr>
      <w:rPr>
        <w:u w:val="none"/>
      </w:rPr>
    </w:lvl>
    <w:lvl w:ilvl="5" w:tplc="9D4E3078">
      <w:start w:val="1"/>
      <w:numFmt w:val="bullet"/>
      <w:lvlText w:val="■"/>
      <w:lvlJc w:val="left"/>
      <w:pPr>
        <w:ind w:left="4320" w:hanging="360"/>
      </w:pPr>
      <w:rPr>
        <w:u w:val="none"/>
      </w:rPr>
    </w:lvl>
    <w:lvl w:ilvl="6" w:tplc="F918BD8A">
      <w:start w:val="1"/>
      <w:numFmt w:val="bullet"/>
      <w:lvlText w:val="●"/>
      <w:lvlJc w:val="left"/>
      <w:pPr>
        <w:ind w:left="5040" w:hanging="360"/>
      </w:pPr>
      <w:rPr>
        <w:u w:val="none"/>
      </w:rPr>
    </w:lvl>
    <w:lvl w:ilvl="7" w:tplc="F9CA402C">
      <w:start w:val="1"/>
      <w:numFmt w:val="bullet"/>
      <w:lvlText w:val="○"/>
      <w:lvlJc w:val="left"/>
      <w:pPr>
        <w:ind w:left="5760" w:hanging="360"/>
      </w:pPr>
      <w:rPr>
        <w:u w:val="none"/>
      </w:rPr>
    </w:lvl>
    <w:lvl w:ilvl="8" w:tplc="63A419CA">
      <w:start w:val="1"/>
      <w:numFmt w:val="bullet"/>
      <w:lvlText w:val="■"/>
      <w:lvlJc w:val="left"/>
      <w:pPr>
        <w:ind w:left="6480" w:hanging="360"/>
      </w:pPr>
      <w:rPr>
        <w:u w:val="none"/>
      </w:rPr>
    </w:lvl>
  </w:abstractNum>
  <w:abstractNum w:abstractNumId="5" w15:restartNumberingAfterBreak="0">
    <w:nsid w:val="3F94425A"/>
    <w:multiLevelType w:val="hybridMultilevel"/>
    <w:tmpl w:val="00000000"/>
    <w:lvl w:ilvl="0" w:tplc="F7AE6548">
      <w:start w:val="1"/>
      <w:numFmt w:val="bullet"/>
      <w:lvlText w:val="●"/>
      <w:lvlJc w:val="left"/>
      <w:pPr>
        <w:ind w:left="720" w:hanging="360"/>
      </w:pPr>
      <w:rPr>
        <w:u w:val="none"/>
      </w:rPr>
    </w:lvl>
    <w:lvl w:ilvl="1" w:tplc="E286B758">
      <w:start w:val="1"/>
      <w:numFmt w:val="bullet"/>
      <w:lvlText w:val="○"/>
      <w:lvlJc w:val="left"/>
      <w:pPr>
        <w:ind w:left="1440" w:hanging="360"/>
      </w:pPr>
      <w:rPr>
        <w:u w:val="none"/>
      </w:rPr>
    </w:lvl>
    <w:lvl w:ilvl="2" w:tplc="37B0B532">
      <w:start w:val="1"/>
      <w:numFmt w:val="bullet"/>
      <w:lvlText w:val="■"/>
      <w:lvlJc w:val="left"/>
      <w:pPr>
        <w:ind w:left="2160" w:hanging="360"/>
      </w:pPr>
      <w:rPr>
        <w:u w:val="none"/>
      </w:rPr>
    </w:lvl>
    <w:lvl w:ilvl="3" w:tplc="F6DCF8AA">
      <w:start w:val="1"/>
      <w:numFmt w:val="bullet"/>
      <w:lvlText w:val="●"/>
      <w:lvlJc w:val="left"/>
      <w:pPr>
        <w:ind w:left="2880" w:hanging="360"/>
      </w:pPr>
      <w:rPr>
        <w:u w:val="none"/>
      </w:rPr>
    </w:lvl>
    <w:lvl w:ilvl="4" w:tplc="1CE843D4">
      <w:start w:val="1"/>
      <w:numFmt w:val="bullet"/>
      <w:lvlText w:val="○"/>
      <w:lvlJc w:val="left"/>
      <w:pPr>
        <w:ind w:left="3600" w:hanging="360"/>
      </w:pPr>
      <w:rPr>
        <w:u w:val="none"/>
      </w:rPr>
    </w:lvl>
    <w:lvl w:ilvl="5" w:tplc="6680B5F2">
      <w:start w:val="1"/>
      <w:numFmt w:val="bullet"/>
      <w:lvlText w:val="■"/>
      <w:lvlJc w:val="left"/>
      <w:pPr>
        <w:ind w:left="4320" w:hanging="360"/>
      </w:pPr>
      <w:rPr>
        <w:u w:val="none"/>
      </w:rPr>
    </w:lvl>
    <w:lvl w:ilvl="6" w:tplc="B5D67D78">
      <w:start w:val="1"/>
      <w:numFmt w:val="bullet"/>
      <w:lvlText w:val="●"/>
      <w:lvlJc w:val="left"/>
      <w:pPr>
        <w:ind w:left="5040" w:hanging="360"/>
      </w:pPr>
      <w:rPr>
        <w:u w:val="none"/>
      </w:rPr>
    </w:lvl>
    <w:lvl w:ilvl="7" w:tplc="E6C8427C">
      <w:start w:val="1"/>
      <w:numFmt w:val="bullet"/>
      <w:lvlText w:val="○"/>
      <w:lvlJc w:val="left"/>
      <w:pPr>
        <w:ind w:left="5760" w:hanging="360"/>
      </w:pPr>
      <w:rPr>
        <w:u w:val="none"/>
      </w:rPr>
    </w:lvl>
    <w:lvl w:ilvl="8" w:tplc="D92E66C4">
      <w:start w:val="1"/>
      <w:numFmt w:val="bullet"/>
      <w:lvlText w:val="■"/>
      <w:lvlJc w:val="left"/>
      <w:pPr>
        <w:ind w:left="6480" w:hanging="360"/>
      </w:pPr>
      <w:rPr>
        <w:u w:val="none"/>
      </w:rPr>
    </w:lvl>
  </w:abstractNum>
  <w:abstractNum w:abstractNumId="6" w15:restartNumberingAfterBreak="0">
    <w:nsid w:val="4B533724"/>
    <w:multiLevelType w:val="hybridMultilevel"/>
    <w:tmpl w:val="00000000"/>
    <w:lvl w:ilvl="0" w:tplc="79AAEDBA">
      <w:start w:val="1"/>
      <w:numFmt w:val="bullet"/>
      <w:lvlText w:val="●"/>
      <w:lvlJc w:val="left"/>
      <w:pPr>
        <w:ind w:left="720" w:hanging="360"/>
      </w:pPr>
      <w:rPr>
        <w:u w:val="none"/>
      </w:rPr>
    </w:lvl>
    <w:lvl w:ilvl="1" w:tplc="AA62056A">
      <w:start w:val="1"/>
      <w:numFmt w:val="bullet"/>
      <w:lvlText w:val="○"/>
      <w:lvlJc w:val="left"/>
      <w:pPr>
        <w:ind w:left="1440" w:hanging="360"/>
      </w:pPr>
      <w:rPr>
        <w:u w:val="none"/>
      </w:rPr>
    </w:lvl>
    <w:lvl w:ilvl="2" w:tplc="22AECAD4">
      <w:start w:val="1"/>
      <w:numFmt w:val="bullet"/>
      <w:lvlText w:val="■"/>
      <w:lvlJc w:val="left"/>
      <w:pPr>
        <w:ind w:left="2160" w:hanging="360"/>
      </w:pPr>
      <w:rPr>
        <w:u w:val="none"/>
      </w:rPr>
    </w:lvl>
    <w:lvl w:ilvl="3" w:tplc="CC9634FE">
      <w:start w:val="1"/>
      <w:numFmt w:val="bullet"/>
      <w:lvlText w:val="●"/>
      <w:lvlJc w:val="left"/>
      <w:pPr>
        <w:ind w:left="2880" w:hanging="360"/>
      </w:pPr>
      <w:rPr>
        <w:u w:val="none"/>
      </w:rPr>
    </w:lvl>
    <w:lvl w:ilvl="4" w:tplc="3E908E6A">
      <w:start w:val="1"/>
      <w:numFmt w:val="bullet"/>
      <w:lvlText w:val="○"/>
      <w:lvlJc w:val="left"/>
      <w:pPr>
        <w:ind w:left="3600" w:hanging="360"/>
      </w:pPr>
      <w:rPr>
        <w:u w:val="none"/>
      </w:rPr>
    </w:lvl>
    <w:lvl w:ilvl="5" w:tplc="21644EA6">
      <w:start w:val="1"/>
      <w:numFmt w:val="bullet"/>
      <w:lvlText w:val="■"/>
      <w:lvlJc w:val="left"/>
      <w:pPr>
        <w:ind w:left="4320" w:hanging="360"/>
      </w:pPr>
      <w:rPr>
        <w:u w:val="none"/>
      </w:rPr>
    </w:lvl>
    <w:lvl w:ilvl="6" w:tplc="9976D1F4">
      <w:start w:val="1"/>
      <w:numFmt w:val="bullet"/>
      <w:lvlText w:val="●"/>
      <w:lvlJc w:val="left"/>
      <w:pPr>
        <w:ind w:left="5040" w:hanging="360"/>
      </w:pPr>
      <w:rPr>
        <w:u w:val="none"/>
      </w:rPr>
    </w:lvl>
    <w:lvl w:ilvl="7" w:tplc="2C123AB2">
      <w:start w:val="1"/>
      <w:numFmt w:val="bullet"/>
      <w:lvlText w:val="○"/>
      <w:lvlJc w:val="left"/>
      <w:pPr>
        <w:ind w:left="5760" w:hanging="360"/>
      </w:pPr>
      <w:rPr>
        <w:u w:val="none"/>
      </w:rPr>
    </w:lvl>
    <w:lvl w:ilvl="8" w:tplc="133C2B50">
      <w:start w:val="1"/>
      <w:numFmt w:val="bullet"/>
      <w:lvlText w:val="■"/>
      <w:lvlJc w:val="left"/>
      <w:pPr>
        <w:ind w:left="6480" w:hanging="360"/>
      </w:pPr>
      <w:rPr>
        <w:u w:val="none"/>
      </w:rPr>
    </w:lvl>
  </w:abstractNum>
  <w:abstractNum w:abstractNumId="7" w15:restartNumberingAfterBreak="0">
    <w:nsid w:val="55EC7363"/>
    <w:multiLevelType w:val="hybridMultilevel"/>
    <w:tmpl w:val="00000000"/>
    <w:lvl w:ilvl="0" w:tplc="3D86894E">
      <w:start w:val="1"/>
      <w:numFmt w:val="bullet"/>
      <w:lvlText w:val="●"/>
      <w:lvlJc w:val="left"/>
      <w:pPr>
        <w:ind w:left="720" w:hanging="360"/>
      </w:pPr>
      <w:rPr>
        <w:u w:val="none"/>
      </w:rPr>
    </w:lvl>
    <w:lvl w:ilvl="1" w:tplc="DF904FB0">
      <w:start w:val="1"/>
      <w:numFmt w:val="bullet"/>
      <w:lvlText w:val="○"/>
      <w:lvlJc w:val="left"/>
      <w:pPr>
        <w:ind w:left="1440" w:hanging="360"/>
      </w:pPr>
      <w:rPr>
        <w:u w:val="none"/>
      </w:rPr>
    </w:lvl>
    <w:lvl w:ilvl="2" w:tplc="633C8534">
      <w:start w:val="1"/>
      <w:numFmt w:val="bullet"/>
      <w:lvlText w:val="■"/>
      <w:lvlJc w:val="left"/>
      <w:pPr>
        <w:ind w:left="2160" w:hanging="360"/>
      </w:pPr>
      <w:rPr>
        <w:u w:val="none"/>
      </w:rPr>
    </w:lvl>
    <w:lvl w:ilvl="3" w:tplc="B72EF076">
      <w:start w:val="1"/>
      <w:numFmt w:val="bullet"/>
      <w:lvlText w:val="●"/>
      <w:lvlJc w:val="left"/>
      <w:pPr>
        <w:ind w:left="2880" w:hanging="360"/>
      </w:pPr>
      <w:rPr>
        <w:u w:val="none"/>
      </w:rPr>
    </w:lvl>
    <w:lvl w:ilvl="4" w:tplc="738082E0">
      <w:start w:val="1"/>
      <w:numFmt w:val="bullet"/>
      <w:lvlText w:val="○"/>
      <w:lvlJc w:val="left"/>
      <w:pPr>
        <w:ind w:left="3600" w:hanging="360"/>
      </w:pPr>
      <w:rPr>
        <w:u w:val="none"/>
      </w:rPr>
    </w:lvl>
    <w:lvl w:ilvl="5" w:tplc="30021712">
      <w:start w:val="1"/>
      <w:numFmt w:val="bullet"/>
      <w:lvlText w:val="■"/>
      <w:lvlJc w:val="left"/>
      <w:pPr>
        <w:ind w:left="4320" w:hanging="360"/>
      </w:pPr>
      <w:rPr>
        <w:u w:val="none"/>
      </w:rPr>
    </w:lvl>
    <w:lvl w:ilvl="6" w:tplc="61E62740">
      <w:start w:val="1"/>
      <w:numFmt w:val="bullet"/>
      <w:lvlText w:val="●"/>
      <w:lvlJc w:val="left"/>
      <w:pPr>
        <w:ind w:left="5040" w:hanging="360"/>
      </w:pPr>
      <w:rPr>
        <w:u w:val="none"/>
      </w:rPr>
    </w:lvl>
    <w:lvl w:ilvl="7" w:tplc="392A766C">
      <w:start w:val="1"/>
      <w:numFmt w:val="bullet"/>
      <w:lvlText w:val="○"/>
      <w:lvlJc w:val="left"/>
      <w:pPr>
        <w:ind w:left="5760" w:hanging="360"/>
      </w:pPr>
      <w:rPr>
        <w:u w:val="none"/>
      </w:rPr>
    </w:lvl>
    <w:lvl w:ilvl="8" w:tplc="B1C43FAC">
      <w:start w:val="1"/>
      <w:numFmt w:val="bullet"/>
      <w:lvlText w:val="■"/>
      <w:lvlJc w:val="left"/>
      <w:pPr>
        <w:ind w:left="6480" w:hanging="360"/>
      </w:pPr>
      <w:rPr>
        <w:u w:val="none"/>
      </w:rPr>
    </w:lvl>
  </w:abstractNum>
  <w:abstractNum w:abstractNumId="8" w15:restartNumberingAfterBreak="0">
    <w:nsid w:val="5EFEE66F"/>
    <w:multiLevelType w:val="hybridMultilevel"/>
    <w:tmpl w:val="00000000"/>
    <w:lvl w:ilvl="0" w:tplc="5B843E08">
      <w:start w:val="1"/>
      <w:numFmt w:val="bullet"/>
      <w:lvlText w:val="●"/>
      <w:lvlJc w:val="left"/>
      <w:pPr>
        <w:ind w:left="720" w:hanging="360"/>
      </w:pPr>
      <w:rPr>
        <w:u w:val="none"/>
      </w:rPr>
    </w:lvl>
    <w:lvl w:ilvl="1" w:tplc="04D6CDA6">
      <w:start w:val="1"/>
      <w:numFmt w:val="bullet"/>
      <w:lvlText w:val="○"/>
      <w:lvlJc w:val="left"/>
      <w:pPr>
        <w:ind w:left="1440" w:hanging="360"/>
      </w:pPr>
      <w:rPr>
        <w:u w:val="none"/>
      </w:rPr>
    </w:lvl>
    <w:lvl w:ilvl="2" w:tplc="F1B407EC">
      <w:start w:val="1"/>
      <w:numFmt w:val="bullet"/>
      <w:lvlText w:val="■"/>
      <w:lvlJc w:val="left"/>
      <w:pPr>
        <w:ind w:left="2160" w:hanging="360"/>
      </w:pPr>
      <w:rPr>
        <w:u w:val="none"/>
      </w:rPr>
    </w:lvl>
    <w:lvl w:ilvl="3" w:tplc="5AE22836">
      <w:start w:val="1"/>
      <w:numFmt w:val="bullet"/>
      <w:lvlText w:val="●"/>
      <w:lvlJc w:val="left"/>
      <w:pPr>
        <w:ind w:left="2880" w:hanging="360"/>
      </w:pPr>
      <w:rPr>
        <w:u w:val="none"/>
      </w:rPr>
    </w:lvl>
    <w:lvl w:ilvl="4" w:tplc="F504640A">
      <w:start w:val="1"/>
      <w:numFmt w:val="bullet"/>
      <w:lvlText w:val="○"/>
      <w:lvlJc w:val="left"/>
      <w:pPr>
        <w:ind w:left="3600" w:hanging="360"/>
      </w:pPr>
      <w:rPr>
        <w:u w:val="none"/>
      </w:rPr>
    </w:lvl>
    <w:lvl w:ilvl="5" w:tplc="400A1676">
      <w:start w:val="1"/>
      <w:numFmt w:val="bullet"/>
      <w:lvlText w:val="■"/>
      <w:lvlJc w:val="left"/>
      <w:pPr>
        <w:ind w:left="4320" w:hanging="360"/>
      </w:pPr>
      <w:rPr>
        <w:u w:val="none"/>
      </w:rPr>
    </w:lvl>
    <w:lvl w:ilvl="6" w:tplc="2E642964">
      <w:start w:val="1"/>
      <w:numFmt w:val="bullet"/>
      <w:lvlText w:val="●"/>
      <w:lvlJc w:val="left"/>
      <w:pPr>
        <w:ind w:left="5040" w:hanging="360"/>
      </w:pPr>
      <w:rPr>
        <w:u w:val="none"/>
      </w:rPr>
    </w:lvl>
    <w:lvl w:ilvl="7" w:tplc="48BCC236">
      <w:start w:val="1"/>
      <w:numFmt w:val="bullet"/>
      <w:lvlText w:val="○"/>
      <w:lvlJc w:val="left"/>
      <w:pPr>
        <w:ind w:left="5760" w:hanging="360"/>
      </w:pPr>
      <w:rPr>
        <w:u w:val="none"/>
      </w:rPr>
    </w:lvl>
    <w:lvl w:ilvl="8" w:tplc="42868ECA">
      <w:start w:val="1"/>
      <w:numFmt w:val="bullet"/>
      <w:lvlText w:val="■"/>
      <w:lvlJc w:val="left"/>
      <w:pPr>
        <w:ind w:left="6480" w:hanging="360"/>
      </w:pPr>
      <w:rPr>
        <w:u w:val="none"/>
      </w:rPr>
    </w:lvl>
  </w:abstractNum>
  <w:abstractNum w:abstractNumId="9" w15:restartNumberingAfterBreak="0">
    <w:nsid w:val="639930AC"/>
    <w:multiLevelType w:val="hybridMultilevel"/>
    <w:tmpl w:val="00000000"/>
    <w:lvl w:ilvl="0" w:tplc="05026A0C">
      <w:start w:val="1"/>
      <w:numFmt w:val="bullet"/>
      <w:lvlText w:val="●"/>
      <w:lvlJc w:val="left"/>
      <w:pPr>
        <w:ind w:left="720" w:hanging="360"/>
      </w:pPr>
      <w:rPr>
        <w:u w:val="none"/>
      </w:rPr>
    </w:lvl>
    <w:lvl w:ilvl="1" w:tplc="A9A6C206">
      <w:start w:val="1"/>
      <w:numFmt w:val="bullet"/>
      <w:lvlText w:val="○"/>
      <w:lvlJc w:val="left"/>
      <w:pPr>
        <w:ind w:left="1440" w:hanging="360"/>
      </w:pPr>
      <w:rPr>
        <w:u w:val="none"/>
      </w:rPr>
    </w:lvl>
    <w:lvl w:ilvl="2" w:tplc="FFDE7B08">
      <w:start w:val="1"/>
      <w:numFmt w:val="bullet"/>
      <w:lvlText w:val="■"/>
      <w:lvlJc w:val="left"/>
      <w:pPr>
        <w:ind w:left="2160" w:hanging="360"/>
      </w:pPr>
      <w:rPr>
        <w:u w:val="none"/>
      </w:rPr>
    </w:lvl>
    <w:lvl w:ilvl="3" w:tplc="432C8598">
      <w:start w:val="1"/>
      <w:numFmt w:val="bullet"/>
      <w:lvlText w:val="●"/>
      <w:lvlJc w:val="left"/>
      <w:pPr>
        <w:ind w:left="2880" w:hanging="360"/>
      </w:pPr>
      <w:rPr>
        <w:u w:val="none"/>
      </w:rPr>
    </w:lvl>
    <w:lvl w:ilvl="4" w:tplc="8D0C905A">
      <w:start w:val="1"/>
      <w:numFmt w:val="bullet"/>
      <w:lvlText w:val="○"/>
      <w:lvlJc w:val="left"/>
      <w:pPr>
        <w:ind w:left="3600" w:hanging="360"/>
      </w:pPr>
      <w:rPr>
        <w:u w:val="none"/>
      </w:rPr>
    </w:lvl>
    <w:lvl w:ilvl="5" w:tplc="4AA8A1AA">
      <w:start w:val="1"/>
      <w:numFmt w:val="bullet"/>
      <w:lvlText w:val="■"/>
      <w:lvlJc w:val="left"/>
      <w:pPr>
        <w:ind w:left="4320" w:hanging="360"/>
      </w:pPr>
      <w:rPr>
        <w:u w:val="none"/>
      </w:rPr>
    </w:lvl>
    <w:lvl w:ilvl="6" w:tplc="6C405F86">
      <w:start w:val="1"/>
      <w:numFmt w:val="bullet"/>
      <w:lvlText w:val="●"/>
      <w:lvlJc w:val="left"/>
      <w:pPr>
        <w:ind w:left="5040" w:hanging="360"/>
      </w:pPr>
      <w:rPr>
        <w:u w:val="none"/>
      </w:rPr>
    </w:lvl>
    <w:lvl w:ilvl="7" w:tplc="035C1AB0">
      <w:start w:val="1"/>
      <w:numFmt w:val="bullet"/>
      <w:lvlText w:val="○"/>
      <w:lvlJc w:val="left"/>
      <w:pPr>
        <w:ind w:left="5760" w:hanging="360"/>
      </w:pPr>
      <w:rPr>
        <w:u w:val="none"/>
      </w:rPr>
    </w:lvl>
    <w:lvl w:ilvl="8" w:tplc="1308790E">
      <w:start w:val="1"/>
      <w:numFmt w:val="bullet"/>
      <w:lvlText w:val="■"/>
      <w:lvlJc w:val="left"/>
      <w:pPr>
        <w:ind w:left="6480" w:hanging="360"/>
      </w:pPr>
      <w:rPr>
        <w:u w:val="none"/>
      </w:rPr>
    </w:lvl>
  </w:abstractNum>
  <w:num w:numId="1">
    <w:abstractNumId w:val="0"/>
  </w:num>
  <w:num w:numId="2">
    <w:abstractNumId w:val="5"/>
  </w:num>
  <w:num w:numId="3">
    <w:abstractNumId w:val="6"/>
  </w:num>
  <w:num w:numId="4">
    <w:abstractNumId w:val="8"/>
  </w:num>
  <w:num w:numId="5">
    <w:abstractNumId w:val="1"/>
  </w:num>
  <w:num w:numId="6">
    <w:abstractNumId w:val="4"/>
  </w:num>
  <w:num w:numId="7">
    <w:abstractNumId w:val="2"/>
  </w:num>
  <w:num w:numId="8">
    <w:abstractNumId w:val="9"/>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3D7B"/>
    <w:rsid w:val="0001684C"/>
    <w:rsid w:val="00026A96"/>
    <w:rsid w:val="00060EE8"/>
    <w:rsid w:val="000C3794"/>
    <w:rsid w:val="000E4DB4"/>
    <w:rsid w:val="001F040C"/>
    <w:rsid w:val="002375F8"/>
    <w:rsid w:val="00336DD0"/>
    <w:rsid w:val="003C136F"/>
    <w:rsid w:val="003C4673"/>
    <w:rsid w:val="00573D7B"/>
    <w:rsid w:val="005C6AA2"/>
    <w:rsid w:val="005F1F70"/>
    <w:rsid w:val="007E686D"/>
    <w:rsid w:val="00831CCE"/>
    <w:rsid w:val="00853C8A"/>
    <w:rsid w:val="0085700A"/>
    <w:rsid w:val="0086184E"/>
    <w:rsid w:val="00971035"/>
    <w:rsid w:val="00986B5A"/>
    <w:rsid w:val="00AC577B"/>
    <w:rsid w:val="00B46661"/>
    <w:rsid w:val="00BD47A6"/>
    <w:rsid w:val="00D42D84"/>
    <w:rsid w:val="00D637B2"/>
    <w:rsid w:val="00EC1923"/>
    <w:rsid w:val="00F354F3"/>
    <w:rsid w:val="00F53C36"/>
    <w:rsid w:val="00FE36E6"/>
    <w:rsid w:val="00FE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BE3C68"/>
  <w15:docId w15:val="{DA02CC47-EC4F-4129-AF6B-B1D81ED1D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autoRedefine/>
    <w:rsid w:val="00FE799C"/>
    <w:pPr>
      <w:keepNext/>
      <w:keepLines/>
      <w:spacing w:before="16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autoRedefine/>
    <w:rsid w:val="00F354F3"/>
    <w:pPr>
      <w:keepNext/>
      <w:keepLines/>
      <w:spacing w:before="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C467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4673"/>
    <w:rPr>
      <w:rFonts w:ascii="Segoe UI" w:hAnsi="Segoe UI" w:cs="Segoe UI"/>
      <w:sz w:val="18"/>
      <w:szCs w:val="18"/>
    </w:rPr>
  </w:style>
  <w:style w:type="paragraph" w:styleId="Header">
    <w:name w:val="header"/>
    <w:basedOn w:val="Normal"/>
    <w:link w:val="HeaderChar"/>
    <w:uiPriority w:val="99"/>
    <w:unhideWhenUsed/>
    <w:rsid w:val="00EC1923"/>
    <w:pPr>
      <w:tabs>
        <w:tab w:val="center" w:pos="4513"/>
        <w:tab w:val="right" w:pos="9026"/>
      </w:tabs>
      <w:spacing w:line="240" w:lineRule="auto"/>
    </w:pPr>
  </w:style>
  <w:style w:type="character" w:customStyle="1" w:styleId="HeaderChar">
    <w:name w:val="Header Char"/>
    <w:basedOn w:val="DefaultParagraphFont"/>
    <w:link w:val="Header"/>
    <w:uiPriority w:val="99"/>
    <w:rsid w:val="00EC1923"/>
  </w:style>
  <w:style w:type="paragraph" w:styleId="Footer">
    <w:name w:val="footer"/>
    <w:basedOn w:val="Normal"/>
    <w:link w:val="FooterChar"/>
    <w:uiPriority w:val="99"/>
    <w:unhideWhenUsed/>
    <w:rsid w:val="00EC1923"/>
    <w:pPr>
      <w:tabs>
        <w:tab w:val="center" w:pos="4513"/>
        <w:tab w:val="right" w:pos="9026"/>
      </w:tabs>
      <w:spacing w:line="240" w:lineRule="auto"/>
    </w:pPr>
  </w:style>
  <w:style w:type="character" w:customStyle="1" w:styleId="FooterChar">
    <w:name w:val="Footer Char"/>
    <w:basedOn w:val="DefaultParagraphFont"/>
    <w:link w:val="Footer"/>
    <w:uiPriority w:val="99"/>
    <w:rsid w:val="00EC1923"/>
  </w:style>
  <w:style w:type="paragraph" w:styleId="TOCHeading">
    <w:name w:val="TOC Heading"/>
    <w:basedOn w:val="Heading1"/>
    <w:next w:val="Normal"/>
    <w:uiPriority w:val="39"/>
    <w:unhideWhenUsed/>
    <w:qFormat/>
    <w:rsid w:val="000C3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C3794"/>
    <w:pPr>
      <w:spacing w:after="100"/>
    </w:pPr>
  </w:style>
  <w:style w:type="paragraph" w:styleId="TOC2">
    <w:name w:val="toc 2"/>
    <w:basedOn w:val="Normal"/>
    <w:next w:val="Normal"/>
    <w:autoRedefine/>
    <w:uiPriority w:val="39"/>
    <w:unhideWhenUsed/>
    <w:rsid w:val="000C3794"/>
    <w:pPr>
      <w:spacing w:after="100"/>
      <w:ind w:left="220"/>
    </w:pPr>
  </w:style>
  <w:style w:type="character" w:styleId="Hyperlink">
    <w:name w:val="Hyperlink"/>
    <w:basedOn w:val="DefaultParagraphFont"/>
    <w:uiPriority w:val="99"/>
    <w:unhideWhenUsed/>
    <w:rsid w:val="000C37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jcsrr.org/wp-content/uploads/2022/01/09-07-2022.pdf" TargetMode="External"/><Relationship Id="rId18" Type="http://schemas.openxmlformats.org/officeDocument/2006/relationships/hyperlink" Target="https://digitalcommons.law.villanova.edu/cgi/viewcontent.cgi?article=1460&amp;context=elj"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dpi.com/1996-1073/12/5/791/pdf" TargetMode="External"/><Relationship Id="rId7" Type="http://schemas.openxmlformats.org/officeDocument/2006/relationships/endnotes" Target="endnotes.xml"/><Relationship Id="rId12" Type="http://schemas.openxmlformats.org/officeDocument/2006/relationships/hyperlink" Target="https://eprints.keele.ac.uk/id/eprint/9050/1/Ball_2020_Paper2_Energy_Transition_Macro_Trends_AcceptedPaper.pdf" TargetMode="External"/><Relationship Id="rId17" Type="http://schemas.openxmlformats.org/officeDocument/2006/relationships/hyperlink" Target="https://uis.brage.unit.no/uis-xmlui/bitstream/handle/11250/2619839/Lyse_Christian.pdf?sequence=1"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atlantis-press.com/article/125983771.pdf" TargetMode="External"/><Relationship Id="rId20" Type="http://schemas.openxmlformats.org/officeDocument/2006/relationships/hyperlink" Target="https://www.researchgate.net/profile/Younes-Noorollahi/publication/343342402_Toward_comprehensive_zero_energy_building_definitions_a_literature_review_and_recommendations/links/5f2c01e8458515b729072ce1/Toward-comprehensive-zero-energy-building-definitions-a-literature-review-and-recommendation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del-Necib/publication/366952870_The_Impact_of_Corporate_Social_Responsibility_on_Financial_Performance_The_Case_of_United_Kingdom's_Companies/links/63ba762d097c7832ca9cecc1/The-Impact-of-Corporate-Social-Responsibility-on-Financial-Performance-The-Case-of-United-Kingdoms-Companies.pdf"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portal.belesparadisecollege.edu.et:8080/library/bitstream/123456789/1761/1/26.strategic-management-hill-melson.pdf"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odr.chalmers.se/bitstreams/6de25d5e-c003-432c-901a-40246f261117/downloa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1996-1073/13/8/1940/pdf" TargetMode="External"/><Relationship Id="rId22" Type="http://schemas.openxmlformats.org/officeDocument/2006/relationships/hyperlink" Target="https://www.mdpi.com/2071-1050/12/23/9807/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A944D-927C-494A-BE7B-2B6735507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19</Pages>
  <Words>3843</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30</cp:revision>
  <dcterms:created xsi:type="dcterms:W3CDTF">2023-11-24T10:19:00Z</dcterms:created>
  <dcterms:modified xsi:type="dcterms:W3CDTF">2023-12-19T10:56:00Z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939417d758d4739d02997a604da6f14ad932ab76d5c4ea4a482f5d4b463043da</vt:lpwstr>
  </property>
</Properties>
</file>