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F49861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20E3B">
              <w:rPr>
                <w:rFonts w:ascii="Times New Roman" w:hAnsi="Times New Roman" w:cs="Times New Roman"/>
                <w:b/>
                <w:color w:val="auto"/>
                <w:sz w:val="48"/>
              </w:rPr>
              <w:t>Lloyd Pugh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78B771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20E3B">
              <w:rPr>
                <w:rFonts w:ascii="Times New Roman" w:hAnsi="Times New Roman" w:cs="Times New Roman"/>
                <w:b/>
                <w:color w:val="auto"/>
                <w:sz w:val="48"/>
              </w:rPr>
              <w:t xml:space="preserve"> lloyd.pugh@powys.gov.uk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89FC2C4" w:rsidR="0085230E" w:rsidRDefault="008B6D14" w:rsidP="005D3F07">
            <w:pPr>
              <w:overflowPunct/>
              <w:autoSpaceDE/>
              <w:autoSpaceDN/>
              <w:adjustRightInd/>
              <w:ind w:right="-957"/>
              <w:textAlignment w:val="auto"/>
              <w:rPr>
                <w:rFonts w:ascii="Times New Roman" w:hAnsi="Times New Roman" w:cs="Times New Roman"/>
                <w:b/>
                <w:color w:val="auto"/>
                <w:sz w:val="48"/>
              </w:rPr>
            </w:pPr>
            <w:r w:rsidRPr="008B6D14">
              <w:rPr>
                <w:rFonts w:ascii="Times New Roman" w:hAnsi="Times New Roman" w:cs="Times New Roman"/>
                <w:b/>
                <w:color w:val="auto"/>
                <w:sz w:val="48"/>
              </w:rPr>
              <w:t>2417951</w:t>
            </w:r>
          </w:p>
          <w:p w14:paraId="0E6CBA3D" w14:textId="77777777" w:rsidR="002D68A7" w:rsidRPr="005D3F07" w:rsidRDefault="002D68A7"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6D14" w14:paraId="2E129DEE" w14:textId="77777777" w:rsidTr="7B2CF1A9">
        <w:tc>
          <w:tcPr>
            <w:tcW w:w="10031" w:type="dxa"/>
          </w:tcPr>
          <w:p w14:paraId="63627B26" w14:textId="64A7A177" w:rsidR="006872A0" w:rsidRPr="008B6D14" w:rsidRDefault="006872A0" w:rsidP="00064063">
            <w:pPr>
              <w:jc w:val="both"/>
              <w:rPr>
                <w:rFonts w:asciiTheme="minorHAnsi" w:hAnsiTheme="minorHAnsi" w:cstheme="minorHAnsi"/>
                <w:b/>
                <w:sz w:val="24"/>
                <w:szCs w:val="24"/>
              </w:rPr>
            </w:pPr>
            <w:r w:rsidRPr="008B6D14">
              <w:rPr>
                <w:rFonts w:asciiTheme="minorHAnsi" w:hAnsiTheme="minorHAnsi" w:cstheme="minorHAnsi"/>
                <w:b/>
                <w:sz w:val="24"/>
                <w:szCs w:val="24"/>
              </w:rPr>
              <w:t>Question</w:t>
            </w:r>
            <w:r w:rsidR="007A628F" w:rsidRPr="008B6D14">
              <w:rPr>
                <w:rFonts w:asciiTheme="minorHAnsi" w:hAnsiTheme="minorHAnsi" w:cstheme="minorHAnsi"/>
                <w:b/>
                <w:sz w:val="24"/>
                <w:szCs w:val="24"/>
              </w:rPr>
              <w:t>:</w:t>
            </w:r>
          </w:p>
          <w:p w14:paraId="541B485B" w14:textId="4CB44B06" w:rsidR="00C77FA5" w:rsidRPr="008B6D14" w:rsidRDefault="000A584A">
            <w:pPr>
              <w:jc w:val="both"/>
              <w:rPr>
                <w:rFonts w:asciiTheme="minorHAnsi" w:hAnsiTheme="minorHAnsi" w:cstheme="minorHAnsi"/>
                <w:sz w:val="24"/>
                <w:szCs w:val="24"/>
              </w:rPr>
            </w:pPr>
            <w:r w:rsidRPr="008B6D14">
              <w:rPr>
                <w:rFonts w:asciiTheme="minorHAnsi" w:hAnsiTheme="minorHAnsi" w:cstheme="minorHAnsi"/>
                <w:sz w:val="24"/>
                <w:szCs w:val="24"/>
              </w:rPr>
              <w:t xml:space="preserve">Complete a critically reflective case study </w:t>
            </w:r>
            <w:r w:rsidR="00D0503D" w:rsidRPr="008B6D14">
              <w:rPr>
                <w:rFonts w:asciiTheme="minorHAnsi" w:hAnsiTheme="minorHAnsi" w:cstheme="minorHAnsi"/>
                <w:sz w:val="24"/>
                <w:szCs w:val="24"/>
              </w:rPr>
              <w:t>based</w:t>
            </w:r>
            <w:r w:rsidRPr="008B6D14">
              <w:rPr>
                <w:rFonts w:asciiTheme="minorHAnsi" w:hAnsiTheme="minorHAnsi" w:cstheme="minorHAnsi"/>
                <w:sz w:val="24"/>
                <w:szCs w:val="24"/>
              </w:rPr>
              <w:t xml:space="preserve"> on</w:t>
            </w:r>
            <w:r w:rsidR="00696A88" w:rsidRPr="008B6D14">
              <w:rPr>
                <w:rFonts w:asciiTheme="minorHAnsi" w:hAnsiTheme="minorHAnsi" w:cstheme="minorHAnsi"/>
                <w:sz w:val="24"/>
                <w:szCs w:val="24"/>
              </w:rPr>
              <w:t xml:space="preserve"> </w:t>
            </w:r>
            <w:r w:rsidR="00411EF7" w:rsidRPr="008B6D14">
              <w:rPr>
                <w:rFonts w:asciiTheme="minorHAnsi" w:hAnsiTheme="minorHAnsi" w:cstheme="minorHAnsi"/>
                <w:sz w:val="24"/>
                <w:szCs w:val="24"/>
              </w:rPr>
              <w:t>an assessment</w:t>
            </w:r>
            <w:r w:rsidR="007F312E" w:rsidRPr="008B6D14">
              <w:rPr>
                <w:rFonts w:asciiTheme="minorHAnsi" w:hAnsiTheme="minorHAnsi" w:cstheme="minorHAnsi"/>
                <w:sz w:val="24"/>
                <w:szCs w:val="24"/>
              </w:rPr>
              <w:t xml:space="preserve"> </w:t>
            </w:r>
            <w:r w:rsidR="007C5ABE" w:rsidRPr="008B6D14">
              <w:rPr>
                <w:rFonts w:asciiTheme="minorHAnsi" w:hAnsiTheme="minorHAnsi" w:cstheme="minorHAnsi"/>
                <w:sz w:val="24"/>
                <w:szCs w:val="24"/>
              </w:rPr>
              <w:t xml:space="preserve">that you have </w:t>
            </w:r>
            <w:r w:rsidRPr="008B6D14">
              <w:rPr>
                <w:rFonts w:asciiTheme="minorHAnsi" w:hAnsiTheme="minorHAnsi" w:cstheme="minorHAnsi"/>
                <w:sz w:val="24"/>
                <w:szCs w:val="24"/>
              </w:rPr>
              <w:t xml:space="preserve">undertaken with </w:t>
            </w:r>
            <w:r w:rsidR="00D0503D" w:rsidRPr="008B6D14">
              <w:rPr>
                <w:rFonts w:asciiTheme="minorHAnsi" w:hAnsiTheme="minorHAnsi" w:cstheme="minorHAnsi"/>
                <w:sz w:val="24"/>
                <w:szCs w:val="24"/>
              </w:rPr>
              <w:t>others,</w:t>
            </w:r>
            <w:r w:rsidR="00D0503D" w:rsidRPr="008B6D14">
              <w:rPr>
                <w:rFonts w:asciiTheme="minorHAnsi" w:hAnsiTheme="minorHAnsi" w:cstheme="minorHAnsi"/>
                <w:b/>
                <w:bCs/>
                <w:sz w:val="24"/>
                <w:szCs w:val="24"/>
              </w:rPr>
              <w:t xml:space="preserve"> </w:t>
            </w:r>
            <w:r w:rsidR="00D0503D" w:rsidRPr="008B6D14">
              <w:rPr>
                <w:rFonts w:asciiTheme="minorHAnsi" w:hAnsiTheme="minorHAnsi" w:cstheme="minorHAnsi"/>
                <w:sz w:val="24"/>
                <w:szCs w:val="24"/>
              </w:rPr>
              <w:t>in</w:t>
            </w:r>
            <w:r w:rsidR="0002440E" w:rsidRPr="008B6D14">
              <w:rPr>
                <w:rFonts w:asciiTheme="minorHAnsi" w:hAnsiTheme="minorHAnsi" w:cstheme="minorHAnsi"/>
                <w:sz w:val="24"/>
                <w:szCs w:val="24"/>
              </w:rPr>
              <w:t xml:space="preserve"> your own area of work</w:t>
            </w:r>
            <w:r w:rsidR="00D0503D" w:rsidRPr="008B6D14">
              <w:rPr>
                <w:rFonts w:asciiTheme="minorHAnsi" w:hAnsiTheme="minorHAnsi" w:cstheme="minorHAnsi"/>
                <w:sz w:val="24"/>
                <w:szCs w:val="24"/>
              </w:rPr>
              <w:t xml:space="preserve">, </w:t>
            </w:r>
            <w:r w:rsidR="00587923" w:rsidRPr="008B6D14">
              <w:rPr>
                <w:rFonts w:asciiTheme="minorHAnsi" w:hAnsiTheme="minorHAnsi" w:cstheme="minorHAnsi"/>
                <w:sz w:val="24"/>
                <w:szCs w:val="24"/>
              </w:rPr>
              <w:t>c</w:t>
            </w:r>
            <w:r w:rsidR="008B28E7" w:rsidRPr="008B6D14">
              <w:rPr>
                <w:rFonts w:asciiTheme="minorHAnsi" w:hAnsiTheme="minorHAnsi" w:cstheme="minorHAnsi"/>
                <w:sz w:val="24"/>
                <w:szCs w:val="24"/>
              </w:rPr>
              <w:t>oncerning the safeguarding of either an adult or a child</w:t>
            </w:r>
            <w:r w:rsidRPr="008B6D14">
              <w:rPr>
                <w:rFonts w:asciiTheme="minorHAnsi" w:hAnsiTheme="minorHAnsi" w:cstheme="minorHAnsi"/>
                <w:sz w:val="24"/>
                <w:szCs w:val="24"/>
              </w:rPr>
              <w:t xml:space="preserve">. </w:t>
            </w:r>
            <w:r w:rsidR="00216563" w:rsidRPr="008B6D14">
              <w:rPr>
                <w:rFonts w:asciiTheme="minorHAnsi" w:hAnsiTheme="minorHAnsi" w:cstheme="minorHAnsi"/>
                <w:sz w:val="24"/>
                <w:szCs w:val="24"/>
              </w:rPr>
              <w:t xml:space="preserve">You must demonstrate how </w:t>
            </w:r>
            <w:r w:rsidR="00F34C86" w:rsidRPr="008B6D14">
              <w:rPr>
                <w:rFonts w:asciiTheme="minorHAnsi" w:hAnsiTheme="minorHAnsi" w:cstheme="minorHAnsi"/>
                <w:sz w:val="24"/>
                <w:szCs w:val="24"/>
              </w:rPr>
              <w:t xml:space="preserve">the case relates to or could relate to safeguarding </w:t>
            </w:r>
            <w:r w:rsidR="00216563" w:rsidRPr="008B6D14">
              <w:rPr>
                <w:rFonts w:asciiTheme="minorHAnsi" w:hAnsiTheme="minorHAnsi" w:cstheme="minorHAnsi"/>
                <w:sz w:val="24"/>
                <w:szCs w:val="24"/>
              </w:rPr>
              <w:t>legislation, policies</w:t>
            </w:r>
            <w:r w:rsidR="00F34C86" w:rsidRPr="008B6D14">
              <w:rPr>
                <w:rFonts w:asciiTheme="minorHAnsi" w:hAnsiTheme="minorHAnsi" w:cstheme="minorHAnsi"/>
                <w:sz w:val="24"/>
                <w:szCs w:val="24"/>
              </w:rPr>
              <w:t>, strategies and procedures</w:t>
            </w:r>
            <w:r w:rsidR="7AAB400D" w:rsidRPr="008B6D14">
              <w:rPr>
                <w:rFonts w:asciiTheme="minorHAnsi" w:hAnsiTheme="minorHAnsi" w:cstheme="minorHAnsi"/>
                <w:sz w:val="24"/>
                <w:szCs w:val="24"/>
              </w:rPr>
              <w:t xml:space="preserve"> </w:t>
            </w:r>
            <w:r w:rsidR="623F2A43" w:rsidRPr="008B6D14">
              <w:rPr>
                <w:rFonts w:asciiTheme="minorHAnsi" w:hAnsiTheme="minorHAnsi" w:cstheme="minorHAnsi"/>
                <w:sz w:val="24"/>
                <w:szCs w:val="24"/>
              </w:rPr>
              <w:t>(</w:t>
            </w:r>
            <w:r w:rsidR="7AAB400D" w:rsidRPr="008B6D14">
              <w:rPr>
                <w:rFonts w:asciiTheme="minorHAnsi" w:hAnsiTheme="minorHAnsi" w:cstheme="minorHAnsi"/>
                <w:sz w:val="24"/>
                <w:szCs w:val="24"/>
              </w:rPr>
              <w:t>i</w:t>
            </w:r>
            <w:r w:rsidR="623F2A43" w:rsidRPr="008B6D14">
              <w:rPr>
                <w:rFonts w:asciiTheme="minorHAnsi" w:hAnsiTheme="minorHAnsi" w:cstheme="minorHAnsi"/>
                <w:sz w:val="24"/>
                <w:szCs w:val="24"/>
              </w:rPr>
              <w:t xml:space="preserve">ncluding </w:t>
            </w:r>
            <w:r w:rsidR="322513AD" w:rsidRPr="008B6D14">
              <w:rPr>
                <w:rFonts w:asciiTheme="minorHAnsi" w:hAnsiTheme="minorHAnsi" w:cstheme="minorHAnsi"/>
                <w:sz w:val="24"/>
                <w:szCs w:val="24"/>
              </w:rPr>
              <w:t>d</w:t>
            </w:r>
            <w:r w:rsidR="7E97696C" w:rsidRPr="008B6D14">
              <w:rPr>
                <w:rFonts w:asciiTheme="minorHAnsi" w:hAnsiTheme="minorHAnsi" w:cstheme="minorHAnsi"/>
                <w:sz w:val="24"/>
                <w:szCs w:val="24"/>
              </w:rPr>
              <w:t xml:space="preserve">emonstrating an understanding of </w:t>
            </w:r>
            <w:r w:rsidR="623F2A43" w:rsidRPr="008B6D14">
              <w:rPr>
                <w:rFonts w:asciiTheme="minorHAnsi" w:hAnsiTheme="minorHAnsi" w:cstheme="minorHAnsi"/>
                <w:sz w:val="24"/>
                <w:szCs w:val="24"/>
              </w:rPr>
              <w:t>the</w:t>
            </w:r>
            <w:r w:rsidR="350F702B" w:rsidRPr="008B6D14">
              <w:rPr>
                <w:rFonts w:asciiTheme="minorHAnsi" w:hAnsiTheme="minorHAnsi" w:cstheme="minorHAnsi"/>
                <w:sz w:val="24"/>
                <w:szCs w:val="24"/>
              </w:rPr>
              <w:t xml:space="preserve"> </w:t>
            </w:r>
            <w:r w:rsidR="3B2446CA" w:rsidRPr="008B6D14">
              <w:rPr>
                <w:rFonts w:asciiTheme="minorHAnsi" w:eastAsia="Arial" w:hAnsiTheme="minorHAnsi" w:cstheme="minorHAnsi"/>
                <w:color w:val="000000" w:themeColor="text1"/>
                <w:sz w:val="24"/>
                <w:szCs w:val="24"/>
              </w:rPr>
              <w:t xml:space="preserve">interface </w:t>
            </w:r>
            <w:r w:rsidR="534A9052" w:rsidRPr="008B6D14">
              <w:rPr>
                <w:rFonts w:asciiTheme="minorHAnsi" w:eastAsia="Arial" w:hAnsiTheme="minorHAnsi" w:cstheme="minorHAnsi"/>
                <w:color w:val="000000" w:themeColor="text1"/>
                <w:sz w:val="24"/>
                <w:szCs w:val="24"/>
              </w:rPr>
              <w:t>between social services provision in Wales with the United Kingdom, the European Union</w:t>
            </w:r>
            <w:r w:rsidR="007A628F" w:rsidRPr="008B6D14">
              <w:rPr>
                <w:rFonts w:asciiTheme="minorHAnsi" w:eastAsia="Arial" w:hAnsiTheme="minorHAnsi" w:cstheme="minorHAnsi"/>
                <w:color w:val="000000" w:themeColor="text1"/>
                <w:sz w:val="24"/>
                <w:szCs w:val="24"/>
              </w:rPr>
              <w:t xml:space="preserve"> (EU)</w:t>
            </w:r>
            <w:r w:rsidR="534A9052" w:rsidRPr="008B6D14">
              <w:rPr>
                <w:rFonts w:asciiTheme="minorHAnsi" w:eastAsia="Arial" w:hAnsiTheme="minorHAnsi" w:cstheme="minorHAnsi"/>
                <w:color w:val="000000" w:themeColor="text1"/>
                <w:sz w:val="24"/>
                <w:szCs w:val="24"/>
              </w:rPr>
              <w:t xml:space="preserve"> and outside the EU</w:t>
            </w:r>
            <w:r w:rsidR="623F2A43" w:rsidRPr="008B6D14">
              <w:rPr>
                <w:rFonts w:asciiTheme="minorHAnsi" w:eastAsia="Arial" w:hAnsiTheme="minorHAnsi" w:cstheme="minorHAnsi"/>
                <w:color w:val="000000" w:themeColor="text1"/>
                <w:sz w:val="24"/>
                <w:szCs w:val="24"/>
              </w:rPr>
              <w:t>)</w:t>
            </w:r>
            <w:r w:rsidR="00411EF7" w:rsidRPr="008B6D14">
              <w:rPr>
                <w:rFonts w:asciiTheme="minorHAnsi" w:hAnsiTheme="minorHAnsi" w:cstheme="minorHAnsi"/>
                <w:sz w:val="24"/>
                <w:szCs w:val="24"/>
              </w:rPr>
              <w:t>.</w:t>
            </w:r>
            <w:r w:rsidR="00354B6D" w:rsidRPr="008B6D14">
              <w:rPr>
                <w:rFonts w:asciiTheme="minorHAnsi" w:hAnsiTheme="minorHAnsi" w:cstheme="minorHAnsi"/>
                <w:sz w:val="24"/>
                <w:szCs w:val="24"/>
              </w:rPr>
              <w:t xml:space="preserve"> </w:t>
            </w:r>
            <w:r w:rsidR="102A3950" w:rsidRPr="008B6D14">
              <w:rPr>
                <w:rFonts w:asciiTheme="minorHAnsi" w:hAnsiTheme="minorHAnsi" w:cstheme="minorHAnsi"/>
                <w:sz w:val="24"/>
                <w:szCs w:val="24"/>
              </w:rPr>
              <w:t>You</w:t>
            </w:r>
            <w:r w:rsidR="00354B6D" w:rsidRPr="008B6D14">
              <w:rPr>
                <w:rFonts w:asciiTheme="minorHAnsi" w:hAnsiTheme="minorHAnsi" w:cstheme="minorHAnsi"/>
                <w:sz w:val="24"/>
                <w:szCs w:val="24"/>
              </w:rPr>
              <w:t xml:space="preserve"> must</w:t>
            </w:r>
            <w:r w:rsidR="00411EF7" w:rsidRPr="008B6D14">
              <w:rPr>
                <w:rFonts w:asciiTheme="minorHAnsi" w:hAnsiTheme="minorHAnsi" w:cstheme="minorHAnsi"/>
                <w:sz w:val="24"/>
                <w:szCs w:val="24"/>
              </w:rPr>
              <w:t xml:space="preserve"> </w:t>
            </w:r>
            <w:r w:rsidR="00354B6D" w:rsidRPr="008B6D14">
              <w:rPr>
                <w:rFonts w:asciiTheme="minorHAnsi" w:hAnsiTheme="minorHAnsi" w:cstheme="minorHAnsi"/>
                <w:sz w:val="24"/>
                <w:szCs w:val="24"/>
              </w:rPr>
              <w:t>demonstrate your understanding of</w:t>
            </w:r>
            <w:r w:rsidR="00F34C86" w:rsidRPr="008B6D14">
              <w:rPr>
                <w:rFonts w:asciiTheme="minorHAnsi" w:hAnsiTheme="minorHAnsi" w:cstheme="minorHAnsi"/>
                <w:sz w:val="24"/>
                <w:szCs w:val="24"/>
              </w:rPr>
              <w:t xml:space="preserve"> </w:t>
            </w:r>
            <w:r w:rsidR="00411EF7" w:rsidRPr="008B6D14">
              <w:rPr>
                <w:rFonts w:asciiTheme="minorHAnsi" w:hAnsiTheme="minorHAnsi" w:cstheme="minorHAnsi"/>
                <w:sz w:val="24"/>
                <w:szCs w:val="24"/>
              </w:rPr>
              <w:t xml:space="preserve">the </w:t>
            </w:r>
            <w:r w:rsidR="00216563" w:rsidRPr="008B6D14">
              <w:rPr>
                <w:rFonts w:asciiTheme="minorHAnsi" w:hAnsiTheme="minorHAnsi" w:cstheme="minorHAnsi"/>
                <w:sz w:val="24"/>
                <w:szCs w:val="24"/>
              </w:rPr>
              <w:t xml:space="preserve">integration of </w:t>
            </w:r>
            <w:r w:rsidR="6A854C79" w:rsidRPr="008B6D14">
              <w:rPr>
                <w:rFonts w:asciiTheme="minorHAnsi" w:hAnsiTheme="minorHAnsi" w:cstheme="minorHAnsi"/>
                <w:sz w:val="24"/>
                <w:szCs w:val="24"/>
              </w:rPr>
              <w:t>analysis in asses</w:t>
            </w:r>
            <w:r w:rsidR="0F77E214" w:rsidRPr="008B6D14">
              <w:rPr>
                <w:rFonts w:asciiTheme="minorHAnsi" w:hAnsiTheme="minorHAnsi" w:cstheme="minorHAnsi"/>
                <w:sz w:val="24"/>
                <w:szCs w:val="24"/>
              </w:rPr>
              <w:t>sment, collabo</w:t>
            </w:r>
            <w:r w:rsidR="6A854C79" w:rsidRPr="008B6D14">
              <w:rPr>
                <w:rFonts w:asciiTheme="minorHAnsi" w:hAnsiTheme="minorHAnsi" w:cstheme="minorHAnsi"/>
                <w:sz w:val="24"/>
                <w:szCs w:val="24"/>
              </w:rPr>
              <w:t>rative work</w:t>
            </w:r>
            <w:r w:rsidR="0F77E214" w:rsidRPr="008B6D14">
              <w:rPr>
                <w:rFonts w:asciiTheme="minorHAnsi" w:hAnsiTheme="minorHAnsi" w:cstheme="minorHAnsi"/>
                <w:sz w:val="24"/>
                <w:szCs w:val="24"/>
              </w:rPr>
              <w:t>ing</w:t>
            </w:r>
            <w:r w:rsidR="6A854C79" w:rsidRPr="008B6D14">
              <w:rPr>
                <w:rFonts w:asciiTheme="minorHAnsi" w:hAnsiTheme="minorHAnsi" w:cstheme="minorHAnsi"/>
                <w:sz w:val="24"/>
                <w:szCs w:val="24"/>
              </w:rPr>
              <w:t xml:space="preserve"> a</w:t>
            </w:r>
            <w:r w:rsidR="0F77E214" w:rsidRPr="008B6D14">
              <w:rPr>
                <w:rFonts w:asciiTheme="minorHAnsi" w:hAnsiTheme="minorHAnsi" w:cstheme="minorHAnsi"/>
                <w:sz w:val="24"/>
                <w:szCs w:val="24"/>
              </w:rPr>
              <w:t xml:space="preserve">nd </w:t>
            </w:r>
            <w:r w:rsidR="6A854C79" w:rsidRPr="008B6D14">
              <w:rPr>
                <w:rFonts w:asciiTheme="minorHAnsi" w:hAnsiTheme="minorHAnsi" w:cstheme="minorHAnsi"/>
                <w:sz w:val="24"/>
                <w:szCs w:val="24"/>
              </w:rPr>
              <w:t>professional</w:t>
            </w:r>
            <w:r w:rsidR="00F34C86" w:rsidRPr="008B6D14">
              <w:rPr>
                <w:rFonts w:asciiTheme="minorHAnsi" w:hAnsiTheme="minorHAnsi" w:cstheme="minorHAnsi"/>
                <w:sz w:val="24"/>
                <w:szCs w:val="24"/>
              </w:rPr>
              <w:t xml:space="preserve"> </w:t>
            </w:r>
            <w:r w:rsidR="00216563" w:rsidRPr="008B6D14">
              <w:rPr>
                <w:rFonts w:asciiTheme="minorHAnsi" w:hAnsiTheme="minorHAnsi" w:cstheme="minorHAnsi"/>
                <w:sz w:val="24"/>
                <w:szCs w:val="24"/>
              </w:rPr>
              <w:t>judgements</w:t>
            </w:r>
            <w:r w:rsidR="0F77E214" w:rsidRPr="008B6D14">
              <w:rPr>
                <w:rFonts w:asciiTheme="minorHAnsi" w:hAnsiTheme="minorHAnsi" w:cstheme="minorHAnsi"/>
                <w:sz w:val="24"/>
                <w:szCs w:val="24"/>
              </w:rPr>
              <w:t xml:space="preserve"> in increasingly complex situations </w:t>
            </w:r>
            <w:r w:rsidR="00E5498A" w:rsidRPr="008B6D14">
              <w:rPr>
                <w:rFonts w:asciiTheme="minorHAnsi" w:hAnsiTheme="minorHAnsi" w:cstheme="minorHAnsi"/>
                <w:sz w:val="24"/>
                <w:szCs w:val="24"/>
              </w:rPr>
              <w:t>and</w:t>
            </w:r>
            <w:r w:rsidR="1D6670C0" w:rsidRPr="008B6D14">
              <w:rPr>
                <w:rFonts w:asciiTheme="minorHAnsi" w:hAnsiTheme="minorHAnsi" w:cstheme="minorHAnsi"/>
                <w:sz w:val="24"/>
                <w:szCs w:val="24"/>
              </w:rPr>
              <w:t xml:space="preserve"> </w:t>
            </w:r>
            <w:r w:rsidR="39C47EB7" w:rsidRPr="008B6D14">
              <w:rPr>
                <w:rFonts w:asciiTheme="minorHAnsi" w:hAnsiTheme="minorHAnsi" w:cstheme="minorHAnsi"/>
                <w:sz w:val="24"/>
                <w:szCs w:val="24"/>
              </w:rPr>
              <w:t>the</w:t>
            </w:r>
            <w:r w:rsidR="25F327FB" w:rsidRPr="008B6D14">
              <w:rPr>
                <w:rFonts w:asciiTheme="minorHAnsi" w:hAnsiTheme="minorHAnsi" w:cstheme="minorHAnsi"/>
                <w:sz w:val="24"/>
                <w:szCs w:val="24"/>
              </w:rPr>
              <w:t xml:space="preserve"> </w:t>
            </w:r>
            <w:r w:rsidR="00F34C86" w:rsidRPr="008B6D14">
              <w:rPr>
                <w:rFonts w:asciiTheme="minorHAnsi" w:hAnsiTheme="minorHAnsi" w:cstheme="minorHAnsi"/>
                <w:sz w:val="24"/>
                <w:szCs w:val="24"/>
              </w:rPr>
              <w:t>use of social work theories</w:t>
            </w:r>
            <w:r w:rsidR="756EEE2D" w:rsidRPr="008B6D14">
              <w:rPr>
                <w:rFonts w:asciiTheme="minorHAnsi" w:hAnsiTheme="minorHAnsi" w:cstheme="minorHAnsi"/>
                <w:sz w:val="24"/>
                <w:szCs w:val="24"/>
              </w:rPr>
              <w:t>.</w:t>
            </w:r>
            <w:r w:rsidR="00216563" w:rsidRPr="008B6D14">
              <w:rPr>
                <w:rFonts w:asciiTheme="minorHAnsi" w:hAnsiTheme="minorHAnsi" w:cstheme="minorHAnsi"/>
                <w:sz w:val="24"/>
                <w:szCs w:val="24"/>
              </w:rPr>
              <w:t xml:space="preserve"> </w:t>
            </w:r>
            <w:r w:rsidR="756EEE2D" w:rsidRPr="008B6D14">
              <w:rPr>
                <w:rFonts w:asciiTheme="minorHAnsi" w:hAnsiTheme="minorHAnsi" w:cstheme="minorHAnsi"/>
                <w:sz w:val="24"/>
                <w:szCs w:val="24"/>
              </w:rPr>
              <w:t>You</w:t>
            </w:r>
            <w:r w:rsidR="00216563" w:rsidRPr="008B6D14">
              <w:rPr>
                <w:rFonts w:asciiTheme="minorHAnsi" w:hAnsiTheme="minorHAnsi" w:cstheme="minorHAnsi"/>
                <w:sz w:val="24"/>
                <w:szCs w:val="24"/>
              </w:rPr>
              <w:t xml:space="preserve"> </w:t>
            </w:r>
            <w:r w:rsidR="00E5498A" w:rsidRPr="008B6D14">
              <w:rPr>
                <w:rFonts w:asciiTheme="minorHAnsi" w:hAnsiTheme="minorHAnsi" w:cstheme="minorHAnsi"/>
                <w:sz w:val="24"/>
                <w:szCs w:val="24"/>
              </w:rPr>
              <w:t xml:space="preserve">must </w:t>
            </w:r>
            <w:r w:rsidR="00F030D4" w:rsidRPr="008B6D14">
              <w:rPr>
                <w:rFonts w:asciiTheme="minorHAnsi" w:hAnsiTheme="minorHAnsi" w:cstheme="minorHAnsi"/>
                <w:sz w:val="24"/>
                <w:szCs w:val="24"/>
              </w:rPr>
              <w:t>refer to</w:t>
            </w:r>
            <w:r w:rsidR="00216563" w:rsidRPr="008B6D14">
              <w:rPr>
                <w:rFonts w:asciiTheme="minorHAnsi" w:hAnsiTheme="minorHAnsi" w:cstheme="minorHAnsi"/>
                <w:sz w:val="24"/>
                <w:szCs w:val="24"/>
              </w:rPr>
              <w:t xml:space="preserve"> </w:t>
            </w:r>
            <w:r w:rsidR="00F34C86" w:rsidRPr="008B6D14">
              <w:rPr>
                <w:rFonts w:asciiTheme="minorHAnsi" w:hAnsiTheme="minorHAnsi" w:cstheme="minorHAnsi"/>
                <w:sz w:val="24"/>
                <w:szCs w:val="24"/>
              </w:rPr>
              <w:t>the specific dimensions of working in Wales</w:t>
            </w:r>
            <w:r w:rsidR="00411EF7" w:rsidRPr="008B6D14">
              <w:rPr>
                <w:rFonts w:asciiTheme="minorHAnsi" w:hAnsiTheme="minorHAnsi" w:cstheme="minorHAnsi"/>
                <w:sz w:val="24"/>
                <w:szCs w:val="24"/>
              </w:rPr>
              <w:t xml:space="preserve">. </w:t>
            </w:r>
          </w:p>
          <w:p w14:paraId="2F8A7CA5" w14:textId="6EDC9DFB" w:rsidR="008D5999" w:rsidRPr="008B6D14" w:rsidRDefault="008D5999" w:rsidP="00064063">
            <w:pPr>
              <w:jc w:val="both"/>
              <w:rPr>
                <w:rFonts w:asciiTheme="minorHAnsi" w:hAnsiTheme="minorHAnsi" w:cstheme="minorHAnsi"/>
                <w:sz w:val="24"/>
                <w:szCs w:val="24"/>
              </w:rPr>
            </w:pPr>
          </w:p>
          <w:p w14:paraId="20A5906F" w14:textId="77777777" w:rsidR="008D5999" w:rsidRPr="008B6D14" w:rsidRDefault="008D5999" w:rsidP="00064063">
            <w:pPr>
              <w:jc w:val="both"/>
              <w:rPr>
                <w:rFonts w:asciiTheme="minorHAnsi" w:hAnsiTheme="minorHAnsi" w:cstheme="minorHAnsi"/>
                <w:sz w:val="24"/>
                <w:szCs w:val="24"/>
              </w:rPr>
            </w:pPr>
          </w:p>
          <w:p w14:paraId="51AF4546" w14:textId="476CB9AF" w:rsidR="00D3203C" w:rsidRPr="008B6D14" w:rsidRDefault="00045C40" w:rsidP="00FF7EBB">
            <w:pPr>
              <w:jc w:val="both"/>
              <w:rPr>
                <w:rFonts w:asciiTheme="minorHAnsi" w:hAnsiTheme="minorHAnsi" w:cstheme="minorHAnsi"/>
                <w:i/>
                <w:sz w:val="24"/>
                <w:szCs w:val="24"/>
              </w:rPr>
            </w:pPr>
            <w:r w:rsidRPr="008B6D14">
              <w:rPr>
                <w:rFonts w:asciiTheme="minorHAnsi" w:hAnsiTheme="minorHAnsi" w:cstheme="minorHAnsi"/>
                <w:i/>
                <w:sz w:val="24"/>
                <w:szCs w:val="24"/>
              </w:rPr>
              <w:t xml:space="preserve">4000 </w:t>
            </w:r>
            <w:r w:rsidR="008B28E7" w:rsidRPr="008B6D14">
              <w:rPr>
                <w:rFonts w:asciiTheme="minorHAnsi" w:hAnsiTheme="minorHAnsi" w:cstheme="minorHAnsi"/>
                <w:i/>
                <w:sz w:val="24"/>
                <w:szCs w:val="24"/>
              </w:rPr>
              <w:t>words</w:t>
            </w:r>
            <w:r w:rsidR="008B28E7" w:rsidRPr="008B6D14">
              <w:rPr>
                <w:rFonts w:asciiTheme="minorHAnsi" w:hAnsiTheme="minorHAnsi" w:cstheme="minorHAnsi"/>
                <w:sz w:val="24"/>
                <w:szCs w:val="24"/>
              </w:rPr>
              <w:t xml:space="preserve"> </w:t>
            </w:r>
            <w:r w:rsidR="008B28E7" w:rsidRPr="008B6D14">
              <w:rPr>
                <w:rFonts w:asciiTheme="minorHAnsi" w:hAnsiTheme="minorHAnsi" w:cstheme="minorHAnsi"/>
                <w:i/>
                <w:sz w:val="24"/>
                <w:szCs w:val="24"/>
              </w:rPr>
              <w:t>(+/- 10%: include your actual word count at the end of each section)</w:t>
            </w:r>
            <w:r w:rsidR="007A628F" w:rsidRPr="008B6D14">
              <w:rPr>
                <w:rFonts w:asciiTheme="minorHAnsi" w:hAnsiTheme="minorHAnsi" w:cstheme="minorHAnsi"/>
                <w:i/>
                <w:sz w:val="24"/>
                <w:szCs w:val="24"/>
              </w:rPr>
              <w:t>.</w:t>
            </w:r>
          </w:p>
          <w:p w14:paraId="701D8D4D" w14:textId="38C2B218" w:rsidR="00D3203C" w:rsidRPr="008B6D14" w:rsidRDefault="00D3203C" w:rsidP="00FF7EBB">
            <w:pPr>
              <w:jc w:val="both"/>
              <w:rPr>
                <w:rFonts w:asciiTheme="minorHAnsi" w:hAnsiTheme="minorHAnsi" w:cstheme="minorHAnsi"/>
                <w:iCs/>
                <w:sz w:val="24"/>
                <w:szCs w:val="24"/>
              </w:rPr>
            </w:pPr>
          </w:p>
          <w:p w14:paraId="0C0C3D64"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The focus of this essay is to create a reflective case study based on an assessment concerning the safeguarding of an adult, which I have carried out in my role as a Social Worker within Adult Services. I will be using Borton’s model of reflection, often summarised as the ‘What? So What? Now What?’ critical reflection model, to help provide a clear structure for reflective analysis. This model is appealing as it was designed to be simple and effective. The ‘What’ stage is the first part of the model and has a focus on describing the events without judgement which helps set the stage for deeper analysis in later stages (McLeod, 2024). This first step establishes a foundation for critical reflection within a safeguarding context.</w:t>
            </w:r>
          </w:p>
          <w:p w14:paraId="4382C628" w14:textId="77777777" w:rsidR="00487A20" w:rsidRPr="00487A20" w:rsidRDefault="00487A20" w:rsidP="00487A20">
            <w:pPr>
              <w:jc w:val="both"/>
              <w:rPr>
                <w:rFonts w:asciiTheme="minorHAnsi" w:hAnsiTheme="minorHAnsi" w:cstheme="minorHAnsi"/>
                <w:iCs/>
                <w:sz w:val="24"/>
                <w:szCs w:val="24"/>
              </w:rPr>
            </w:pPr>
          </w:p>
          <w:p w14:paraId="4C9BD1D6"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I will be reflecting on the work undertaken with an older male who lived alone, referred to as Male 1. He initially became known to Social Services when a tradesman visited the property and was alarmed by the neglectful conditions, prompting the tradesman to raise concerns. The tradesman discovered what the Social Services and Well-being (Wales) Act 2014, Section 126, would describe as an Adult at Risk. An ‘Adult at risk’ is an adult who - a) is experiencing or at risk of abuse or neglect b) has needs for care and support (whether or not the authority is meeting any of those needs) and c) as a result of those needs is unable to protect himself or herself against the abuse or neglect or the risk of it (Legislation.gov.uk, 2026a). The referral suggested that Male 1 met this threshold. </w:t>
            </w:r>
          </w:p>
          <w:p w14:paraId="01F0BDF1" w14:textId="77777777" w:rsidR="00487A20" w:rsidRPr="00487A20" w:rsidRDefault="00487A20" w:rsidP="00487A20">
            <w:pPr>
              <w:jc w:val="both"/>
              <w:rPr>
                <w:rFonts w:asciiTheme="minorHAnsi" w:hAnsiTheme="minorHAnsi" w:cstheme="minorHAnsi"/>
                <w:iCs/>
                <w:sz w:val="24"/>
                <w:szCs w:val="24"/>
              </w:rPr>
            </w:pPr>
          </w:p>
          <w:p w14:paraId="10CDD48A"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Regarding reporting of safeguarding concerns, the Social Services and Well-being (Wales) Act 2014, Section 128 places a duty on relevant partners of a local authority, in that if they have reasonable cause to suspect that a person is an adult at risk, they must inform the local authority of that fact. </w:t>
            </w:r>
            <w:r w:rsidRPr="00487A20">
              <w:rPr>
                <w:rFonts w:asciiTheme="minorHAnsi" w:hAnsiTheme="minorHAnsi" w:cstheme="minorHAnsi"/>
                <w:iCs/>
                <w:sz w:val="24"/>
                <w:szCs w:val="24"/>
              </w:rPr>
              <w:lastRenderedPageBreak/>
              <w:t>(Legislation.gov.uk, 2026b). Section 162 defines relevant partners as police, the local authority, the secretary of state, probation services, local health board, the NHS trust, Welsh ministers, and a person as regulations may specify (Legislation.gov.uk, 2026c).</w:t>
            </w:r>
          </w:p>
          <w:p w14:paraId="7F828E88" w14:textId="77777777" w:rsidR="00487A20" w:rsidRPr="00487A20" w:rsidRDefault="00487A20" w:rsidP="00487A20">
            <w:pPr>
              <w:jc w:val="both"/>
              <w:rPr>
                <w:rFonts w:asciiTheme="minorHAnsi" w:hAnsiTheme="minorHAnsi" w:cstheme="minorHAnsi"/>
                <w:iCs/>
                <w:sz w:val="24"/>
                <w:szCs w:val="24"/>
              </w:rPr>
            </w:pPr>
          </w:p>
          <w:p w14:paraId="435F64C9" w14:textId="77777777" w:rsidR="00487A20" w:rsidRP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Although the tradesman was not a ‘relevant partner’ as listed under Section 162 of the Act, the Wales Safeguarding Procedures emphasise that any person who suspects abuse or neglect should report concerns, not only those with a statutory duty (Wales Safeguarding Procedures, 2026a). </w:t>
            </w:r>
          </w:p>
          <w:p w14:paraId="3DAA44C4"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When the local authority received the referral, a Social Worker was allocated for investigation. The allocation is consistent with the Social Services and Well-being (Wales) Act 2014, Section 126, which states that if a local authority has reasonable cause to suspect that a person within its area is an adult at risk, it must make (or cause to be made) whatever enquiries it thinks necessary to enable it to decide whether any action should be taken (Legislation.gov.uk, 2025a).</w:t>
            </w:r>
          </w:p>
          <w:p w14:paraId="5E1B44BB" w14:textId="77777777" w:rsidR="00487A20" w:rsidRPr="00487A20" w:rsidRDefault="00487A20" w:rsidP="00487A20">
            <w:pPr>
              <w:jc w:val="both"/>
              <w:rPr>
                <w:rFonts w:asciiTheme="minorHAnsi" w:hAnsiTheme="minorHAnsi" w:cstheme="minorHAnsi"/>
                <w:iCs/>
                <w:sz w:val="24"/>
                <w:szCs w:val="24"/>
              </w:rPr>
            </w:pPr>
          </w:p>
          <w:p w14:paraId="481CF390"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When Male 1’s previous Social Worker first contacted him, they discovered he was in a state of heavy self-neglect. He was found lying in bed, fatigued, covered in excrement and severely malnourished. He was observed to be in a state of self-neglect, which is handled differently across the UK. Under the Care Act 2014 in England, self-neglect is listed as a category of abuse and neglect, meaning local authorities must consider whether it triggers a Section 42 safeguarding enquiry (GOV.UK, 2025). However, in Wales, the Social Services and Well-being (Wales) Act 2014 does not define self-neglect as a standalone safeguarding category (Ann Craft Trust, 2026).</w:t>
            </w:r>
          </w:p>
          <w:p w14:paraId="6BFAA976" w14:textId="77777777" w:rsidR="00210BEE" w:rsidRPr="00487A20" w:rsidRDefault="00210BEE" w:rsidP="00487A20">
            <w:pPr>
              <w:jc w:val="both"/>
              <w:rPr>
                <w:rFonts w:asciiTheme="minorHAnsi" w:hAnsiTheme="minorHAnsi" w:cstheme="minorHAnsi"/>
                <w:iCs/>
                <w:sz w:val="24"/>
                <w:szCs w:val="24"/>
              </w:rPr>
            </w:pPr>
          </w:p>
          <w:p w14:paraId="19B8A56B"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Because of this distinction, self-neglect in Wales does not automatically fall within statutory safeguarding unless the person meets the 'adult at risk' test under Section 126. Instead, serious cases of self-neglect are often managed through individual Regional Safeguarding Boards who often have their own guidelines and procedures for working with self-neglect (Older People's Commissioner for Wales, 2024).</w:t>
            </w:r>
          </w:p>
          <w:p w14:paraId="6CFA13F1" w14:textId="77777777" w:rsidR="00210BEE" w:rsidRPr="00487A20" w:rsidRDefault="00210BEE" w:rsidP="00487A20">
            <w:pPr>
              <w:jc w:val="both"/>
              <w:rPr>
                <w:rFonts w:asciiTheme="minorHAnsi" w:hAnsiTheme="minorHAnsi" w:cstheme="minorHAnsi"/>
                <w:iCs/>
                <w:sz w:val="24"/>
                <w:szCs w:val="24"/>
              </w:rPr>
            </w:pPr>
          </w:p>
          <w:p w14:paraId="5BAEC5FF" w14:textId="77777777" w:rsidR="00487A20" w:rsidRP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Male 1 was supported to call for ambulance during the initial visit, and this led to lengthy period of involvement and monitoring from Adult Services. Deep cleans were carried out in his property during absences such as hospitalisations. He later spent a period in a reablement focussed home, which he was due to be evicted from due to non-engagement. This is when the case was transferred to me.</w:t>
            </w:r>
          </w:p>
          <w:p w14:paraId="5AEEB674"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In our initial chats, I asked if Male 1 speaks Welsh and he did not. The purpose of this was to provide an ‘Active Offer’ which essentially means to provide a service in Welsh without it being asked for. The ‘Active Offer’ is the core principle of ‘More than just words’, the Welsh government's framework for strengthening Welsh language services in health and social care. This ensures a person-centred service is provided, enabling the service user to be in control and completely understand the services being offered (Welsh Government, 2015b).</w:t>
            </w:r>
          </w:p>
          <w:p w14:paraId="211CEF8E" w14:textId="77777777" w:rsidR="00210BEE" w:rsidRPr="00487A20" w:rsidRDefault="00210BEE" w:rsidP="00487A20">
            <w:pPr>
              <w:jc w:val="both"/>
              <w:rPr>
                <w:rFonts w:asciiTheme="minorHAnsi" w:hAnsiTheme="minorHAnsi" w:cstheme="minorHAnsi"/>
                <w:iCs/>
                <w:sz w:val="24"/>
                <w:szCs w:val="24"/>
              </w:rPr>
            </w:pPr>
          </w:p>
          <w:p w14:paraId="12DA72C9"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I needed to establish Male 1’s wishes as part of the assessment process, and he wanted to return home desperately. Staff in the reablement setting informed that he was not engaging with occupational therapy and was refusing personal care. They also reported that due to lack of engagement, he was facing eviction from the home. </w:t>
            </w:r>
          </w:p>
          <w:p w14:paraId="2E8C30B8" w14:textId="77777777" w:rsidR="00210BEE" w:rsidRPr="00487A20" w:rsidRDefault="00210BEE" w:rsidP="00487A20">
            <w:pPr>
              <w:jc w:val="both"/>
              <w:rPr>
                <w:rFonts w:asciiTheme="minorHAnsi" w:hAnsiTheme="minorHAnsi" w:cstheme="minorHAnsi"/>
                <w:iCs/>
                <w:sz w:val="24"/>
                <w:szCs w:val="24"/>
              </w:rPr>
            </w:pPr>
          </w:p>
          <w:p w14:paraId="6172390C" w14:textId="198468F8"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lastRenderedPageBreak/>
              <w:t>His refusal to accept care seemed unusual, and initially I questioned whether there could be issues relating to mental capacity. However, I found Male 1 engageable in conversation, he responded appropriately to my questions and no issues with his memory were ever observed. I also learned that the Community Mental Health Team had recently assessed him and concluded that there was no impairment of the mind and that Male 1 was making unwise decisions</w:t>
            </w:r>
            <w:r w:rsidR="00732C36">
              <w:rPr>
                <w:rFonts w:asciiTheme="minorHAnsi" w:hAnsiTheme="minorHAnsi" w:cstheme="minorHAnsi"/>
                <w:iCs/>
                <w:sz w:val="24"/>
                <w:szCs w:val="24"/>
              </w:rPr>
              <w:t>.</w:t>
            </w:r>
          </w:p>
          <w:p w14:paraId="4954EF77" w14:textId="77777777" w:rsidR="00732C36" w:rsidRPr="00487A20" w:rsidRDefault="00732C36" w:rsidP="00487A20">
            <w:pPr>
              <w:jc w:val="both"/>
              <w:rPr>
                <w:rFonts w:asciiTheme="minorHAnsi" w:hAnsiTheme="minorHAnsi" w:cstheme="minorHAnsi"/>
                <w:iCs/>
                <w:sz w:val="24"/>
                <w:szCs w:val="24"/>
              </w:rPr>
            </w:pPr>
          </w:p>
          <w:p w14:paraId="76036BC1"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Under the Mental Capacity Act 2005, a person lacks capacity if they are unable to make a particular decision due to impairment of the mind. The Principles of the Act highlight that capacity is to be assumed unless it is established that they lack capacity, and that a person is not to be treated as unable to </w:t>
            </w:r>
            <w:proofErr w:type="gramStart"/>
            <w:r w:rsidRPr="00487A20">
              <w:rPr>
                <w:rFonts w:asciiTheme="minorHAnsi" w:hAnsiTheme="minorHAnsi" w:cstheme="minorHAnsi"/>
                <w:iCs/>
                <w:sz w:val="24"/>
                <w:szCs w:val="24"/>
              </w:rPr>
              <w:t>make a decision</w:t>
            </w:r>
            <w:proofErr w:type="gramEnd"/>
            <w:r w:rsidRPr="00487A20">
              <w:rPr>
                <w:rFonts w:asciiTheme="minorHAnsi" w:hAnsiTheme="minorHAnsi" w:cstheme="minorHAnsi"/>
                <w:iCs/>
                <w:sz w:val="24"/>
                <w:szCs w:val="24"/>
              </w:rPr>
              <w:t xml:space="preserve"> because they make unwise decisions (Legislation.gov.uk, 2026d). Therefore, I proceeded on the basis that Male 1 had capacity for all decisions being discussed.</w:t>
            </w:r>
          </w:p>
          <w:p w14:paraId="19F6195F" w14:textId="77777777" w:rsidR="00732C36" w:rsidRPr="00487A20" w:rsidRDefault="00732C36" w:rsidP="00487A20">
            <w:pPr>
              <w:jc w:val="both"/>
              <w:rPr>
                <w:rFonts w:asciiTheme="minorHAnsi" w:hAnsiTheme="minorHAnsi" w:cstheme="minorHAnsi"/>
                <w:iCs/>
                <w:sz w:val="24"/>
                <w:szCs w:val="24"/>
              </w:rPr>
            </w:pPr>
          </w:p>
          <w:p w14:paraId="7C49C89D"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I wanted to ensure I worked in a way that was respectful of Male 1’s choices, though my responsibilities were beyond just respecting autonomy. One of the fundamental principles of the Social Services and </w:t>
            </w:r>
            <w:proofErr w:type="spellStart"/>
            <w:r w:rsidRPr="00487A20">
              <w:rPr>
                <w:rFonts w:asciiTheme="minorHAnsi" w:hAnsiTheme="minorHAnsi" w:cstheme="minorHAnsi"/>
                <w:iCs/>
                <w:sz w:val="24"/>
                <w:szCs w:val="24"/>
              </w:rPr>
              <w:t>Well being</w:t>
            </w:r>
            <w:proofErr w:type="spellEnd"/>
            <w:r w:rsidRPr="00487A20">
              <w:rPr>
                <w:rFonts w:asciiTheme="minorHAnsi" w:hAnsiTheme="minorHAnsi" w:cstheme="minorHAnsi"/>
                <w:iCs/>
                <w:sz w:val="24"/>
                <w:szCs w:val="24"/>
              </w:rPr>
              <w:t xml:space="preserve"> (Wales) Act 2014 is voice and control, which emphasises the need to put the individuals and their needs at the centre of their care, and giving them a voice in, and control of, the outcomes which help them achieve well-being (Social Care Wales, 2025). The Human Rights Act 1998, Article 8, is also respective of autonomy, in that it protects the right to respect for private life and the home, but this right can be limited where necessary to protect health or prevent harm (Legislation.gov.uk, 2026e). </w:t>
            </w:r>
          </w:p>
          <w:p w14:paraId="30490B5F" w14:textId="77777777" w:rsidR="00732C36" w:rsidRPr="00487A20" w:rsidRDefault="00732C36" w:rsidP="00487A20">
            <w:pPr>
              <w:jc w:val="both"/>
              <w:rPr>
                <w:rFonts w:asciiTheme="minorHAnsi" w:hAnsiTheme="minorHAnsi" w:cstheme="minorHAnsi"/>
                <w:iCs/>
                <w:sz w:val="24"/>
                <w:szCs w:val="24"/>
              </w:rPr>
            </w:pPr>
          </w:p>
          <w:p w14:paraId="35A238D4"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As social care professionals involved in adult safeguarding work we face a dilemma; the need to protect versus the need to promote rights. We have a duty to make enquires we think necessary to decide whether any action should be taken under the Social Services and Well-being (Wales) Act 2014, Section 126. However, we also need to be mindful of the rights an adult has under the Mental Capacity Act (if applicable), the core principles of Social Services and Well-being (Wales) Act relating to voice and control, as well as the respect for privacy under the Human Rights Act 1998.</w:t>
            </w:r>
          </w:p>
          <w:p w14:paraId="0429B552" w14:textId="77777777" w:rsidR="00732C36" w:rsidRPr="00487A20" w:rsidRDefault="00732C36" w:rsidP="00487A20">
            <w:pPr>
              <w:jc w:val="both"/>
              <w:rPr>
                <w:rFonts w:asciiTheme="minorHAnsi" w:hAnsiTheme="minorHAnsi" w:cstheme="minorHAnsi"/>
                <w:iCs/>
                <w:sz w:val="24"/>
                <w:szCs w:val="24"/>
              </w:rPr>
            </w:pPr>
          </w:p>
          <w:p w14:paraId="2B6AF85B"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To help guide us through the ethical dilemmas we may face with safeguarding investigations, a person-centred approach is recommended. The Code of Practice on General Functions of the Social Services and Well-being (Wales) Act 2014 recognises that the rights and best interests of the individual should always remain paramount (Wales Safeguarding Procedures, 2026b). Person centred practice requires listening carefully to individuals, considering their ability to participate, identifying whether advocacy would support their involvement, and fostering a positive working relationship (Wales Safeguarding Procedures, 2026c). </w:t>
            </w:r>
          </w:p>
          <w:p w14:paraId="42B18D08" w14:textId="77777777" w:rsidR="00732C36" w:rsidRPr="00487A20" w:rsidRDefault="00732C36" w:rsidP="00487A20">
            <w:pPr>
              <w:jc w:val="both"/>
              <w:rPr>
                <w:rFonts w:asciiTheme="minorHAnsi" w:hAnsiTheme="minorHAnsi" w:cstheme="minorHAnsi"/>
                <w:iCs/>
                <w:sz w:val="24"/>
                <w:szCs w:val="24"/>
              </w:rPr>
            </w:pPr>
          </w:p>
          <w:p w14:paraId="41C67EA5" w14:textId="5B75A153"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These principles guided my approach to Male 1, especially given the complexities of </w:t>
            </w:r>
            <w:r w:rsidR="00732C36" w:rsidRPr="00487A20">
              <w:rPr>
                <w:rFonts w:asciiTheme="minorHAnsi" w:hAnsiTheme="minorHAnsi" w:cstheme="minorHAnsi"/>
                <w:iCs/>
                <w:sz w:val="24"/>
                <w:szCs w:val="24"/>
              </w:rPr>
              <w:t>self-neglect</w:t>
            </w:r>
            <w:r w:rsidRPr="00487A20">
              <w:rPr>
                <w:rFonts w:asciiTheme="minorHAnsi" w:hAnsiTheme="minorHAnsi" w:cstheme="minorHAnsi"/>
                <w:iCs/>
                <w:sz w:val="24"/>
                <w:szCs w:val="24"/>
              </w:rPr>
              <w:t xml:space="preserve">. Research on </w:t>
            </w:r>
            <w:r w:rsidR="00732C36" w:rsidRPr="00487A20">
              <w:rPr>
                <w:rFonts w:asciiTheme="minorHAnsi" w:hAnsiTheme="minorHAnsi" w:cstheme="minorHAnsi"/>
                <w:iCs/>
                <w:sz w:val="24"/>
                <w:szCs w:val="24"/>
              </w:rPr>
              <w:t>self-neglect</w:t>
            </w:r>
            <w:r w:rsidRPr="00487A20">
              <w:rPr>
                <w:rFonts w:asciiTheme="minorHAnsi" w:hAnsiTheme="minorHAnsi" w:cstheme="minorHAnsi"/>
                <w:iCs/>
                <w:sz w:val="24"/>
                <w:szCs w:val="24"/>
              </w:rPr>
              <w:t xml:space="preserve"> emphasises its complex nature, often shaped by physical health problems, mental health issues, life experiences, cognitive functioning and social isolation (Barnett, 2008). To help support those who self-neglect, a balance of autonomy and protection, grounded in relationship building and persistent engagement is recommended (Social Care Institute for Excellence, 2024).</w:t>
            </w:r>
          </w:p>
          <w:p w14:paraId="7CE373C0" w14:textId="77777777" w:rsidR="00732C36" w:rsidRPr="00487A20" w:rsidRDefault="00732C36" w:rsidP="00487A20">
            <w:pPr>
              <w:jc w:val="both"/>
              <w:rPr>
                <w:rFonts w:asciiTheme="minorHAnsi" w:hAnsiTheme="minorHAnsi" w:cstheme="minorHAnsi"/>
                <w:iCs/>
                <w:sz w:val="24"/>
                <w:szCs w:val="24"/>
              </w:rPr>
            </w:pPr>
          </w:p>
          <w:p w14:paraId="76F553A2"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After failing to persuade Male 1 to consider a care package to support returning home, I worked toward supporting his wish to return safely without a care package in place. I coordinated supervised </w:t>
            </w:r>
            <w:r w:rsidRPr="00487A20">
              <w:rPr>
                <w:rFonts w:asciiTheme="minorHAnsi" w:hAnsiTheme="minorHAnsi" w:cstheme="minorHAnsi"/>
                <w:iCs/>
                <w:sz w:val="24"/>
                <w:szCs w:val="24"/>
              </w:rPr>
              <w:lastRenderedPageBreak/>
              <w:t xml:space="preserve">walking practice with the Occupational Therapist and helped ensure his home was prepared, including arranging support from the food bank and arranging for continence products to be ordered. </w:t>
            </w:r>
          </w:p>
          <w:p w14:paraId="212585E3" w14:textId="77777777" w:rsidR="00A42478" w:rsidRPr="00487A20" w:rsidRDefault="00A42478" w:rsidP="00487A20">
            <w:pPr>
              <w:jc w:val="both"/>
              <w:rPr>
                <w:rFonts w:asciiTheme="minorHAnsi" w:hAnsiTheme="minorHAnsi" w:cstheme="minorHAnsi"/>
                <w:iCs/>
                <w:sz w:val="24"/>
                <w:szCs w:val="24"/>
              </w:rPr>
            </w:pPr>
          </w:p>
          <w:p w14:paraId="3C9669EF"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Once home, an occupational therapy intervention took place to ensure appropriate mobility aids were present, but it was not long till I discovered the extent of Male 1’s self-neglect. He refused to wear continence products, did not wash, wore the same clothes, and both himself and the home environment became increasingly unhygienic. A prevention service attempted monthly visits, but their involvement was limited due to minimal engagement. Although he eventually agreed to a small care package following much discussion and a meeting so he could talk directly with the team lead prior to starting, he declined support on the first day of service, and the provider withdrew.</w:t>
            </w:r>
          </w:p>
          <w:p w14:paraId="5F0276D5" w14:textId="77777777" w:rsidR="00A42478" w:rsidRPr="00487A20" w:rsidRDefault="00A42478" w:rsidP="00487A20">
            <w:pPr>
              <w:jc w:val="both"/>
              <w:rPr>
                <w:rFonts w:asciiTheme="minorHAnsi" w:hAnsiTheme="minorHAnsi" w:cstheme="minorHAnsi"/>
                <w:iCs/>
                <w:sz w:val="24"/>
                <w:szCs w:val="24"/>
              </w:rPr>
            </w:pPr>
          </w:p>
          <w:p w14:paraId="716AC7DE"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At this point a different approach was needed and I had a change in my analysis of assessment. Upon reflection, although I was able to persuade Male 1 to say yes to the package of care, perhaps I did not truly consider how agreeable Male 1 really was to it. Through further discussion, we mutually agreed it would be beneficial to find support for the home environment instead of a focus on personal care, which had never been of high importance to Male 1. I was able to source a specialist cleaning service experienced in supporting individuals who </w:t>
            </w:r>
            <w:proofErr w:type="spellStart"/>
            <w:r w:rsidRPr="00487A20">
              <w:rPr>
                <w:rFonts w:asciiTheme="minorHAnsi" w:hAnsiTheme="minorHAnsi" w:cstheme="minorHAnsi"/>
                <w:iCs/>
                <w:sz w:val="24"/>
                <w:szCs w:val="24"/>
              </w:rPr>
              <w:t>self neglect</w:t>
            </w:r>
            <w:proofErr w:type="spellEnd"/>
            <w:r w:rsidRPr="00487A20">
              <w:rPr>
                <w:rFonts w:asciiTheme="minorHAnsi" w:hAnsiTheme="minorHAnsi" w:cstheme="minorHAnsi"/>
                <w:iCs/>
                <w:sz w:val="24"/>
                <w:szCs w:val="24"/>
              </w:rPr>
              <w:t xml:space="preserve">. This service proved both appropriate and successful. The cleaner established a strong rapport with Male 1, maintained his home at a safer standard, monitored his welfare weekly and supported communication with </w:t>
            </w:r>
            <w:proofErr w:type="gramStart"/>
            <w:r w:rsidRPr="00487A20">
              <w:rPr>
                <w:rFonts w:asciiTheme="minorHAnsi" w:hAnsiTheme="minorHAnsi" w:cstheme="minorHAnsi"/>
                <w:iCs/>
                <w:sz w:val="24"/>
                <w:szCs w:val="24"/>
              </w:rPr>
              <w:t>myself</w:t>
            </w:r>
            <w:proofErr w:type="gramEnd"/>
            <w:r w:rsidRPr="00487A20">
              <w:rPr>
                <w:rFonts w:asciiTheme="minorHAnsi" w:hAnsiTheme="minorHAnsi" w:cstheme="minorHAnsi"/>
                <w:iCs/>
                <w:sz w:val="24"/>
                <w:szCs w:val="24"/>
              </w:rPr>
              <w:t xml:space="preserve"> and other services.</w:t>
            </w:r>
          </w:p>
          <w:p w14:paraId="1777A0EB" w14:textId="77777777" w:rsidR="00A42478" w:rsidRPr="00487A20" w:rsidRDefault="00A42478" w:rsidP="00487A20">
            <w:pPr>
              <w:jc w:val="both"/>
              <w:rPr>
                <w:rFonts w:asciiTheme="minorHAnsi" w:hAnsiTheme="minorHAnsi" w:cstheme="minorHAnsi"/>
                <w:iCs/>
                <w:sz w:val="24"/>
                <w:szCs w:val="24"/>
              </w:rPr>
            </w:pPr>
          </w:p>
          <w:p w14:paraId="28828BE2"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Returning to Borton’s model of reflection, the events can now be analysed using the “So what?” stage of the reflection tool. This section has a focus on how we feel during an event and asking why we feel this way. Areas to look at could include the effects of what we did or did not do, positive and negative aspects of the events, analysing if our feelings were different to other peoples, reflecting if we feel troubled and reflecting on reasons why (McLeod, 2024).</w:t>
            </w:r>
          </w:p>
          <w:p w14:paraId="386EE0B5" w14:textId="77777777" w:rsidR="00A42478" w:rsidRPr="00487A20" w:rsidRDefault="00A42478" w:rsidP="00487A20">
            <w:pPr>
              <w:jc w:val="both"/>
              <w:rPr>
                <w:rFonts w:asciiTheme="minorHAnsi" w:hAnsiTheme="minorHAnsi" w:cstheme="minorHAnsi"/>
                <w:iCs/>
                <w:sz w:val="24"/>
                <w:szCs w:val="24"/>
              </w:rPr>
            </w:pPr>
          </w:p>
          <w:p w14:paraId="333D16DF"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There were times many times I felt powerless in that I could not find the right service to help support Male 1 before identifying the specialist cleaner. I had difficulty finding appropriate support for some time, and for many months, I was his primary contact in terms of monitoring </w:t>
            </w:r>
          </w:p>
          <w:p w14:paraId="4EB70184" w14:textId="77777777" w:rsidR="003B5545" w:rsidRPr="00487A20" w:rsidRDefault="003B5545" w:rsidP="00487A20">
            <w:pPr>
              <w:jc w:val="both"/>
              <w:rPr>
                <w:rFonts w:asciiTheme="minorHAnsi" w:hAnsiTheme="minorHAnsi" w:cstheme="minorHAnsi"/>
                <w:iCs/>
                <w:sz w:val="24"/>
                <w:szCs w:val="24"/>
              </w:rPr>
            </w:pPr>
          </w:p>
          <w:p w14:paraId="49A34493"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This highlighted limitations within local service provision. Male 1 lived in a rural and sparsely populated area, classified as rural by the Welsh Government (Welsh Government, 2025b). Rural communities often have reduced access to services, and research highlights a documented decline in rural shops, post offices, leisure centres, police stations and health care services. People living in rural areas also need to travel further to access services and have fewer choices of providers (Williams and Doyle, 2016). Based on this information, it is highly likely that Male 1s opportunities for social care within the community were also more limited than urban areas. </w:t>
            </w:r>
          </w:p>
          <w:p w14:paraId="33549F26" w14:textId="77777777" w:rsidR="00A42478" w:rsidRPr="00487A20" w:rsidRDefault="00A42478" w:rsidP="00487A20">
            <w:pPr>
              <w:jc w:val="both"/>
              <w:rPr>
                <w:rFonts w:asciiTheme="minorHAnsi" w:hAnsiTheme="minorHAnsi" w:cstheme="minorHAnsi"/>
                <w:iCs/>
                <w:sz w:val="24"/>
                <w:szCs w:val="24"/>
              </w:rPr>
            </w:pPr>
          </w:p>
          <w:p w14:paraId="178A93E5"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Reflecting that I was the only person who had regular contact with Male 1 for some time, it becomes apparent how socially isolated he was. The National Survey for Wales found that 17% of the population, around 440,000 people, reported being lonely. Social isolation and loneliness are also linked to several physical and psychological problems including premature death, sleep problems, high blood pressure, poor quality of life, risk of heart attack and stroke, depression and suicide (Welsh </w:t>
            </w:r>
            <w:r w:rsidRPr="00487A20">
              <w:rPr>
                <w:rFonts w:asciiTheme="minorHAnsi" w:hAnsiTheme="minorHAnsi" w:cstheme="minorHAnsi"/>
                <w:iCs/>
                <w:sz w:val="24"/>
                <w:szCs w:val="24"/>
              </w:rPr>
              <w:lastRenderedPageBreak/>
              <w:t>Government, 2018). These issues help give understanding to Male 1’s experience and social isolation is found to be a key contributor to chronic self-neglect (Braye, Orr and Preston Shoot, 2014).</w:t>
            </w:r>
          </w:p>
          <w:p w14:paraId="76F97C2C" w14:textId="77777777" w:rsidR="003B5545" w:rsidRPr="00487A20" w:rsidRDefault="003B5545" w:rsidP="00487A20">
            <w:pPr>
              <w:jc w:val="both"/>
              <w:rPr>
                <w:rFonts w:asciiTheme="minorHAnsi" w:hAnsiTheme="minorHAnsi" w:cstheme="minorHAnsi"/>
                <w:iCs/>
                <w:sz w:val="24"/>
                <w:szCs w:val="24"/>
              </w:rPr>
            </w:pPr>
          </w:p>
          <w:p w14:paraId="3A587F86" w14:textId="408379BC"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Thinking more deeply about the causes of Male 1’s </w:t>
            </w:r>
            <w:r w:rsidR="003B5545" w:rsidRPr="00487A20">
              <w:rPr>
                <w:rFonts w:asciiTheme="minorHAnsi" w:hAnsiTheme="minorHAnsi" w:cstheme="minorHAnsi"/>
                <w:iCs/>
                <w:sz w:val="24"/>
                <w:szCs w:val="24"/>
              </w:rPr>
              <w:t>self-neglect</w:t>
            </w:r>
            <w:r w:rsidRPr="00487A20">
              <w:rPr>
                <w:rFonts w:asciiTheme="minorHAnsi" w:hAnsiTheme="minorHAnsi" w:cstheme="minorHAnsi"/>
                <w:iCs/>
                <w:sz w:val="24"/>
                <w:szCs w:val="24"/>
              </w:rPr>
              <w:t xml:space="preserve">, I reflected on information shared by his friend, who once informed me that Male 1’s neglect became more apparent when his mother passed away. I can only speculate about the impact Male 1’s mother’s death had on him; </w:t>
            </w:r>
            <w:r w:rsidR="003B5545" w:rsidRPr="00487A20">
              <w:rPr>
                <w:rFonts w:asciiTheme="minorHAnsi" w:hAnsiTheme="minorHAnsi" w:cstheme="minorHAnsi"/>
                <w:iCs/>
                <w:sz w:val="24"/>
                <w:szCs w:val="24"/>
              </w:rPr>
              <w:t>however,</w:t>
            </w:r>
            <w:r w:rsidRPr="00487A20">
              <w:rPr>
                <w:rFonts w:asciiTheme="minorHAnsi" w:hAnsiTheme="minorHAnsi" w:cstheme="minorHAnsi"/>
                <w:iCs/>
                <w:sz w:val="24"/>
                <w:szCs w:val="24"/>
              </w:rPr>
              <w:t xml:space="preserve"> loss, grief and past trauma are all recognised within </w:t>
            </w:r>
            <w:r w:rsidR="003B5545" w:rsidRPr="00487A20">
              <w:rPr>
                <w:rFonts w:asciiTheme="minorHAnsi" w:hAnsiTheme="minorHAnsi" w:cstheme="minorHAnsi"/>
                <w:iCs/>
                <w:sz w:val="24"/>
                <w:szCs w:val="24"/>
              </w:rPr>
              <w:t>self-neglect</w:t>
            </w:r>
            <w:r w:rsidRPr="00487A20">
              <w:rPr>
                <w:rFonts w:asciiTheme="minorHAnsi" w:hAnsiTheme="minorHAnsi" w:cstheme="minorHAnsi"/>
                <w:iCs/>
                <w:sz w:val="24"/>
                <w:szCs w:val="24"/>
              </w:rPr>
              <w:t xml:space="preserve"> research, which highlights the link between current self-neglect being rooted in the person’s life history (Braye, Orr and Preston Shoot, 2024). Some individuals can experience persistent grief, that effects overall well-being. Prolonged grief may cause some to be less prone to address their healthcare needs, decrease their nutritional intake, exercise and sleep, and to become socially isolated (</w:t>
            </w:r>
            <w:proofErr w:type="spellStart"/>
            <w:r w:rsidRPr="00487A20">
              <w:rPr>
                <w:rFonts w:asciiTheme="minorHAnsi" w:hAnsiTheme="minorHAnsi" w:cstheme="minorHAnsi"/>
                <w:iCs/>
                <w:sz w:val="24"/>
                <w:szCs w:val="24"/>
              </w:rPr>
              <w:t>Schoo</w:t>
            </w:r>
            <w:proofErr w:type="spellEnd"/>
            <w:r w:rsidRPr="00487A20">
              <w:rPr>
                <w:rFonts w:asciiTheme="minorHAnsi" w:hAnsiTheme="minorHAnsi" w:cstheme="minorHAnsi"/>
                <w:iCs/>
                <w:sz w:val="24"/>
                <w:szCs w:val="24"/>
              </w:rPr>
              <w:t xml:space="preserve"> et al., 2025). </w:t>
            </w:r>
          </w:p>
          <w:p w14:paraId="780858FE" w14:textId="77777777" w:rsidR="003B5545" w:rsidRPr="00487A20" w:rsidRDefault="003B5545" w:rsidP="00487A20">
            <w:pPr>
              <w:jc w:val="both"/>
              <w:rPr>
                <w:rFonts w:asciiTheme="minorHAnsi" w:hAnsiTheme="minorHAnsi" w:cstheme="minorHAnsi"/>
                <w:iCs/>
                <w:sz w:val="24"/>
                <w:szCs w:val="24"/>
              </w:rPr>
            </w:pPr>
          </w:p>
          <w:p w14:paraId="70210E85"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There are many possible causes of self-neglect, ranging from poor physical health, social isolation, cognitive challenges, depression and anxiety (Barnett, 2008). Although CMHT found no mental or cognitive disorder, the difference between Male 1’s understanding of risk and lack of taking steps to prevent it, suggest possible executive functioning challenges which is the ability to set goals and carry them out (Social Care Institute for Excellence, 2024). This leads me to reflect if a more detailed capacity assessment, with a focus on executive decision making, may have strengthened my understanding of Male 1’s behaviour.</w:t>
            </w:r>
          </w:p>
          <w:p w14:paraId="0E46E112" w14:textId="77777777" w:rsidR="003B5545" w:rsidRPr="00487A20" w:rsidRDefault="003B5545" w:rsidP="00487A20">
            <w:pPr>
              <w:jc w:val="both"/>
              <w:rPr>
                <w:rFonts w:asciiTheme="minorHAnsi" w:hAnsiTheme="minorHAnsi" w:cstheme="minorHAnsi"/>
                <w:iCs/>
                <w:sz w:val="24"/>
                <w:szCs w:val="24"/>
              </w:rPr>
            </w:pPr>
          </w:p>
          <w:p w14:paraId="3F36F229"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I also reflect on whether Male 1 always received a person-centred service from all who worked with him. For example, I was informed that Male 1 was facing eviction from the reablement centre because he was not engaging with professionals and the care staff. However, he was clear with his wishes to return home and was motivated to do so. I requested that he works with occupational therapy to achieve his goal, and he agreed to work with them. This suggests that collaborative, strengths-based approaches could be effective, and makes me reflect if this approach was always used. </w:t>
            </w:r>
          </w:p>
          <w:p w14:paraId="23C368A6" w14:textId="77777777" w:rsidR="003B5545" w:rsidRPr="00487A20" w:rsidRDefault="003B5545" w:rsidP="00487A20">
            <w:pPr>
              <w:jc w:val="both"/>
              <w:rPr>
                <w:rFonts w:asciiTheme="minorHAnsi" w:hAnsiTheme="minorHAnsi" w:cstheme="minorHAnsi"/>
                <w:iCs/>
                <w:sz w:val="24"/>
                <w:szCs w:val="24"/>
              </w:rPr>
            </w:pPr>
          </w:p>
          <w:p w14:paraId="39F4F3D3"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By following the principes of Social Services and Well-being (Wales) Act 2014, I was able to give Male 1 voice and control over the support he received, allow him to achieve his own definition of wellbeing, and worked co-productively with him, rather than for him (Social Care Wales, 2025). Furthermore, strengths-based practice is grounded in valuing the individual’s abilities and aspirations rather than focusing on deficits (Social Care Institute for Excellence, 2023). My experience with Male 1 reinforced this.</w:t>
            </w:r>
          </w:p>
          <w:p w14:paraId="0097C2A1" w14:textId="77777777" w:rsidR="003B5545" w:rsidRPr="00487A20" w:rsidRDefault="003B5545" w:rsidP="00487A20">
            <w:pPr>
              <w:jc w:val="both"/>
              <w:rPr>
                <w:rFonts w:asciiTheme="minorHAnsi" w:hAnsiTheme="minorHAnsi" w:cstheme="minorHAnsi"/>
                <w:iCs/>
                <w:sz w:val="24"/>
                <w:szCs w:val="24"/>
              </w:rPr>
            </w:pPr>
          </w:p>
          <w:p w14:paraId="053AB2D5" w14:textId="04F74963"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Over the course of my time spent working with Male 1, and by reading his case history, I discovered that many services appeared to withdraw quickly when he refused support. This led me to reflect on whether anti oppressive practice principles were fully upheld by all professionals. Anti oppressive practice emphasises addressing power imbalances and ensuring that personal bias does not affect the quality of support provided (Centre for Innovation in Campus Mental Health, 2025). I cannot confirm if that other workers were acting anti oppressively, but I noted that some openly expressed discomfort with Male 1’s hygiene, which may have influenced their ability to work with him. The importance of the relationship between practitioners and service users is essential in complex cases such as self-neglect, where trust, empathy and persistence are key (Social Care Institute for Excellence, 2026b). </w:t>
            </w:r>
            <w:r w:rsidRPr="00487A20">
              <w:rPr>
                <w:rFonts w:asciiTheme="minorHAnsi" w:hAnsiTheme="minorHAnsi" w:cstheme="minorHAnsi"/>
                <w:iCs/>
                <w:sz w:val="24"/>
                <w:szCs w:val="24"/>
              </w:rPr>
              <w:lastRenderedPageBreak/>
              <w:t>My experience corresponded with this, as Male 1 engaged best when he felt understood and respected.</w:t>
            </w:r>
          </w:p>
          <w:p w14:paraId="79AFA924" w14:textId="77777777" w:rsidR="003B5545" w:rsidRPr="00487A20" w:rsidRDefault="003B5545" w:rsidP="00487A20">
            <w:pPr>
              <w:jc w:val="both"/>
              <w:rPr>
                <w:rFonts w:asciiTheme="minorHAnsi" w:hAnsiTheme="minorHAnsi" w:cstheme="minorHAnsi"/>
                <w:iCs/>
                <w:sz w:val="24"/>
                <w:szCs w:val="24"/>
              </w:rPr>
            </w:pPr>
          </w:p>
          <w:p w14:paraId="37EB4C4D"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Another area needing reflection is regarding the safeguarding thresholds in Wales. Although several safeguarding concerns from various professionals or contractors were raised, no formal strategy discussion occurred. A strategy meeting takes place when s126 enquiries conclude that social services have reasonable cause to suspect that an adult is at risk of abuse (Wales Safeguarding Procedures, 2026d). Because self-neglect is not a standalone abuse category in Wales, triggering a statutory safeguarding response depends on whether the person is an 'adult at risk', experiencing neglectful circumstances, having care and support needs, and being unable to protect themselves as a result, as  defined in the Social Services and Well-being (Wales) Act 2014 (Legislation.gov.uk, 2026a). However, In England, self-neglect is a category of abuse under the Care Act 2014, which can lead to a more direct escalation to Section 42 enquiries (GOV.UK, 2025).</w:t>
            </w:r>
          </w:p>
          <w:p w14:paraId="7BC8B13F" w14:textId="77777777" w:rsidR="003B5545" w:rsidRPr="00487A20" w:rsidRDefault="003B5545" w:rsidP="00487A20">
            <w:pPr>
              <w:jc w:val="both"/>
              <w:rPr>
                <w:rFonts w:asciiTheme="minorHAnsi" w:hAnsiTheme="minorHAnsi" w:cstheme="minorHAnsi"/>
                <w:iCs/>
                <w:sz w:val="24"/>
                <w:szCs w:val="24"/>
              </w:rPr>
            </w:pPr>
          </w:p>
          <w:p w14:paraId="58DB0548"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Upon reflection, I believe that a strategy discussion could have helped provide multi-agency approach and helped share the responsibility of managing risk. Male 1 struggled with personal neglect, environmental hazards and ongoing disengagement. These worries may still meet Welsh safeguarding thresholds if the person is unable to protect themselves. However, reasons not to escalate included that Male 1 had capacity, the risks affected only him, and he made his wishes clearly known. In Wales, there are High Risk/Self Neglect Multi Agency Protocols in place and Multi-Agency High-Risk Behaviour Panels (or regional equivalents) can be requested to consider the existing risks and agree additional actions where appropriate (CYSUR, 2023). It is likely that not having a strategy meeting or a multi-agency high risk meeting, led to me holding a large proportion of professional responsibility by myself.</w:t>
            </w:r>
          </w:p>
          <w:p w14:paraId="3D75AB1F" w14:textId="77777777" w:rsidR="003B5545" w:rsidRPr="00487A20" w:rsidRDefault="003B5545" w:rsidP="00487A20">
            <w:pPr>
              <w:jc w:val="both"/>
              <w:rPr>
                <w:rFonts w:asciiTheme="minorHAnsi" w:hAnsiTheme="minorHAnsi" w:cstheme="minorHAnsi"/>
                <w:iCs/>
                <w:sz w:val="24"/>
                <w:szCs w:val="24"/>
              </w:rPr>
            </w:pPr>
          </w:p>
          <w:p w14:paraId="656676CB"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It is also important to consider how safeguarding may have looked had the neglect come from a someone else instead of been self-inflicted. If a carer or service provider had been responsible for the neglect, the case would likely have triggered mandatory enquiries under the safeguarding procedures. Neglect and alleged abuse by a professional / staff member in a professional or private capacity, are listed examples of when a strategy meeting should be organised. The strategy meeting is a forum to share information, ensure any interim protection plans are in place, consider the level of risk, define roles and responsibilities, consider wises and mental capacity, ensure assessments are completed and decide on a course of action (Wales Safeguarding Procedures (2026d). </w:t>
            </w:r>
          </w:p>
          <w:p w14:paraId="2D8B94BA" w14:textId="77777777" w:rsidR="003B5545" w:rsidRPr="00487A20" w:rsidRDefault="003B5545" w:rsidP="00487A20">
            <w:pPr>
              <w:jc w:val="both"/>
              <w:rPr>
                <w:rFonts w:asciiTheme="minorHAnsi" w:hAnsiTheme="minorHAnsi" w:cstheme="minorHAnsi"/>
                <w:iCs/>
                <w:sz w:val="24"/>
                <w:szCs w:val="24"/>
              </w:rPr>
            </w:pPr>
          </w:p>
          <w:p w14:paraId="26E82935"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Reflecting on this difference, makes me realise how unique self-neglect is as a safeguarding concern in Wales, and how the Service User’s rights and our professional duties need to be carefully balanced. Research suggests that it is important to try and engage, to offer all the support we can without causing distress, and to understand the limitations to our interventions if the person does not wish to engage (Social Care Institute for Excellence, 2024).</w:t>
            </w:r>
          </w:p>
          <w:p w14:paraId="432B6DAE" w14:textId="77777777" w:rsidR="00F1180F" w:rsidRPr="00487A20" w:rsidRDefault="00F1180F" w:rsidP="00487A20">
            <w:pPr>
              <w:jc w:val="both"/>
              <w:rPr>
                <w:rFonts w:asciiTheme="minorHAnsi" w:hAnsiTheme="minorHAnsi" w:cstheme="minorHAnsi"/>
                <w:iCs/>
                <w:sz w:val="24"/>
                <w:szCs w:val="24"/>
              </w:rPr>
            </w:pPr>
          </w:p>
          <w:p w14:paraId="33819977"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Reflecting further, I recognise the relevance of theories relating to change. The Transtheoretical Model explains that individuals move through stages of readiness when attempting to change behaviour, including pre contemplation, contemplation and action (The Decision Lab, 2026). Male 1’s reluctance to consider changes for himself, could be understood as moving through these stages. Where he was not ready to accept personal care but over time was willing to accept support with </w:t>
            </w:r>
            <w:r w:rsidRPr="00487A20">
              <w:rPr>
                <w:rFonts w:asciiTheme="minorHAnsi" w:hAnsiTheme="minorHAnsi" w:cstheme="minorHAnsi"/>
                <w:iCs/>
                <w:sz w:val="24"/>
                <w:szCs w:val="24"/>
              </w:rPr>
              <w:lastRenderedPageBreak/>
              <w:t xml:space="preserve">cleaning. This also helps to explain why some interventions failed and others did not, in explaining how timing and pacing can influence a person’s willingness to make changes. </w:t>
            </w:r>
          </w:p>
          <w:p w14:paraId="5DC77FD8" w14:textId="77777777" w:rsidR="00F1180F" w:rsidRPr="00487A20" w:rsidRDefault="00F1180F" w:rsidP="00487A20">
            <w:pPr>
              <w:jc w:val="both"/>
              <w:rPr>
                <w:rFonts w:asciiTheme="minorHAnsi" w:hAnsiTheme="minorHAnsi" w:cstheme="minorHAnsi"/>
                <w:iCs/>
                <w:sz w:val="24"/>
                <w:szCs w:val="24"/>
              </w:rPr>
            </w:pPr>
          </w:p>
          <w:p w14:paraId="0DE94173"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I will now consider the “Now what?” stage of Borton’s model of reflection. This final stage has a focus on learning from the analysis to determine next steps. This involves learning what can be taken away from the experience and how to use these insights for the future (McLeod, 2024).</w:t>
            </w:r>
          </w:p>
          <w:p w14:paraId="5D2D2C82" w14:textId="77777777" w:rsidR="00F1180F" w:rsidRPr="00487A20" w:rsidRDefault="00F1180F" w:rsidP="00487A20">
            <w:pPr>
              <w:jc w:val="both"/>
              <w:rPr>
                <w:rFonts w:asciiTheme="minorHAnsi" w:hAnsiTheme="minorHAnsi" w:cstheme="minorHAnsi"/>
                <w:iCs/>
                <w:sz w:val="24"/>
                <w:szCs w:val="24"/>
              </w:rPr>
            </w:pPr>
          </w:p>
          <w:p w14:paraId="48809CBD"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One of the most important learning points relates to my understanding the safeguarding processes in Wales beyond Section 126. Although safeguarding concerns were raised several times, no strategy discussion took place during my involvement. The case was spent working under Part 3 of the Social Services and Well-being (Wales) Act 2014, which focusses on the duty to assess the needs of an adult for care and support.</w:t>
            </w:r>
          </w:p>
          <w:p w14:paraId="182C0D2E" w14:textId="77777777" w:rsidR="00F1180F" w:rsidRPr="00487A20" w:rsidRDefault="00F1180F" w:rsidP="00487A20">
            <w:pPr>
              <w:jc w:val="both"/>
              <w:rPr>
                <w:rFonts w:asciiTheme="minorHAnsi" w:hAnsiTheme="minorHAnsi" w:cstheme="minorHAnsi"/>
                <w:iCs/>
                <w:sz w:val="24"/>
                <w:szCs w:val="24"/>
              </w:rPr>
            </w:pPr>
          </w:p>
          <w:p w14:paraId="0909CED6" w14:textId="0ECE9120"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Through critical reflection, and with reference to the Wales Safeguarding Procedures, I now have a clearer understanding of when a </w:t>
            </w:r>
            <w:r w:rsidR="00F1180F" w:rsidRPr="00487A20">
              <w:rPr>
                <w:rFonts w:asciiTheme="minorHAnsi" w:hAnsiTheme="minorHAnsi" w:cstheme="minorHAnsi"/>
                <w:iCs/>
                <w:sz w:val="24"/>
                <w:szCs w:val="24"/>
              </w:rPr>
              <w:t>multi-agency</w:t>
            </w:r>
            <w:r w:rsidRPr="00487A20">
              <w:rPr>
                <w:rFonts w:asciiTheme="minorHAnsi" w:hAnsiTheme="minorHAnsi" w:cstheme="minorHAnsi"/>
                <w:iCs/>
                <w:sz w:val="24"/>
                <w:szCs w:val="24"/>
              </w:rPr>
              <w:t xml:space="preserve"> safeguarding response should be sought in cases of </w:t>
            </w:r>
            <w:r w:rsidR="00F1180F" w:rsidRPr="00487A20">
              <w:rPr>
                <w:rFonts w:asciiTheme="minorHAnsi" w:hAnsiTheme="minorHAnsi" w:cstheme="minorHAnsi"/>
                <w:iCs/>
                <w:sz w:val="24"/>
                <w:szCs w:val="24"/>
              </w:rPr>
              <w:t>self-neglect</w:t>
            </w:r>
            <w:r w:rsidRPr="00487A20">
              <w:rPr>
                <w:rFonts w:asciiTheme="minorHAnsi" w:hAnsiTheme="minorHAnsi" w:cstheme="minorHAnsi"/>
                <w:iCs/>
                <w:sz w:val="24"/>
                <w:szCs w:val="24"/>
              </w:rPr>
              <w:t xml:space="preserve"> in Wales. The Procedures highlight that cases of persistent or severe </w:t>
            </w:r>
            <w:r w:rsidR="00F1180F" w:rsidRPr="00487A20">
              <w:rPr>
                <w:rFonts w:asciiTheme="minorHAnsi" w:hAnsiTheme="minorHAnsi" w:cstheme="minorHAnsi"/>
                <w:iCs/>
                <w:sz w:val="24"/>
                <w:szCs w:val="24"/>
              </w:rPr>
              <w:t>self-neglect</w:t>
            </w:r>
            <w:r w:rsidRPr="00487A20">
              <w:rPr>
                <w:rFonts w:asciiTheme="minorHAnsi" w:hAnsiTheme="minorHAnsi" w:cstheme="minorHAnsi"/>
                <w:iCs/>
                <w:sz w:val="24"/>
                <w:szCs w:val="24"/>
              </w:rPr>
              <w:t xml:space="preserve"> may still need a strategy discussion where a </w:t>
            </w:r>
            <w:r w:rsidR="00F1180F" w:rsidRPr="00487A20">
              <w:rPr>
                <w:rFonts w:asciiTheme="minorHAnsi" w:hAnsiTheme="minorHAnsi" w:cstheme="minorHAnsi"/>
                <w:iCs/>
                <w:sz w:val="24"/>
                <w:szCs w:val="24"/>
              </w:rPr>
              <w:t>multi-agency</w:t>
            </w:r>
            <w:r w:rsidRPr="00487A20">
              <w:rPr>
                <w:rFonts w:asciiTheme="minorHAnsi" w:hAnsiTheme="minorHAnsi" w:cstheme="minorHAnsi"/>
                <w:iCs/>
                <w:sz w:val="24"/>
                <w:szCs w:val="24"/>
              </w:rPr>
              <w:t xml:space="preserve"> approach could help support with risk management and planning, especially when a person is unable to protect themselves (Wales Safeguarding Procedures, 2026d). Also, where the threshold for a safeguarding strategy meeting is not met, I would now consider arranging for a High Risk/Self Neglect multi agency meeting to achieve shared ownership of risk and coordination of support (CYSUR, 2023). I now recognise that promoting for one or both meetings would have helped share responsibility and helped give a more structured approach to assessing the risk.</w:t>
            </w:r>
          </w:p>
          <w:p w14:paraId="5BEF972E" w14:textId="77777777" w:rsidR="00F1180F" w:rsidRPr="00487A20" w:rsidRDefault="00F1180F" w:rsidP="00487A20">
            <w:pPr>
              <w:jc w:val="both"/>
              <w:rPr>
                <w:rFonts w:asciiTheme="minorHAnsi" w:hAnsiTheme="minorHAnsi" w:cstheme="minorHAnsi"/>
                <w:iCs/>
                <w:sz w:val="24"/>
                <w:szCs w:val="24"/>
              </w:rPr>
            </w:pPr>
          </w:p>
          <w:p w14:paraId="5850A8DB"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This realisation helps to contribute to my professional development. I now have a greater understanding of the importance of evidencing risk clearly, documenting repeated concerns and ensuring that safeguarding and high-risk procedures are considered throughout, especially in cases of chronic self-neglect. </w:t>
            </w:r>
          </w:p>
          <w:p w14:paraId="1E9E13E8" w14:textId="77777777" w:rsidR="00F1180F" w:rsidRPr="00487A20" w:rsidRDefault="00F1180F" w:rsidP="00487A20">
            <w:pPr>
              <w:jc w:val="both"/>
              <w:rPr>
                <w:rFonts w:asciiTheme="minorHAnsi" w:hAnsiTheme="minorHAnsi" w:cstheme="minorHAnsi"/>
                <w:iCs/>
                <w:sz w:val="24"/>
                <w:szCs w:val="24"/>
              </w:rPr>
            </w:pPr>
          </w:p>
          <w:p w14:paraId="296AAD7B"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If I was involved in a similar case again, I would be more proactive in discussions with the safeguarding team, challenge the adult at risk criteria if needed and request a strategy discussion and/or a high-risk meeting. I now understand these safeguarding avenues as an opportunity to agree on a plan, clarify roles, share the level of risk management and see how they could provide both greater level of oversight and a help give a better response. The Code of Professional Practice for Social Care (the Code) emphasises acting with integrity and being accountable for the quality of our work, and advocating for multi-agency involvement where risk is prevalent supports these expectations (Social Care Wales, 2017).</w:t>
            </w:r>
          </w:p>
          <w:p w14:paraId="76D654DD" w14:textId="77777777" w:rsidR="00F1180F" w:rsidRPr="00487A20" w:rsidRDefault="00F1180F" w:rsidP="00487A20">
            <w:pPr>
              <w:jc w:val="both"/>
              <w:rPr>
                <w:rFonts w:asciiTheme="minorHAnsi" w:hAnsiTheme="minorHAnsi" w:cstheme="minorHAnsi"/>
                <w:iCs/>
                <w:sz w:val="24"/>
                <w:szCs w:val="24"/>
              </w:rPr>
            </w:pPr>
          </w:p>
          <w:p w14:paraId="7C8E0BF1"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The Code of Professional Practice for Social Care, also promotes respecting the views and wishes of those we work with, strive to establish and maintain trust, and promote the well-being and the rights of the individual (Social Care Wales, 2017). I am confident that I upheld these principles in my work with Male 1. I respected his wishes to remain at home, promoted his right to make decisions, and worked hard to build trust, even when he declined support increasing his risk. </w:t>
            </w:r>
          </w:p>
          <w:p w14:paraId="0813B902" w14:textId="77777777" w:rsidR="00F1180F" w:rsidRPr="00487A20" w:rsidRDefault="00F1180F" w:rsidP="00487A20">
            <w:pPr>
              <w:jc w:val="both"/>
              <w:rPr>
                <w:rFonts w:asciiTheme="minorHAnsi" w:hAnsiTheme="minorHAnsi" w:cstheme="minorHAnsi"/>
                <w:iCs/>
                <w:sz w:val="24"/>
                <w:szCs w:val="24"/>
              </w:rPr>
            </w:pPr>
          </w:p>
          <w:p w14:paraId="706D0898"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lastRenderedPageBreak/>
              <w:t>The National Occupational Standards (NOS) for Social Work are also important to consider. Key Role 3, promoting engagement and participation, include 4 standards: promote engagement and participation, engage people in social work practice, support people to participate in the decision-making process and advocate on behalf of others (Social Care Wales, 2023). Male 1 was heavily involved in discussions and decisions about his support, and I consistently attempted to advocate for him.</w:t>
            </w:r>
          </w:p>
          <w:p w14:paraId="4AD63DF3" w14:textId="77777777" w:rsidR="00F1180F" w:rsidRPr="00487A20" w:rsidRDefault="00F1180F" w:rsidP="00487A20">
            <w:pPr>
              <w:jc w:val="both"/>
              <w:rPr>
                <w:rFonts w:asciiTheme="minorHAnsi" w:hAnsiTheme="minorHAnsi" w:cstheme="minorHAnsi"/>
                <w:iCs/>
                <w:sz w:val="24"/>
                <w:szCs w:val="24"/>
              </w:rPr>
            </w:pPr>
          </w:p>
          <w:p w14:paraId="21EFACBA"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I also recognise the value of risk management in developing my professional judgement. Welsh Safeguarding Procedures suggest that the emphasis to risk assessment is on a sensible risk appraisal as opposed to striving to avoid all risk whatever the cost (Wales Safeguarding Procedures, 2026e). This is particularly relevant to self-neglect, where risk cannot be fully removed without ignoring a person’s rights. I have learned that a sensible and well documented approach to risk assessment is important to ensure that professional decisions are person centred, whilst still being thorough. In Male 1’s case, a clearer risk assessment could have helped support seeking multidisciplinary support, whether through a safeguarding strategy meeting or a high risk/self-neglect meeting.</w:t>
            </w:r>
          </w:p>
          <w:p w14:paraId="3E19D4E1" w14:textId="77777777" w:rsidR="00F1180F" w:rsidRPr="00487A20" w:rsidRDefault="00F1180F" w:rsidP="00487A20">
            <w:pPr>
              <w:jc w:val="both"/>
              <w:rPr>
                <w:rFonts w:asciiTheme="minorHAnsi" w:hAnsiTheme="minorHAnsi" w:cstheme="minorHAnsi"/>
                <w:iCs/>
                <w:sz w:val="24"/>
                <w:szCs w:val="24"/>
              </w:rPr>
            </w:pPr>
          </w:p>
          <w:p w14:paraId="02C218A4"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Learning about theories of change will also inform my future practice. The Transtheoretical Model suggests that individuals go through stages of readiness when it comes to making changes (The Decision Lab, 2026). In future cases, exploring this theory of readiness for change may allow me to think through more appropriate interventions, and think through the pacing which service users may need when it comes to willingness to engage.</w:t>
            </w:r>
          </w:p>
          <w:p w14:paraId="6339EDA0" w14:textId="77777777" w:rsidR="00F1180F" w:rsidRPr="00487A20" w:rsidRDefault="00F1180F" w:rsidP="00487A20">
            <w:pPr>
              <w:jc w:val="both"/>
              <w:rPr>
                <w:rFonts w:asciiTheme="minorHAnsi" w:hAnsiTheme="minorHAnsi" w:cstheme="minorHAnsi"/>
                <w:iCs/>
                <w:sz w:val="24"/>
                <w:szCs w:val="24"/>
              </w:rPr>
            </w:pPr>
          </w:p>
          <w:p w14:paraId="6B38007A" w14:textId="66E0CD5B"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Reflecting on the role of my working relationship with Male 1. I believe it was one of the most important factors which helped contribute to positive outcomes. Social Work is highly dependent on the maintenance of effective relationships, and effective relationships are central to successful outcomes (Kennedy, 2019). Strength based practice also reinforces the importance of a positive working relationship, in that it’s a collaborative process between the person supported and by those supporting them, allowing them to work together to determine an outcome that draws on the person strengths (Social Care Institute for Excellence, 2023)</w:t>
            </w:r>
            <w:r w:rsidR="008D72C6">
              <w:rPr>
                <w:rFonts w:asciiTheme="minorHAnsi" w:hAnsiTheme="minorHAnsi" w:cstheme="minorHAnsi"/>
                <w:iCs/>
                <w:sz w:val="24"/>
                <w:szCs w:val="24"/>
              </w:rPr>
              <w:t>.</w:t>
            </w:r>
          </w:p>
          <w:p w14:paraId="1657A477" w14:textId="77777777" w:rsidR="008D72C6" w:rsidRPr="00487A20" w:rsidRDefault="008D72C6" w:rsidP="00487A20">
            <w:pPr>
              <w:jc w:val="both"/>
              <w:rPr>
                <w:rFonts w:asciiTheme="minorHAnsi" w:hAnsiTheme="minorHAnsi" w:cstheme="minorHAnsi"/>
                <w:iCs/>
                <w:sz w:val="24"/>
                <w:szCs w:val="24"/>
              </w:rPr>
            </w:pPr>
          </w:p>
          <w:p w14:paraId="5E772B4D" w14:textId="1BE5344D"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My perseverance, respect for Male 1’s autonomy and efforts to work in a collaborative strength-based manner allowed us to build a positive working relationship. This relationship enabled him to accept support from the cleaner, whose person-centred approach further supported the value of the working relationship in social work practice. The success of this intervention has supported my belief that building trust is not only beneficial but likely essential in cases of </w:t>
            </w:r>
            <w:r w:rsidR="008D72C6" w:rsidRPr="00487A20">
              <w:rPr>
                <w:rFonts w:asciiTheme="minorHAnsi" w:hAnsiTheme="minorHAnsi" w:cstheme="minorHAnsi"/>
                <w:iCs/>
                <w:sz w:val="24"/>
                <w:szCs w:val="24"/>
              </w:rPr>
              <w:t>self-neglect</w:t>
            </w:r>
            <w:r w:rsidRPr="00487A20">
              <w:rPr>
                <w:rFonts w:asciiTheme="minorHAnsi" w:hAnsiTheme="minorHAnsi" w:cstheme="minorHAnsi"/>
                <w:iCs/>
                <w:sz w:val="24"/>
                <w:szCs w:val="24"/>
              </w:rPr>
              <w:t>.</w:t>
            </w:r>
          </w:p>
          <w:p w14:paraId="7B16D39D" w14:textId="77777777" w:rsidR="008D72C6" w:rsidRPr="00487A20" w:rsidRDefault="008D72C6" w:rsidP="00487A20">
            <w:pPr>
              <w:jc w:val="both"/>
              <w:rPr>
                <w:rFonts w:asciiTheme="minorHAnsi" w:hAnsiTheme="minorHAnsi" w:cstheme="minorHAnsi"/>
                <w:iCs/>
                <w:sz w:val="24"/>
                <w:szCs w:val="24"/>
              </w:rPr>
            </w:pPr>
          </w:p>
          <w:p w14:paraId="1CC517CB" w14:textId="4BE190E5"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Engaging with the self-neglect literature will be an ongoing element of my professional development. Research highlights that self-neglect requires a holistic approach that considers trauma, mental and physical health (Social Care Institute for Excellence, 2024). Their emphasis on analysis, person cantered, approaches, patience, trust and persistence relate to with my experience with Male 1. This reflection has helped me recognise that while respecting autonomy is important, Social Workers must continually analyse and document risk, as well as explore the underlying causes of the </w:t>
            </w:r>
            <w:r w:rsidR="008D72C6" w:rsidRPr="00487A20">
              <w:rPr>
                <w:rFonts w:asciiTheme="minorHAnsi" w:hAnsiTheme="minorHAnsi" w:cstheme="minorHAnsi"/>
                <w:iCs/>
                <w:sz w:val="24"/>
                <w:szCs w:val="24"/>
              </w:rPr>
              <w:t>self-neglect</w:t>
            </w:r>
            <w:r w:rsidRPr="00487A20">
              <w:rPr>
                <w:rFonts w:asciiTheme="minorHAnsi" w:hAnsiTheme="minorHAnsi" w:cstheme="minorHAnsi"/>
                <w:iCs/>
                <w:sz w:val="24"/>
                <w:szCs w:val="24"/>
              </w:rPr>
              <w:t>.</w:t>
            </w:r>
          </w:p>
          <w:p w14:paraId="065E9AB2" w14:textId="77777777" w:rsidR="008D72C6" w:rsidRPr="00487A20" w:rsidRDefault="008D72C6" w:rsidP="00487A20">
            <w:pPr>
              <w:jc w:val="both"/>
              <w:rPr>
                <w:rFonts w:asciiTheme="minorHAnsi" w:hAnsiTheme="minorHAnsi" w:cstheme="minorHAnsi"/>
                <w:iCs/>
                <w:sz w:val="24"/>
                <w:szCs w:val="24"/>
              </w:rPr>
            </w:pPr>
          </w:p>
          <w:p w14:paraId="502E9306"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lastRenderedPageBreak/>
              <w:t>I have also learned the importance of documenting safeguarding decisions, conversations about risk, and to consider mental capacity at greater depth. For future similar cases, I would further consider the Section 126 adult at risk criteria, record any decisions about escalating to strategy discussion or referrals to the High Risk/Self Neglect multi agency meetings (or regional equivalent), to help support multi agency communication (CYSUR, 2023).</w:t>
            </w:r>
          </w:p>
          <w:p w14:paraId="0E00A79C" w14:textId="77777777" w:rsidR="008D72C6" w:rsidRPr="00487A20" w:rsidRDefault="008D72C6" w:rsidP="00487A20">
            <w:pPr>
              <w:jc w:val="both"/>
              <w:rPr>
                <w:rFonts w:asciiTheme="minorHAnsi" w:hAnsiTheme="minorHAnsi" w:cstheme="minorHAnsi"/>
                <w:iCs/>
                <w:sz w:val="24"/>
                <w:szCs w:val="24"/>
              </w:rPr>
            </w:pPr>
          </w:p>
          <w:p w14:paraId="25CB2393" w14:textId="77777777"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In conclusion, I return to the importance the importance of the relationship in this this case. Although not all Male 1’s needs were met, particularly around personal care, successful interventions were achieved by respecting his autonomy, listening to his preferences and building trusting relationships. Over time, Male 1 confided about previous trips abroad as well as personal romantic encounters he had been through. His reminder, “At least we’re not in Gaza” demonstrated his ability to maintain humour and perspective even when in a challenging situation. I feel privileged to have supported him, and the experience has helped support that compassionate, person focused practice can make a significant difference in safeguarding contexts.</w:t>
            </w:r>
          </w:p>
          <w:p w14:paraId="63223B6D" w14:textId="77777777" w:rsidR="008D72C6" w:rsidRPr="00487A20" w:rsidRDefault="008D72C6" w:rsidP="00487A20">
            <w:pPr>
              <w:jc w:val="both"/>
              <w:rPr>
                <w:rFonts w:asciiTheme="minorHAnsi" w:hAnsiTheme="minorHAnsi" w:cstheme="minorHAnsi"/>
                <w:iCs/>
                <w:sz w:val="24"/>
                <w:szCs w:val="24"/>
              </w:rPr>
            </w:pPr>
          </w:p>
          <w:p w14:paraId="7D20826F" w14:textId="7E14B355" w:rsidR="00487A20"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 xml:space="preserve">This reflection has also helped develop my understanding of safeguarding procedures in Wales, the complexity of </w:t>
            </w:r>
            <w:r w:rsidR="008D72C6" w:rsidRPr="00487A20">
              <w:rPr>
                <w:rFonts w:asciiTheme="minorHAnsi" w:hAnsiTheme="minorHAnsi" w:cstheme="minorHAnsi"/>
                <w:iCs/>
                <w:sz w:val="24"/>
                <w:szCs w:val="24"/>
              </w:rPr>
              <w:t>self-neglect</w:t>
            </w:r>
            <w:r w:rsidRPr="00487A20">
              <w:rPr>
                <w:rFonts w:asciiTheme="minorHAnsi" w:hAnsiTheme="minorHAnsi" w:cstheme="minorHAnsi"/>
                <w:iCs/>
                <w:sz w:val="24"/>
                <w:szCs w:val="24"/>
              </w:rPr>
              <w:t xml:space="preserve">, and the need for reflective and theory informed practice. I now have a deeper understanding of the need for </w:t>
            </w:r>
            <w:r w:rsidR="008D72C6" w:rsidRPr="00487A20">
              <w:rPr>
                <w:rFonts w:asciiTheme="minorHAnsi" w:hAnsiTheme="minorHAnsi" w:cstheme="minorHAnsi"/>
                <w:iCs/>
                <w:sz w:val="24"/>
                <w:szCs w:val="24"/>
              </w:rPr>
              <w:t>multi-agency</w:t>
            </w:r>
            <w:r w:rsidRPr="00487A20">
              <w:rPr>
                <w:rFonts w:asciiTheme="minorHAnsi" w:hAnsiTheme="minorHAnsi" w:cstheme="minorHAnsi"/>
                <w:iCs/>
                <w:sz w:val="24"/>
                <w:szCs w:val="24"/>
              </w:rPr>
              <w:t xml:space="preserve"> </w:t>
            </w:r>
            <w:proofErr w:type="gramStart"/>
            <w:r w:rsidR="008D72C6" w:rsidRPr="00487A20">
              <w:rPr>
                <w:rFonts w:asciiTheme="minorHAnsi" w:hAnsiTheme="minorHAnsi" w:cstheme="minorHAnsi"/>
                <w:iCs/>
                <w:sz w:val="24"/>
                <w:szCs w:val="24"/>
              </w:rPr>
              <w:t>working</w:t>
            </w:r>
            <w:r w:rsidR="008D72C6">
              <w:rPr>
                <w:rFonts w:asciiTheme="minorHAnsi" w:hAnsiTheme="minorHAnsi" w:cstheme="minorHAnsi"/>
                <w:iCs/>
                <w:sz w:val="24"/>
                <w:szCs w:val="24"/>
              </w:rPr>
              <w:t>,</w:t>
            </w:r>
            <w:proofErr w:type="gramEnd"/>
            <w:r w:rsidRPr="00487A20">
              <w:rPr>
                <w:rFonts w:asciiTheme="minorHAnsi" w:hAnsiTheme="minorHAnsi" w:cstheme="minorHAnsi"/>
                <w:iCs/>
                <w:sz w:val="24"/>
                <w:szCs w:val="24"/>
              </w:rPr>
              <w:t xml:space="preserve"> the importance of advocating for safeguarding processes and the need for clear, evidence-based decision making. Ultimately, this reflection has strengthened my commitment to person centred social work practice and has provided learning that will help shape my work with adults at risk in the future.</w:t>
            </w:r>
          </w:p>
          <w:p w14:paraId="37C991DF" w14:textId="77777777" w:rsidR="008D72C6" w:rsidRPr="00487A20" w:rsidRDefault="008D72C6" w:rsidP="00487A20">
            <w:pPr>
              <w:jc w:val="both"/>
              <w:rPr>
                <w:rFonts w:asciiTheme="minorHAnsi" w:hAnsiTheme="minorHAnsi" w:cstheme="minorHAnsi"/>
                <w:iCs/>
                <w:sz w:val="24"/>
                <w:szCs w:val="24"/>
              </w:rPr>
            </w:pPr>
          </w:p>
          <w:p w14:paraId="47F21B6A" w14:textId="406CEAA8" w:rsidR="007A628F" w:rsidRPr="00CC6A55" w:rsidRDefault="00487A20" w:rsidP="00487A20">
            <w:pPr>
              <w:jc w:val="both"/>
              <w:rPr>
                <w:rFonts w:asciiTheme="minorHAnsi" w:hAnsiTheme="minorHAnsi" w:cstheme="minorHAnsi"/>
                <w:iCs/>
                <w:sz w:val="24"/>
                <w:szCs w:val="24"/>
              </w:rPr>
            </w:pPr>
            <w:r w:rsidRPr="00487A20">
              <w:rPr>
                <w:rFonts w:asciiTheme="minorHAnsi" w:hAnsiTheme="minorHAnsi" w:cstheme="minorHAnsi"/>
                <w:iCs/>
                <w:sz w:val="24"/>
                <w:szCs w:val="24"/>
              </w:rPr>
              <w:t>Word Count: 438</w:t>
            </w:r>
            <w:r w:rsidR="00D10F47">
              <w:rPr>
                <w:rFonts w:asciiTheme="minorHAnsi" w:hAnsiTheme="minorHAnsi" w:cstheme="minorHAnsi"/>
                <w:iCs/>
                <w:sz w:val="24"/>
                <w:szCs w:val="24"/>
              </w:rPr>
              <w:t>9</w:t>
            </w:r>
          </w:p>
        </w:tc>
      </w:tr>
    </w:tbl>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5A155F" w14:textId="77777777" w:rsidR="00E57BD2" w:rsidRDefault="00E57BD2">
      <w:r>
        <w:separator/>
      </w:r>
    </w:p>
  </w:endnote>
  <w:endnote w:type="continuationSeparator" w:id="0">
    <w:p w14:paraId="4D1F9F06" w14:textId="77777777" w:rsidR="00E57BD2" w:rsidRDefault="00E57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F45C6" w14:textId="77777777" w:rsidR="00E57BD2" w:rsidRDefault="00E57BD2">
      <w:r>
        <w:separator/>
      </w:r>
    </w:p>
  </w:footnote>
  <w:footnote w:type="continuationSeparator" w:id="0">
    <w:p w14:paraId="19AC7E1C" w14:textId="77777777" w:rsidR="00E57BD2" w:rsidRDefault="00E57B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0BEE"/>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8A7"/>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6E73"/>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554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4D6"/>
    <w:rsid w:val="00473153"/>
    <w:rsid w:val="0047350F"/>
    <w:rsid w:val="004743AF"/>
    <w:rsid w:val="00482C17"/>
    <w:rsid w:val="00484CE3"/>
    <w:rsid w:val="00487A20"/>
    <w:rsid w:val="004911B4"/>
    <w:rsid w:val="0049196A"/>
    <w:rsid w:val="004923DA"/>
    <w:rsid w:val="00492EEB"/>
    <w:rsid w:val="00493434"/>
    <w:rsid w:val="004968E2"/>
    <w:rsid w:val="004A2A49"/>
    <w:rsid w:val="004A4D4D"/>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68AB"/>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247"/>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2C36"/>
    <w:rsid w:val="00734809"/>
    <w:rsid w:val="00736B28"/>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AF3"/>
    <w:rsid w:val="008859E8"/>
    <w:rsid w:val="0088737B"/>
    <w:rsid w:val="00891078"/>
    <w:rsid w:val="00892716"/>
    <w:rsid w:val="00893067"/>
    <w:rsid w:val="008933DE"/>
    <w:rsid w:val="00895FCE"/>
    <w:rsid w:val="00897F3E"/>
    <w:rsid w:val="008A21B4"/>
    <w:rsid w:val="008B07DE"/>
    <w:rsid w:val="008B1309"/>
    <w:rsid w:val="008B28E7"/>
    <w:rsid w:val="008B67F6"/>
    <w:rsid w:val="008B6D14"/>
    <w:rsid w:val="008C14C7"/>
    <w:rsid w:val="008C2FFB"/>
    <w:rsid w:val="008C633F"/>
    <w:rsid w:val="008C6EEA"/>
    <w:rsid w:val="008C7770"/>
    <w:rsid w:val="008C79C7"/>
    <w:rsid w:val="008D03B0"/>
    <w:rsid w:val="008D2150"/>
    <w:rsid w:val="008D5813"/>
    <w:rsid w:val="008D5999"/>
    <w:rsid w:val="008D634E"/>
    <w:rsid w:val="008D72C6"/>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67DE"/>
    <w:rsid w:val="0094495F"/>
    <w:rsid w:val="009544C0"/>
    <w:rsid w:val="00954FA4"/>
    <w:rsid w:val="00956AE9"/>
    <w:rsid w:val="00964CC6"/>
    <w:rsid w:val="009670F7"/>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2478"/>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A26"/>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EF7"/>
    <w:rsid w:val="00BB5F11"/>
    <w:rsid w:val="00BB6638"/>
    <w:rsid w:val="00BB7FD2"/>
    <w:rsid w:val="00BC04FA"/>
    <w:rsid w:val="00BC1C22"/>
    <w:rsid w:val="00BC460B"/>
    <w:rsid w:val="00BC4ED3"/>
    <w:rsid w:val="00BC5725"/>
    <w:rsid w:val="00BD30B1"/>
    <w:rsid w:val="00BD7F02"/>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6A55"/>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F47"/>
    <w:rsid w:val="00D146AE"/>
    <w:rsid w:val="00D20E3B"/>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5585"/>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BD2"/>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2DE"/>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80F"/>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4411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Pugh</cp:lastModifiedBy>
  <cp:revision>27</cp:revision>
  <cp:lastPrinted>2020-02-11T19:20:00Z</cp:lastPrinted>
  <dcterms:created xsi:type="dcterms:W3CDTF">2022-09-29T11:34:00Z</dcterms:created>
  <dcterms:modified xsi:type="dcterms:W3CDTF">2026-02-24T11:48:00Z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