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b w:val="1"/>
          <w:bCs w:val="1"/>
          <w:i w:val="1"/>
          <w:iCs w:val="1"/>
          <w:color w:val="000000"/>
          <w:sz w:val="88"/>
          <w:szCs w:val="88"/>
        </w:rPr>
      </w:pPr>
      <w:bookmarkStart w:colFirst="0" w:colLast="0" w:name="_g2fbjonza1ni" w:id="0"/>
      <w:bookmarkEnd w:id="0"/>
      <w:r w:rsidDel="00000000" w:rsidR="00000000" w:rsidRPr="00000000">
        <w:rPr>
          <w:rtl w:val="0"/>
        </w:rPr>
      </w:r>
    </w:p>
    <w:p w:rsidR="00000000" w:rsidDel="00000000" w:rsidP="00000000" w:rsidRDefault="00000000" w:rsidRPr="00000000" w14:paraId="00000002">
      <w:pPr>
        <w:jc w:val="center"/>
        <w:rPr>
          <w:b w:val="1"/>
          <w:bCs w:val="1"/>
          <w:i w:val="1"/>
          <w:iCs w:val="1"/>
        </w:rPr>
      </w:pPr>
      <w:r w:rsidDel="00000000" w:rsidR="00000000" w:rsidRPr="00000000">
        <w:rPr>
          <w:b w:val="1"/>
          <w:bCs w:val="1"/>
          <w:i w:val="1"/>
          <w:iCs w:val="1"/>
          <w:rtl w:val="0"/>
        </w:rPr>
        <w:t xml:space="preserve">Name: Sehrash Ali</w:t>
      </w:r>
    </w:p>
    <w:p w:rsidR="00000000" w:rsidDel="00000000" w:rsidP="00000000" w:rsidRDefault="00000000" w:rsidRPr="00000000" w14:paraId="00000003">
      <w:pPr>
        <w:jc w:val="center"/>
        <w:rPr>
          <w:b w:val="1"/>
          <w:bCs w:val="1"/>
          <w:i w:val="1"/>
          <w:iCs w:val="1"/>
        </w:rPr>
      </w:pPr>
      <w:r w:rsidDel="00000000" w:rsidR="00000000" w:rsidRPr="00000000">
        <w:rPr>
          <w:b w:val="1"/>
          <w:bCs w:val="1"/>
          <w:i w:val="1"/>
          <w:iCs w:val="1"/>
          <w:rtl w:val="0"/>
        </w:rPr>
        <w:t xml:space="preserve">Student id: 2440353</w:t>
      </w:r>
    </w:p>
    <w:p w:rsidR="00000000" w:rsidDel="00000000" w:rsidP="00000000" w:rsidRDefault="00000000" w:rsidRPr="00000000" w14:paraId="00000004">
      <w:pPr>
        <w:jc w:val="center"/>
        <w:rPr>
          <w:b w:val="1"/>
          <w:bCs w:val="1"/>
          <w:i w:val="1"/>
          <w:iCs w:val="1"/>
        </w:rPr>
      </w:pPr>
      <w:r w:rsidDel="00000000" w:rsidR="00000000" w:rsidRPr="00000000">
        <w:rPr>
          <w:b w:val="1"/>
          <w:bCs w:val="1"/>
          <w:i w:val="1"/>
          <w:iCs w:val="1"/>
          <w:rtl w:val="0"/>
        </w:rPr>
        <w:t xml:space="preserve">Module code: LCH4003</w:t>
      </w:r>
    </w:p>
    <w:p w:rsidR="00000000" w:rsidDel="00000000" w:rsidP="00000000" w:rsidRDefault="00000000" w:rsidRPr="00000000" w14:paraId="00000005">
      <w:pPr>
        <w:jc w:val="center"/>
        <w:rPr>
          <w:b w:val="1"/>
          <w:bCs w:val="1"/>
          <w:i w:val="1"/>
          <w:iCs w:val="1"/>
        </w:rPr>
      </w:pPr>
      <w:r w:rsidDel="00000000" w:rsidR="00000000" w:rsidRPr="00000000">
        <w:rPr>
          <w:b w:val="1"/>
          <w:bCs w:val="1"/>
          <w:i w:val="1"/>
          <w:iCs w:val="1"/>
          <w:rtl w:val="0"/>
        </w:rPr>
        <w:t xml:space="preserve">Lecturer: Mumtaz Goolam</w:t>
      </w:r>
    </w:p>
    <w:p w:rsidR="00000000" w:rsidDel="00000000" w:rsidP="00000000" w:rsidRDefault="00000000" w:rsidRPr="00000000" w14:paraId="00000006">
      <w:pPr>
        <w:jc w:val="center"/>
        <w:rPr>
          <w:b w:val="1"/>
          <w:bCs w:val="1"/>
          <w:i w:val="1"/>
          <w:iCs w:val="1"/>
        </w:rPr>
      </w:pPr>
      <w:r w:rsidDel="00000000" w:rsidR="00000000" w:rsidRPr="00000000">
        <w:rPr>
          <w:rtl w:val="0"/>
        </w:rPr>
      </w:r>
    </w:p>
    <w:p w:rsidR="00000000" w:rsidDel="00000000" w:rsidP="00000000" w:rsidRDefault="00000000" w:rsidRPr="00000000" w14:paraId="00000007">
      <w:pPr>
        <w:jc w:val="center"/>
        <w:rPr>
          <w:b w:val="1"/>
          <w:bCs w:val="1"/>
          <w:i w:val="1"/>
          <w:iCs w:val="1"/>
          <w:color w:val="000000"/>
          <w:sz w:val="56"/>
          <w:szCs w:val="56"/>
        </w:rPr>
      </w:pPr>
      <w:r w:rsidDel="00000000" w:rsidR="00000000" w:rsidRPr="00000000">
        <w:rPr>
          <w:b w:val="1"/>
          <w:bCs w:val="1"/>
          <w:i w:val="1"/>
          <w:iCs w:val="1"/>
          <w:color w:val="000000"/>
          <w:sz w:val="56"/>
          <w:szCs w:val="56"/>
          <w:rtl w:val="0"/>
        </w:rPr>
        <w:t xml:space="preserve">LCHS4003 Introduction to Health and Social Care Portfolio  </w:t>
      </w:r>
    </w:p>
    <w:p w:rsidR="00000000" w:rsidDel="00000000" w:rsidP="00000000" w:rsidRDefault="00000000" w:rsidRPr="00000000" w14:paraId="00000008">
      <w:pPr>
        <w:jc w:val="left"/>
        <w:rPr>
          <w:sz w:val="20"/>
          <w:szCs w:val="20"/>
        </w:rPr>
      </w:pPr>
      <w:r w:rsidDel="00000000" w:rsidR="00000000" w:rsidRPr="00000000">
        <w:rPr>
          <w:rtl w:val="0"/>
        </w:rPr>
      </w:r>
    </w:p>
    <w:p w:rsidR="00000000" w:rsidDel="00000000" w:rsidP="00000000" w:rsidRDefault="00000000" w:rsidRPr="00000000" w14:paraId="00000009">
      <w:pPr>
        <w:keepNext w:val="1"/>
        <w:keepLines w:val="0"/>
        <w:pageBreakBefore w:val="1"/>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Table of Contents</w:t>
      </w:r>
    </w:p>
    <w:sdt>
      <w:sdtPr>
        <w:id w:val="-848959992"/>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1 Poster</w:t>
            <w:tab/>
          </w:r>
          <w:r w:rsidDel="00000000" w:rsidR="00000000" w:rsidRPr="00000000">
            <w:fldChar w:fldCharType="begin"/>
            <w:instrText xml:space="preserve"> PAGEREF _ocgwy3f6w0sj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r w:rsidDel="00000000" w:rsidR="00000000" w:rsidRPr="00000000">
            <w:fldChar w:fldCharType="begin"/>
            <w:instrText xml:space="preserve"> HYPERLINK \l "_ocgwy3f6w0sj"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2</w:t>
            <w:tab/>
          </w:r>
          <w:r w:rsidDel="00000000" w:rsidR="00000000" w:rsidRPr="00000000">
            <w:fldChar w:fldCharType="begin"/>
            <w:instrText xml:space="preserve"> PAGEREF _14pvesxdxy0l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r w:rsidDel="00000000" w:rsidR="00000000" w:rsidRPr="00000000">
            <w:fldChar w:fldCharType="begin"/>
            <w:instrText xml:space="preserve"> HYPERLINK \l "_14pvesxdxy0l"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r>
          <w:r w:rsidDel="00000000" w:rsidR="00000000" w:rsidRPr="00000000">
            <w:fldChar w:fldCharType="begin"/>
            <w:instrText xml:space="preserve"> PAGEREF _ynwgd6lxhe5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r w:rsidDel="00000000" w:rsidR="00000000" w:rsidRPr="00000000">
            <w:fldChar w:fldCharType="begin"/>
            <w:instrText xml:space="preserve"> HYPERLINK \l "_ynwgd6lxhe5"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Origins and Historical Context</w:t>
            <w:tab/>
          </w:r>
          <w:r w:rsidDel="00000000" w:rsidR="00000000" w:rsidRPr="00000000">
            <w:fldChar w:fldCharType="begin"/>
            <w:instrText xml:space="preserve"> PAGEREF _3sce5loyvamr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r w:rsidDel="00000000" w:rsidR="00000000" w:rsidRPr="00000000">
            <w:fldChar w:fldCharType="begin"/>
            <w:instrText xml:space="preserve"> HYPERLINK \l "_3sce5loyvamr"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Critical Evaluation of Current Functioning</w:t>
            <w:tab/>
          </w:r>
          <w:r w:rsidDel="00000000" w:rsidR="00000000" w:rsidRPr="00000000">
            <w:fldChar w:fldCharType="begin"/>
            <w:instrText xml:space="preserve"> PAGEREF _lhjxmoi0u7dr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r w:rsidDel="00000000" w:rsidR="00000000" w:rsidRPr="00000000">
            <w:fldChar w:fldCharType="begin"/>
            <w:instrText xml:space="preserve"> HYPERLINK \l "_lhjxmoi0u7dr"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Significance for Quality of Life</w:t>
            <w:tab/>
          </w:r>
          <w:r w:rsidDel="00000000" w:rsidR="00000000" w:rsidRPr="00000000">
            <w:fldChar w:fldCharType="begin"/>
            <w:instrText xml:space="preserve"> PAGEREF _z8xf7uxwlmxb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r w:rsidDel="00000000" w:rsidR="00000000" w:rsidRPr="00000000">
            <w:fldChar w:fldCharType="begin"/>
            <w:instrText xml:space="preserve"> HYPERLINK \l "_z8xf7uxwlmxb"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r>
          <w:r w:rsidDel="00000000" w:rsidR="00000000" w:rsidRPr="00000000">
            <w:fldChar w:fldCharType="begin"/>
            <w:instrText xml:space="preserve"> PAGEREF _ytw5q0ikijel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w:t>
          </w:r>
          <w:r w:rsidDel="00000000" w:rsidR="00000000" w:rsidRPr="00000000">
            <w:fldChar w:fldCharType="begin"/>
            <w:instrText xml:space="preserve"> HYPERLINK \l "_ytw5q0ikijel"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r>
          <w:r w:rsidDel="00000000" w:rsidR="00000000" w:rsidRPr="00000000">
            <w:fldChar w:fldCharType="begin"/>
            <w:instrText xml:space="preserve"> PAGEREF _i15xkjraiibr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w:t>
          </w:r>
          <w:r w:rsidDel="00000000" w:rsidR="00000000" w:rsidRPr="00000000">
            <w:fldChar w:fldCharType="begin"/>
            <w:instrText xml:space="preserve"> HYPERLINK \l "_i15xkjraiibr"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rPr>
          <w:color w:val="000000"/>
        </w:rPr>
      </w:pPr>
      <w:r w:rsidDel="00000000" w:rsidR="00000000" w:rsidRPr="00000000">
        <w:rPr>
          <w:rtl w:val="0"/>
        </w:rPr>
      </w:r>
    </w:p>
    <w:p w:rsidR="00000000" w:rsidDel="00000000" w:rsidP="00000000" w:rsidRDefault="00000000" w:rsidRPr="00000000" w14:paraId="00000014">
      <w:pPr>
        <w:rPr>
          <w:color w:val="000000"/>
        </w:rPr>
      </w:pPr>
      <w:r w:rsidDel="00000000" w:rsidR="00000000" w:rsidRPr="00000000">
        <w:rPr>
          <w:rtl w:val="0"/>
        </w:rPr>
      </w:r>
    </w:p>
    <w:p w:rsidR="00000000" w:rsidDel="00000000" w:rsidP="00000000" w:rsidRDefault="00000000" w:rsidRPr="00000000" w14:paraId="00000015">
      <w:pPr>
        <w:rPr>
          <w:color w:val="000000"/>
        </w:rPr>
      </w:pPr>
      <w:r w:rsidDel="00000000" w:rsidR="00000000" w:rsidRPr="00000000">
        <w:rPr>
          <w:rtl w:val="0"/>
        </w:rPr>
      </w:r>
    </w:p>
    <w:p w:rsidR="00000000" w:rsidDel="00000000" w:rsidP="00000000" w:rsidRDefault="00000000" w:rsidRPr="00000000" w14:paraId="00000016">
      <w:pPr>
        <w:pStyle w:val="Heading1"/>
        <w:numPr>
          <w:ilvl w:val="0"/>
          <w:numId w:val="1"/>
        </w:numPr>
        <w:ind w:left="432" w:hanging="432"/>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numPr>
          <w:ilvl w:val="0"/>
          <w:numId w:val="1"/>
        </w:numPr>
        <w:ind w:left="432" w:hanging="432"/>
        <w:rPr/>
      </w:pPr>
      <w:bookmarkStart w:colFirst="0" w:colLast="0" w:name="_ocgwy3f6w0sj" w:id="1"/>
      <w:bookmarkEnd w:id="1"/>
      <w:r w:rsidDel="00000000" w:rsidR="00000000" w:rsidRPr="00000000">
        <w:rPr>
          <w:rtl w:val="0"/>
        </w:rPr>
        <w:t xml:space="preserve">Task 1 Poster</w:t>
      </w:r>
    </w:p>
    <w:p w:rsidR="00000000" w:rsidDel="00000000" w:rsidP="00000000" w:rsidRDefault="00000000" w:rsidRPr="00000000" w14:paraId="00000018">
      <w:pPr>
        <w:rPr/>
      </w:pPr>
      <w:r w:rsidDel="00000000" w:rsidR="00000000" w:rsidRPr="00000000">
        <w:rPr/>
        <w:drawing>
          <wp:inline distB="0" distT="0" distL="0" distR="0">
            <wp:extent cx="5943600" cy="44481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4448175"/>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pStyle w:val="Heading1"/>
        <w:numPr>
          <w:ilvl w:val="0"/>
          <w:numId w:val="1"/>
        </w:numPr>
        <w:ind w:left="432" w:hanging="432"/>
        <w:jc w:val="left"/>
        <w:rPr/>
      </w:pPr>
      <w:r w:rsidDel="00000000" w:rsidR="00000000" w:rsidRPr="00000000">
        <w:rPr>
          <w:rtl w:val="0"/>
        </w:rPr>
      </w:r>
    </w:p>
    <w:p w:rsidR="00000000" w:rsidDel="00000000" w:rsidP="00000000" w:rsidRDefault="00000000" w:rsidRPr="00000000" w14:paraId="0000001A">
      <w:pPr>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numPr>
          <w:ilvl w:val="0"/>
          <w:numId w:val="1"/>
        </w:numPr>
        <w:ind w:left="432" w:hanging="432"/>
        <w:jc w:val="left"/>
        <w:rPr>
          <w:color w:val="000000"/>
        </w:rPr>
      </w:pPr>
      <w:bookmarkStart w:colFirst="0" w:colLast="0" w:name="_14pvesxdxy0l" w:id="2"/>
      <w:bookmarkEnd w:id="2"/>
      <w:r w:rsidDel="00000000" w:rsidR="00000000" w:rsidRPr="00000000">
        <w:rPr>
          <w:color w:val="000000"/>
          <w:rtl w:val="0"/>
        </w:rPr>
        <w:t xml:space="preserve">Task 2</w:t>
      </w:r>
    </w:p>
    <w:p w:rsidR="00000000" w:rsidDel="00000000" w:rsidP="00000000" w:rsidRDefault="00000000" w:rsidRPr="00000000" w14:paraId="0000001C">
      <w:pPr>
        <w:pStyle w:val="Heading1"/>
        <w:numPr>
          <w:ilvl w:val="0"/>
          <w:numId w:val="1"/>
        </w:numPr>
        <w:ind w:left="432" w:hanging="432"/>
        <w:jc w:val="left"/>
        <w:rPr>
          <w:color w:val="000000"/>
        </w:rPr>
      </w:pPr>
      <w:bookmarkStart w:colFirst="0" w:colLast="0" w:name="_ynwgd6lxhe5" w:id="3"/>
      <w:bookmarkEnd w:id="3"/>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Community based antenatal midwifery services Community based midwifery Services involve structured care of pregnancy needs given by either a known midwife or in a small group during pregnancy and postnatal period including birth and early childhood, which emphasizes relational continuity and personalised care. This essay addresses their historical background, critically reviews the current operation in the UK as well as their impacts on the quality of life of a mother based on evidence research on the topic (National maternity Review, 2016).</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pStyle w:val="Heading1"/>
        <w:numPr>
          <w:ilvl w:val="0"/>
          <w:numId w:val="1"/>
        </w:numPr>
        <w:ind w:left="432" w:hanging="432"/>
        <w:rPr/>
      </w:pPr>
      <w:bookmarkStart w:colFirst="0" w:colLast="0" w:name="_3sce5loyvamr" w:id="4"/>
      <w:bookmarkEnd w:id="4"/>
      <w:r w:rsidDel="00000000" w:rsidR="00000000" w:rsidRPr="00000000">
        <w:rPr>
          <w:rtl w:val="0"/>
        </w:rPr>
        <w:t xml:space="preserve">Origins and Historical Context</w:t>
      </w:r>
    </w:p>
    <w:p w:rsidR="00000000" w:rsidDel="00000000" w:rsidP="00000000" w:rsidRDefault="00000000" w:rsidRPr="00000000" w14:paraId="00000020">
      <w:pPr>
        <w:rPr/>
      </w:pPr>
      <w:r w:rsidDel="00000000" w:rsidR="00000000" w:rsidRPr="00000000">
        <w:rPr>
          <w:rtl w:val="0"/>
        </w:rPr>
        <w:t xml:space="preserve">The restructuring of community antenatal midwifery in the UK has occurred in relation to the previously fragmented state of pregnancy care in the country leading to integrational, relational care on the basis of national policy. Organised professionalisation of midwifery At Michigan With the establishment of Nurses, Midwives and Health Visitors Act 1979, midwifery as a legal occupation kept growing, by being professionally trained and policed. In response, the Better Births review of 2016 suggested that many make use of the continuity of carer where a Midwife or small group of midwives offers care to women at the stages of pregnancy, childbirth and postnatal stage to improve outcomes and personal experience (Royal College of Midwives, 2018). This change is symptomatic of broader health policy agendas of individualised and preventative and community-based and woman-centred maternity agendas.</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1"/>
        <w:numPr>
          <w:ilvl w:val="0"/>
          <w:numId w:val="1"/>
        </w:numPr>
        <w:ind w:left="432" w:hanging="432"/>
        <w:rPr/>
      </w:pPr>
      <w:bookmarkStart w:colFirst="0" w:colLast="0" w:name="_lhjxmoi0u7dr" w:id="5"/>
      <w:bookmarkEnd w:id="5"/>
      <w:r w:rsidDel="00000000" w:rsidR="00000000" w:rsidRPr="00000000">
        <w:rPr>
          <w:rtl w:val="0"/>
        </w:rPr>
        <w:t xml:space="preserve">Critical Evaluation of Current Functioning</w:t>
      </w:r>
    </w:p>
    <w:p w:rsidR="00000000" w:rsidDel="00000000" w:rsidP="00000000" w:rsidRDefault="00000000" w:rsidRPr="00000000" w14:paraId="00000023">
      <w:pPr>
        <w:rPr/>
      </w:pPr>
      <w:r w:rsidDel="00000000" w:rsidR="00000000" w:rsidRPr="00000000">
        <w:rPr>
          <w:rtl w:val="0"/>
        </w:rPr>
        <w:t xml:space="preserve">The reorganisation of the UK Community antenatal midwifery is in continuity of carer whereby it is attended to by the same carrier or few people through pregnancy, birth and postnatal. The rates of intervention, perinatal outcomes, and maternal satisfaction are also low with this policy-supported and systematic evidence-based model compared to the rates of fragmented care. An example of Cochrane-type evidence base is that, continuity in midwifery facilitates better clinical outcomes, even more so reduced preterm birth rates and better perinatal survival outcome, and the ongoing relational care results in trust as well as joint decisions (Fernandez Turienzo et al., 2020).</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b w:val="1"/>
          <w:bCs w:val="1"/>
        </w:rPr>
      </w:pPr>
      <w:r w:rsidDel="00000000" w:rsidR="00000000" w:rsidRPr="00000000">
        <w:rPr>
          <w:b w:val="1"/>
          <w:bCs w:val="1"/>
          <w:rtl w:val="0"/>
        </w:rPr>
        <w:t xml:space="preserve">Strengths:</w:t>
      </w:r>
    </w:p>
    <w:p w:rsidR="00000000" w:rsidDel="00000000" w:rsidP="00000000" w:rsidRDefault="00000000" w:rsidRPr="00000000" w14:paraId="00000026">
      <w:pPr>
        <w:numPr>
          <w:ilvl w:val="0"/>
          <w:numId w:val="2"/>
        </w:numPr>
        <w:ind w:left="720" w:hanging="360"/>
        <w:rPr/>
      </w:pPr>
      <w:r w:rsidDel="00000000" w:rsidR="00000000" w:rsidRPr="00000000">
        <w:rPr>
          <w:rtl w:val="0"/>
        </w:rPr>
        <w:t xml:space="preserve">Carer continuity is supported by national policy and the research aiming at establishing better outcomes and maternal experience through relational trust development.</w:t>
      </w:r>
    </w:p>
    <w:p w:rsidR="00000000" w:rsidDel="00000000" w:rsidP="00000000" w:rsidRDefault="00000000" w:rsidRPr="00000000" w14:paraId="00000027">
      <w:pPr>
        <w:numPr>
          <w:ilvl w:val="0"/>
          <w:numId w:val="2"/>
        </w:numPr>
        <w:ind w:left="720" w:hanging="360"/>
        <w:rPr/>
      </w:pPr>
      <w:r w:rsidDel="00000000" w:rsidR="00000000" w:rsidRPr="00000000">
        <w:rPr>
          <w:rtl w:val="0"/>
        </w:rPr>
        <w:t xml:space="preserve">The person-centred care is consistent with the principle of continuous monitoring of physical and psychosocial well-being that is provided by the Holistic Support (Lorber et al., 2025).</w:t>
      </w:r>
    </w:p>
    <w:p w:rsidR="00000000" w:rsidDel="00000000" w:rsidP="00000000" w:rsidRDefault="00000000" w:rsidRPr="00000000" w14:paraId="00000028">
      <w:pPr>
        <w:numPr>
          <w:ilvl w:val="0"/>
          <w:numId w:val="2"/>
        </w:numPr>
        <w:ind w:left="720" w:hanging="360"/>
        <w:rPr/>
      </w:pPr>
      <w:r w:rsidDel="00000000" w:rsidR="00000000" w:rsidRPr="00000000">
        <w:rPr>
          <w:rtl w:val="0"/>
        </w:rPr>
        <w:t xml:space="preserve">The positive results may be attributed to the fact that the population survey has shown that large numbers of women hear better on continuity models being exercised.</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bCs w:val="1"/>
        </w:rPr>
      </w:pPr>
      <w:r w:rsidDel="00000000" w:rsidR="00000000" w:rsidRPr="00000000">
        <w:rPr>
          <w:b w:val="1"/>
          <w:bCs w:val="1"/>
          <w:rtl w:val="0"/>
        </w:rPr>
        <w:t xml:space="preserve">Weaknesses:</w:t>
      </w:r>
    </w:p>
    <w:p w:rsidR="00000000" w:rsidDel="00000000" w:rsidP="00000000" w:rsidRDefault="00000000" w:rsidRPr="00000000" w14:paraId="0000002B">
      <w:pPr>
        <w:numPr>
          <w:ilvl w:val="0"/>
          <w:numId w:val="3"/>
        </w:numPr>
        <w:ind w:left="720" w:hanging="360"/>
        <w:rPr/>
      </w:pPr>
      <w:r w:rsidDel="00000000" w:rsidR="00000000" w:rsidRPr="00000000">
        <w:rPr>
          <w:rtl w:val="0"/>
        </w:rPr>
        <w:t xml:space="preserve">The problem of the workforce pressure is acute, and the staffing shortage supports the uneven introduction of the continuity models; a work overload of the overstaffed midwives.</w:t>
      </w:r>
    </w:p>
    <w:p w:rsidR="00000000" w:rsidDel="00000000" w:rsidP="00000000" w:rsidRDefault="00000000" w:rsidRPr="00000000" w14:paraId="0000002C">
      <w:pPr>
        <w:numPr>
          <w:ilvl w:val="0"/>
          <w:numId w:val="3"/>
        </w:numPr>
        <w:ind w:left="720" w:hanging="360"/>
        <w:rPr/>
      </w:pPr>
      <w:r w:rsidDel="00000000" w:rsidR="00000000" w:rsidRPr="00000000">
        <w:rPr>
          <w:rtl w:val="0"/>
        </w:rPr>
        <w:t xml:space="preserve">Inequality in outcome remains: the women of Black and Asian descent and minority ethnicity are at a greater risk of having unfavourable outcomes and are less likely to obtain continuation pathways (Khan et al., 2025).</w:t>
      </w:r>
    </w:p>
    <w:p w:rsidR="00000000" w:rsidDel="00000000" w:rsidP="00000000" w:rsidRDefault="00000000" w:rsidRPr="00000000" w14:paraId="0000002D">
      <w:pPr>
        <w:numPr>
          <w:ilvl w:val="0"/>
          <w:numId w:val="3"/>
        </w:numPr>
        <w:ind w:left="720" w:hanging="360"/>
        <w:rPr/>
      </w:pPr>
      <w:r w:rsidDel="00000000" w:rsidR="00000000" w:rsidRPr="00000000">
        <w:rPr>
          <w:rtl w:val="0"/>
        </w:rPr>
        <w:t xml:space="preserve">The implementation is also geographically varied in that nearly all the women still get discontinuous care rather than continuity during midwifery.</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Strategic, the strengths are based on facts of the advantages of the relational midwifery practice, and the weaknesses are institutional and are determined by the staffing, distribution of resources, inequalities and not by the problems of the staff operating individually.</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1"/>
        <w:numPr>
          <w:ilvl w:val="0"/>
          <w:numId w:val="1"/>
        </w:numPr>
        <w:ind w:left="432" w:hanging="432"/>
        <w:rPr/>
      </w:pPr>
      <w:bookmarkStart w:colFirst="0" w:colLast="0" w:name="_z8xf7uxwlmxb" w:id="6"/>
      <w:bookmarkEnd w:id="6"/>
      <w:r w:rsidDel="00000000" w:rsidR="00000000" w:rsidRPr="00000000">
        <w:rPr>
          <w:rtl w:val="0"/>
        </w:rPr>
        <w:t xml:space="preserve">Significance for Quality of Life</w:t>
      </w:r>
    </w:p>
    <w:p w:rsidR="00000000" w:rsidDel="00000000" w:rsidP="00000000" w:rsidRDefault="00000000" w:rsidRPr="00000000" w14:paraId="00000032">
      <w:pPr>
        <w:rPr/>
      </w:pPr>
      <w:r w:rsidDel="00000000" w:rsidR="00000000" w:rsidRPr="00000000">
        <w:rPr>
          <w:rtl w:val="0"/>
        </w:rPr>
        <w:t xml:space="preserve">Community-based midwifery model has been largely seen to enhance maternal and infant health by reducing the unnecessary interventions and enhancing clinical outcomes such as preterm birth and infant survival. It also stimulates psychosocial assistance, which reduces the level of anxiety, increases maternal confidence, and is likely to reduce inequality in health where continuity models are carried out correctly (Sandall et al., 2024).</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1"/>
        <w:numPr>
          <w:ilvl w:val="0"/>
          <w:numId w:val="1"/>
        </w:numPr>
        <w:ind w:left="432" w:hanging="432"/>
        <w:rPr/>
      </w:pPr>
      <w:bookmarkStart w:colFirst="0" w:colLast="0" w:name="_ytw5q0ikijel" w:id="7"/>
      <w:bookmarkEnd w:id="7"/>
      <w:r w:rsidDel="00000000" w:rsidR="00000000" w:rsidRPr="00000000">
        <w:rPr>
          <w:rtl w:val="0"/>
        </w:rPr>
        <w:t xml:space="preserve">CONCLUSION</w:t>
      </w:r>
    </w:p>
    <w:p w:rsidR="00000000" w:rsidDel="00000000" w:rsidP="00000000" w:rsidRDefault="00000000" w:rsidRPr="00000000" w14:paraId="00000035">
      <w:pPr>
        <w:rPr/>
      </w:pPr>
      <w:r w:rsidDel="00000000" w:rsidR="00000000" w:rsidRPr="00000000">
        <w:rPr>
          <w:rtl w:val="0"/>
        </w:rPr>
        <w:t xml:space="preserve">Maternal care in UK continues to be centered on community-based antenatal midwifery with measurably positive clinical and psychosocial effects, but workforce, equity, and implementation remain problematic, which must be addressed to make the most of it.</w:t>
      </w:r>
    </w:p>
    <w:p w:rsidR="00000000" w:rsidDel="00000000" w:rsidP="00000000" w:rsidRDefault="00000000" w:rsidRPr="00000000" w14:paraId="00000036">
      <w:pPr>
        <w:pStyle w:val="Heading1"/>
        <w:numPr>
          <w:ilvl w:val="0"/>
          <w:numId w:val="1"/>
        </w:numPr>
        <w:ind w:left="0" w:firstLine="0"/>
        <w:rPr/>
      </w:pPr>
      <w:bookmarkStart w:colFirst="0" w:colLast="0" w:name="_i15xkjraiibr" w:id="8"/>
      <w:bookmarkEnd w:id="8"/>
      <w:r w:rsidDel="00000000" w:rsidR="00000000" w:rsidRPr="00000000">
        <w:br w:type="page"/>
      </w:r>
      <w:r w:rsidDel="00000000" w:rsidR="00000000" w:rsidRPr="00000000">
        <w:rPr>
          <w:rtl w:val="0"/>
        </w:rPr>
        <w:t xml:space="preserve">REFERENCES</w:t>
      </w:r>
    </w:p>
    <w:p w:rsidR="00000000" w:rsidDel="00000000" w:rsidP="00000000" w:rsidRDefault="00000000" w:rsidRPr="00000000" w14:paraId="00000037">
      <w:pPr>
        <w:numPr>
          <w:ilvl w:val="0"/>
          <w:numId w:val="1"/>
        </w:numPr>
        <w:spacing w:line="240" w:lineRule="auto"/>
        <w:ind w:left="630" w:hanging="630"/>
        <w:rPr>
          <w:color w:val="000000"/>
        </w:rPr>
      </w:pPr>
      <w:r w:rsidDel="00000000" w:rsidR="00000000" w:rsidRPr="00000000">
        <w:rPr>
          <w:color w:val="000000"/>
          <w:rtl w:val="0"/>
        </w:rPr>
        <w:t xml:space="preserve">Fernandez Turienzo, C., Bick, D., Briley, A. L., Bollard, M., Coxon, K., Cross, P., Silverio, S. A., Singh, C., Seed, P. T., Tribe, R. M., Shennan, A. H., and Sandall, J. (2020). Midwifery continuity of care versus standard maternity care for women at increased risk of preterm birth: A hybrid implementation–effectiveness, randomised controlled pilot trial in the UK. </w:t>
      </w:r>
      <w:r w:rsidDel="00000000" w:rsidR="00000000" w:rsidRPr="00000000">
        <w:rPr>
          <w:i w:val="1"/>
          <w:iCs w:val="1"/>
          <w:color w:val="000000"/>
          <w:rtl w:val="0"/>
        </w:rPr>
        <w:t xml:space="preserve">PLOS Medicine</w:t>
      </w:r>
      <w:r w:rsidDel="00000000" w:rsidR="00000000" w:rsidRPr="00000000">
        <w:rPr>
          <w:color w:val="000000"/>
          <w:rtl w:val="0"/>
        </w:rPr>
        <w:t xml:space="preserve">, </w:t>
      </w:r>
      <w:r w:rsidDel="00000000" w:rsidR="00000000" w:rsidRPr="00000000">
        <w:rPr>
          <w:i w:val="1"/>
          <w:iCs w:val="1"/>
          <w:color w:val="000000"/>
          <w:rtl w:val="0"/>
        </w:rPr>
        <w:t xml:space="preserve">17</w:t>
      </w:r>
      <w:r w:rsidDel="00000000" w:rsidR="00000000" w:rsidRPr="00000000">
        <w:rPr>
          <w:color w:val="000000"/>
          <w:rtl w:val="0"/>
        </w:rPr>
        <w:t xml:space="preserve">(10), e1003350. </w:t>
      </w:r>
      <w:hyperlink r:id="rId7">
        <w:r w:rsidDel="00000000" w:rsidR="00000000" w:rsidRPr="00000000">
          <w:rPr>
            <w:color w:val="000080"/>
            <w:u w:val="single"/>
            <w:rtl w:val="0"/>
          </w:rPr>
          <w:t xml:space="preserve">https://doi.org/10.1371/journal.pmed.1003350</w:t>
        </w:r>
      </w:hyperlink>
      <w:r w:rsidDel="00000000" w:rsidR="00000000" w:rsidRPr="00000000">
        <w:rPr>
          <w:color w:val="000000"/>
          <w:rtl w:val="0"/>
        </w:rPr>
        <w:t xml:space="preserve"> </w:t>
      </w:r>
    </w:p>
    <w:p w:rsidR="00000000" w:rsidDel="00000000" w:rsidP="00000000" w:rsidRDefault="00000000" w:rsidRPr="00000000" w14:paraId="00000038">
      <w:pPr>
        <w:numPr>
          <w:ilvl w:val="0"/>
          <w:numId w:val="1"/>
        </w:numPr>
        <w:spacing w:line="240" w:lineRule="auto"/>
        <w:ind w:left="630" w:hanging="630"/>
        <w:rPr>
          <w:color w:val="000000"/>
        </w:rPr>
      </w:pPr>
      <w:r w:rsidDel="00000000" w:rsidR="00000000" w:rsidRPr="00000000">
        <w:rPr>
          <w:color w:val="000000"/>
          <w:rtl w:val="0"/>
        </w:rPr>
        <w:t xml:space="preserve">Khan, Z. A., Turienzo, C. F., Rayment-Jones, H., Vowles, Z., Harding, S., and Sandall, J. (2025). Women’s experiences of community-based midwifery continuity of care in South London: A longitudinal intersectional study. </w:t>
      </w:r>
      <w:r w:rsidDel="00000000" w:rsidR="00000000" w:rsidRPr="00000000">
        <w:rPr>
          <w:i w:val="1"/>
          <w:iCs w:val="1"/>
          <w:color w:val="000000"/>
          <w:rtl w:val="0"/>
        </w:rPr>
        <w:t xml:space="preserve">Women and Birth</w:t>
      </w:r>
      <w:r w:rsidDel="00000000" w:rsidR="00000000" w:rsidRPr="00000000">
        <w:rPr>
          <w:color w:val="000000"/>
          <w:rtl w:val="0"/>
        </w:rPr>
        <w:t xml:space="preserve">, </w:t>
      </w:r>
      <w:r w:rsidDel="00000000" w:rsidR="00000000" w:rsidRPr="00000000">
        <w:rPr>
          <w:i w:val="1"/>
          <w:iCs w:val="1"/>
          <w:color w:val="000000"/>
          <w:rtl w:val="0"/>
        </w:rPr>
        <w:t xml:space="preserve">39</w:t>
      </w:r>
      <w:r w:rsidDel="00000000" w:rsidR="00000000" w:rsidRPr="00000000">
        <w:rPr>
          <w:color w:val="000000"/>
          <w:rtl w:val="0"/>
        </w:rPr>
        <w:t xml:space="preserve">(1), 102137. </w:t>
      </w:r>
      <w:hyperlink r:id="rId8">
        <w:r w:rsidDel="00000000" w:rsidR="00000000" w:rsidRPr="00000000">
          <w:rPr>
            <w:color w:val="000080"/>
            <w:u w:val="single"/>
            <w:rtl w:val="0"/>
          </w:rPr>
          <w:t xml:space="preserve">https://doi.org/10.1016/j.wombi.2025.102137</w:t>
        </w:r>
      </w:hyperlink>
      <w:r w:rsidDel="00000000" w:rsidR="00000000" w:rsidRPr="00000000">
        <w:rPr>
          <w:color w:val="000000"/>
          <w:rtl w:val="0"/>
        </w:rPr>
        <w:t xml:space="preserve"> </w:t>
      </w:r>
    </w:p>
    <w:p w:rsidR="00000000" w:rsidDel="00000000" w:rsidP="00000000" w:rsidRDefault="00000000" w:rsidRPr="00000000" w14:paraId="00000039">
      <w:pPr>
        <w:numPr>
          <w:ilvl w:val="0"/>
          <w:numId w:val="1"/>
        </w:numPr>
        <w:spacing w:line="240" w:lineRule="auto"/>
        <w:ind w:left="630" w:hanging="630"/>
        <w:rPr>
          <w:color w:val="000000"/>
        </w:rPr>
      </w:pPr>
      <w:r w:rsidDel="00000000" w:rsidR="00000000" w:rsidRPr="00000000">
        <w:rPr>
          <w:color w:val="000000"/>
          <w:rtl w:val="0"/>
        </w:rPr>
        <w:t xml:space="preserve">Lorber, M., Mlinar Reljić, N., McCormack, B., and Kmetec, S. (2025). Person-Centred Care in Association with Psychological Well-Being of Older Adults. </w:t>
      </w:r>
      <w:r w:rsidDel="00000000" w:rsidR="00000000" w:rsidRPr="00000000">
        <w:rPr>
          <w:i w:val="1"/>
          <w:iCs w:val="1"/>
          <w:color w:val="000000"/>
          <w:rtl w:val="0"/>
        </w:rPr>
        <w:t xml:space="preserve">Healthcare</w:t>
      </w:r>
      <w:r w:rsidDel="00000000" w:rsidR="00000000" w:rsidRPr="00000000">
        <w:rPr>
          <w:color w:val="000000"/>
          <w:rtl w:val="0"/>
        </w:rPr>
        <w:t xml:space="preserve">, </w:t>
      </w:r>
      <w:r w:rsidDel="00000000" w:rsidR="00000000" w:rsidRPr="00000000">
        <w:rPr>
          <w:i w:val="1"/>
          <w:iCs w:val="1"/>
          <w:color w:val="000000"/>
          <w:rtl w:val="0"/>
        </w:rPr>
        <w:t xml:space="preserve">13</w:t>
      </w:r>
      <w:r w:rsidDel="00000000" w:rsidR="00000000" w:rsidRPr="00000000">
        <w:rPr>
          <w:color w:val="000000"/>
          <w:rtl w:val="0"/>
        </w:rPr>
        <w:t xml:space="preserve">(12), 1379. </w:t>
      </w:r>
      <w:hyperlink r:id="rId9">
        <w:r w:rsidDel="00000000" w:rsidR="00000000" w:rsidRPr="00000000">
          <w:rPr>
            <w:color w:val="000080"/>
            <w:u w:val="single"/>
            <w:rtl w:val="0"/>
          </w:rPr>
          <w:t xml:space="preserve">https://doi.org/10.3390/healthcare13121379</w:t>
        </w:r>
      </w:hyperlink>
      <w:r w:rsidDel="00000000" w:rsidR="00000000" w:rsidRPr="00000000">
        <w:rPr>
          <w:color w:val="000000"/>
          <w:rtl w:val="0"/>
        </w:rPr>
        <w:t xml:space="preserve"> </w:t>
      </w:r>
    </w:p>
    <w:p w:rsidR="00000000" w:rsidDel="00000000" w:rsidP="00000000" w:rsidRDefault="00000000" w:rsidRPr="00000000" w14:paraId="0000003A">
      <w:pPr>
        <w:numPr>
          <w:ilvl w:val="0"/>
          <w:numId w:val="1"/>
        </w:numPr>
        <w:spacing w:line="240" w:lineRule="auto"/>
        <w:ind w:left="630" w:hanging="630"/>
        <w:rPr>
          <w:color w:val="000000"/>
        </w:rPr>
      </w:pPr>
      <w:r w:rsidDel="00000000" w:rsidR="00000000" w:rsidRPr="00000000">
        <w:rPr>
          <w:color w:val="000000"/>
          <w:rtl w:val="0"/>
        </w:rPr>
        <w:t xml:space="preserve">National maternity Review. (2016). Better births: Improving Outcomes of Maternity Services in England. In </w:t>
      </w:r>
      <w:r w:rsidDel="00000000" w:rsidR="00000000" w:rsidRPr="00000000">
        <w:rPr>
          <w:i w:val="1"/>
          <w:iCs w:val="1"/>
          <w:color w:val="000000"/>
          <w:rtl w:val="0"/>
        </w:rPr>
        <w:t xml:space="preserve">NHS England</w:t>
      </w:r>
      <w:r w:rsidDel="00000000" w:rsidR="00000000" w:rsidRPr="00000000">
        <w:rPr>
          <w:color w:val="000000"/>
          <w:rtl w:val="0"/>
        </w:rPr>
        <w:t xml:space="preserve">. NHS England. </w:t>
      </w:r>
      <w:hyperlink r:id="rId10">
        <w:r w:rsidDel="00000000" w:rsidR="00000000" w:rsidRPr="00000000">
          <w:rPr>
            <w:color w:val="000080"/>
            <w:u w:val="single"/>
            <w:rtl w:val="0"/>
          </w:rPr>
          <w:t xml:space="preserve">https://www.england.nhs.uk/wp-content/uploads/2016/02/national-maternity-review-report.pdf</w:t>
        </w:r>
      </w:hyperlink>
      <w:r w:rsidDel="00000000" w:rsidR="00000000" w:rsidRPr="00000000">
        <w:rPr>
          <w:color w:val="000000"/>
          <w:rtl w:val="0"/>
        </w:rPr>
        <w:t xml:space="preserve"> </w:t>
      </w:r>
    </w:p>
    <w:p w:rsidR="00000000" w:rsidDel="00000000" w:rsidP="00000000" w:rsidRDefault="00000000" w:rsidRPr="00000000" w14:paraId="0000003B">
      <w:pPr>
        <w:numPr>
          <w:ilvl w:val="0"/>
          <w:numId w:val="1"/>
        </w:numPr>
        <w:spacing w:line="240" w:lineRule="auto"/>
        <w:ind w:left="630" w:hanging="630"/>
        <w:rPr>
          <w:color w:val="000000"/>
        </w:rPr>
      </w:pPr>
      <w:r w:rsidDel="00000000" w:rsidR="00000000" w:rsidRPr="00000000">
        <w:rPr>
          <w:color w:val="000000"/>
          <w:rtl w:val="0"/>
        </w:rPr>
        <w:t xml:space="preserve">Royal College of Midwives. (2018). </w:t>
      </w:r>
      <w:r w:rsidDel="00000000" w:rsidR="00000000" w:rsidRPr="00000000">
        <w:rPr>
          <w:i w:val="1"/>
          <w:iCs w:val="1"/>
          <w:color w:val="000000"/>
          <w:rtl w:val="0"/>
        </w:rPr>
        <w:t xml:space="preserve">Postion Statement MIDWIFERY Continuity of Carer (MCOC)</w:t>
      </w:r>
      <w:r w:rsidDel="00000000" w:rsidR="00000000" w:rsidRPr="00000000">
        <w:rPr>
          <w:color w:val="000000"/>
          <w:rtl w:val="0"/>
        </w:rPr>
        <w:t xml:space="preserve">. </w:t>
      </w:r>
      <w:hyperlink r:id="rId11">
        <w:r w:rsidDel="00000000" w:rsidR="00000000" w:rsidRPr="00000000">
          <w:rPr>
            <w:color w:val="000080"/>
            <w:u w:val="single"/>
            <w:rtl w:val="0"/>
          </w:rPr>
          <w:t xml:space="preserve">https://rcm.org.uk/wp-content/uploads/2024/06/rcm-position-statement-midwifery-continuity-of-carer-mcoc.pdf</w:t>
        </w:r>
      </w:hyperlink>
      <w:r w:rsidDel="00000000" w:rsidR="00000000" w:rsidRPr="00000000">
        <w:rPr>
          <w:color w:val="000000"/>
          <w:rtl w:val="0"/>
        </w:rPr>
        <w:t xml:space="preserve"> </w:t>
      </w:r>
    </w:p>
    <w:p w:rsidR="00000000" w:rsidDel="00000000" w:rsidP="00000000" w:rsidRDefault="00000000" w:rsidRPr="00000000" w14:paraId="0000003C">
      <w:pPr>
        <w:numPr>
          <w:ilvl w:val="0"/>
          <w:numId w:val="1"/>
        </w:numPr>
        <w:spacing w:line="240" w:lineRule="auto"/>
        <w:ind w:left="630" w:hanging="630"/>
        <w:rPr>
          <w:color w:val="000000"/>
        </w:rPr>
      </w:pPr>
      <w:r w:rsidDel="00000000" w:rsidR="00000000" w:rsidRPr="00000000">
        <w:rPr>
          <w:color w:val="000000"/>
          <w:rtl w:val="0"/>
        </w:rPr>
        <w:t xml:space="preserve">Sandall, J., Fernandez Turienzo, C., Devane, D., Soltani, H., Gillespie, P., Gates, S., Jones, L. V., Shennan, A. H., and Rayment-Jones, H. (2024). Midwife continuity of care models versus other models of care for childbearing women. </w:t>
      </w:r>
      <w:r w:rsidDel="00000000" w:rsidR="00000000" w:rsidRPr="00000000">
        <w:rPr>
          <w:i w:val="1"/>
          <w:iCs w:val="1"/>
          <w:color w:val="000000"/>
          <w:rtl w:val="0"/>
        </w:rPr>
        <w:t xml:space="preserve">Cochrane Library</w:t>
      </w:r>
      <w:r w:rsidDel="00000000" w:rsidR="00000000" w:rsidRPr="00000000">
        <w:rPr>
          <w:color w:val="000000"/>
          <w:rtl w:val="0"/>
        </w:rPr>
        <w:t xml:space="preserve">, </w:t>
      </w:r>
      <w:r w:rsidDel="00000000" w:rsidR="00000000" w:rsidRPr="00000000">
        <w:rPr>
          <w:i w:val="1"/>
          <w:iCs w:val="1"/>
          <w:color w:val="000000"/>
          <w:rtl w:val="0"/>
        </w:rPr>
        <w:t xml:space="preserve">2024</w:t>
      </w:r>
      <w:r w:rsidDel="00000000" w:rsidR="00000000" w:rsidRPr="00000000">
        <w:rPr>
          <w:color w:val="000000"/>
          <w:rtl w:val="0"/>
        </w:rPr>
        <w:t xml:space="preserve">(4). </w:t>
      </w:r>
      <w:hyperlink r:id="rId12">
        <w:r w:rsidDel="00000000" w:rsidR="00000000" w:rsidRPr="00000000">
          <w:rPr>
            <w:color w:val="000080"/>
            <w:u w:val="single"/>
            <w:rtl w:val="0"/>
          </w:rPr>
          <w:t xml:space="preserve">https://doi.org/10.1002/14651858.cd004667.pub6</w:t>
        </w:r>
      </w:hyperlink>
      <w:r w:rsidDel="00000000" w:rsidR="00000000" w:rsidRPr="00000000">
        <w:rPr>
          <w:color w:val="000000"/>
          <w:rtl w:val="0"/>
        </w:rPr>
        <w:t xml:space="preserve"> </w:t>
      </w:r>
    </w:p>
    <w:sectPr>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Times New Roman"/>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432" w:hanging="432"/>
      </w:pPr>
      <w:rPr/>
    </w:lvl>
    <w:lvl w:ilvl="1">
      <w:start w:val="1"/>
      <w:numFmt w:val="decimal"/>
      <w:lvlText w:val=""/>
      <w:lvlJc w:val="left"/>
      <w:pPr>
        <w:ind w:left="576" w:hanging="576"/>
      </w:pPr>
      <w:rPr/>
    </w:lvl>
    <w:lvl w:ilvl="2">
      <w:start w:val="1"/>
      <w:numFmt w:val="decimal"/>
      <w:lvlText w:val=""/>
      <w:lvlJc w:val="left"/>
      <w:pPr>
        <w:ind w:left="720" w:hanging="720"/>
      </w:pPr>
      <w:rPr/>
    </w:lvl>
    <w:lvl w:ilvl="3">
      <w:start w:val="1"/>
      <w:numFmt w:val="decimal"/>
      <w:lvlText w:val=""/>
      <w:lvlJc w:val="left"/>
      <w:pPr>
        <w:ind w:left="864" w:hanging="864"/>
      </w:pPr>
      <w:rPr/>
    </w:lvl>
    <w:lvl w:ilvl="4">
      <w:start w:val="1"/>
      <w:numFmt w:val="decimal"/>
      <w:lvlText w:val=""/>
      <w:lvlJc w:val="left"/>
      <w:pPr>
        <w:ind w:left="1008" w:hanging="1008"/>
      </w:pPr>
      <w:rPr/>
    </w:lvl>
    <w:lvl w:ilvl="5">
      <w:start w:val="1"/>
      <w:numFmt w:val="decimal"/>
      <w:lvlText w:val=""/>
      <w:lvlJc w:val="left"/>
      <w:pPr>
        <w:ind w:left="1152" w:hanging="1152"/>
      </w:pPr>
      <w:rPr/>
    </w:lvl>
    <w:lvl w:ilvl="6">
      <w:start w:val="1"/>
      <w:numFmt w:val="decimal"/>
      <w:lvlText w:val=""/>
      <w:lvlJc w:val="left"/>
      <w:pPr>
        <w:ind w:left="1296" w:hanging="1296"/>
      </w:pPr>
      <w:rPr/>
    </w:lvl>
    <w:lvl w:ilvl="7">
      <w:start w:val="1"/>
      <w:numFmt w:val="decimal"/>
      <w:lvlText w:val=""/>
      <w:lvlJc w:val="left"/>
      <w:pPr>
        <w:ind w:left="1440" w:hanging="1440"/>
      </w:pPr>
      <w:rPr/>
    </w:lvl>
    <w:lvl w:ilvl="8">
      <w:start w:val="1"/>
      <w:numFmt w:val="decimal"/>
      <w:lvlText w:val=""/>
      <w:lvlJc w:val="left"/>
      <w:pPr>
        <w:ind w:left="1584" w:hanging="1584"/>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113" w:lineRule="auto"/>
      <w:ind w:left="432" w:hanging="432"/>
    </w:pPr>
    <w:rPr>
      <w:b w:val="1"/>
      <w:bCs w:val="1"/>
      <w:sz w:val="28"/>
      <w:szCs w:val="28"/>
    </w:rPr>
  </w:style>
  <w:style w:type="paragraph" w:styleId="Heading2">
    <w:name w:val="heading 2"/>
    <w:basedOn w:val="Normal"/>
    <w:next w:val="Normal"/>
    <w:pPr>
      <w:keepNext w:val="1"/>
      <w:keepLines w:val="1"/>
      <w:spacing w:before="113" w:lineRule="auto"/>
      <w:ind w:left="576" w:hanging="576"/>
    </w:pPr>
    <w:rPr>
      <w:u w:val="single"/>
    </w:rPr>
  </w:style>
  <w:style w:type="paragraph" w:styleId="Heading3">
    <w:name w:val="heading 3"/>
    <w:basedOn w:val="Normal"/>
    <w:next w:val="Normal"/>
    <w:pPr>
      <w:keepNext w:val="1"/>
      <w:spacing w:after="120" w:before="240" w:lineRule="auto"/>
      <w:ind w:left="720" w:hanging="720"/>
    </w:pPr>
    <w:rPr>
      <w:rFonts w:ascii="Arial" w:cs="Arial" w:eastAsia="Arial" w:hAnsi="Arial"/>
      <w:b w:val="1"/>
      <w:bCs w:val="1"/>
      <w:sz w:val="28"/>
      <w:szCs w:val="28"/>
    </w:rPr>
  </w:style>
  <w:style w:type="paragraph" w:styleId="Heading4">
    <w:name w:val="heading 4"/>
    <w:basedOn w:val="Normal"/>
    <w:next w:val="Normal"/>
    <w:pPr>
      <w:keepNext w:val="1"/>
      <w:spacing w:after="120" w:before="240" w:lineRule="auto"/>
      <w:ind w:left="864" w:hanging="864"/>
    </w:pPr>
    <w:rPr>
      <w:rFonts w:ascii="Arial" w:cs="Arial" w:eastAsia="Arial" w:hAnsi="Arial"/>
      <w:b w:val="1"/>
      <w:bCs w:val="1"/>
      <w:i w:val="1"/>
      <w:iCs w:val="1"/>
      <w:sz w:val="24"/>
      <w:szCs w:val="24"/>
    </w:rPr>
  </w:style>
  <w:style w:type="paragraph" w:styleId="Heading5">
    <w:name w:val="heading 5"/>
    <w:basedOn w:val="Normal"/>
    <w:next w:val="Normal"/>
    <w:pPr>
      <w:keepNext w:val="1"/>
      <w:spacing w:after="120" w:before="240" w:lineRule="auto"/>
      <w:ind w:left="1008" w:hanging="1008"/>
    </w:pPr>
    <w:rPr>
      <w:rFonts w:ascii="Arial" w:cs="Arial" w:eastAsia="Arial" w:hAnsi="Arial"/>
      <w:b w:val="1"/>
      <w:bCs w:val="1"/>
      <w:sz w:val="24"/>
      <w:szCs w:val="24"/>
    </w:rPr>
  </w:style>
  <w:style w:type="paragraph" w:styleId="Heading6">
    <w:name w:val="heading 6"/>
    <w:basedOn w:val="Normal"/>
    <w:next w:val="Normal"/>
    <w:pPr>
      <w:keepNext w:val="1"/>
      <w:spacing w:after="120" w:before="240" w:lineRule="auto"/>
      <w:ind w:left="1152" w:hanging="1152"/>
    </w:pPr>
    <w:rPr>
      <w:rFonts w:ascii="Arial" w:cs="Arial" w:eastAsia="Arial" w:hAnsi="Arial"/>
      <w:b w:val="1"/>
      <w:bCs w:val="1"/>
      <w:sz w:val="21"/>
      <w:szCs w:val="21"/>
    </w:rPr>
  </w:style>
  <w:style w:type="paragraph" w:styleId="Title">
    <w:name w:val="Title"/>
    <w:basedOn w:val="Normal"/>
    <w:next w:val="Normal"/>
    <w:pPr>
      <w:spacing w:after="60" w:before="240" w:lineRule="auto"/>
      <w:jc w:val="center"/>
    </w:pPr>
    <w:rPr>
      <w:rFonts w:ascii="Cambria" w:cs="Cambria" w:eastAsia="Cambria" w:hAnsi="Cambria"/>
      <w:b w:val="1"/>
      <w:bCs w:val="1"/>
      <w:sz w:val="32"/>
      <w:szCs w:val="32"/>
    </w:rPr>
  </w:style>
  <w:style w:type="paragraph" w:styleId="Subtitle">
    <w:name w:val="Subtitle"/>
    <w:basedOn w:val="Normal"/>
    <w:next w:val="Normal"/>
    <w:pPr>
      <w:keepNext w:val="1"/>
      <w:spacing w:after="120" w:before="240" w:lineRule="auto"/>
      <w:jc w:val="center"/>
    </w:pPr>
    <w:rPr>
      <w:rFonts w:ascii="Arial" w:cs="Arial" w:eastAsia="Arial" w:hAnsi="Arial"/>
      <w:i w:val="1"/>
      <w:iCs w:val="1"/>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rcm.org.uk/wp-content/uploads/2024/06/rcm-position-statement-midwifery-continuity-of-carer-mcoc.pdf" TargetMode="External"/><Relationship Id="rId10" Type="http://schemas.openxmlformats.org/officeDocument/2006/relationships/hyperlink" Target="https://www.england.nhs.uk/wp-content/uploads/2016/02/national-maternity-review-report.pdf" TargetMode="External"/><Relationship Id="rId13" Type="http://schemas.openxmlformats.org/officeDocument/2006/relationships/footer" Target="footer1.xml"/><Relationship Id="rId12" Type="http://schemas.openxmlformats.org/officeDocument/2006/relationships/hyperlink" Target="https://doi.org/10.1002/14651858.cd004667.pub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90/healthcare13121379"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oi.org/10.1371/journal.pmed.1003350" TargetMode="External"/><Relationship Id="rId8" Type="http://schemas.openxmlformats.org/officeDocument/2006/relationships/hyperlink" Target="https://doi.org/10.1016/j.wombi.2025.1021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