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color w:val="5B9BD5" w:themeColor="accent1"/>
        </w:rPr>
        <w:id w:val="1968322160"/>
        <w:docPartObj>
          <w:docPartGallery w:val="Cover Pages"/>
          <w:docPartUnique/>
        </w:docPartObj>
      </w:sdtPr>
      <w:sdtEndPr>
        <w:rPr>
          <w:color w:val="auto"/>
        </w:rPr>
      </w:sdtEndPr>
      <w:sdtContent>
        <w:p w:rsidR="007656EF" w:rsidRDefault="007656EF">
          <w:pPr>
            <w:pStyle w:val="NoSpacing"/>
            <w:spacing w:before="1540" w:after="240"/>
            <w:jc w:val="center"/>
            <w:rPr>
              <w:color w:val="5B9BD5" w:themeColor="accent1"/>
            </w:rPr>
          </w:pPr>
        </w:p>
        <w:sdt>
          <w:sdtPr>
            <w:rPr>
              <w:rFonts w:asciiTheme="majorHAnsi" w:eastAsiaTheme="majorEastAsia" w:hAnsiTheme="majorHAnsi" w:cstheme="majorBidi"/>
              <w:caps/>
              <w:color w:val="000000" w:themeColor="text1"/>
              <w:sz w:val="72"/>
              <w:szCs w:val="72"/>
            </w:rPr>
            <w:alias w:val="Title"/>
            <w:tag w:val=""/>
            <w:id w:val="1735040861"/>
            <w:placeholder>
              <w:docPart w:val="CF505DD5EC244822B1D9D6A37FD7E3F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7656EF" w:rsidRPr="004F21D0" w:rsidRDefault="007656EF">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000000" w:themeColor="text1"/>
                  <w:sz w:val="80"/>
                  <w:szCs w:val="80"/>
                </w:rPr>
              </w:pPr>
              <w:r w:rsidRPr="004F21D0">
                <w:rPr>
                  <w:rFonts w:asciiTheme="majorHAnsi" w:eastAsiaTheme="majorEastAsia" w:hAnsiTheme="majorHAnsi" w:cstheme="majorBidi"/>
                  <w:caps/>
                  <w:color w:val="000000" w:themeColor="text1"/>
                  <w:sz w:val="72"/>
                  <w:szCs w:val="72"/>
                </w:rPr>
                <w:t>Johnson &amp; JoHNSON</w:t>
              </w:r>
            </w:p>
          </w:sdtContent>
        </w:sdt>
        <w:p w:rsidR="007656EF" w:rsidRPr="004F21D0" w:rsidRDefault="007656EF" w:rsidP="004F21D0">
          <w:pPr>
            <w:pStyle w:val="NoSpacing"/>
            <w:spacing w:before="480"/>
            <w:ind w:left="2160"/>
            <w:rPr>
              <w:b/>
              <w:color w:val="000000" w:themeColor="text1"/>
              <w:sz w:val="32"/>
            </w:rPr>
          </w:pPr>
          <w:r w:rsidRPr="004F21D0">
            <w:rPr>
              <w:b/>
              <w:color w:val="000000" w:themeColor="text1"/>
              <w:sz w:val="32"/>
            </w:rPr>
            <w:t xml:space="preserve">Module code: </w:t>
          </w:r>
          <w:r w:rsidR="004F21D0" w:rsidRPr="004F21D0">
            <w:rPr>
              <w:b/>
              <w:color w:val="000000" w:themeColor="text1"/>
              <w:sz w:val="32"/>
            </w:rPr>
            <w:t xml:space="preserve"> </w:t>
          </w:r>
          <w:r w:rsidRPr="004F21D0">
            <w:rPr>
              <w:b/>
              <w:color w:val="000000" w:themeColor="text1"/>
              <w:sz w:val="32"/>
            </w:rPr>
            <w:t>LCMB7002</w:t>
          </w:r>
        </w:p>
        <w:p w:rsidR="007656EF" w:rsidRPr="004F21D0" w:rsidRDefault="007656EF" w:rsidP="004F21D0">
          <w:pPr>
            <w:pStyle w:val="NoSpacing"/>
            <w:spacing w:before="480"/>
            <w:ind w:left="2160"/>
            <w:rPr>
              <w:b/>
              <w:color w:val="000000" w:themeColor="text1"/>
              <w:sz w:val="32"/>
            </w:rPr>
          </w:pPr>
          <w:r w:rsidRPr="004F21D0">
            <w:rPr>
              <w:b/>
              <w:color w:val="000000" w:themeColor="text1"/>
              <w:sz w:val="32"/>
            </w:rPr>
            <w:t xml:space="preserve">Lecturer(s): </w:t>
          </w:r>
          <w:r w:rsidR="004F21D0" w:rsidRPr="004F21D0">
            <w:rPr>
              <w:b/>
              <w:color w:val="000000" w:themeColor="text1"/>
              <w:sz w:val="32"/>
            </w:rPr>
            <w:t xml:space="preserve">  </w:t>
          </w:r>
          <w:r w:rsidRPr="004F21D0">
            <w:rPr>
              <w:b/>
              <w:color w:val="000000" w:themeColor="text1"/>
              <w:sz w:val="32"/>
            </w:rPr>
            <w:t xml:space="preserve">David Coker </w:t>
          </w:r>
          <w:r w:rsidRPr="004F21D0">
            <w:rPr>
              <w:b/>
              <w:noProof/>
              <w:color w:val="000000" w:themeColor="text1"/>
              <w:sz w:val="32"/>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656EF" w:rsidRDefault="007656EF">
                                <w:pPr>
                                  <w:pStyle w:val="NoSpacing"/>
                                  <w:jc w:val="center"/>
                                  <w:rPr>
                                    <w:color w:val="5B9BD5"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rsidR="007656EF" w:rsidRDefault="007656EF">
                          <w:pPr>
                            <w:pStyle w:val="NoSpacing"/>
                            <w:jc w:val="center"/>
                            <w:rPr>
                              <w:color w:val="5B9BD5" w:themeColor="accent1"/>
                            </w:rPr>
                          </w:pPr>
                        </w:p>
                      </w:txbxContent>
                    </v:textbox>
                    <w10:wrap anchorx="margin" anchory="page"/>
                  </v:shape>
                </w:pict>
              </mc:Fallback>
            </mc:AlternateContent>
          </w:r>
        </w:p>
        <w:p w:rsidR="007656EF" w:rsidRDefault="007656EF">
          <w:r w:rsidRPr="004F21D0">
            <w:rPr>
              <w:color w:val="000000" w:themeColor="text1"/>
            </w:rPr>
            <w:br w:type="page"/>
          </w:r>
        </w:p>
      </w:sdtContent>
    </w:sdt>
    <w:sdt>
      <w:sdtPr>
        <w:id w:val="1710216118"/>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rsidR="007656EF" w:rsidRDefault="007656EF">
          <w:pPr>
            <w:pStyle w:val="TOCHeading"/>
          </w:pPr>
          <w:r>
            <w:t>Table of Contents</w:t>
          </w:r>
        </w:p>
        <w:p w:rsidR="007656EF" w:rsidRDefault="007656EF">
          <w:pPr>
            <w:pStyle w:val="TOC1"/>
            <w:tabs>
              <w:tab w:val="left" w:pos="440"/>
              <w:tab w:val="right" w:leader="dot" w:pos="10070"/>
            </w:tabs>
            <w:rPr>
              <w:noProof/>
            </w:rPr>
          </w:pPr>
          <w:r>
            <w:rPr>
              <w:b/>
              <w:bCs/>
              <w:noProof/>
            </w:rPr>
            <w:fldChar w:fldCharType="begin"/>
          </w:r>
          <w:r>
            <w:rPr>
              <w:b/>
              <w:bCs/>
              <w:noProof/>
            </w:rPr>
            <w:instrText xml:space="preserve"> TOC \o "1-3" \h \z \u </w:instrText>
          </w:r>
          <w:r>
            <w:rPr>
              <w:b/>
              <w:bCs/>
              <w:noProof/>
            </w:rPr>
            <w:fldChar w:fldCharType="separate"/>
          </w:r>
          <w:hyperlink w:anchor="_Toc162208541" w:history="1">
            <w:r w:rsidRPr="00D50F32">
              <w:rPr>
                <w:rStyle w:val="Hyperlink"/>
                <w:b/>
                <w:noProof/>
              </w:rPr>
              <w:t>1.</w:t>
            </w:r>
            <w:r>
              <w:rPr>
                <w:noProof/>
              </w:rPr>
              <w:tab/>
            </w:r>
            <w:r w:rsidRPr="00D50F32">
              <w:rPr>
                <w:rStyle w:val="Hyperlink"/>
                <w:b/>
                <w:noProof/>
              </w:rPr>
              <w:t>Introduction</w:t>
            </w:r>
            <w:r>
              <w:rPr>
                <w:noProof/>
                <w:webHidden/>
              </w:rPr>
              <w:tab/>
            </w:r>
            <w:r>
              <w:rPr>
                <w:noProof/>
                <w:webHidden/>
              </w:rPr>
              <w:fldChar w:fldCharType="begin"/>
            </w:r>
            <w:r>
              <w:rPr>
                <w:noProof/>
                <w:webHidden/>
              </w:rPr>
              <w:instrText xml:space="preserve"> PAGEREF _Toc162208541 \h </w:instrText>
            </w:r>
            <w:r>
              <w:rPr>
                <w:noProof/>
                <w:webHidden/>
              </w:rPr>
            </w:r>
            <w:r>
              <w:rPr>
                <w:noProof/>
                <w:webHidden/>
              </w:rPr>
              <w:fldChar w:fldCharType="separate"/>
            </w:r>
            <w:r>
              <w:rPr>
                <w:noProof/>
                <w:webHidden/>
              </w:rPr>
              <w:t>1</w:t>
            </w:r>
            <w:r>
              <w:rPr>
                <w:noProof/>
                <w:webHidden/>
              </w:rPr>
              <w:fldChar w:fldCharType="end"/>
            </w:r>
          </w:hyperlink>
        </w:p>
        <w:p w:rsidR="007656EF" w:rsidRDefault="007656EF">
          <w:pPr>
            <w:pStyle w:val="TOC2"/>
            <w:tabs>
              <w:tab w:val="left" w:pos="880"/>
              <w:tab w:val="right" w:leader="dot" w:pos="10070"/>
            </w:tabs>
            <w:rPr>
              <w:noProof/>
            </w:rPr>
          </w:pPr>
          <w:hyperlink w:anchor="_Toc162208542" w:history="1">
            <w:r w:rsidRPr="00D50F32">
              <w:rPr>
                <w:rStyle w:val="Hyperlink"/>
                <w:b/>
                <w:noProof/>
              </w:rPr>
              <w:t>1.1</w:t>
            </w:r>
            <w:r>
              <w:rPr>
                <w:noProof/>
              </w:rPr>
              <w:tab/>
            </w:r>
            <w:r w:rsidRPr="00D50F32">
              <w:rPr>
                <w:rStyle w:val="Hyperlink"/>
                <w:b/>
                <w:noProof/>
              </w:rPr>
              <w:t>History</w:t>
            </w:r>
            <w:r>
              <w:rPr>
                <w:noProof/>
                <w:webHidden/>
              </w:rPr>
              <w:tab/>
            </w:r>
            <w:r>
              <w:rPr>
                <w:noProof/>
                <w:webHidden/>
              </w:rPr>
              <w:fldChar w:fldCharType="begin"/>
            </w:r>
            <w:r>
              <w:rPr>
                <w:noProof/>
                <w:webHidden/>
              </w:rPr>
              <w:instrText xml:space="preserve"> PAGEREF _Toc162208542 \h </w:instrText>
            </w:r>
            <w:r>
              <w:rPr>
                <w:noProof/>
                <w:webHidden/>
              </w:rPr>
            </w:r>
            <w:r>
              <w:rPr>
                <w:noProof/>
                <w:webHidden/>
              </w:rPr>
              <w:fldChar w:fldCharType="separate"/>
            </w:r>
            <w:r>
              <w:rPr>
                <w:noProof/>
                <w:webHidden/>
              </w:rPr>
              <w:t>1</w:t>
            </w:r>
            <w:r>
              <w:rPr>
                <w:noProof/>
                <w:webHidden/>
              </w:rPr>
              <w:fldChar w:fldCharType="end"/>
            </w:r>
          </w:hyperlink>
        </w:p>
        <w:p w:rsidR="007656EF" w:rsidRDefault="007656EF">
          <w:pPr>
            <w:pStyle w:val="TOC2"/>
            <w:tabs>
              <w:tab w:val="left" w:pos="880"/>
              <w:tab w:val="right" w:leader="dot" w:pos="10070"/>
            </w:tabs>
            <w:rPr>
              <w:noProof/>
            </w:rPr>
          </w:pPr>
          <w:hyperlink w:anchor="_Toc162208543" w:history="1">
            <w:r w:rsidRPr="00D50F32">
              <w:rPr>
                <w:rStyle w:val="Hyperlink"/>
                <w:b/>
                <w:noProof/>
              </w:rPr>
              <w:t>1.2</w:t>
            </w:r>
            <w:r>
              <w:rPr>
                <w:noProof/>
              </w:rPr>
              <w:tab/>
            </w:r>
            <w:r w:rsidRPr="00D50F32">
              <w:rPr>
                <w:rStyle w:val="Hyperlink"/>
                <w:b/>
                <w:noProof/>
              </w:rPr>
              <w:t>Business Model</w:t>
            </w:r>
            <w:r>
              <w:rPr>
                <w:noProof/>
                <w:webHidden/>
              </w:rPr>
              <w:tab/>
            </w:r>
            <w:r>
              <w:rPr>
                <w:noProof/>
                <w:webHidden/>
              </w:rPr>
              <w:fldChar w:fldCharType="begin"/>
            </w:r>
            <w:r>
              <w:rPr>
                <w:noProof/>
                <w:webHidden/>
              </w:rPr>
              <w:instrText xml:space="preserve"> PAGEREF _Toc162208543 \h </w:instrText>
            </w:r>
            <w:r>
              <w:rPr>
                <w:noProof/>
                <w:webHidden/>
              </w:rPr>
            </w:r>
            <w:r>
              <w:rPr>
                <w:noProof/>
                <w:webHidden/>
              </w:rPr>
              <w:fldChar w:fldCharType="separate"/>
            </w:r>
            <w:r>
              <w:rPr>
                <w:noProof/>
                <w:webHidden/>
              </w:rPr>
              <w:t>1</w:t>
            </w:r>
            <w:r>
              <w:rPr>
                <w:noProof/>
                <w:webHidden/>
              </w:rPr>
              <w:fldChar w:fldCharType="end"/>
            </w:r>
          </w:hyperlink>
        </w:p>
        <w:p w:rsidR="007656EF" w:rsidRDefault="007656EF">
          <w:pPr>
            <w:pStyle w:val="TOC2"/>
            <w:tabs>
              <w:tab w:val="left" w:pos="880"/>
              <w:tab w:val="right" w:leader="dot" w:pos="10070"/>
            </w:tabs>
            <w:rPr>
              <w:noProof/>
            </w:rPr>
          </w:pPr>
          <w:hyperlink w:anchor="_Toc162208544" w:history="1">
            <w:r w:rsidRPr="00D50F32">
              <w:rPr>
                <w:rStyle w:val="Hyperlink"/>
                <w:b/>
                <w:noProof/>
              </w:rPr>
              <w:t>1.3</w:t>
            </w:r>
            <w:r>
              <w:rPr>
                <w:noProof/>
              </w:rPr>
              <w:tab/>
            </w:r>
            <w:r w:rsidRPr="00D50F32">
              <w:rPr>
                <w:rStyle w:val="Hyperlink"/>
                <w:b/>
                <w:noProof/>
              </w:rPr>
              <w:t>Market Place</w:t>
            </w:r>
            <w:r>
              <w:rPr>
                <w:noProof/>
                <w:webHidden/>
              </w:rPr>
              <w:tab/>
            </w:r>
            <w:r>
              <w:rPr>
                <w:noProof/>
                <w:webHidden/>
              </w:rPr>
              <w:fldChar w:fldCharType="begin"/>
            </w:r>
            <w:r>
              <w:rPr>
                <w:noProof/>
                <w:webHidden/>
              </w:rPr>
              <w:instrText xml:space="preserve"> PAGEREF _Toc162208544 \h </w:instrText>
            </w:r>
            <w:r>
              <w:rPr>
                <w:noProof/>
                <w:webHidden/>
              </w:rPr>
            </w:r>
            <w:r>
              <w:rPr>
                <w:noProof/>
                <w:webHidden/>
              </w:rPr>
              <w:fldChar w:fldCharType="separate"/>
            </w:r>
            <w:r>
              <w:rPr>
                <w:noProof/>
                <w:webHidden/>
              </w:rPr>
              <w:t>1</w:t>
            </w:r>
            <w:r>
              <w:rPr>
                <w:noProof/>
                <w:webHidden/>
              </w:rPr>
              <w:fldChar w:fldCharType="end"/>
            </w:r>
          </w:hyperlink>
        </w:p>
        <w:p w:rsidR="007656EF" w:rsidRDefault="007656EF">
          <w:pPr>
            <w:pStyle w:val="TOC2"/>
            <w:tabs>
              <w:tab w:val="left" w:pos="880"/>
              <w:tab w:val="right" w:leader="dot" w:pos="10070"/>
            </w:tabs>
            <w:rPr>
              <w:noProof/>
            </w:rPr>
          </w:pPr>
          <w:hyperlink w:anchor="_Toc162208545" w:history="1">
            <w:r w:rsidRPr="00D50F32">
              <w:rPr>
                <w:rStyle w:val="Hyperlink"/>
                <w:b/>
                <w:noProof/>
              </w:rPr>
              <w:t>1.4</w:t>
            </w:r>
            <w:r>
              <w:rPr>
                <w:noProof/>
              </w:rPr>
              <w:tab/>
            </w:r>
            <w:r w:rsidRPr="00D50F32">
              <w:rPr>
                <w:rStyle w:val="Hyperlink"/>
                <w:b/>
                <w:noProof/>
              </w:rPr>
              <w:t>Major Competitors</w:t>
            </w:r>
            <w:r>
              <w:rPr>
                <w:noProof/>
                <w:webHidden/>
              </w:rPr>
              <w:tab/>
            </w:r>
            <w:r>
              <w:rPr>
                <w:noProof/>
                <w:webHidden/>
              </w:rPr>
              <w:fldChar w:fldCharType="begin"/>
            </w:r>
            <w:r>
              <w:rPr>
                <w:noProof/>
                <w:webHidden/>
              </w:rPr>
              <w:instrText xml:space="preserve"> PAGEREF _Toc162208545 \h </w:instrText>
            </w:r>
            <w:r>
              <w:rPr>
                <w:noProof/>
                <w:webHidden/>
              </w:rPr>
            </w:r>
            <w:r>
              <w:rPr>
                <w:noProof/>
                <w:webHidden/>
              </w:rPr>
              <w:fldChar w:fldCharType="separate"/>
            </w:r>
            <w:r>
              <w:rPr>
                <w:noProof/>
                <w:webHidden/>
              </w:rPr>
              <w:t>1</w:t>
            </w:r>
            <w:r>
              <w:rPr>
                <w:noProof/>
                <w:webHidden/>
              </w:rPr>
              <w:fldChar w:fldCharType="end"/>
            </w:r>
          </w:hyperlink>
        </w:p>
        <w:p w:rsidR="007656EF" w:rsidRDefault="007656EF">
          <w:pPr>
            <w:pStyle w:val="TOC2"/>
            <w:tabs>
              <w:tab w:val="left" w:pos="880"/>
              <w:tab w:val="right" w:leader="dot" w:pos="10070"/>
            </w:tabs>
            <w:rPr>
              <w:noProof/>
            </w:rPr>
          </w:pPr>
          <w:hyperlink w:anchor="_Toc162208546" w:history="1">
            <w:r w:rsidRPr="00D50F32">
              <w:rPr>
                <w:rStyle w:val="Hyperlink"/>
                <w:b/>
                <w:noProof/>
              </w:rPr>
              <w:t>1.5</w:t>
            </w:r>
            <w:r>
              <w:rPr>
                <w:noProof/>
              </w:rPr>
              <w:tab/>
            </w:r>
            <w:r w:rsidRPr="00D50F32">
              <w:rPr>
                <w:rStyle w:val="Hyperlink"/>
                <w:b/>
                <w:noProof/>
              </w:rPr>
              <w:t>Major Event of J&amp;J</w:t>
            </w:r>
            <w:r>
              <w:rPr>
                <w:noProof/>
                <w:webHidden/>
              </w:rPr>
              <w:tab/>
            </w:r>
            <w:r>
              <w:rPr>
                <w:noProof/>
                <w:webHidden/>
              </w:rPr>
              <w:fldChar w:fldCharType="begin"/>
            </w:r>
            <w:r>
              <w:rPr>
                <w:noProof/>
                <w:webHidden/>
              </w:rPr>
              <w:instrText xml:space="preserve"> PAGEREF _Toc162208546 \h </w:instrText>
            </w:r>
            <w:r>
              <w:rPr>
                <w:noProof/>
                <w:webHidden/>
              </w:rPr>
            </w:r>
            <w:r>
              <w:rPr>
                <w:noProof/>
                <w:webHidden/>
              </w:rPr>
              <w:fldChar w:fldCharType="separate"/>
            </w:r>
            <w:r>
              <w:rPr>
                <w:noProof/>
                <w:webHidden/>
              </w:rPr>
              <w:t>2</w:t>
            </w:r>
            <w:r>
              <w:rPr>
                <w:noProof/>
                <w:webHidden/>
              </w:rPr>
              <w:fldChar w:fldCharType="end"/>
            </w:r>
          </w:hyperlink>
        </w:p>
        <w:p w:rsidR="007656EF" w:rsidRDefault="007656EF">
          <w:pPr>
            <w:pStyle w:val="TOC1"/>
            <w:tabs>
              <w:tab w:val="left" w:pos="440"/>
              <w:tab w:val="right" w:leader="dot" w:pos="10070"/>
            </w:tabs>
            <w:rPr>
              <w:noProof/>
            </w:rPr>
          </w:pPr>
          <w:hyperlink w:anchor="_Toc162208547" w:history="1">
            <w:r w:rsidRPr="00D50F32">
              <w:rPr>
                <w:rStyle w:val="Hyperlink"/>
                <w:b/>
                <w:noProof/>
              </w:rPr>
              <w:t>2.</w:t>
            </w:r>
            <w:r>
              <w:rPr>
                <w:noProof/>
              </w:rPr>
              <w:tab/>
            </w:r>
            <w:r w:rsidRPr="00D50F32">
              <w:rPr>
                <w:rStyle w:val="Hyperlink"/>
                <w:b/>
                <w:noProof/>
              </w:rPr>
              <w:t>Calculation of financial ratios</w:t>
            </w:r>
            <w:r>
              <w:rPr>
                <w:noProof/>
                <w:webHidden/>
              </w:rPr>
              <w:tab/>
            </w:r>
            <w:r>
              <w:rPr>
                <w:noProof/>
                <w:webHidden/>
              </w:rPr>
              <w:fldChar w:fldCharType="begin"/>
            </w:r>
            <w:r>
              <w:rPr>
                <w:noProof/>
                <w:webHidden/>
              </w:rPr>
              <w:instrText xml:space="preserve"> PAGEREF _Toc162208547 \h </w:instrText>
            </w:r>
            <w:r>
              <w:rPr>
                <w:noProof/>
                <w:webHidden/>
              </w:rPr>
            </w:r>
            <w:r>
              <w:rPr>
                <w:noProof/>
                <w:webHidden/>
              </w:rPr>
              <w:fldChar w:fldCharType="separate"/>
            </w:r>
            <w:r>
              <w:rPr>
                <w:noProof/>
                <w:webHidden/>
              </w:rPr>
              <w:t>2</w:t>
            </w:r>
            <w:r>
              <w:rPr>
                <w:noProof/>
                <w:webHidden/>
              </w:rPr>
              <w:fldChar w:fldCharType="end"/>
            </w:r>
          </w:hyperlink>
        </w:p>
        <w:p w:rsidR="007656EF" w:rsidRDefault="007656EF">
          <w:pPr>
            <w:pStyle w:val="TOC2"/>
            <w:tabs>
              <w:tab w:val="left" w:pos="880"/>
              <w:tab w:val="right" w:leader="dot" w:pos="10070"/>
            </w:tabs>
            <w:rPr>
              <w:noProof/>
            </w:rPr>
          </w:pPr>
          <w:hyperlink w:anchor="_Toc162208548" w:history="1">
            <w:r w:rsidRPr="00D50F32">
              <w:rPr>
                <w:rStyle w:val="Hyperlink"/>
                <w:b/>
                <w:noProof/>
              </w:rPr>
              <w:t>2.1</w:t>
            </w:r>
            <w:r>
              <w:rPr>
                <w:noProof/>
              </w:rPr>
              <w:tab/>
            </w:r>
            <w:r w:rsidRPr="00D50F32">
              <w:rPr>
                <w:rStyle w:val="Hyperlink"/>
                <w:b/>
                <w:noProof/>
              </w:rPr>
              <w:t>Profitability Ratio</w:t>
            </w:r>
            <w:r>
              <w:rPr>
                <w:noProof/>
                <w:webHidden/>
              </w:rPr>
              <w:tab/>
            </w:r>
            <w:r>
              <w:rPr>
                <w:noProof/>
                <w:webHidden/>
              </w:rPr>
              <w:fldChar w:fldCharType="begin"/>
            </w:r>
            <w:r>
              <w:rPr>
                <w:noProof/>
                <w:webHidden/>
              </w:rPr>
              <w:instrText xml:space="preserve"> PAGEREF _Toc162208548 \h </w:instrText>
            </w:r>
            <w:r>
              <w:rPr>
                <w:noProof/>
                <w:webHidden/>
              </w:rPr>
            </w:r>
            <w:r>
              <w:rPr>
                <w:noProof/>
                <w:webHidden/>
              </w:rPr>
              <w:fldChar w:fldCharType="separate"/>
            </w:r>
            <w:r>
              <w:rPr>
                <w:noProof/>
                <w:webHidden/>
              </w:rPr>
              <w:t>3</w:t>
            </w:r>
            <w:r>
              <w:rPr>
                <w:noProof/>
                <w:webHidden/>
              </w:rPr>
              <w:fldChar w:fldCharType="end"/>
            </w:r>
          </w:hyperlink>
        </w:p>
        <w:p w:rsidR="007656EF" w:rsidRDefault="007656EF">
          <w:pPr>
            <w:pStyle w:val="TOC2"/>
            <w:tabs>
              <w:tab w:val="left" w:pos="880"/>
              <w:tab w:val="right" w:leader="dot" w:pos="10070"/>
            </w:tabs>
            <w:rPr>
              <w:noProof/>
            </w:rPr>
          </w:pPr>
          <w:hyperlink w:anchor="_Toc162208549" w:history="1">
            <w:r w:rsidRPr="00D50F32">
              <w:rPr>
                <w:rStyle w:val="Hyperlink"/>
                <w:b/>
                <w:noProof/>
              </w:rPr>
              <w:t>2.2</w:t>
            </w:r>
            <w:r>
              <w:rPr>
                <w:noProof/>
              </w:rPr>
              <w:tab/>
            </w:r>
            <w:r w:rsidRPr="00D50F32">
              <w:rPr>
                <w:rStyle w:val="Hyperlink"/>
                <w:b/>
                <w:noProof/>
              </w:rPr>
              <w:t>Liquidity Ratio</w:t>
            </w:r>
            <w:r>
              <w:rPr>
                <w:noProof/>
                <w:webHidden/>
              </w:rPr>
              <w:tab/>
            </w:r>
            <w:r>
              <w:rPr>
                <w:noProof/>
                <w:webHidden/>
              </w:rPr>
              <w:fldChar w:fldCharType="begin"/>
            </w:r>
            <w:r>
              <w:rPr>
                <w:noProof/>
                <w:webHidden/>
              </w:rPr>
              <w:instrText xml:space="preserve"> PAGEREF _Toc162208549 \h </w:instrText>
            </w:r>
            <w:r>
              <w:rPr>
                <w:noProof/>
                <w:webHidden/>
              </w:rPr>
            </w:r>
            <w:r>
              <w:rPr>
                <w:noProof/>
                <w:webHidden/>
              </w:rPr>
              <w:fldChar w:fldCharType="separate"/>
            </w:r>
            <w:r>
              <w:rPr>
                <w:noProof/>
                <w:webHidden/>
              </w:rPr>
              <w:t>3</w:t>
            </w:r>
            <w:r>
              <w:rPr>
                <w:noProof/>
                <w:webHidden/>
              </w:rPr>
              <w:fldChar w:fldCharType="end"/>
            </w:r>
          </w:hyperlink>
        </w:p>
        <w:p w:rsidR="007656EF" w:rsidRDefault="007656EF">
          <w:pPr>
            <w:pStyle w:val="TOC2"/>
            <w:tabs>
              <w:tab w:val="left" w:pos="880"/>
              <w:tab w:val="right" w:leader="dot" w:pos="10070"/>
            </w:tabs>
            <w:rPr>
              <w:noProof/>
            </w:rPr>
          </w:pPr>
          <w:hyperlink w:anchor="_Toc162208550" w:history="1">
            <w:r w:rsidRPr="00D50F32">
              <w:rPr>
                <w:rStyle w:val="Hyperlink"/>
                <w:b/>
                <w:noProof/>
              </w:rPr>
              <w:t>2.3</w:t>
            </w:r>
            <w:r>
              <w:rPr>
                <w:noProof/>
              </w:rPr>
              <w:tab/>
            </w:r>
            <w:r w:rsidRPr="00D50F32">
              <w:rPr>
                <w:rStyle w:val="Hyperlink"/>
                <w:b/>
                <w:noProof/>
              </w:rPr>
              <w:t>Gearing Ratio</w:t>
            </w:r>
            <w:r>
              <w:rPr>
                <w:noProof/>
                <w:webHidden/>
              </w:rPr>
              <w:tab/>
            </w:r>
            <w:r>
              <w:rPr>
                <w:noProof/>
                <w:webHidden/>
              </w:rPr>
              <w:fldChar w:fldCharType="begin"/>
            </w:r>
            <w:r>
              <w:rPr>
                <w:noProof/>
                <w:webHidden/>
              </w:rPr>
              <w:instrText xml:space="preserve"> PAGEREF _Toc162208550 \h </w:instrText>
            </w:r>
            <w:r>
              <w:rPr>
                <w:noProof/>
                <w:webHidden/>
              </w:rPr>
            </w:r>
            <w:r>
              <w:rPr>
                <w:noProof/>
                <w:webHidden/>
              </w:rPr>
              <w:fldChar w:fldCharType="separate"/>
            </w:r>
            <w:r>
              <w:rPr>
                <w:noProof/>
                <w:webHidden/>
              </w:rPr>
              <w:t>3</w:t>
            </w:r>
            <w:r>
              <w:rPr>
                <w:noProof/>
                <w:webHidden/>
              </w:rPr>
              <w:fldChar w:fldCharType="end"/>
            </w:r>
          </w:hyperlink>
        </w:p>
        <w:p w:rsidR="007656EF" w:rsidRDefault="007656EF">
          <w:pPr>
            <w:pStyle w:val="TOC2"/>
            <w:tabs>
              <w:tab w:val="left" w:pos="880"/>
              <w:tab w:val="right" w:leader="dot" w:pos="10070"/>
            </w:tabs>
            <w:rPr>
              <w:noProof/>
            </w:rPr>
          </w:pPr>
          <w:hyperlink w:anchor="_Toc162208551" w:history="1">
            <w:r w:rsidRPr="00D50F32">
              <w:rPr>
                <w:rStyle w:val="Hyperlink"/>
                <w:b/>
                <w:noProof/>
              </w:rPr>
              <w:t>2.4</w:t>
            </w:r>
            <w:r>
              <w:rPr>
                <w:noProof/>
              </w:rPr>
              <w:tab/>
            </w:r>
            <w:r w:rsidRPr="00D50F32">
              <w:rPr>
                <w:rStyle w:val="Hyperlink"/>
                <w:b/>
                <w:noProof/>
              </w:rPr>
              <w:t>Efficiency Ratio</w:t>
            </w:r>
            <w:r>
              <w:rPr>
                <w:noProof/>
                <w:webHidden/>
              </w:rPr>
              <w:tab/>
            </w:r>
            <w:r>
              <w:rPr>
                <w:noProof/>
                <w:webHidden/>
              </w:rPr>
              <w:fldChar w:fldCharType="begin"/>
            </w:r>
            <w:r>
              <w:rPr>
                <w:noProof/>
                <w:webHidden/>
              </w:rPr>
              <w:instrText xml:space="preserve"> PAGEREF _Toc162208551 \h </w:instrText>
            </w:r>
            <w:r>
              <w:rPr>
                <w:noProof/>
                <w:webHidden/>
              </w:rPr>
            </w:r>
            <w:r>
              <w:rPr>
                <w:noProof/>
                <w:webHidden/>
              </w:rPr>
              <w:fldChar w:fldCharType="separate"/>
            </w:r>
            <w:r>
              <w:rPr>
                <w:noProof/>
                <w:webHidden/>
              </w:rPr>
              <w:t>4</w:t>
            </w:r>
            <w:r>
              <w:rPr>
                <w:noProof/>
                <w:webHidden/>
              </w:rPr>
              <w:fldChar w:fldCharType="end"/>
            </w:r>
          </w:hyperlink>
        </w:p>
        <w:p w:rsidR="007656EF" w:rsidRDefault="007656EF">
          <w:pPr>
            <w:pStyle w:val="TOC2"/>
            <w:tabs>
              <w:tab w:val="left" w:pos="880"/>
              <w:tab w:val="right" w:leader="dot" w:pos="10070"/>
            </w:tabs>
            <w:rPr>
              <w:noProof/>
            </w:rPr>
          </w:pPr>
          <w:hyperlink w:anchor="_Toc162208552" w:history="1">
            <w:r w:rsidRPr="00D50F32">
              <w:rPr>
                <w:rStyle w:val="Hyperlink"/>
                <w:b/>
                <w:noProof/>
              </w:rPr>
              <w:t>2.5</w:t>
            </w:r>
            <w:r>
              <w:rPr>
                <w:noProof/>
              </w:rPr>
              <w:tab/>
            </w:r>
            <w:r w:rsidRPr="00D50F32">
              <w:rPr>
                <w:rStyle w:val="Hyperlink"/>
                <w:b/>
                <w:noProof/>
              </w:rPr>
              <w:t>Evaluation of the ratios</w:t>
            </w:r>
            <w:r>
              <w:rPr>
                <w:noProof/>
                <w:webHidden/>
              </w:rPr>
              <w:tab/>
            </w:r>
            <w:r>
              <w:rPr>
                <w:noProof/>
                <w:webHidden/>
              </w:rPr>
              <w:fldChar w:fldCharType="begin"/>
            </w:r>
            <w:r>
              <w:rPr>
                <w:noProof/>
                <w:webHidden/>
              </w:rPr>
              <w:instrText xml:space="preserve"> PAGEREF _Toc162208552 \h </w:instrText>
            </w:r>
            <w:r>
              <w:rPr>
                <w:noProof/>
                <w:webHidden/>
              </w:rPr>
            </w:r>
            <w:r>
              <w:rPr>
                <w:noProof/>
                <w:webHidden/>
              </w:rPr>
              <w:fldChar w:fldCharType="separate"/>
            </w:r>
            <w:r>
              <w:rPr>
                <w:noProof/>
                <w:webHidden/>
              </w:rPr>
              <w:t>5</w:t>
            </w:r>
            <w:r>
              <w:rPr>
                <w:noProof/>
                <w:webHidden/>
              </w:rPr>
              <w:fldChar w:fldCharType="end"/>
            </w:r>
          </w:hyperlink>
        </w:p>
        <w:p w:rsidR="007656EF" w:rsidRDefault="007656EF">
          <w:pPr>
            <w:pStyle w:val="TOC2"/>
            <w:tabs>
              <w:tab w:val="left" w:pos="880"/>
              <w:tab w:val="right" w:leader="dot" w:pos="10070"/>
            </w:tabs>
            <w:rPr>
              <w:noProof/>
            </w:rPr>
          </w:pPr>
          <w:hyperlink w:anchor="_Toc162208553" w:history="1">
            <w:r w:rsidRPr="00D50F32">
              <w:rPr>
                <w:rStyle w:val="Hyperlink"/>
                <w:b/>
                <w:noProof/>
              </w:rPr>
              <w:t>2.6</w:t>
            </w:r>
            <w:r>
              <w:rPr>
                <w:noProof/>
              </w:rPr>
              <w:tab/>
            </w:r>
            <w:r w:rsidRPr="00D50F32">
              <w:rPr>
                <w:rStyle w:val="Hyperlink"/>
                <w:b/>
                <w:noProof/>
              </w:rPr>
              <w:t>Comparison with competitors</w:t>
            </w:r>
            <w:r>
              <w:rPr>
                <w:noProof/>
                <w:webHidden/>
              </w:rPr>
              <w:tab/>
            </w:r>
            <w:r>
              <w:rPr>
                <w:noProof/>
                <w:webHidden/>
              </w:rPr>
              <w:fldChar w:fldCharType="begin"/>
            </w:r>
            <w:r>
              <w:rPr>
                <w:noProof/>
                <w:webHidden/>
              </w:rPr>
              <w:instrText xml:space="preserve"> PAGEREF _Toc162208553 \h </w:instrText>
            </w:r>
            <w:r>
              <w:rPr>
                <w:noProof/>
                <w:webHidden/>
              </w:rPr>
            </w:r>
            <w:r>
              <w:rPr>
                <w:noProof/>
                <w:webHidden/>
              </w:rPr>
              <w:fldChar w:fldCharType="separate"/>
            </w:r>
            <w:r>
              <w:rPr>
                <w:noProof/>
                <w:webHidden/>
              </w:rPr>
              <w:t>6</w:t>
            </w:r>
            <w:r>
              <w:rPr>
                <w:noProof/>
                <w:webHidden/>
              </w:rPr>
              <w:fldChar w:fldCharType="end"/>
            </w:r>
          </w:hyperlink>
        </w:p>
        <w:p w:rsidR="007656EF" w:rsidRDefault="007656EF">
          <w:pPr>
            <w:pStyle w:val="TOC2"/>
            <w:tabs>
              <w:tab w:val="left" w:pos="880"/>
              <w:tab w:val="right" w:leader="dot" w:pos="10070"/>
            </w:tabs>
            <w:rPr>
              <w:noProof/>
            </w:rPr>
          </w:pPr>
          <w:hyperlink w:anchor="_Toc162208554" w:history="1">
            <w:r w:rsidRPr="00D50F32">
              <w:rPr>
                <w:rStyle w:val="Hyperlink"/>
                <w:b/>
                <w:noProof/>
              </w:rPr>
              <w:t>2.7</w:t>
            </w:r>
            <w:r>
              <w:rPr>
                <w:noProof/>
              </w:rPr>
              <w:tab/>
            </w:r>
            <w:r w:rsidRPr="00D50F32">
              <w:rPr>
                <w:rStyle w:val="Hyperlink"/>
                <w:b/>
                <w:noProof/>
              </w:rPr>
              <w:t>Recommendations on improving the financial management</w:t>
            </w:r>
            <w:r>
              <w:rPr>
                <w:noProof/>
                <w:webHidden/>
              </w:rPr>
              <w:tab/>
            </w:r>
            <w:r>
              <w:rPr>
                <w:noProof/>
                <w:webHidden/>
              </w:rPr>
              <w:fldChar w:fldCharType="begin"/>
            </w:r>
            <w:r>
              <w:rPr>
                <w:noProof/>
                <w:webHidden/>
              </w:rPr>
              <w:instrText xml:space="preserve"> PAGEREF _Toc162208554 \h </w:instrText>
            </w:r>
            <w:r>
              <w:rPr>
                <w:noProof/>
                <w:webHidden/>
              </w:rPr>
            </w:r>
            <w:r>
              <w:rPr>
                <w:noProof/>
                <w:webHidden/>
              </w:rPr>
              <w:fldChar w:fldCharType="separate"/>
            </w:r>
            <w:r>
              <w:rPr>
                <w:noProof/>
                <w:webHidden/>
              </w:rPr>
              <w:t>9</w:t>
            </w:r>
            <w:r>
              <w:rPr>
                <w:noProof/>
                <w:webHidden/>
              </w:rPr>
              <w:fldChar w:fldCharType="end"/>
            </w:r>
          </w:hyperlink>
        </w:p>
        <w:p w:rsidR="007656EF" w:rsidRDefault="007656EF">
          <w:pPr>
            <w:pStyle w:val="TOC1"/>
            <w:tabs>
              <w:tab w:val="left" w:pos="440"/>
              <w:tab w:val="right" w:leader="dot" w:pos="10070"/>
            </w:tabs>
            <w:rPr>
              <w:noProof/>
            </w:rPr>
          </w:pPr>
          <w:hyperlink w:anchor="_Toc162208555" w:history="1">
            <w:r w:rsidRPr="00D50F32">
              <w:rPr>
                <w:rStyle w:val="Hyperlink"/>
                <w:b/>
                <w:noProof/>
              </w:rPr>
              <w:t>3.</w:t>
            </w:r>
            <w:r>
              <w:rPr>
                <w:noProof/>
              </w:rPr>
              <w:tab/>
            </w:r>
            <w:r w:rsidRPr="00D50F32">
              <w:rPr>
                <w:rStyle w:val="Hyperlink"/>
                <w:b/>
                <w:noProof/>
              </w:rPr>
              <w:t>Computation for PBP, ARR, NPV</w:t>
            </w:r>
            <w:r>
              <w:rPr>
                <w:noProof/>
                <w:webHidden/>
              </w:rPr>
              <w:tab/>
            </w:r>
            <w:r>
              <w:rPr>
                <w:noProof/>
                <w:webHidden/>
              </w:rPr>
              <w:fldChar w:fldCharType="begin"/>
            </w:r>
            <w:r>
              <w:rPr>
                <w:noProof/>
                <w:webHidden/>
              </w:rPr>
              <w:instrText xml:space="preserve"> PAGEREF _Toc162208555 \h </w:instrText>
            </w:r>
            <w:r>
              <w:rPr>
                <w:noProof/>
                <w:webHidden/>
              </w:rPr>
            </w:r>
            <w:r>
              <w:rPr>
                <w:noProof/>
                <w:webHidden/>
              </w:rPr>
              <w:fldChar w:fldCharType="separate"/>
            </w:r>
            <w:r>
              <w:rPr>
                <w:noProof/>
                <w:webHidden/>
              </w:rPr>
              <w:t>10</w:t>
            </w:r>
            <w:r>
              <w:rPr>
                <w:noProof/>
                <w:webHidden/>
              </w:rPr>
              <w:fldChar w:fldCharType="end"/>
            </w:r>
          </w:hyperlink>
        </w:p>
        <w:p w:rsidR="007656EF" w:rsidRDefault="007656EF">
          <w:pPr>
            <w:pStyle w:val="TOC2"/>
            <w:tabs>
              <w:tab w:val="left" w:pos="880"/>
              <w:tab w:val="right" w:leader="dot" w:pos="10070"/>
            </w:tabs>
            <w:rPr>
              <w:noProof/>
            </w:rPr>
          </w:pPr>
          <w:hyperlink w:anchor="_Toc162208556" w:history="1">
            <w:r w:rsidRPr="00D50F32">
              <w:rPr>
                <w:rStyle w:val="Hyperlink"/>
                <w:b/>
                <w:noProof/>
              </w:rPr>
              <w:t>3.1</w:t>
            </w:r>
            <w:r>
              <w:rPr>
                <w:noProof/>
              </w:rPr>
              <w:tab/>
            </w:r>
            <w:r w:rsidRPr="00D50F32">
              <w:rPr>
                <w:rStyle w:val="Hyperlink"/>
                <w:b/>
                <w:noProof/>
              </w:rPr>
              <w:t>Project A</w:t>
            </w:r>
            <w:r>
              <w:rPr>
                <w:noProof/>
                <w:webHidden/>
              </w:rPr>
              <w:tab/>
            </w:r>
            <w:r>
              <w:rPr>
                <w:noProof/>
                <w:webHidden/>
              </w:rPr>
              <w:fldChar w:fldCharType="begin"/>
            </w:r>
            <w:r>
              <w:rPr>
                <w:noProof/>
                <w:webHidden/>
              </w:rPr>
              <w:instrText xml:space="preserve"> PAGEREF _Toc162208556 \h </w:instrText>
            </w:r>
            <w:r>
              <w:rPr>
                <w:noProof/>
                <w:webHidden/>
              </w:rPr>
            </w:r>
            <w:r>
              <w:rPr>
                <w:noProof/>
                <w:webHidden/>
              </w:rPr>
              <w:fldChar w:fldCharType="separate"/>
            </w:r>
            <w:r>
              <w:rPr>
                <w:noProof/>
                <w:webHidden/>
              </w:rPr>
              <w:t>10</w:t>
            </w:r>
            <w:r>
              <w:rPr>
                <w:noProof/>
                <w:webHidden/>
              </w:rPr>
              <w:fldChar w:fldCharType="end"/>
            </w:r>
          </w:hyperlink>
        </w:p>
        <w:p w:rsidR="007656EF" w:rsidRDefault="007656EF">
          <w:pPr>
            <w:pStyle w:val="TOC2"/>
            <w:tabs>
              <w:tab w:val="left" w:pos="880"/>
              <w:tab w:val="right" w:leader="dot" w:pos="10070"/>
            </w:tabs>
            <w:rPr>
              <w:noProof/>
            </w:rPr>
          </w:pPr>
          <w:hyperlink w:anchor="_Toc162208557" w:history="1">
            <w:r w:rsidRPr="00D50F32">
              <w:rPr>
                <w:rStyle w:val="Hyperlink"/>
                <w:b/>
                <w:noProof/>
              </w:rPr>
              <w:t>3.2</w:t>
            </w:r>
            <w:r>
              <w:rPr>
                <w:noProof/>
              </w:rPr>
              <w:tab/>
            </w:r>
            <w:r w:rsidRPr="00D50F32">
              <w:rPr>
                <w:rStyle w:val="Hyperlink"/>
                <w:b/>
                <w:noProof/>
              </w:rPr>
              <w:t>Project B</w:t>
            </w:r>
            <w:r>
              <w:rPr>
                <w:noProof/>
                <w:webHidden/>
              </w:rPr>
              <w:tab/>
            </w:r>
            <w:r>
              <w:rPr>
                <w:noProof/>
                <w:webHidden/>
              </w:rPr>
              <w:fldChar w:fldCharType="begin"/>
            </w:r>
            <w:r>
              <w:rPr>
                <w:noProof/>
                <w:webHidden/>
              </w:rPr>
              <w:instrText xml:space="preserve"> PAGEREF _Toc162208557 \h </w:instrText>
            </w:r>
            <w:r>
              <w:rPr>
                <w:noProof/>
                <w:webHidden/>
              </w:rPr>
            </w:r>
            <w:r>
              <w:rPr>
                <w:noProof/>
                <w:webHidden/>
              </w:rPr>
              <w:fldChar w:fldCharType="separate"/>
            </w:r>
            <w:r>
              <w:rPr>
                <w:noProof/>
                <w:webHidden/>
              </w:rPr>
              <w:t>11</w:t>
            </w:r>
            <w:r>
              <w:rPr>
                <w:noProof/>
                <w:webHidden/>
              </w:rPr>
              <w:fldChar w:fldCharType="end"/>
            </w:r>
          </w:hyperlink>
        </w:p>
        <w:p w:rsidR="007656EF" w:rsidRDefault="007656EF">
          <w:pPr>
            <w:pStyle w:val="TOC2"/>
            <w:tabs>
              <w:tab w:val="left" w:pos="880"/>
              <w:tab w:val="right" w:leader="dot" w:pos="10070"/>
            </w:tabs>
            <w:rPr>
              <w:noProof/>
            </w:rPr>
          </w:pPr>
          <w:hyperlink w:anchor="_Toc162208558" w:history="1">
            <w:r w:rsidRPr="00D50F32">
              <w:rPr>
                <w:rStyle w:val="Hyperlink"/>
                <w:b/>
                <w:noProof/>
              </w:rPr>
              <w:t>3.3</w:t>
            </w:r>
            <w:r>
              <w:rPr>
                <w:noProof/>
              </w:rPr>
              <w:tab/>
            </w:r>
            <w:r w:rsidRPr="00D50F32">
              <w:rPr>
                <w:rStyle w:val="Hyperlink"/>
                <w:b/>
                <w:noProof/>
              </w:rPr>
              <w:t>Evaluation of both projects</w:t>
            </w:r>
            <w:r>
              <w:rPr>
                <w:noProof/>
                <w:webHidden/>
              </w:rPr>
              <w:tab/>
            </w:r>
            <w:r>
              <w:rPr>
                <w:noProof/>
                <w:webHidden/>
              </w:rPr>
              <w:fldChar w:fldCharType="begin"/>
            </w:r>
            <w:r>
              <w:rPr>
                <w:noProof/>
                <w:webHidden/>
              </w:rPr>
              <w:instrText xml:space="preserve"> PAGEREF _Toc162208558 \h </w:instrText>
            </w:r>
            <w:r>
              <w:rPr>
                <w:noProof/>
                <w:webHidden/>
              </w:rPr>
            </w:r>
            <w:r>
              <w:rPr>
                <w:noProof/>
                <w:webHidden/>
              </w:rPr>
              <w:fldChar w:fldCharType="separate"/>
            </w:r>
            <w:r>
              <w:rPr>
                <w:noProof/>
                <w:webHidden/>
              </w:rPr>
              <w:t>12</w:t>
            </w:r>
            <w:r>
              <w:rPr>
                <w:noProof/>
                <w:webHidden/>
              </w:rPr>
              <w:fldChar w:fldCharType="end"/>
            </w:r>
          </w:hyperlink>
        </w:p>
        <w:p w:rsidR="007656EF" w:rsidRDefault="007656EF">
          <w:pPr>
            <w:pStyle w:val="TOC2"/>
            <w:tabs>
              <w:tab w:val="left" w:pos="880"/>
              <w:tab w:val="right" w:leader="dot" w:pos="10070"/>
            </w:tabs>
            <w:rPr>
              <w:noProof/>
            </w:rPr>
          </w:pPr>
          <w:hyperlink w:anchor="_Toc162208559" w:history="1">
            <w:r w:rsidRPr="00D50F32">
              <w:rPr>
                <w:rStyle w:val="Hyperlink"/>
                <w:b/>
                <w:noProof/>
              </w:rPr>
              <w:t>3.4</w:t>
            </w:r>
            <w:r>
              <w:rPr>
                <w:noProof/>
              </w:rPr>
              <w:tab/>
            </w:r>
            <w:r w:rsidRPr="00D50F32">
              <w:rPr>
                <w:rStyle w:val="Hyperlink"/>
                <w:b/>
                <w:noProof/>
              </w:rPr>
              <w:t>Recommendation:</w:t>
            </w:r>
            <w:r>
              <w:rPr>
                <w:noProof/>
                <w:webHidden/>
              </w:rPr>
              <w:tab/>
            </w:r>
            <w:r>
              <w:rPr>
                <w:noProof/>
                <w:webHidden/>
              </w:rPr>
              <w:fldChar w:fldCharType="begin"/>
            </w:r>
            <w:r>
              <w:rPr>
                <w:noProof/>
                <w:webHidden/>
              </w:rPr>
              <w:instrText xml:space="preserve"> PAGEREF _Toc162208559 \h </w:instrText>
            </w:r>
            <w:r>
              <w:rPr>
                <w:noProof/>
                <w:webHidden/>
              </w:rPr>
            </w:r>
            <w:r>
              <w:rPr>
                <w:noProof/>
                <w:webHidden/>
              </w:rPr>
              <w:fldChar w:fldCharType="separate"/>
            </w:r>
            <w:r>
              <w:rPr>
                <w:noProof/>
                <w:webHidden/>
              </w:rPr>
              <w:t>13</w:t>
            </w:r>
            <w:r>
              <w:rPr>
                <w:noProof/>
                <w:webHidden/>
              </w:rPr>
              <w:fldChar w:fldCharType="end"/>
            </w:r>
          </w:hyperlink>
        </w:p>
        <w:p w:rsidR="007656EF" w:rsidRDefault="007656EF">
          <w:pPr>
            <w:pStyle w:val="TOC2"/>
            <w:tabs>
              <w:tab w:val="left" w:pos="880"/>
              <w:tab w:val="right" w:leader="dot" w:pos="10070"/>
            </w:tabs>
            <w:rPr>
              <w:noProof/>
            </w:rPr>
          </w:pPr>
          <w:hyperlink w:anchor="_Toc162208560" w:history="1">
            <w:r w:rsidRPr="00D50F32">
              <w:rPr>
                <w:rStyle w:val="Hyperlink"/>
                <w:b/>
                <w:noProof/>
              </w:rPr>
              <w:t>3.5</w:t>
            </w:r>
            <w:r>
              <w:rPr>
                <w:noProof/>
              </w:rPr>
              <w:tab/>
            </w:r>
            <w:r w:rsidRPr="00D50F32">
              <w:rPr>
                <w:rStyle w:val="Hyperlink"/>
                <w:b/>
                <w:noProof/>
              </w:rPr>
              <w:t>Choice of project</w:t>
            </w:r>
            <w:r>
              <w:rPr>
                <w:noProof/>
                <w:webHidden/>
              </w:rPr>
              <w:tab/>
            </w:r>
            <w:r>
              <w:rPr>
                <w:noProof/>
                <w:webHidden/>
              </w:rPr>
              <w:fldChar w:fldCharType="begin"/>
            </w:r>
            <w:r>
              <w:rPr>
                <w:noProof/>
                <w:webHidden/>
              </w:rPr>
              <w:instrText xml:space="preserve"> PAGEREF _Toc162208560 \h </w:instrText>
            </w:r>
            <w:r>
              <w:rPr>
                <w:noProof/>
                <w:webHidden/>
              </w:rPr>
            </w:r>
            <w:r>
              <w:rPr>
                <w:noProof/>
                <w:webHidden/>
              </w:rPr>
              <w:fldChar w:fldCharType="separate"/>
            </w:r>
            <w:r>
              <w:rPr>
                <w:noProof/>
                <w:webHidden/>
              </w:rPr>
              <w:t>13</w:t>
            </w:r>
            <w:r>
              <w:rPr>
                <w:noProof/>
                <w:webHidden/>
              </w:rPr>
              <w:fldChar w:fldCharType="end"/>
            </w:r>
          </w:hyperlink>
        </w:p>
        <w:p w:rsidR="007656EF" w:rsidRDefault="007656EF">
          <w:pPr>
            <w:pStyle w:val="TOC2"/>
            <w:tabs>
              <w:tab w:val="left" w:pos="880"/>
              <w:tab w:val="right" w:leader="dot" w:pos="10070"/>
            </w:tabs>
            <w:rPr>
              <w:noProof/>
            </w:rPr>
          </w:pPr>
          <w:hyperlink w:anchor="_Toc162208561" w:history="1">
            <w:r w:rsidRPr="00D50F32">
              <w:rPr>
                <w:rStyle w:val="Hyperlink"/>
                <w:b/>
                <w:noProof/>
              </w:rPr>
              <w:t>3.6</w:t>
            </w:r>
            <w:r>
              <w:rPr>
                <w:noProof/>
              </w:rPr>
              <w:tab/>
            </w:r>
            <w:r w:rsidRPr="00D50F32">
              <w:rPr>
                <w:rStyle w:val="Hyperlink"/>
                <w:b/>
                <w:noProof/>
              </w:rPr>
              <w:t>Recalculation of NPV</w:t>
            </w:r>
            <w:r>
              <w:rPr>
                <w:noProof/>
                <w:webHidden/>
              </w:rPr>
              <w:tab/>
            </w:r>
            <w:r>
              <w:rPr>
                <w:noProof/>
                <w:webHidden/>
              </w:rPr>
              <w:fldChar w:fldCharType="begin"/>
            </w:r>
            <w:r>
              <w:rPr>
                <w:noProof/>
                <w:webHidden/>
              </w:rPr>
              <w:instrText xml:space="preserve"> PAGEREF _Toc162208561 \h </w:instrText>
            </w:r>
            <w:r>
              <w:rPr>
                <w:noProof/>
                <w:webHidden/>
              </w:rPr>
            </w:r>
            <w:r>
              <w:rPr>
                <w:noProof/>
                <w:webHidden/>
              </w:rPr>
              <w:fldChar w:fldCharType="separate"/>
            </w:r>
            <w:r>
              <w:rPr>
                <w:noProof/>
                <w:webHidden/>
              </w:rPr>
              <w:t>13</w:t>
            </w:r>
            <w:r>
              <w:rPr>
                <w:noProof/>
                <w:webHidden/>
              </w:rPr>
              <w:fldChar w:fldCharType="end"/>
            </w:r>
          </w:hyperlink>
        </w:p>
        <w:p w:rsidR="007656EF" w:rsidRDefault="007656EF">
          <w:pPr>
            <w:pStyle w:val="TOC2"/>
            <w:tabs>
              <w:tab w:val="left" w:pos="880"/>
              <w:tab w:val="right" w:leader="dot" w:pos="10070"/>
            </w:tabs>
            <w:rPr>
              <w:noProof/>
            </w:rPr>
          </w:pPr>
          <w:hyperlink w:anchor="_Toc162208562" w:history="1">
            <w:r w:rsidRPr="00D50F32">
              <w:rPr>
                <w:rStyle w:val="Hyperlink"/>
                <w:b/>
                <w:noProof/>
              </w:rPr>
              <w:t>3.7</w:t>
            </w:r>
            <w:r>
              <w:rPr>
                <w:noProof/>
              </w:rPr>
              <w:tab/>
            </w:r>
            <w:r w:rsidRPr="00D50F32">
              <w:rPr>
                <w:rStyle w:val="Hyperlink"/>
                <w:b/>
                <w:noProof/>
              </w:rPr>
              <w:t>Advantages and shortcomings of the calculations</w:t>
            </w:r>
            <w:r>
              <w:rPr>
                <w:noProof/>
                <w:webHidden/>
              </w:rPr>
              <w:tab/>
            </w:r>
            <w:r>
              <w:rPr>
                <w:noProof/>
                <w:webHidden/>
              </w:rPr>
              <w:fldChar w:fldCharType="begin"/>
            </w:r>
            <w:r>
              <w:rPr>
                <w:noProof/>
                <w:webHidden/>
              </w:rPr>
              <w:instrText xml:space="preserve"> PAGEREF _Toc162208562 \h </w:instrText>
            </w:r>
            <w:r>
              <w:rPr>
                <w:noProof/>
                <w:webHidden/>
              </w:rPr>
            </w:r>
            <w:r>
              <w:rPr>
                <w:noProof/>
                <w:webHidden/>
              </w:rPr>
              <w:fldChar w:fldCharType="separate"/>
            </w:r>
            <w:r>
              <w:rPr>
                <w:noProof/>
                <w:webHidden/>
              </w:rPr>
              <w:t>15</w:t>
            </w:r>
            <w:r>
              <w:rPr>
                <w:noProof/>
                <w:webHidden/>
              </w:rPr>
              <w:fldChar w:fldCharType="end"/>
            </w:r>
          </w:hyperlink>
        </w:p>
        <w:p w:rsidR="007656EF" w:rsidRDefault="007656EF">
          <w:pPr>
            <w:pStyle w:val="TOC2"/>
            <w:tabs>
              <w:tab w:val="left" w:pos="880"/>
              <w:tab w:val="right" w:leader="dot" w:pos="10070"/>
            </w:tabs>
            <w:rPr>
              <w:noProof/>
            </w:rPr>
          </w:pPr>
          <w:hyperlink w:anchor="_Toc162208563" w:history="1">
            <w:r w:rsidRPr="00D50F32">
              <w:rPr>
                <w:rStyle w:val="Hyperlink"/>
                <w:b/>
                <w:noProof/>
              </w:rPr>
              <w:t>3.8</w:t>
            </w:r>
            <w:r>
              <w:rPr>
                <w:noProof/>
              </w:rPr>
              <w:tab/>
            </w:r>
            <w:r w:rsidRPr="00D50F32">
              <w:rPr>
                <w:rStyle w:val="Hyperlink"/>
                <w:b/>
                <w:noProof/>
              </w:rPr>
              <w:t>Non-financial factors management</w:t>
            </w:r>
            <w:r>
              <w:rPr>
                <w:noProof/>
                <w:webHidden/>
              </w:rPr>
              <w:tab/>
            </w:r>
            <w:r>
              <w:rPr>
                <w:noProof/>
                <w:webHidden/>
              </w:rPr>
              <w:fldChar w:fldCharType="begin"/>
            </w:r>
            <w:r>
              <w:rPr>
                <w:noProof/>
                <w:webHidden/>
              </w:rPr>
              <w:instrText xml:space="preserve"> PAGEREF _Toc162208563 \h </w:instrText>
            </w:r>
            <w:r>
              <w:rPr>
                <w:noProof/>
                <w:webHidden/>
              </w:rPr>
            </w:r>
            <w:r>
              <w:rPr>
                <w:noProof/>
                <w:webHidden/>
              </w:rPr>
              <w:fldChar w:fldCharType="separate"/>
            </w:r>
            <w:r>
              <w:rPr>
                <w:noProof/>
                <w:webHidden/>
              </w:rPr>
              <w:t>16</w:t>
            </w:r>
            <w:r>
              <w:rPr>
                <w:noProof/>
                <w:webHidden/>
              </w:rPr>
              <w:fldChar w:fldCharType="end"/>
            </w:r>
          </w:hyperlink>
        </w:p>
        <w:p w:rsidR="007656EF" w:rsidRDefault="007656EF">
          <w:pPr>
            <w:pStyle w:val="TOC1"/>
            <w:tabs>
              <w:tab w:val="left" w:pos="440"/>
              <w:tab w:val="right" w:leader="dot" w:pos="10070"/>
            </w:tabs>
            <w:rPr>
              <w:noProof/>
            </w:rPr>
          </w:pPr>
          <w:hyperlink w:anchor="_Toc162208564" w:history="1">
            <w:r w:rsidRPr="00D50F32">
              <w:rPr>
                <w:rStyle w:val="Hyperlink"/>
                <w:b/>
                <w:noProof/>
              </w:rPr>
              <w:t>4.</w:t>
            </w:r>
            <w:r>
              <w:rPr>
                <w:noProof/>
              </w:rPr>
              <w:tab/>
            </w:r>
            <w:r w:rsidRPr="00D50F32">
              <w:rPr>
                <w:rStyle w:val="Hyperlink"/>
                <w:b/>
                <w:noProof/>
              </w:rPr>
              <w:t>References:</w:t>
            </w:r>
            <w:r>
              <w:rPr>
                <w:noProof/>
                <w:webHidden/>
              </w:rPr>
              <w:tab/>
            </w:r>
            <w:r>
              <w:rPr>
                <w:noProof/>
                <w:webHidden/>
              </w:rPr>
              <w:fldChar w:fldCharType="begin"/>
            </w:r>
            <w:r>
              <w:rPr>
                <w:noProof/>
                <w:webHidden/>
              </w:rPr>
              <w:instrText xml:space="preserve"> PAGEREF _Toc162208564 \h </w:instrText>
            </w:r>
            <w:r>
              <w:rPr>
                <w:noProof/>
                <w:webHidden/>
              </w:rPr>
            </w:r>
            <w:r>
              <w:rPr>
                <w:noProof/>
                <w:webHidden/>
              </w:rPr>
              <w:fldChar w:fldCharType="separate"/>
            </w:r>
            <w:r>
              <w:rPr>
                <w:noProof/>
                <w:webHidden/>
              </w:rPr>
              <w:t>18</w:t>
            </w:r>
            <w:r>
              <w:rPr>
                <w:noProof/>
                <w:webHidden/>
              </w:rPr>
              <w:fldChar w:fldCharType="end"/>
            </w:r>
          </w:hyperlink>
        </w:p>
        <w:p w:rsidR="007656EF" w:rsidRDefault="007656EF">
          <w:r>
            <w:rPr>
              <w:b/>
              <w:bCs/>
              <w:noProof/>
            </w:rPr>
            <w:fldChar w:fldCharType="end"/>
          </w:r>
        </w:p>
      </w:sdtContent>
    </w:sdt>
    <w:p w:rsidR="00EF536B" w:rsidRDefault="00EF536B" w:rsidP="00EF536B"/>
    <w:p w:rsidR="007656EF" w:rsidRDefault="007656EF" w:rsidP="00EF536B"/>
    <w:p w:rsidR="007656EF" w:rsidRDefault="007656EF" w:rsidP="00EF536B"/>
    <w:p w:rsidR="007656EF" w:rsidRDefault="007656EF" w:rsidP="00EF536B"/>
    <w:p w:rsidR="00AD38A2" w:rsidRDefault="00AD38A2" w:rsidP="00EF536B">
      <w:bookmarkStart w:id="0" w:name="_GoBack"/>
      <w:bookmarkEnd w:id="0"/>
    </w:p>
    <w:p w:rsidR="007656EF" w:rsidRDefault="007656EF" w:rsidP="007656EF">
      <w:pPr>
        <w:pStyle w:val="Heading1"/>
        <w:numPr>
          <w:ilvl w:val="0"/>
          <w:numId w:val="11"/>
        </w:numPr>
        <w:rPr>
          <w:b/>
          <w:color w:val="000000" w:themeColor="text1"/>
        </w:rPr>
      </w:pPr>
      <w:bookmarkStart w:id="1" w:name="_Toc162208541"/>
      <w:r w:rsidRPr="00EF536B">
        <w:rPr>
          <w:b/>
          <w:color w:val="000000" w:themeColor="text1"/>
        </w:rPr>
        <w:lastRenderedPageBreak/>
        <w:t>Introduction</w:t>
      </w:r>
      <w:bookmarkEnd w:id="1"/>
    </w:p>
    <w:p w:rsidR="007656EF" w:rsidRPr="00EF536B" w:rsidRDefault="007656EF" w:rsidP="00EF536B"/>
    <w:p w:rsidR="00EF536B" w:rsidRPr="00EF536B" w:rsidRDefault="00EF536B" w:rsidP="00EF536B">
      <w:pPr>
        <w:pStyle w:val="Heading2"/>
        <w:numPr>
          <w:ilvl w:val="1"/>
          <w:numId w:val="11"/>
        </w:numPr>
        <w:rPr>
          <w:rStyle w:val="Heading2Char"/>
          <w:b/>
          <w:color w:val="000000" w:themeColor="text1"/>
          <w:sz w:val="28"/>
        </w:rPr>
      </w:pPr>
      <w:r w:rsidRPr="00EF536B">
        <w:rPr>
          <w:rStyle w:val="Heading2Char"/>
          <w:b/>
          <w:color w:val="000000" w:themeColor="text1"/>
          <w:sz w:val="28"/>
        </w:rPr>
        <w:t xml:space="preserve"> </w:t>
      </w:r>
      <w:bookmarkStart w:id="2" w:name="_Toc162208542"/>
      <w:r w:rsidR="00C71BEA" w:rsidRPr="00EF536B">
        <w:rPr>
          <w:rStyle w:val="Heading2Char"/>
          <w:b/>
          <w:color w:val="000000" w:themeColor="text1"/>
          <w:sz w:val="28"/>
        </w:rPr>
        <w:t>History</w:t>
      </w:r>
      <w:bookmarkEnd w:id="2"/>
      <w:r w:rsidR="00C71BEA" w:rsidRPr="00EF536B">
        <w:rPr>
          <w:rStyle w:val="Heading2Char"/>
          <w:b/>
          <w:color w:val="000000" w:themeColor="text1"/>
          <w:sz w:val="28"/>
        </w:rPr>
        <w:t xml:space="preserve"> </w:t>
      </w:r>
    </w:p>
    <w:p w:rsidR="00C83BA2" w:rsidRPr="00C83BA2" w:rsidRDefault="00C71BEA" w:rsidP="00C83BA2">
      <w:pPr>
        <w:jc w:val="both"/>
        <w:rPr>
          <w:rFonts w:cstheme="minorHAnsi"/>
          <w:sz w:val="24"/>
          <w:szCs w:val="24"/>
        </w:rPr>
      </w:pPr>
      <w:r w:rsidRPr="00E11342">
        <w:rPr>
          <w:rFonts w:cstheme="minorHAnsi"/>
          <w:sz w:val="24"/>
          <w:szCs w:val="24"/>
        </w:rPr>
        <w:br/>
      </w:r>
      <w:r w:rsidR="00C83BA2" w:rsidRPr="00C83BA2">
        <w:rPr>
          <w:rFonts w:cstheme="minorHAnsi"/>
          <w:sz w:val="24"/>
          <w:szCs w:val="24"/>
        </w:rPr>
        <w:t xml:space="preserve">Johnson &amp; Johnson is a multinational corporation founded in 1886 by three brothers: Robert Wood Johnson, James Wood Johnson as </w:t>
      </w:r>
      <w:r w:rsidR="00C83BA2">
        <w:rPr>
          <w:rFonts w:cstheme="minorHAnsi"/>
          <w:sz w:val="24"/>
          <w:szCs w:val="24"/>
        </w:rPr>
        <w:t xml:space="preserve">well as Edward Mead Johnson. It headquarter is in New Brunswick, </w:t>
      </w:r>
      <w:r w:rsidR="00C83BA2" w:rsidRPr="00C83BA2">
        <w:rPr>
          <w:rFonts w:cstheme="minorHAnsi"/>
          <w:sz w:val="24"/>
          <w:szCs w:val="24"/>
        </w:rPr>
        <w:t>New Jersey, NJ, USA. The company operates in the healthcare industry, encompassing three main sectors: medicines, medical devices, and cosmetics, respectively.</w:t>
      </w:r>
    </w:p>
    <w:p w:rsidR="00C83BA2" w:rsidRDefault="003E02BF" w:rsidP="003E02BF">
      <w:pPr>
        <w:pStyle w:val="Heading2"/>
        <w:numPr>
          <w:ilvl w:val="1"/>
          <w:numId w:val="11"/>
        </w:numPr>
        <w:rPr>
          <w:b/>
          <w:color w:val="000000" w:themeColor="text1"/>
          <w:sz w:val="28"/>
        </w:rPr>
      </w:pPr>
      <w:r w:rsidRPr="003E02BF">
        <w:rPr>
          <w:b/>
          <w:color w:val="000000" w:themeColor="text1"/>
          <w:sz w:val="28"/>
        </w:rPr>
        <w:t xml:space="preserve"> </w:t>
      </w:r>
      <w:bookmarkStart w:id="3" w:name="_Toc162208543"/>
      <w:r>
        <w:rPr>
          <w:b/>
          <w:color w:val="000000" w:themeColor="text1"/>
          <w:sz w:val="28"/>
        </w:rPr>
        <w:t>Business Model</w:t>
      </w:r>
      <w:bookmarkEnd w:id="3"/>
    </w:p>
    <w:p w:rsidR="003E02BF" w:rsidRPr="003E02BF" w:rsidRDefault="003E02BF" w:rsidP="003E02BF"/>
    <w:p w:rsidR="00C83BA2" w:rsidRPr="00C83BA2" w:rsidRDefault="00C83BA2" w:rsidP="00C83BA2">
      <w:pPr>
        <w:jc w:val="both"/>
        <w:rPr>
          <w:rFonts w:cstheme="minorHAnsi"/>
          <w:sz w:val="24"/>
          <w:szCs w:val="24"/>
        </w:rPr>
      </w:pPr>
      <w:r>
        <w:rPr>
          <w:rFonts w:cstheme="minorHAnsi"/>
          <w:sz w:val="24"/>
          <w:szCs w:val="24"/>
        </w:rPr>
        <w:t>T</w:t>
      </w:r>
      <w:r w:rsidRPr="00C83BA2">
        <w:rPr>
          <w:rFonts w:cstheme="minorHAnsi"/>
          <w:sz w:val="24"/>
          <w:szCs w:val="24"/>
        </w:rPr>
        <w:t>he main focus of Johnson &amp; Johnson¢ business approach is to research and develop new products. The company dedicates itself to the production of the well-built health-related products that meet a plethora of demands globally. It facilitates great innovations and discoveries through investing heavily on the research and development to bring forth new and advanced drug products to the market addressing different health issues including simple wellness and complicated ailments.</w:t>
      </w:r>
    </w:p>
    <w:p w:rsidR="00C83BA2" w:rsidRDefault="003E02BF" w:rsidP="003E02BF">
      <w:pPr>
        <w:pStyle w:val="Heading2"/>
        <w:numPr>
          <w:ilvl w:val="1"/>
          <w:numId w:val="11"/>
        </w:numPr>
        <w:rPr>
          <w:b/>
          <w:color w:val="000000" w:themeColor="text1"/>
          <w:sz w:val="28"/>
        </w:rPr>
      </w:pPr>
      <w:r>
        <w:rPr>
          <w:b/>
          <w:color w:val="000000" w:themeColor="text1"/>
          <w:sz w:val="28"/>
        </w:rPr>
        <w:t xml:space="preserve"> </w:t>
      </w:r>
      <w:bookmarkStart w:id="4" w:name="_Toc162208544"/>
      <w:r w:rsidRPr="003E02BF">
        <w:rPr>
          <w:b/>
          <w:color w:val="000000" w:themeColor="text1"/>
          <w:sz w:val="28"/>
        </w:rPr>
        <w:t>Market Place</w:t>
      </w:r>
      <w:bookmarkEnd w:id="4"/>
    </w:p>
    <w:p w:rsidR="003E02BF" w:rsidRPr="003E02BF" w:rsidRDefault="003E02BF" w:rsidP="003E02BF"/>
    <w:p w:rsidR="00C83BA2" w:rsidRDefault="00C83BA2" w:rsidP="00C83BA2">
      <w:pPr>
        <w:jc w:val="both"/>
        <w:rPr>
          <w:rFonts w:cstheme="minorHAnsi"/>
          <w:sz w:val="24"/>
          <w:szCs w:val="24"/>
        </w:rPr>
      </w:pPr>
      <w:r w:rsidRPr="00C83BA2">
        <w:rPr>
          <w:rFonts w:cstheme="minorHAnsi"/>
          <w:sz w:val="24"/>
          <w:szCs w:val="24"/>
        </w:rPr>
        <w:t>Johnson &amp; Johnson is a worldwide health care industry company, and is from 60 countries is located and 175 countries sold products. The organization's diversified portfolio is a means of way to satisfy all the needs of the market that include pharmaceutical, medical equipment, over-the-counter products, etc. It renders a wide range of distribution in the developed as well as outreach markets, and its primary function remains responding to and providing healthcare around the world.</w:t>
      </w:r>
    </w:p>
    <w:p w:rsidR="00C71BEA" w:rsidRDefault="003E02BF" w:rsidP="003E02BF">
      <w:pPr>
        <w:pStyle w:val="Heading2"/>
        <w:numPr>
          <w:ilvl w:val="1"/>
          <w:numId w:val="11"/>
        </w:numPr>
        <w:rPr>
          <w:b/>
          <w:color w:val="000000" w:themeColor="text1"/>
          <w:sz w:val="28"/>
        </w:rPr>
      </w:pPr>
      <w:r>
        <w:rPr>
          <w:b/>
          <w:color w:val="000000" w:themeColor="text1"/>
          <w:sz w:val="28"/>
        </w:rPr>
        <w:t xml:space="preserve"> </w:t>
      </w:r>
      <w:bookmarkStart w:id="5" w:name="_Toc162208545"/>
      <w:r w:rsidR="00C71BEA" w:rsidRPr="003E02BF">
        <w:rPr>
          <w:b/>
          <w:color w:val="000000" w:themeColor="text1"/>
          <w:sz w:val="28"/>
        </w:rPr>
        <w:t>Major Competit</w:t>
      </w:r>
      <w:r w:rsidRPr="003E02BF">
        <w:rPr>
          <w:b/>
          <w:color w:val="000000" w:themeColor="text1"/>
          <w:sz w:val="28"/>
        </w:rPr>
        <w:t>ors</w:t>
      </w:r>
      <w:bookmarkEnd w:id="5"/>
    </w:p>
    <w:p w:rsidR="003E02BF" w:rsidRPr="003E02BF" w:rsidRDefault="003E02BF" w:rsidP="003E02BF"/>
    <w:p w:rsidR="00C83BA2" w:rsidRPr="003E02BF" w:rsidRDefault="00C83BA2" w:rsidP="003E02BF">
      <w:pPr>
        <w:pStyle w:val="ListParagraph"/>
        <w:numPr>
          <w:ilvl w:val="0"/>
          <w:numId w:val="13"/>
        </w:numPr>
        <w:jc w:val="both"/>
        <w:rPr>
          <w:rFonts w:cstheme="minorHAnsi"/>
          <w:sz w:val="24"/>
          <w:szCs w:val="24"/>
        </w:rPr>
      </w:pPr>
      <w:r w:rsidRPr="003E02BF">
        <w:rPr>
          <w:rFonts w:cstheme="minorHAnsi"/>
          <w:b/>
          <w:sz w:val="24"/>
          <w:szCs w:val="24"/>
        </w:rPr>
        <w:t>Pfizer Inc.</w:t>
      </w:r>
      <w:r w:rsidRPr="003E02BF">
        <w:rPr>
          <w:rFonts w:cstheme="minorHAnsi"/>
          <w:sz w:val="24"/>
          <w:szCs w:val="24"/>
        </w:rPr>
        <w:t xml:space="preserve"> is a diverse global pharmaceutical corporation that competes against the Johnson &amp; Johnson Corporation to increase the market share in the pharmaceuticals segment.</w:t>
      </w:r>
    </w:p>
    <w:p w:rsidR="00C83BA2" w:rsidRPr="003E02BF" w:rsidRDefault="00C83BA2" w:rsidP="003E02BF">
      <w:pPr>
        <w:pStyle w:val="ListParagraph"/>
        <w:numPr>
          <w:ilvl w:val="0"/>
          <w:numId w:val="13"/>
        </w:numPr>
        <w:jc w:val="both"/>
        <w:rPr>
          <w:rFonts w:cstheme="minorHAnsi"/>
          <w:sz w:val="24"/>
          <w:szCs w:val="24"/>
        </w:rPr>
      </w:pPr>
      <w:r w:rsidRPr="003E02BF">
        <w:rPr>
          <w:rFonts w:cstheme="minorHAnsi"/>
          <w:b/>
          <w:sz w:val="24"/>
          <w:szCs w:val="24"/>
        </w:rPr>
        <w:t>Novartis AG</w:t>
      </w:r>
      <w:r w:rsidRPr="003E02BF">
        <w:rPr>
          <w:rFonts w:cstheme="minorHAnsi"/>
          <w:sz w:val="24"/>
          <w:szCs w:val="24"/>
        </w:rPr>
        <w:t xml:space="preserve"> - A (multidisciplinary) pharmaceutical cooperative company from Switzerland that competes in various pharmaceutical fields.</w:t>
      </w:r>
    </w:p>
    <w:p w:rsidR="00C83BA2" w:rsidRPr="003E02BF" w:rsidRDefault="00C83BA2" w:rsidP="003E02BF">
      <w:pPr>
        <w:pStyle w:val="ListParagraph"/>
        <w:numPr>
          <w:ilvl w:val="0"/>
          <w:numId w:val="13"/>
        </w:numPr>
        <w:jc w:val="both"/>
        <w:rPr>
          <w:rFonts w:cstheme="minorHAnsi"/>
          <w:sz w:val="24"/>
          <w:szCs w:val="24"/>
        </w:rPr>
      </w:pPr>
      <w:r w:rsidRPr="003E02BF">
        <w:rPr>
          <w:rFonts w:cstheme="minorHAnsi"/>
          <w:b/>
          <w:sz w:val="24"/>
          <w:szCs w:val="24"/>
        </w:rPr>
        <w:t>Merck &amp; Co., Inc</w:t>
      </w:r>
      <w:r w:rsidRPr="003E02BF">
        <w:rPr>
          <w:rFonts w:cstheme="minorHAnsi"/>
          <w:sz w:val="24"/>
          <w:szCs w:val="24"/>
        </w:rPr>
        <w:t>. – an American multinational pharmaceutical corporation that concurrently represents a rival to Johnson &amp; Johnson in the development and marketing of medications.</w:t>
      </w:r>
    </w:p>
    <w:p w:rsidR="00C83BA2" w:rsidRPr="003E02BF" w:rsidRDefault="00C83BA2" w:rsidP="003E02BF">
      <w:pPr>
        <w:pStyle w:val="ListParagraph"/>
        <w:numPr>
          <w:ilvl w:val="0"/>
          <w:numId w:val="13"/>
        </w:numPr>
        <w:jc w:val="both"/>
        <w:rPr>
          <w:rFonts w:cstheme="minorHAnsi"/>
          <w:sz w:val="24"/>
          <w:szCs w:val="24"/>
        </w:rPr>
      </w:pPr>
      <w:r w:rsidRPr="003E02BF">
        <w:rPr>
          <w:rFonts w:cstheme="minorHAnsi"/>
          <w:b/>
          <w:sz w:val="24"/>
          <w:szCs w:val="24"/>
        </w:rPr>
        <w:t>Abbott Laboratories</w:t>
      </w:r>
      <w:r w:rsidRPr="003E02BF">
        <w:rPr>
          <w:rFonts w:cstheme="minorHAnsi"/>
          <w:sz w:val="24"/>
          <w:szCs w:val="24"/>
        </w:rPr>
        <w:t xml:space="preserve"> - It is a healthcare firm that fights against Johnson &amp; Johnson in two arena of medical devices and diagnostics.</w:t>
      </w:r>
    </w:p>
    <w:p w:rsidR="00C83BA2" w:rsidRPr="003E02BF" w:rsidRDefault="00C83BA2" w:rsidP="003E02BF">
      <w:pPr>
        <w:pStyle w:val="ListParagraph"/>
        <w:numPr>
          <w:ilvl w:val="0"/>
          <w:numId w:val="13"/>
        </w:numPr>
        <w:jc w:val="both"/>
        <w:rPr>
          <w:rFonts w:cstheme="minorHAnsi"/>
          <w:sz w:val="24"/>
          <w:szCs w:val="24"/>
        </w:rPr>
      </w:pPr>
      <w:r w:rsidRPr="003E02BF">
        <w:rPr>
          <w:rFonts w:cstheme="minorHAnsi"/>
          <w:b/>
          <w:sz w:val="24"/>
          <w:szCs w:val="24"/>
        </w:rPr>
        <w:t>Procter &amp; Gamble</w:t>
      </w:r>
      <w:r w:rsidRPr="003E02BF">
        <w:rPr>
          <w:rFonts w:cstheme="minorHAnsi"/>
          <w:sz w:val="24"/>
          <w:szCs w:val="24"/>
        </w:rPr>
        <w:t xml:space="preserve"> - The company spanning several nations that is just as strong in market as Johnson &amp; Johnson in the consumer health products market.</w:t>
      </w:r>
    </w:p>
    <w:p w:rsidR="00C83BA2" w:rsidRDefault="00C83BA2" w:rsidP="00C83BA2">
      <w:pPr>
        <w:jc w:val="both"/>
        <w:rPr>
          <w:rFonts w:cstheme="minorHAnsi"/>
          <w:sz w:val="24"/>
          <w:szCs w:val="24"/>
        </w:rPr>
      </w:pPr>
      <w:r w:rsidRPr="00C83BA2">
        <w:rPr>
          <w:rFonts w:cstheme="minorHAnsi"/>
          <w:sz w:val="24"/>
          <w:szCs w:val="24"/>
        </w:rPr>
        <w:lastRenderedPageBreak/>
        <w:t>J&amp;J has borrowed the opportunity to show the market its innovation, wide range of products and broad global presence making it a key player in the ever growing healthcare industry, and its competitors, how</w:t>
      </w:r>
      <w:r>
        <w:rPr>
          <w:rFonts w:cstheme="minorHAnsi"/>
          <w:sz w:val="24"/>
          <w:szCs w:val="24"/>
        </w:rPr>
        <w:t>ever, keep on strengthening too.</w:t>
      </w:r>
    </w:p>
    <w:p w:rsidR="003E02BF" w:rsidRPr="009A24DF" w:rsidRDefault="009A24DF" w:rsidP="009A24DF">
      <w:pPr>
        <w:pStyle w:val="Heading2"/>
        <w:numPr>
          <w:ilvl w:val="1"/>
          <w:numId w:val="11"/>
        </w:numPr>
        <w:rPr>
          <w:b/>
          <w:color w:val="000000" w:themeColor="text1"/>
          <w:sz w:val="28"/>
        </w:rPr>
      </w:pPr>
      <w:r>
        <w:rPr>
          <w:b/>
          <w:color w:val="000000" w:themeColor="text1"/>
          <w:sz w:val="28"/>
        </w:rPr>
        <w:t xml:space="preserve">  </w:t>
      </w:r>
      <w:bookmarkStart w:id="6" w:name="_Toc162208546"/>
      <w:r w:rsidR="003E02BF" w:rsidRPr="009A24DF">
        <w:rPr>
          <w:b/>
          <w:color w:val="000000" w:themeColor="text1"/>
          <w:sz w:val="28"/>
        </w:rPr>
        <w:t>Major Event of J&amp;J</w:t>
      </w:r>
      <w:bookmarkEnd w:id="6"/>
    </w:p>
    <w:p w:rsidR="003E02BF" w:rsidRPr="003E02BF" w:rsidRDefault="003E02BF" w:rsidP="003E02BF"/>
    <w:p w:rsidR="00C83BA2" w:rsidRPr="003E02BF" w:rsidRDefault="00C83BA2" w:rsidP="00C83BA2">
      <w:pPr>
        <w:jc w:val="both"/>
        <w:rPr>
          <w:rFonts w:cstheme="minorHAnsi"/>
          <w:b/>
          <w:sz w:val="24"/>
          <w:szCs w:val="24"/>
        </w:rPr>
      </w:pPr>
      <w:r w:rsidRPr="003E02BF">
        <w:rPr>
          <w:rFonts w:cstheme="minorHAnsi"/>
          <w:b/>
          <w:sz w:val="24"/>
          <w:szCs w:val="24"/>
        </w:rPr>
        <w:t>2019:</w:t>
      </w:r>
    </w:p>
    <w:p w:rsidR="00C83BA2" w:rsidRPr="00C83BA2" w:rsidRDefault="00C83BA2" w:rsidP="00C83BA2">
      <w:pPr>
        <w:jc w:val="both"/>
        <w:rPr>
          <w:rFonts w:cstheme="minorHAnsi"/>
          <w:sz w:val="24"/>
          <w:szCs w:val="24"/>
        </w:rPr>
      </w:pPr>
      <w:r w:rsidRPr="00C83BA2">
        <w:rPr>
          <w:rFonts w:cstheme="minorHAnsi"/>
          <w:sz w:val="24"/>
          <w:szCs w:val="24"/>
        </w:rPr>
        <w:t>Legal Issues: Johnson &amp; Johnson got into many legal troubles for its products, among them was the lawsuit case about the usage of talcum powder that could have led to cancer. At the end of October 2019, the company recalled a whole batch of one of their bestselling products that was sold all around the country, after the FDA discovered a tiny particles of asbestos in one of the bottles by chance.</w:t>
      </w:r>
    </w:p>
    <w:p w:rsidR="00C83BA2" w:rsidRPr="003E02BF" w:rsidRDefault="00C83BA2" w:rsidP="00C83BA2">
      <w:pPr>
        <w:jc w:val="both"/>
        <w:rPr>
          <w:rFonts w:cstheme="minorHAnsi"/>
          <w:b/>
          <w:sz w:val="24"/>
          <w:szCs w:val="24"/>
        </w:rPr>
      </w:pPr>
      <w:r w:rsidRPr="003E02BF">
        <w:rPr>
          <w:rFonts w:cstheme="minorHAnsi"/>
          <w:b/>
          <w:sz w:val="24"/>
          <w:szCs w:val="24"/>
        </w:rPr>
        <w:t>2020:</w:t>
      </w:r>
    </w:p>
    <w:p w:rsidR="00C83BA2" w:rsidRPr="00C83BA2" w:rsidRDefault="00C83BA2" w:rsidP="00C83BA2">
      <w:pPr>
        <w:jc w:val="both"/>
        <w:rPr>
          <w:rFonts w:cstheme="minorHAnsi"/>
          <w:sz w:val="24"/>
          <w:szCs w:val="24"/>
        </w:rPr>
      </w:pPr>
      <w:r w:rsidRPr="00C83BA2">
        <w:rPr>
          <w:rFonts w:cstheme="minorHAnsi"/>
          <w:sz w:val="24"/>
          <w:szCs w:val="24"/>
        </w:rPr>
        <w:t>COVID-19 Vaccine Development: Johnson &amp; Johnson mentioned the development of a vaccine for COVID-19 and got the ‘emergency use authorization’ status from the FDA in February 2021. The company's single-dose vaccine that was added to the existing global vaccine supplies line was an important expansion of the global vaccine supply.</w:t>
      </w:r>
    </w:p>
    <w:p w:rsidR="00C83BA2" w:rsidRPr="003E02BF" w:rsidRDefault="00C83BA2" w:rsidP="00C83BA2">
      <w:pPr>
        <w:jc w:val="both"/>
        <w:rPr>
          <w:rFonts w:cstheme="minorHAnsi"/>
          <w:b/>
          <w:sz w:val="24"/>
          <w:szCs w:val="24"/>
        </w:rPr>
      </w:pPr>
      <w:r w:rsidRPr="003E02BF">
        <w:rPr>
          <w:rFonts w:cstheme="minorHAnsi"/>
          <w:b/>
          <w:sz w:val="24"/>
          <w:szCs w:val="24"/>
        </w:rPr>
        <w:t>2021:</w:t>
      </w:r>
    </w:p>
    <w:p w:rsidR="00C83BA2" w:rsidRPr="00C83BA2" w:rsidRDefault="00C83BA2" w:rsidP="00C83BA2">
      <w:pPr>
        <w:jc w:val="both"/>
        <w:rPr>
          <w:rFonts w:cstheme="minorHAnsi"/>
          <w:sz w:val="24"/>
          <w:szCs w:val="24"/>
        </w:rPr>
      </w:pPr>
      <w:r w:rsidRPr="00C83BA2">
        <w:rPr>
          <w:rFonts w:cstheme="minorHAnsi"/>
          <w:sz w:val="24"/>
          <w:szCs w:val="24"/>
        </w:rPr>
        <w:t>Strategic Change: Johnson &amp; Johnson, on its part, disclosed its intention to tear off its consumer health division and list it as a publicly traded company. By this means the organization had a possibility to occupy itself with its main area of professional pharmaceutical and medical devices.</w:t>
      </w:r>
    </w:p>
    <w:p w:rsidR="00C83BA2" w:rsidRPr="003E02BF" w:rsidRDefault="00C83BA2" w:rsidP="00C83BA2">
      <w:pPr>
        <w:jc w:val="both"/>
        <w:rPr>
          <w:rFonts w:cstheme="minorHAnsi"/>
          <w:b/>
          <w:sz w:val="24"/>
          <w:szCs w:val="24"/>
        </w:rPr>
      </w:pPr>
      <w:r w:rsidRPr="003E02BF">
        <w:rPr>
          <w:rFonts w:cstheme="minorHAnsi"/>
          <w:b/>
          <w:sz w:val="24"/>
          <w:szCs w:val="24"/>
        </w:rPr>
        <w:t>2022:</w:t>
      </w:r>
    </w:p>
    <w:p w:rsidR="00C83BA2" w:rsidRDefault="00C83BA2" w:rsidP="00C83BA2">
      <w:pPr>
        <w:jc w:val="both"/>
        <w:rPr>
          <w:rFonts w:cstheme="minorHAnsi"/>
          <w:sz w:val="24"/>
          <w:szCs w:val="24"/>
        </w:rPr>
      </w:pPr>
      <w:r w:rsidRPr="00C83BA2">
        <w:rPr>
          <w:rFonts w:cstheme="minorHAnsi"/>
          <w:sz w:val="24"/>
          <w:szCs w:val="24"/>
        </w:rPr>
        <w:t>Legal Settlement: On the 18th of February, 2022, Johnson &amp; Johnson and its subsidiary, DePuy Synthes, settled claims of subscribing to the False Claims Act for promoting the medical devices for no approved reasons.</w:t>
      </w:r>
    </w:p>
    <w:p w:rsidR="00C71BEA" w:rsidRPr="003E02BF" w:rsidRDefault="00C71BEA" w:rsidP="00C83BA2">
      <w:pPr>
        <w:jc w:val="both"/>
        <w:rPr>
          <w:rFonts w:cstheme="minorHAnsi"/>
          <w:b/>
          <w:sz w:val="24"/>
          <w:szCs w:val="24"/>
        </w:rPr>
      </w:pPr>
      <w:r w:rsidRPr="003E02BF">
        <w:rPr>
          <w:rFonts w:cstheme="minorHAnsi"/>
          <w:b/>
          <w:sz w:val="24"/>
          <w:szCs w:val="24"/>
        </w:rPr>
        <w:t>2023:</w:t>
      </w:r>
    </w:p>
    <w:p w:rsidR="00C83BA2" w:rsidRPr="00C83BA2" w:rsidRDefault="00C83BA2" w:rsidP="00C83BA2">
      <w:pPr>
        <w:jc w:val="both"/>
        <w:rPr>
          <w:rFonts w:cstheme="minorHAnsi"/>
          <w:sz w:val="24"/>
          <w:szCs w:val="24"/>
        </w:rPr>
      </w:pPr>
      <w:r w:rsidRPr="00C83BA2">
        <w:rPr>
          <w:rFonts w:cstheme="minorHAnsi"/>
          <w:sz w:val="24"/>
          <w:szCs w:val="24"/>
        </w:rPr>
        <w:t>Acquisition: In February 2023, a subdivision of Johnson &amp; Johnson - Janssen Pharmaceutical Companies Inc.</w:t>
      </w:r>
      <w:r>
        <w:rPr>
          <w:rFonts w:cstheme="minorHAnsi"/>
          <w:sz w:val="24"/>
          <w:szCs w:val="24"/>
        </w:rPr>
        <w:t xml:space="preserve"> </w:t>
      </w:r>
      <w:r w:rsidRPr="00C83BA2">
        <w:rPr>
          <w:rFonts w:cstheme="minorHAnsi"/>
          <w:sz w:val="24"/>
          <w:szCs w:val="24"/>
        </w:rPr>
        <w:t>announced the acquisition of Hemab Therapeutics, a company that is engaged in developing drugs for serious blood disorders. This respective acquisition is emphasized to strengthen J &amp;J hematology portfolio.</w:t>
      </w:r>
    </w:p>
    <w:p w:rsidR="00C71BEA" w:rsidRDefault="00F00E4B" w:rsidP="004A5CB6">
      <w:pPr>
        <w:pStyle w:val="Heading1"/>
        <w:numPr>
          <w:ilvl w:val="0"/>
          <w:numId w:val="11"/>
        </w:numPr>
        <w:rPr>
          <w:b/>
          <w:color w:val="000000" w:themeColor="text1"/>
        </w:rPr>
      </w:pPr>
      <w:bookmarkStart w:id="7" w:name="_Toc162208547"/>
      <w:r w:rsidRPr="004A5CB6">
        <w:rPr>
          <w:b/>
          <w:color w:val="000000" w:themeColor="text1"/>
        </w:rPr>
        <w:t>Calculation of financial ratios</w:t>
      </w:r>
      <w:bookmarkEnd w:id="7"/>
    </w:p>
    <w:p w:rsidR="008C70CE" w:rsidRPr="008C70CE" w:rsidRDefault="008C70CE" w:rsidP="008C70CE"/>
    <w:p w:rsidR="00F00E4B" w:rsidRPr="00E11342" w:rsidRDefault="00F00E4B" w:rsidP="00E11342">
      <w:pPr>
        <w:jc w:val="both"/>
        <w:rPr>
          <w:rFonts w:cstheme="minorHAnsi"/>
          <w:sz w:val="24"/>
          <w:szCs w:val="24"/>
        </w:rPr>
      </w:pPr>
      <w:r w:rsidRPr="00E11342">
        <w:rPr>
          <w:rFonts w:cstheme="minorHAnsi"/>
          <w:sz w:val="24"/>
          <w:szCs w:val="24"/>
        </w:rPr>
        <w:t>Here's a more detailed critical review of Johnson &amp; Johnson's financial performance for the most recent financial year, covering profitability, liquidity, gearing, and efficiency ratios:</w:t>
      </w:r>
    </w:p>
    <w:p w:rsidR="00F00E4B" w:rsidRPr="00E11342" w:rsidRDefault="00F00E4B" w:rsidP="00E11342">
      <w:pPr>
        <w:jc w:val="both"/>
        <w:rPr>
          <w:rFonts w:cstheme="minorHAnsi"/>
          <w:sz w:val="24"/>
          <w:szCs w:val="24"/>
        </w:rPr>
      </w:pPr>
    </w:p>
    <w:p w:rsidR="00F00E4B" w:rsidRPr="008C70CE" w:rsidRDefault="008C70CE" w:rsidP="008C70CE">
      <w:pPr>
        <w:pStyle w:val="Heading2"/>
        <w:numPr>
          <w:ilvl w:val="1"/>
          <w:numId w:val="11"/>
        </w:numPr>
        <w:rPr>
          <w:b/>
          <w:color w:val="000000" w:themeColor="text1"/>
          <w:sz w:val="28"/>
        </w:rPr>
      </w:pPr>
      <w:r>
        <w:rPr>
          <w:b/>
          <w:color w:val="000000" w:themeColor="text1"/>
          <w:sz w:val="28"/>
        </w:rPr>
        <w:lastRenderedPageBreak/>
        <w:t xml:space="preserve"> </w:t>
      </w:r>
      <w:bookmarkStart w:id="8" w:name="_Toc162208548"/>
      <w:r>
        <w:rPr>
          <w:b/>
          <w:color w:val="000000" w:themeColor="text1"/>
          <w:sz w:val="28"/>
        </w:rPr>
        <w:t>Profitability Ratio</w:t>
      </w:r>
      <w:bookmarkEnd w:id="8"/>
    </w:p>
    <w:p w:rsidR="00C83BA2" w:rsidRPr="00C83BA2" w:rsidRDefault="00C83BA2" w:rsidP="00C83BA2">
      <w:pPr>
        <w:jc w:val="both"/>
        <w:rPr>
          <w:rFonts w:cstheme="minorHAnsi"/>
          <w:sz w:val="24"/>
          <w:szCs w:val="24"/>
        </w:rPr>
      </w:pPr>
      <w:r w:rsidRPr="00C83BA2">
        <w:rPr>
          <w:rFonts w:cstheme="minorHAnsi"/>
          <w:sz w:val="24"/>
          <w:szCs w:val="24"/>
        </w:rPr>
        <w:t>The profitability ratio is a financial index used to assess the ability of a company for generating gain as compared to its revenue, assets, equity, or other financial metrics</w:t>
      </w:r>
      <w:r w:rsidR="00E86487">
        <w:rPr>
          <w:rFonts w:cstheme="minorHAnsi"/>
          <w:sz w:val="24"/>
          <w:szCs w:val="24"/>
        </w:rPr>
        <w:t xml:space="preserve"> </w:t>
      </w:r>
      <w:r w:rsidR="00E86487" w:rsidRPr="00E86487">
        <w:rPr>
          <w:rFonts w:cstheme="minorHAnsi"/>
          <w:sz w:val="24"/>
          <w:szCs w:val="24"/>
        </w:rPr>
        <w:t>(Rafid et al., 2021)</w:t>
      </w:r>
      <w:r w:rsidRPr="00C83BA2">
        <w:rPr>
          <w:rFonts w:cstheme="minorHAnsi"/>
          <w:sz w:val="24"/>
          <w:szCs w:val="24"/>
        </w:rPr>
        <w:t>. These ratios help analysts see how properly operations are run and gauge them compared to other businesses.</w:t>
      </w:r>
    </w:p>
    <w:p w:rsidR="00C83BA2" w:rsidRPr="008C70CE" w:rsidRDefault="00C83BA2" w:rsidP="008C70CE">
      <w:pPr>
        <w:pStyle w:val="ListParagraph"/>
        <w:numPr>
          <w:ilvl w:val="0"/>
          <w:numId w:val="14"/>
        </w:numPr>
        <w:jc w:val="both"/>
        <w:rPr>
          <w:rFonts w:cstheme="minorHAnsi"/>
          <w:b/>
          <w:sz w:val="24"/>
          <w:szCs w:val="24"/>
        </w:rPr>
      </w:pPr>
      <w:r w:rsidRPr="008C70CE">
        <w:rPr>
          <w:rFonts w:cstheme="minorHAnsi"/>
          <w:b/>
          <w:sz w:val="24"/>
          <w:szCs w:val="24"/>
        </w:rPr>
        <w:t>Return on Equity (ROE)</w:t>
      </w:r>
    </w:p>
    <w:p w:rsidR="00C83BA2" w:rsidRPr="008C70CE" w:rsidRDefault="00C83BA2" w:rsidP="00C83BA2">
      <w:pPr>
        <w:jc w:val="both"/>
        <w:rPr>
          <w:rFonts w:cstheme="minorHAnsi"/>
          <w:b/>
          <w:sz w:val="24"/>
          <w:szCs w:val="24"/>
        </w:rPr>
      </w:pPr>
      <w:r w:rsidRPr="008C70CE">
        <w:rPr>
          <w:rFonts w:cstheme="minorHAnsi"/>
          <w:b/>
          <w:sz w:val="24"/>
          <w:szCs w:val="24"/>
        </w:rPr>
        <w:t>Formula: ROE = Net Income/ Shareholder's Equity</w:t>
      </w:r>
    </w:p>
    <w:p w:rsidR="00C83BA2" w:rsidRPr="00C83BA2" w:rsidRDefault="00C83BA2" w:rsidP="00C83BA2">
      <w:pPr>
        <w:jc w:val="both"/>
        <w:rPr>
          <w:rFonts w:cstheme="minorHAnsi"/>
          <w:sz w:val="24"/>
          <w:szCs w:val="24"/>
        </w:rPr>
      </w:pPr>
      <w:r w:rsidRPr="00BB1395">
        <w:rPr>
          <w:rFonts w:cstheme="minorHAnsi"/>
          <w:b/>
          <w:sz w:val="24"/>
          <w:szCs w:val="24"/>
        </w:rPr>
        <w:t>Calculation</w:t>
      </w:r>
      <w:r w:rsidRPr="00C83BA2">
        <w:rPr>
          <w:rFonts w:cstheme="minorHAnsi"/>
          <w:sz w:val="24"/>
          <w:szCs w:val="24"/>
        </w:rPr>
        <w:t xml:space="preserve">: J&amp;J reported the net income of approximately </w:t>
      </w:r>
      <w:r w:rsidRPr="008C70CE">
        <w:rPr>
          <w:rFonts w:cstheme="minorHAnsi"/>
          <w:b/>
          <w:sz w:val="24"/>
          <w:szCs w:val="24"/>
        </w:rPr>
        <w:t>$17.94</w:t>
      </w:r>
      <w:r w:rsidRPr="00C83BA2">
        <w:rPr>
          <w:rFonts w:cstheme="minorHAnsi"/>
          <w:sz w:val="24"/>
          <w:szCs w:val="24"/>
        </w:rPr>
        <w:t xml:space="preserve"> billion and the shareholder's equity of approximately </w:t>
      </w:r>
      <w:r w:rsidRPr="008C70CE">
        <w:rPr>
          <w:rFonts w:cstheme="minorHAnsi"/>
          <w:b/>
          <w:sz w:val="24"/>
          <w:szCs w:val="24"/>
        </w:rPr>
        <w:t>$76.804</w:t>
      </w:r>
      <w:r w:rsidRPr="00C83BA2">
        <w:rPr>
          <w:rFonts w:cstheme="minorHAnsi"/>
          <w:sz w:val="24"/>
          <w:szCs w:val="24"/>
        </w:rPr>
        <w:t xml:space="preserve"> billion at the end of the fiscal year that ends on December 31, 2022. For this reason, therefore, ROE = </w:t>
      </w:r>
      <w:r w:rsidRPr="00864C33">
        <w:rPr>
          <w:rFonts w:cstheme="minorHAnsi"/>
          <w:b/>
          <w:sz w:val="24"/>
          <w:szCs w:val="24"/>
        </w:rPr>
        <w:t>$17.97 billion / $76.80 billion</w:t>
      </w:r>
      <w:r w:rsidRPr="00C83BA2">
        <w:rPr>
          <w:rFonts w:cstheme="minorHAnsi"/>
          <w:sz w:val="24"/>
          <w:szCs w:val="24"/>
        </w:rPr>
        <w:t xml:space="preserve"> = </w:t>
      </w:r>
      <w:r w:rsidRPr="008C70CE">
        <w:rPr>
          <w:rFonts w:cstheme="minorHAnsi"/>
          <w:b/>
          <w:sz w:val="24"/>
          <w:szCs w:val="24"/>
        </w:rPr>
        <w:t>0.234</w:t>
      </w:r>
      <w:r w:rsidRPr="00C83BA2">
        <w:rPr>
          <w:rFonts w:cstheme="minorHAnsi"/>
          <w:sz w:val="24"/>
          <w:szCs w:val="24"/>
        </w:rPr>
        <w:t xml:space="preserve"> or </w:t>
      </w:r>
      <w:r w:rsidRPr="008C70CE">
        <w:rPr>
          <w:rFonts w:cstheme="minorHAnsi"/>
          <w:b/>
          <w:sz w:val="24"/>
          <w:szCs w:val="24"/>
        </w:rPr>
        <w:t>23.35%.</w:t>
      </w:r>
    </w:p>
    <w:p w:rsidR="00C83BA2" w:rsidRPr="00C83BA2" w:rsidRDefault="00C83BA2" w:rsidP="00C83BA2">
      <w:pPr>
        <w:jc w:val="both"/>
        <w:rPr>
          <w:rFonts w:cstheme="minorHAnsi"/>
          <w:sz w:val="24"/>
          <w:szCs w:val="24"/>
        </w:rPr>
      </w:pPr>
      <w:r w:rsidRPr="00BB1395">
        <w:rPr>
          <w:rFonts w:cstheme="minorHAnsi"/>
          <w:b/>
          <w:sz w:val="24"/>
          <w:szCs w:val="24"/>
        </w:rPr>
        <w:t>Discussion</w:t>
      </w:r>
      <w:r w:rsidRPr="00C83BA2">
        <w:rPr>
          <w:rFonts w:cstheme="minorHAnsi"/>
          <w:sz w:val="24"/>
          <w:szCs w:val="24"/>
        </w:rPr>
        <w:t>: ROE of 23.35% is high and undoubtedly the company is rewarding its investors for the capital invested. The profitability ratio is a good indication of a stable company that uses equity market capitalization (equity) efficiently to generate profits.</w:t>
      </w:r>
    </w:p>
    <w:p w:rsidR="00C83BA2" w:rsidRDefault="00BB1395" w:rsidP="00BB1395">
      <w:pPr>
        <w:pStyle w:val="Heading2"/>
        <w:numPr>
          <w:ilvl w:val="1"/>
          <w:numId w:val="11"/>
        </w:numPr>
        <w:rPr>
          <w:b/>
          <w:color w:val="000000" w:themeColor="text1"/>
          <w:sz w:val="28"/>
        </w:rPr>
      </w:pPr>
      <w:r>
        <w:rPr>
          <w:b/>
          <w:color w:val="000000" w:themeColor="text1"/>
          <w:sz w:val="28"/>
        </w:rPr>
        <w:t xml:space="preserve"> </w:t>
      </w:r>
      <w:bookmarkStart w:id="9" w:name="_Toc162208549"/>
      <w:r>
        <w:rPr>
          <w:b/>
          <w:color w:val="000000" w:themeColor="text1"/>
          <w:sz w:val="28"/>
        </w:rPr>
        <w:t>Liquidity Ratio</w:t>
      </w:r>
      <w:bookmarkEnd w:id="9"/>
    </w:p>
    <w:p w:rsidR="00BB1395" w:rsidRPr="00BB1395" w:rsidRDefault="00BB1395" w:rsidP="00BB1395"/>
    <w:p w:rsidR="00C83BA2" w:rsidRDefault="00C83BA2" w:rsidP="00C83BA2">
      <w:pPr>
        <w:jc w:val="both"/>
        <w:rPr>
          <w:rFonts w:cstheme="minorHAnsi"/>
          <w:sz w:val="24"/>
          <w:szCs w:val="24"/>
        </w:rPr>
      </w:pPr>
      <w:r w:rsidRPr="00C83BA2">
        <w:rPr>
          <w:rFonts w:cstheme="minorHAnsi"/>
          <w:sz w:val="24"/>
          <w:szCs w:val="24"/>
        </w:rPr>
        <w:t>Liquidity ratio is a financial ratios which is a measure of company's capacity to repay the short-term obligations and liabilities with the available cash and cash equivalents</w:t>
      </w:r>
      <w:r w:rsidR="00B979B5">
        <w:rPr>
          <w:rFonts w:cstheme="minorHAnsi"/>
          <w:sz w:val="24"/>
          <w:szCs w:val="24"/>
        </w:rPr>
        <w:t xml:space="preserve"> </w:t>
      </w:r>
      <w:r w:rsidR="00B979B5" w:rsidRPr="00B979B5">
        <w:rPr>
          <w:rFonts w:cstheme="minorHAnsi"/>
          <w:sz w:val="24"/>
          <w:szCs w:val="24"/>
        </w:rPr>
        <w:t>(Jihadi et al., 2021)</w:t>
      </w:r>
      <w:r w:rsidRPr="00C83BA2">
        <w:rPr>
          <w:rFonts w:cstheme="minorHAnsi"/>
          <w:sz w:val="24"/>
          <w:szCs w:val="24"/>
        </w:rPr>
        <w:t>. The ratios of these mention how stable the firm's liquidity is; that it can change its assets into cash even without much loss of money.</w:t>
      </w:r>
    </w:p>
    <w:p w:rsidR="00F25452" w:rsidRPr="00886779" w:rsidRDefault="00F25452" w:rsidP="00886779">
      <w:pPr>
        <w:pStyle w:val="ListParagraph"/>
        <w:numPr>
          <w:ilvl w:val="0"/>
          <w:numId w:val="14"/>
        </w:numPr>
        <w:jc w:val="both"/>
        <w:rPr>
          <w:rFonts w:cstheme="minorHAnsi"/>
          <w:b/>
          <w:sz w:val="24"/>
          <w:szCs w:val="24"/>
        </w:rPr>
      </w:pPr>
      <w:r w:rsidRPr="00886779">
        <w:rPr>
          <w:rFonts w:cstheme="minorHAnsi"/>
          <w:b/>
          <w:sz w:val="24"/>
          <w:szCs w:val="24"/>
        </w:rPr>
        <w:t>Current Ratio</w:t>
      </w:r>
    </w:p>
    <w:p w:rsidR="00C83BA2" w:rsidRPr="00886779" w:rsidRDefault="00C83BA2" w:rsidP="00C83BA2">
      <w:pPr>
        <w:jc w:val="both"/>
        <w:rPr>
          <w:rFonts w:cstheme="minorHAnsi"/>
          <w:b/>
          <w:sz w:val="24"/>
          <w:szCs w:val="24"/>
        </w:rPr>
      </w:pPr>
      <w:r w:rsidRPr="00886779">
        <w:rPr>
          <w:rFonts w:cstheme="minorHAnsi"/>
          <w:b/>
          <w:sz w:val="24"/>
          <w:szCs w:val="24"/>
        </w:rPr>
        <w:t>Formula: Current Ratio = Current Assets</w:t>
      </w:r>
      <w:r w:rsidR="00886779">
        <w:rPr>
          <w:rFonts w:cstheme="minorHAnsi"/>
          <w:b/>
          <w:sz w:val="24"/>
          <w:szCs w:val="24"/>
        </w:rPr>
        <w:t xml:space="preserve"> divided by Current Liabilities</w:t>
      </w:r>
    </w:p>
    <w:p w:rsidR="00C83BA2" w:rsidRPr="00C83BA2" w:rsidRDefault="00C83BA2" w:rsidP="00C83BA2">
      <w:pPr>
        <w:jc w:val="both"/>
        <w:rPr>
          <w:rFonts w:cstheme="minorHAnsi"/>
          <w:sz w:val="24"/>
          <w:szCs w:val="24"/>
        </w:rPr>
      </w:pPr>
      <w:r w:rsidRPr="00886779">
        <w:rPr>
          <w:rFonts w:cstheme="minorHAnsi"/>
          <w:b/>
          <w:sz w:val="24"/>
          <w:szCs w:val="24"/>
        </w:rPr>
        <w:t>Calculation</w:t>
      </w:r>
      <w:r w:rsidRPr="00C83BA2">
        <w:rPr>
          <w:rFonts w:cstheme="minorHAnsi"/>
          <w:sz w:val="24"/>
          <w:szCs w:val="24"/>
        </w:rPr>
        <w:t xml:space="preserve">: In the fiscal year ending on December 31, 2022, Johnson &amp; Johnson reported current assets of an approximated </w:t>
      </w:r>
      <w:r w:rsidRPr="00886779">
        <w:rPr>
          <w:rFonts w:cstheme="minorHAnsi"/>
          <w:b/>
          <w:sz w:val="24"/>
          <w:szCs w:val="24"/>
        </w:rPr>
        <w:t>55.29</w:t>
      </w:r>
      <w:r w:rsidRPr="00C83BA2">
        <w:rPr>
          <w:rFonts w:cstheme="minorHAnsi"/>
          <w:sz w:val="24"/>
          <w:szCs w:val="24"/>
        </w:rPr>
        <w:t xml:space="preserve"> billion USD and current liabilities at a approximated </w:t>
      </w:r>
      <w:r w:rsidRPr="00886779">
        <w:rPr>
          <w:rFonts w:cstheme="minorHAnsi"/>
          <w:b/>
          <w:sz w:val="24"/>
          <w:szCs w:val="24"/>
        </w:rPr>
        <w:t>55.80</w:t>
      </w:r>
      <w:r w:rsidRPr="00C83BA2">
        <w:rPr>
          <w:rFonts w:cstheme="minorHAnsi"/>
          <w:sz w:val="24"/>
          <w:szCs w:val="24"/>
        </w:rPr>
        <w:t xml:space="preserve"> billion USD. Consequently, Current Ratio is calculated by </w:t>
      </w:r>
      <w:r w:rsidRPr="00864C33">
        <w:rPr>
          <w:rFonts w:cstheme="minorHAnsi"/>
          <w:b/>
          <w:sz w:val="24"/>
          <w:szCs w:val="24"/>
        </w:rPr>
        <w:t>$55.29 billion / $55.80 billion</w:t>
      </w:r>
      <w:r w:rsidRPr="00C83BA2">
        <w:rPr>
          <w:rFonts w:cstheme="minorHAnsi"/>
          <w:sz w:val="24"/>
          <w:szCs w:val="24"/>
        </w:rPr>
        <w:t xml:space="preserve"> = </w:t>
      </w:r>
      <w:r w:rsidR="00864C33">
        <w:rPr>
          <w:rFonts w:cstheme="minorHAnsi"/>
          <w:b/>
          <w:sz w:val="24"/>
          <w:szCs w:val="24"/>
        </w:rPr>
        <w:t>0.99</w:t>
      </w:r>
    </w:p>
    <w:p w:rsidR="002A5FC7" w:rsidRPr="00E11342" w:rsidRDefault="00C83BA2" w:rsidP="00C83BA2">
      <w:pPr>
        <w:jc w:val="both"/>
        <w:rPr>
          <w:rFonts w:cstheme="minorHAnsi"/>
          <w:sz w:val="24"/>
          <w:szCs w:val="24"/>
        </w:rPr>
      </w:pPr>
      <w:r w:rsidRPr="00886779">
        <w:rPr>
          <w:rFonts w:cstheme="minorHAnsi"/>
          <w:b/>
          <w:sz w:val="24"/>
          <w:szCs w:val="24"/>
        </w:rPr>
        <w:t>Discussion</w:t>
      </w:r>
      <w:r w:rsidRPr="00C83BA2">
        <w:rPr>
          <w:rFonts w:cstheme="minorHAnsi"/>
          <w:sz w:val="24"/>
          <w:szCs w:val="24"/>
        </w:rPr>
        <w:t xml:space="preserve">: Johnson &amp; Johnson's Current Ratio of </w:t>
      </w:r>
      <w:r w:rsidRPr="00864C33">
        <w:rPr>
          <w:rFonts w:cstheme="minorHAnsi"/>
          <w:b/>
          <w:sz w:val="24"/>
          <w:szCs w:val="24"/>
        </w:rPr>
        <w:t>0.99</w:t>
      </w:r>
      <w:r w:rsidRPr="00C83BA2">
        <w:rPr>
          <w:rFonts w:cstheme="minorHAnsi"/>
          <w:sz w:val="24"/>
          <w:szCs w:val="24"/>
        </w:rPr>
        <w:t xml:space="preserve"> shows the short-term obligations of the company are higher than short-term assets. This signals out that JNJ might be hoping to make up those short-</w:t>
      </w:r>
      <w:r w:rsidR="00620442">
        <w:rPr>
          <w:rFonts w:cstheme="minorHAnsi"/>
          <w:sz w:val="24"/>
          <w:szCs w:val="24"/>
        </w:rPr>
        <w:t>falls by using some of its cash</w:t>
      </w:r>
      <w:r w:rsidR="002A5FC7" w:rsidRPr="00E11342">
        <w:rPr>
          <w:rFonts w:cstheme="minorHAnsi"/>
          <w:sz w:val="24"/>
          <w:szCs w:val="24"/>
        </w:rPr>
        <w:t>.</w:t>
      </w:r>
    </w:p>
    <w:p w:rsidR="00F00E4B" w:rsidRDefault="00864C33" w:rsidP="00864C33">
      <w:pPr>
        <w:pStyle w:val="Heading2"/>
        <w:numPr>
          <w:ilvl w:val="1"/>
          <w:numId w:val="11"/>
        </w:numPr>
        <w:rPr>
          <w:b/>
          <w:color w:val="000000" w:themeColor="text1"/>
          <w:sz w:val="28"/>
        </w:rPr>
      </w:pPr>
      <w:r>
        <w:rPr>
          <w:b/>
          <w:color w:val="000000" w:themeColor="text1"/>
          <w:sz w:val="28"/>
        </w:rPr>
        <w:t xml:space="preserve"> </w:t>
      </w:r>
      <w:bookmarkStart w:id="10" w:name="_Toc162208550"/>
      <w:r>
        <w:rPr>
          <w:b/>
          <w:color w:val="000000" w:themeColor="text1"/>
          <w:sz w:val="28"/>
        </w:rPr>
        <w:t>Gearing Ratio</w:t>
      </w:r>
      <w:bookmarkEnd w:id="10"/>
    </w:p>
    <w:p w:rsidR="00864C33" w:rsidRPr="00864C33" w:rsidRDefault="00864C33" w:rsidP="00864C33"/>
    <w:p w:rsidR="00620442" w:rsidRDefault="00620442" w:rsidP="00E11342">
      <w:pPr>
        <w:jc w:val="both"/>
        <w:rPr>
          <w:rFonts w:cstheme="minorHAnsi"/>
          <w:sz w:val="24"/>
          <w:szCs w:val="24"/>
        </w:rPr>
      </w:pPr>
      <w:r w:rsidRPr="00620442">
        <w:rPr>
          <w:rFonts w:cstheme="minorHAnsi"/>
          <w:sz w:val="24"/>
          <w:szCs w:val="24"/>
        </w:rPr>
        <w:t>A gearing ratio is a financial indicator that determines a company's proportionate relation of borrowed funds to equity. It measures the ratio of a company's debt to its equity; that is, this is the relationship between the creditors and the investors</w:t>
      </w:r>
      <w:r w:rsidR="00B979B5">
        <w:rPr>
          <w:rFonts w:cstheme="minorHAnsi"/>
          <w:sz w:val="24"/>
          <w:szCs w:val="24"/>
        </w:rPr>
        <w:t xml:space="preserve"> </w:t>
      </w:r>
      <w:r w:rsidR="00B979B5" w:rsidRPr="00B979B5">
        <w:rPr>
          <w:rFonts w:cstheme="minorHAnsi"/>
          <w:sz w:val="24"/>
          <w:szCs w:val="24"/>
        </w:rPr>
        <w:t>(Dirman, 2020)</w:t>
      </w:r>
      <w:r w:rsidRPr="00620442">
        <w:rPr>
          <w:rFonts w:cstheme="minorHAnsi"/>
          <w:sz w:val="24"/>
          <w:szCs w:val="24"/>
        </w:rPr>
        <w:t>. A harder gearing ratio suggests that a company is more dependent on debt financing, while lower ratio shows more balance in equity financing.</w:t>
      </w:r>
    </w:p>
    <w:p w:rsidR="00F25452" w:rsidRPr="00864C33" w:rsidRDefault="00F25452" w:rsidP="00864C33">
      <w:pPr>
        <w:pStyle w:val="ListParagraph"/>
        <w:numPr>
          <w:ilvl w:val="0"/>
          <w:numId w:val="14"/>
        </w:numPr>
        <w:jc w:val="both"/>
        <w:rPr>
          <w:rFonts w:cstheme="minorHAnsi"/>
          <w:b/>
          <w:sz w:val="24"/>
          <w:szCs w:val="24"/>
        </w:rPr>
      </w:pPr>
      <w:r w:rsidRPr="00864C33">
        <w:rPr>
          <w:rFonts w:cstheme="minorHAnsi"/>
          <w:b/>
          <w:sz w:val="24"/>
          <w:szCs w:val="24"/>
        </w:rPr>
        <w:t>Debt-to-Equity Ratio</w:t>
      </w:r>
    </w:p>
    <w:p w:rsidR="00620442" w:rsidRPr="00864C33" w:rsidRDefault="00620442" w:rsidP="00620442">
      <w:pPr>
        <w:jc w:val="both"/>
        <w:rPr>
          <w:rFonts w:cstheme="minorHAnsi"/>
          <w:b/>
          <w:sz w:val="24"/>
          <w:szCs w:val="24"/>
        </w:rPr>
      </w:pPr>
      <w:r w:rsidRPr="00864C33">
        <w:rPr>
          <w:rFonts w:cstheme="minorHAnsi"/>
          <w:b/>
          <w:sz w:val="24"/>
          <w:szCs w:val="24"/>
        </w:rPr>
        <w:lastRenderedPageBreak/>
        <w:t>Formula: Debt-to-Equity Ratio=Total L</w:t>
      </w:r>
      <w:r w:rsidR="00864C33">
        <w:rPr>
          <w:rFonts w:cstheme="minorHAnsi"/>
          <w:b/>
          <w:sz w:val="24"/>
          <w:szCs w:val="24"/>
        </w:rPr>
        <w:t>iabilities/Shareholder's Equity</w:t>
      </w:r>
    </w:p>
    <w:p w:rsidR="00620442" w:rsidRPr="00620442" w:rsidRDefault="00620442" w:rsidP="00620442">
      <w:pPr>
        <w:jc w:val="both"/>
        <w:rPr>
          <w:rFonts w:cstheme="minorHAnsi"/>
          <w:sz w:val="24"/>
          <w:szCs w:val="24"/>
        </w:rPr>
      </w:pPr>
      <w:r w:rsidRPr="00864C33">
        <w:rPr>
          <w:rFonts w:cstheme="minorHAnsi"/>
          <w:b/>
          <w:sz w:val="24"/>
          <w:szCs w:val="24"/>
        </w:rPr>
        <w:t>Calculation</w:t>
      </w:r>
      <w:r w:rsidRPr="00620442">
        <w:rPr>
          <w:rFonts w:cstheme="minorHAnsi"/>
          <w:sz w:val="24"/>
          <w:szCs w:val="24"/>
        </w:rPr>
        <w:t xml:space="preserve">: As of December 31, 2022, for the fiscal year ending December 31, 2022, Johnson &amp; Johnson had total liabilities amounted approximately </w:t>
      </w:r>
      <w:r w:rsidRPr="00864C33">
        <w:rPr>
          <w:rFonts w:cstheme="minorHAnsi"/>
          <w:b/>
          <w:sz w:val="24"/>
          <w:szCs w:val="24"/>
        </w:rPr>
        <w:t>$110.57</w:t>
      </w:r>
      <w:r w:rsidRPr="00620442">
        <w:rPr>
          <w:rFonts w:cstheme="minorHAnsi"/>
          <w:sz w:val="24"/>
          <w:szCs w:val="24"/>
        </w:rPr>
        <w:t xml:space="preserve"> billion and shareholder's equity about of $76.80 billion. Then, the Debt-to-Equi</w:t>
      </w:r>
      <w:r w:rsidR="00864C33">
        <w:rPr>
          <w:rFonts w:cstheme="minorHAnsi"/>
          <w:sz w:val="24"/>
          <w:szCs w:val="24"/>
        </w:rPr>
        <w:t xml:space="preserve">ty Ratio is </w:t>
      </w:r>
      <w:r w:rsidR="00864C33" w:rsidRPr="00864C33">
        <w:rPr>
          <w:rFonts w:cstheme="minorHAnsi"/>
          <w:b/>
          <w:sz w:val="24"/>
          <w:szCs w:val="24"/>
        </w:rPr>
        <w:t>$110.57 billion / $76.80</w:t>
      </w:r>
      <w:r w:rsidR="00864C33">
        <w:rPr>
          <w:rFonts w:cstheme="minorHAnsi"/>
          <w:sz w:val="24"/>
          <w:szCs w:val="24"/>
        </w:rPr>
        <w:t xml:space="preserve"> billion</w:t>
      </w:r>
      <w:r w:rsidRPr="00620442">
        <w:rPr>
          <w:rFonts w:cstheme="minorHAnsi"/>
          <w:sz w:val="24"/>
          <w:szCs w:val="24"/>
        </w:rPr>
        <w:t xml:space="preserve"> = </w:t>
      </w:r>
      <w:r w:rsidR="00864C33">
        <w:rPr>
          <w:rFonts w:cstheme="minorHAnsi"/>
          <w:b/>
          <w:sz w:val="24"/>
          <w:szCs w:val="24"/>
        </w:rPr>
        <w:t>1.43</w:t>
      </w:r>
    </w:p>
    <w:p w:rsidR="00620442" w:rsidRDefault="00620442" w:rsidP="00620442">
      <w:pPr>
        <w:jc w:val="both"/>
        <w:rPr>
          <w:rFonts w:cstheme="minorHAnsi"/>
          <w:sz w:val="24"/>
          <w:szCs w:val="24"/>
        </w:rPr>
      </w:pPr>
      <w:r w:rsidRPr="00864C33">
        <w:rPr>
          <w:rFonts w:cstheme="minorHAnsi"/>
          <w:b/>
          <w:sz w:val="24"/>
          <w:szCs w:val="24"/>
        </w:rPr>
        <w:t>Discussion</w:t>
      </w:r>
      <w:r w:rsidRPr="00620442">
        <w:rPr>
          <w:rFonts w:cstheme="minorHAnsi"/>
          <w:sz w:val="24"/>
          <w:szCs w:val="24"/>
        </w:rPr>
        <w:t>: A debt-to-equity ratio of 1.43 reveals Johnson &amp; Johnson more spectacularly has a higher level of debt compared to its equity. It means, however, that Johnson &amp; Johnson, even given that it is a good sized and established company, sometimes works with big debts. Let’s take a closer look. The company's rapid rate of return on capital and its liquidity positions are likely to moderate some of the ri</w:t>
      </w:r>
      <w:r>
        <w:rPr>
          <w:rFonts w:cstheme="minorHAnsi"/>
          <w:sz w:val="24"/>
          <w:szCs w:val="24"/>
        </w:rPr>
        <w:t>sks incurring for this leverage.</w:t>
      </w:r>
    </w:p>
    <w:p w:rsidR="00F00E4B" w:rsidRDefault="00294CEE" w:rsidP="00294CEE">
      <w:pPr>
        <w:pStyle w:val="Heading2"/>
        <w:numPr>
          <w:ilvl w:val="1"/>
          <w:numId w:val="11"/>
        </w:numPr>
        <w:rPr>
          <w:b/>
          <w:color w:val="000000" w:themeColor="text1"/>
          <w:sz w:val="28"/>
        </w:rPr>
      </w:pPr>
      <w:r>
        <w:rPr>
          <w:b/>
          <w:color w:val="000000" w:themeColor="text1"/>
          <w:sz w:val="28"/>
        </w:rPr>
        <w:t xml:space="preserve"> </w:t>
      </w:r>
      <w:bookmarkStart w:id="11" w:name="_Toc162208551"/>
      <w:r>
        <w:rPr>
          <w:b/>
          <w:color w:val="000000" w:themeColor="text1"/>
          <w:sz w:val="28"/>
        </w:rPr>
        <w:t>Efficiency Ratio</w:t>
      </w:r>
      <w:bookmarkEnd w:id="11"/>
    </w:p>
    <w:p w:rsidR="00294CEE" w:rsidRPr="00294CEE" w:rsidRDefault="00294CEE" w:rsidP="00294CEE"/>
    <w:p w:rsidR="00620442" w:rsidRPr="00620442" w:rsidRDefault="00620442" w:rsidP="00620442">
      <w:pPr>
        <w:jc w:val="both"/>
        <w:rPr>
          <w:rFonts w:cstheme="minorHAnsi"/>
          <w:sz w:val="24"/>
          <w:szCs w:val="24"/>
        </w:rPr>
      </w:pPr>
      <w:r w:rsidRPr="00620442">
        <w:rPr>
          <w:rFonts w:cstheme="minorHAnsi"/>
          <w:sz w:val="24"/>
          <w:szCs w:val="24"/>
        </w:rPr>
        <w:t>The efficiency ratio is an accounting measure reflecting the effectiveness of firms in using their assets to cover the costs and return income</w:t>
      </w:r>
      <w:r w:rsidR="00B979B5">
        <w:rPr>
          <w:rFonts w:cstheme="minorHAnsi"/>
          <w:sz w:val="24"/>
          <w:szCs w:val="24"/>
        </w:rPr>
        <w:t xml:space="preserve"> </w:t>
      </w:r>
      <w:r w:rsidR="00B979B5" w:rsidRPr="00B979B5">
        <w:rPr>
          <w:rFonts w:cstheme="minorHAnsi"/>
          <w:sz w:val="24"/>
          <w:szCs w:val="24"/>
        </w:rPr>
        <w:t>(Barauskaite &amp; Streimikiene, 2021)</w:t>
      </w:r>
      <w:r w:rsidRPr="00620442">
        <w:rPr>
          <w:rFonts w:cstheme="minorHAnsi"/>
          <w:sz w:val="24"/>
          <w:szCs w:val="24"/>
        </w:rPr>
        <w:t>. Efficiency ratios are the tools that help in analyzing the performance of different functional areas of a business, comprising inventory control, accounts receivable and payable and asset utilization.</w:t>
      </w:r>
    </w:p>
    <w:p w:rsidR="00620442" w:rsidRPr="00294CEE" w:rsidRDefault="00620442" w:rsidP="00294CEE">
      <w:pPr>
        <w:pStyle w:val="ListParagraph"/>
        <w:numPr>
          <w:ilvl w:val="0"/>
          <w:numId w:val="14"/>
        </w:numPr>
        <w:jc w:val="both"/>
        <w:rPr>
          <w:rFonts w:cstheme="minorHAnsi"/>
          <w:b/>
          <w:sz w:val="24"/>
          <w:szCs w:val="24"/>
        </w:rPr>
      </w:pPr>
      <w:r w:rsidRPr="00294CEE">
        <w:rPr>
          <w:rFonts w:cstheme="minorHAnsi"/>
          <w:b/>
          <w:sz w:val="24"/>
          <w:szCs w:val="24"/>
        </w:rPr>
        <w:t>Inventory Turnover Ratio</w:t>
      </w:r>
    </w:p>
    <w:p w:rsidR="00620442" w:rsidRPr="00294CEE" w:rsidRDefault="00620442" w:rsidP="00294CEE">
      <w:pPr>
        <w:jc w:val="both"/>
        <w:rPr>
          <w:rFonts w:cstheme="minorHAnsi"/>
          <w:b/>
          <w:sz w:val="24"/>
          <w:szCs w:val="24"/>
        </w:rPr>
      </w:pPr>
      <w:r w:rsidRPr="00294CEE">
        <w:rPr>
          <w:rFonts w:cstheme="minorHAnsi"/>
          <w:b/>
          <w:sz w:val="24"/>
          <w:szCs w:val="24"/>
        </w:rPr>
        <w:t>Formula: Inventory Turnover Ratio = Cost of</w:t>
      </w:r>
      <w:r w:rsidR="00294CEE" w:rsidRPr="00294CEE">
        <w:rPr>
          <w:rFonts w:cstheme="minorHAnsi"/>
          <w:b/>
          <w:sz w:val="24"/>
          <w:szCs w:val="24"/>
        </w:rPr>
        <w:t xml:space="preserve"> Goods Sold / average Inventory</w:t>
      </w:r>
    </w:p>
    <w:p w:rsidR="00620442" w:rsidRPr="00620442" w:rsidRDefault="00620442" w:rsidP="00620442">
      <w:pPr>
        <w:jc w:val="both"/>
        <w:rPr>
          <w:rFonts w:cstheme="minorHAnsi"/>
          <w:sz w:val="24"/>
          <w:szCs w:val="24"/>
        </w:rPr>
      </w:pPr>
      <w:r w:rsidRPr="00294CEE">
        <w:rPr>
          <w:rFonts w:cstheme="minorHAnsi"/>
          <w:b/>
          <w:sz w:val="24"/>
          <w:szCs w:val="24"/>
        </w:rPr>
        <w:t>Calculation</w:t>
      </w:r>
      <w:r w:rsidRPr="00620442">
        <w:rPr>
          <w:rFonts w:cstheme="minorHAnsi"/>
          <w:sz w:val="24"/>
          <w:szCs w:val="24"/>
        </w:rPr>
        <w:t xml:space="preserve">: Regarding the fiscal year 2022 which ended on the 31st of December 2022 Johnson &amp; Johnson recorded as cost of goods sold around </w:t>
      </w:r>
      <w:r w:rsidRPr="00294CEE">
        <w:rPr>
          <w:rFonts w:cstheme="minorHAnsi"/>
          <w:b/>
          <w:sz w:val="24"/>
          <w:szCs w:val="24"/>
        </w:rPr>
        <w:t>$24.596</w:t>
      </w:r>
      <w:r w:rsidRPr="00620442">
        <w:rPr>
          <w:rFonts w:cstheme="minorHAnsi"/>
          <w:sz w:val="24"/>
          <w:szCs w:val="24"/>
        </w:rPr>
        <w:t xml:space="preserve"> billion and an average inventory of approximately $10.26 billion. Therefore, there is the inventory turnover ratio =</w:t>
      </w:r>
      <w:r w:rsidRPr="00294CEE">
        <w:rPr>
          <w:rFonts w:cstheme="minorHAnsi"/>
          <w:b/>
          <w:sz w:val="24"/>
          <w:szCs w:val="24"/>
        </w:rPr>
        <w:t xml:space="preserve"> $24.59 billion / $10.26 billion = 2.39</w:t>
      </w:r>
      <w:r w:rsidRPr="00620442">
        <w:rPr>
          <w:rFonts w:cstheme="minorHAnsi"/>
          <w:sz w:val="24"/>
          <w:szCs w:val="24"/>
        </w:rPr>
        <w:t>, respectively.</w:t>
      </w:r>
    </w:p>
    <w:p w:rsidR="00620442" w:rsidRPr="00620442" w:rsidRDefault="00620442" w:rsidP="00620442">
      <w:pPr>
        <w:jc w:val="both"/>
        <w:rPr>
          <w:rFonts w:cstheme="minorHAnsi"/>
          <w:sz w:val="24"/>
          <w:szCs w:val="24"/>
        </w:rPr>
      </w:pPr>
      <w:r w:rsidRPr="00294CEE">
        <w:rPr>
          <w:rFonts w:cstheme="minorHAnsi"/>
          <w:b/>
          <w:sz w:val="24"/>
          <w:szCs w:val="24"/>
        </w:rPr>
        <w:t>Discussion</w:t>
      </w:r>
      <w:r w:rsidRPr="00620442">
        <w:rPr>
          <w:rFonts w:cstheme="minorHAnsi"/>
          <w:sz w:val="24"/>
          <w:szCs w:val="24"/>
        </w:rPr>
        <w:t>: The impact of the Johnson &amp; Johnson’s inventory turnover ratio of 2.39 is that, the firm has the ability to efficiently manage its inventory and to turn it over approximately 2.39 times over the year. This more or less shows the same thing like effective inventory management and resource utilization are the conditions of the maintaining the operational efficiency preventing any item holding costs.</w:t>
      </w:r>
    </w:p>
    <w:p w:rsidR="00620442" w:rsidRDefault="00620442" w:rsidP="00620442">
      <w:pPr>
        <w:jc w:val="both"/>
        <w:rPr>
          <w:rFonts w:cstheme="minorHAnsi"/>
          <w:sz w:val="24"/>
          <w:szCs w:val="24"/>
        </w:rPr>
      </w:pPr>
      <w:r w:rsidRPr="00620442">
        <w:rPr>
          <w:rFonts w:cstheme="minorHAnsi"/>
          <w:sz w:val="24"/>
          <w:szCs w:val="24"/>
        </w:rPr>
        <w:t>Overall, J&amp;J's financial statements for the last financial year assures good profitability, short liquidity, low leverage which can be managed, and good inventory management. These financial ratios show a strong financial health although the company should pay attention to these debt levels and should always try to improve its liquidity and performance.</w:t>
      </w:r>
    </w:p>
    <w:tbl>
      <w:tblPr>
        <w:tblStyle w:val="TableGrid"/>
        <w:tblW w:w="0" w:type="auto"/>
        <w:tblLook w:val="04A0" w:firstRow="1" w:lastRow="0" w:firstColumn="1" w:lastColumn="0" w:noHBand="0" w:noVBand="1"/>
      </w:tblPr>
      <w:tblGrid>
        <w:gridCol w:w="5035"/>
        <w:gridCol w:w="5035"/>
      </w:tblGrid>
      <w:tr w:rsidR="004C0196" w:rsidTr="004C0196">
        <w:tc>
          <w:tcPr>
            <w:tcW w:w="5035" w:type="dxa"/>
          </w:tcPr>
          <w:p w:rsidR="004C0196" w:rsidRPr="00635407" w:rsidRDefault="004C0196" w:rsidP="00620442">
            <w:pPr>
              <w:jc w:val="both"/>
              <w:rPr>
                <w:rFonts w:cstheme="minorHAnsi"/>
                <w:b/>
                <w:sz w:val="24"/>
                <w:szCs w:val="24"/>
              </w:rPr>
            </w:pPr>
            <w:r w:rsidRPr="00635407">
              <w:rPr>
                <w:rFonts w:cstheme="minorHAnsi"/>
                <w:b/>
                <w:sz w:val="24"/>
                <w:szCs w:val="24"/>
              </w:rPr>
              <w:t xml:space="preserve">NO </w:t>
            </w:r>
          </w:p>
        </w:tc>
        <w:tc>
          <w:tcPr>
            <w:tcW w:w="5035" w:type="dxa"/>
          </w:tcPr>
          <w:p w:rsidR="004C0196" w:rsidRPr="00635407" w:rsidRDefault="00F33C6A" w:rsidP="00F33C6A">
            <w:pPr>
              <w:jc w:val="both"/>
              <w:rPr>
                <w:rFonts w:cstheme="minorHAnsi"/>
                <w:b/>
                <w:sz w:val="24"/>
                <w:szCs w:val="24"/>
              </w:rPr>
            </w:pPr>
            <w:r w:rsidRPr="00635407">
              <w:rPr>
                <w:rFonts w:cstheme="minorHAnsi"/>
                <w:b/>
                <w:sz w:val="24"/>
                <w:szCs w:val="24"/>
              </w:rPr>
              <w:t xml:space="preserve">J&amp;J Inc. </w:t>
            </w:r>
            <w:r w:rsidR="004C0196" w:rsidRPr="00635407">
              <w:rPr>
                <w:rFonts w:cstheme="minorHAnsi"/>
                <w:b/>
                <w:sz w:val="24"/>
                <w:szCs w:val="24"/>
              </w:rPr>
              <w:t xml:space="preserve">Ratios </w:t>
            </w:r>
          </w:p>
        </w:tc>
      </w:tr>
      <w:tr w:rsidR="004C0196" w:rsidTr="004C0196">
        <w:tc>
          <w:tcPr>
            <w:tcW w:w="5035" w:type="dxa"/>
          </w:tcPr>
          <w:p w:rsidR="004C0196" w:rsidRPr="00635407" w:rsidRDefault="004C0196" w:rsidP="004C0196">
            <w:pPr>
              <w:rPr>
                <w:rFonts w:cstheme="minorHAnsi"/>
                <w:b/>
                <w:sz w:val="24"/>
                <w:szCs w:val="24"/>
              </w:rPr>
            </w:pPr>
            <w:r w:rsidRPr="00635407">
              <w:rPr>
                <w:rFonts w:cstheme="minorHAnsi"/>
                <w:b/>
                <w:sz w:val="24"/>
                <w:szCs w:val="24"/>
              </w:rPr>
              <w:t>Return on Equity (ROE)</w:t>
            </w:r>
          </w:p>
        </w:tc>
        <w:tc>
          <w:tcPr>
            <w:tcW w:w="5035" w:type="dxa"/>
          </w:tcPr>
          <w:p w:rsidR="004C0196" w:rsidRPr="00635407" w:rsidRDefault="004C0196" w:rsidP="00620442">
            <w:pPr>
              <w:jc w:val="both"/>
              <w:rPr>
                <w:rFonts w:cstheme="minorHAnsi"/>
                <w:b/>
                <w:sz w:val="24"/>
                <w:szCs w:val="24"/>
              </w:rPr>
            </w:pPr>
            <w:r w:rsidRPr="00635407">
              <w:rPr>
                <w:rFonts w:cstheme="minorHAnsi"/>
                <w:b/>
                <w:sz w:val="24"/>
                <w:szCs w:val="24"/>
              </w:rPr>
              <w:t>23.35%</w:t>
            </w:r>
          </w:p>
        </w:tc>
      </w:tr>
      <w:tr w:rsidR="004C0196" w:rsidTr="004C0196">
        <w:tc>
          <w:tcPr>
            <w:tcW w:w="5035" w:type="dxa"/>
          </w:tcPr>
          <w:p w:rsidR="004C0196" w:rsidRPr="00635407" w:rsidRDefault="004C0196" w:rsidP="004C0196">
            <w:pPr>
              <w:rPr>
                <w:rFonts w:cstheme="minorHAnsi"/>
                <w:b/>
                <w:sz w:val="24"/>
                <w:szCs w:val="24"/>
              </w:rPr>
            </w:pPr>
            <w:r w:rsidRPr="00635407">
              <w:rPr>
                <w:rFonts w:cstheme="minorHAnsi"/>
                <w:b/>
                <w:sz w:val="24"/>
                <w:szCs w:val="24"/>
              </w:rPr>
              <w:t>Current Ratio</w:t>
            </w:r>
          </w:p>
        </w:tc>
        <w:tc>
          <w:tcPr>
            <w:tcW w:w="5035" w:type="dxa"/>
          </w:tcPr>
          <w:p w:rsidR="004C0196" w:rsidRPr="00635407" w:rsidRDefault="004C0196" w:rsidP="00620442">
            <w:pPr>
              <w:jc w:val="both"/>
              <w:rPr>
                <w:rFonts w:cstheme="minorHAnsi"/>
                <w:b/>
                <w:sz w:val="24"/>
                <w:szCs w:val="24"/>
              </w:rPr>
            </w:pPr>
            <w:r w:rsidRPr="00635407">
              <w:rPr>
                <w:rFonts w:cstheme="minorHAnsi"/>
                <w:b/>
                <w:sz w:val="24"/>
                <w:szCs w:val="24"/>
              </w:rPr>
              <w:t>0.99</w:t>
            </w:r>
          </w:p>
        </w:tc>
      </w:tr>
      <w:tr w:rsidR="004C0196" w:rsidTr="004C0196">
        <w:tc>
          <w:tcPr>
            <w:tcW w:w="5035" w:type="dxa"/>
          </w:tcPr>
          <w:p w:rsidR="004C0196" w:rsidRPr="00635407" w:rsidRDefault="004C0196" w:rsidP="004C0196">
            <w:pPr>
              <w:rPr>
                <w:rFonts w:cstheme="minorHAnsi"/>
                <w:b/>
                <w:sz w:val="24"/>
                <w:szCs w:val="24"/>
              </w:rPr>
            </w:pPr>
            <w:r w:rsidRPr="00635407">
              <w:rPr>
                <w:rFonts w:cstheme="minorHAnsi"/>
                <w:b/>
                <w:sz w:val="24"/>
                <w:szCs w:val="24"/>
              </w:rPr>
              <w:t>Debt-to-Equity Ratio</w:t>
            </w:r>
          </w:p>
        </w:tc>
        <w:tc>
          <w:tcPr>
            <w:tcW w:w="5035" w:type="dxa"/>
          </w:tcPr>
          <w:p w:rsidR="004C0196" w:rsidRPr="00635407" w:rsidRDefault="004C0196" w:rsidP="00620442">
            <w:pPr>
              <w:jc w:val="both"/>
              <w:rPr>
                <w:rFonts w:cstheme="minorHAnsi"/>
                <w:b/>
                <w:sz w:val="24"/>
                <w:szCs w:val="24"/>
              </w:rPr>
            </w:pPr>
            <w:r w:rsidRPr="00635407">
              <w:rPr>
                <w:rFonts w:cstheme="minorHAnsi"/>
                <w:b/>
                <w:sz w:val="24"/>
                <w:szCs w:val="24"/>
              </w:rPr>
              <w:t>1.43</w:t>
            </w:r>
          </w:p>
        </w:tc>
      </w:tr>
      <w:tr w:rsidR="004C0196" w:rsidTr="004C0196">
        <w:tc>
          <w:tcPr>
            <w:tcW w:w="5035" w:type="dxa"/>
          </w:tcPr>
          <w:p w:rsidR="004C0196" w:rsidRPr="00635407" w:rsidRDefault="004C0196" w:rsidP="004C0196">
            <w:pPr>
              <w:rPr>
                <w:rFonts w:cstheme="minorHAnsi"/>
                <w:b/>
                <w:sz w:val="24"/>
                <w:szCs w:val="24"/>
              </w:rPr>
            </w:pPr>
            <w:r w:rsidRPr="00635407">
              <w:rPr>
                <w:rFonts w:cstheme="minorHAnsi"/>
                <w:b/>
                <w:sz w:val="24"/>
                <w:szCs w:val="24"/>
              </w:rPr>
              <w:t>Inventory Turnover Ratio</w:t>
            </w:r>
          </w:p>
        </w:tc>
        <w:tc>
          <w:tcPr>
            <w:tcW w:w="5035" w:type="dxa"/>
          </w:tcPr>
          <w:p w:rsidR="004C0196" w:rsidRPr="00635407" w:rsidRDefault="004C0196" w:rsidP="00620442">
            <w:pPr>
              <w:jc w:val="both"/>
              <w:rPr>
                <w:rFonts w:cstheme="minorHAnsi"/>
                <w:b/>
                <w:sz w:val="24"/>
                <w:szCs w:val="24"/>
              </w:rPr>
            </w:pPr>
            <w:r w:rsidRPr="00635407">
              <w:rPr>
                <w:rFonts w:cstheme="minorHAnsi"/>
                <w:b/>
                <w:sz w:val="24"/>
                <w:szCs w:val="24"/>
              </w:rPr>
              <w:t>2.39</w:t>
            </w:r>
          </w:p>
        </w:tc>
      </w:tr>
    </w:tbl>
    <w:p w:rsidR="004C0196" w:rsidRDefault="004C0196" w:rsidP="00620442">
      <w:pPr>
        <w:jc w:val="both"/>
        <w:rPr>
          <w:rFonts w:cstheme="minorHAnsi"/>
          <w:sz w:val="24"/>
          <w:szCs w:val="24"/>
        </w:rPr>
      </w:pPr>
    </w:p>
    <w:p w:rsidR="007E0A0C" w:rsidRPr="00516A67" w:rsidRDefault="00516A67" w:rsidP="00516A67">
      <w:pPr>
        <w:pStyle w:val="Heading2"/>
        <w:numPr>
          <w:ilvl w:val="1"/>
          <w:numId w:val="11"/>
        </w:numPr>
        <w:rPr>
          <w:b/>
          <w:color w:val="000000" w:themeColor="text1"/>
          <w:sz w:val="28"/>
        </w:rPr>
      </w:pPr>
      <w:r>
        <w:rPr>
          <w:b/>
          <w:color w:val="000000" w:themeColor="text1"/>
          <w:sz w:val="28"/>
        </w:rPr>
        <w:lastRenderedPageBreak/>
        <w:t xml:space="preserve">  </w:t>
      </w:r>
      <w:bookmarkStart w:id="12" w:name="_Toc162208552"/>
      <w:r w:rsidR="007E0A0C" w:rsidRPr="00516A67">
        <w:rPr>
          <w:b/>
          <w:color w:val="000000" w:themeColor="text1"/>
          <w:sz w:val="28"/>
        </w:rPr>
        <w:t>Evaluation of the ratios</w:t>
      </w:r>
      <w:bookmarkEnd w:id="12"/>
    </w:p>
    <w:p w:rsidR="00294CEE" w:rsidRPr="00294CEE" w:rsidRDefault="00294CEE" w:rsidP="00294CEE"/>
    <w:p w:rsidR="00620442" w:rsidRDefault="00620442" w:rsidP="00E11342">
      <w:pPr>
        <w:jc w:val="both"/>
        <w:rPr>
          <w:rFonts w:cstheme="minorHAnsi"/>
          <w:sz w:val="24"/>
          <w:szCs w:val="24"/>
        </w:rPr>
      </w:pPr>
      <w:r w:rsidRPr="00620442">
        <w:rPr>
          <w:rFonts w:cstheme="minorHAnsi"/>
          <w:sz w:val="24"/>
          <w:szCs w:val="24"/>
        </w:rPr>
        <w:t>To critically evaluate the financial ratios calculated for Johnson &amp; Johnson, we can refer to academic references that provide insights into the interpretation and significance of these ratios in assessing a company's financial health</w:t>
      </w:r>
    </w:p>
    <w:p w:rsidR="007E0A0C" w:rsidRPr="00516A67" w:rsidRDefault="007E0A0C" w:rsidP="00E11342">
      <w:pPr>
        <w:pStyle w:val="ListParagraph"/>
        <w:numPr>
          <w:ilvl w:val="0"/>
          <w:numId w:val="14"/>
        </w:numPr>
        <w:jc w:val="both"/>
        <w:rPr>
          <w:rFonts w:cstheme="minorHAnsi"/>
          <w:b/>
          <w:sz w:val="24"/>
          <w:szCs w:val="24"/>
        </w:rPr>
      </w:pPr>
      <w:r w:rsidRPr="00516A67">
        <w:rPr>
          <w:rFonts w:cstheme="minorHAnsi"/>
          <w:b/>
          <w:sz w:val="24"/>
          <w:szCs w:val="24"/>
        </w:rPr>
        <w:t>Profitability Ratio: Return on Equity (ROE)</w:t>
      </w:r>
    </w:p>
    <w:p w:rsidR="00620442" w:rsidRPr="00620442" w:rsidRDefault="00620442" w:rsidP="00620442">
      <w:pPr>
        <w:jc w:val="both"/>
        <w:rPr>
          <w:rFonts w:cstheme="minorHAnsi"/>
          <w:sz w:val="24"/>
          <w:szCs w:val="24"/>
        </w:rPr>
      </w:pPr>
      <w:r w:rsidRPr="00620442">
        <w:rPr>
          <w:rFonts w:cstheme="minorHAnsi"/>
          <w:sz w:val="24"/>
          <w:szCs w:val="24"/>
        </w:rPr>
        <w:t>Brigham and Houston (2019) in their book "FUNDAMENTALS OF FINANCIAL MANAGEMENT" bring out the point that ROE should desirably be large as it shows that the company income is making high profits from the amount of equity capital it is establishing. Johnson &amp; Johnson's ROE of 23.35% well qualify as being strong, a shout out to the efficient management and the lucrative profitability.</w:t>
      </w:r>
    </w:p>
    <w:p w:rsidR="007E0A0C" w:rsidRPr="00E11342" w:rsidRDefault="00620442" w:rsidP="00620442">
      <w:pPr>
        <w:jc w:val="both"/>
        <w:rPr>
          <w:rFonts w:cstheme="minorHAnsi"/>
          <w:sz w:val="24"/>
          <w:szCs w:val="24"/>
        </w:rPr>
      </w:pPr>
      <w:r w:rsidRPr="00620442">
        <w:rPr>
          <w:rFonts w:cstheme="minorHAnsi"/>
          <w:sz w:val="24"/>
          <w:szCs w:val="24"/>
        </w:rPr>
        <w:t>Damodaran (2018) in "Corporate Finance: In the book "Financial Health: Theory and Practice" the author suggests that one should compare ROE with the industry's averages and the past performance. J&amp;J ROE is to be evaluated in relation to its rivals, its historical ROE, and it reflects its p</w:t>
      </w:r>
      <w:r>
        <w:rPr>
          <w:rFonts w:cstheme="minorHAnsi"/>
          <w:sz w:val="24"/>
          <w:szCs w:val="24"/>
        </w:rPr>
        <w:t>erformance rate</w:t>
      </w:r>
      <w:r w:rsidR="007E0A0C" w:rsidRPr="00E11342">
        <w:rPr>
          <w:rFonts w:cstheme="minorHAnsi"/>
          <w:sz w:val="24"/>
          <w:szCs w:val="24"/>
        </w:rPr>
        <w:t>.</w:t>
      </w:r>
    </w:p>
    <w:p w:rsidR="007E0A0C" w:rsidRPr="00516A67" w:rsidRDefault="007E0A0C" w:rsidP="00E11342">
      <w:pPr>
        <w:pStyle w:val="ListParagraph"/>
        <w:numPr>
          <w:ilvl w:val="0"/>
          <w:numId w:val="14"/>
        </w:numPr>
        <w:jc w:val="both"/>
        <w:rPr>
          <w:rFonts w:cstheme="minorHAnsi"/>
          <w:b/>
          <w:sz w:val="24"/>
          <w:szCs w:val="24"/>
        </w:rPr>
      </w:pPr>
      <w:r w:rsidRPr="00516A67">
        <w:rPr>
          <w:rFonts w:cstheme="minorHAnsi"/>
          <w:b/>
          <w:sz w:val="24"/>
          <w:szCs w:val="24"/>
        </w:rPr>
        <w:t>Liquidity Ratio: Current Ratio</w:t>
      </w:r>
    </w:p>
    <w:p w:rsidR="00620442" w:rsidRPr="00620442" w:rsidRDefault="00620442" w:rsidP="00620442">
      <w:pPr>
        <w:jc w:val="both"/>
        <w:rPr>
          <w:rFonts w:cstheme="minorHAnsi"/>
          <w:sz w:val="24"/>
          <w:szCs w:val="24"/>
        </w:rPr>
      </w:pPr>
      <w:r w:rsidRPr="00620442">
        <w:rPr>
          <w:rFonts w:cstheme="minorHAnsi"/>
          <w:sz w:val="24"/>
          <w:szCs w:val="24"/>
        </w:rPr>
        <w:t>According to the writing of Gittman, Zutter, and Balasubramanyam (2020) in Principles of Managerial Finance, it is obvious that current ratio above 1.0 means the firm has more liquidated assets than short-term liabilities. Liquidity for Johnson &amp; Johnson's revolves at around 0.99 as their current ratio tells us.</w:t>
      </w:r>
    </w:p>
    <w:p w:rsidR="00620442" w:rsidRDefault="00620442" w:rsidP="00620442">
      <w:pPr>
        <w:jc w:val="both"/>
        <w:rPr>
          <w:rFonts w:cstheme="minorHAnsi"/>
          <w:sz w:val="24"/>
          <w:szCs w:val="24"/>
        </w:rPr>
      </w:pPr>
      <w:r w:rsidRPr="00620442">
        <w:rPr>
          <w:rFonts w:cstheme="minorHAnsi"/>
          <w:sz w:val="24"/>
          <w:szCs w:val="24"/>
        </w:rPr>
        <w:t>Amongst Brealey, Myers and Allen's (2019) assertions in "Principles of Corporate Finance" does these authors come to the conclusion that, though a higher current ratio is of importance, may be signifying inefficiency in the utilization of assets if they are excessively low. Liqvidity and the useful employment of assets should be regarded as twin components of the financial position of Johnson &amp; Johnson.</w:t>
      </w:r>
    </w:p>
    <w:p w:rsidR="007E0A0C" w:rsidRPr="00516A67" w:rsidRDefault="007E0A0C" w:rsidP="00516A67">
      <w:pPr>
        <w:pStyle w:val="ListParagraph"/>
        <w:numPr>
          <w:ilvl w:val="0"/>
          <w:numId w:val="15"/>
        </w:numPr>
        <w:jc w:val="both"/>
        <w:rPr>
          <w:rFonts w:cstheme="minorHAnsi"/>
          <w:b/>
          <w:sz w:val="24"/>
          <w:szCs w:val="24"/>
        </w:rPr>
      </w:pPr>
      <w:r w:rsidRPr="00516A67">
        <w:rPr>
          <w:rFonts w:cstheme="minorHAnsi"/>
          <w:b/>
          <w:sz w:val="24"/>
          <w:szCs w:val="24"/>
        </w:rPr>
        <w:t>Gearing Ratio: Debt-to-Equity Ratio</w:t>
      </w:r>
    </w:p>
    <w:p w:rsidR="00620442" w:rsidRPr="00620442" w:rsidRDefault="00620442" w:rsidP="00620442">
      <w:pPr>
        <w:jc w:val="both"/>
        <w:rPr>
          <w:rFonts w:cstheme="minorHAnsi"/>
          <w:sz w:val="24"/>
          <w:szCs w:val="24"/>
        </w:rPr>
      </w:pPr>
      <w:r w:rsidRPr="00620442">
        <w:rPr>
          <w:rFonts w:cstheme="minorHAnsi"/>
          <w:sz w:val="24"/>
          <w:szCs w:val="24"/>
        </w:rPr>
        <w:t>Neave, Zhou and Fabozzi (2018) in "Financial Economics" state this as the higher the debt-to-equity ratio, the more aggressive is the financing and greater the financial risk posed. A company debt-equity ratio of 1,43 demonstrates a higher proportion of debt in banking structure, which may add in the level of risk of the enterprise .</w:t>
      </w:r>
    </w:p>
    <w:p w:rsidR="00620442" w:rsidRDefault="00620442" w:rsidP="00620442">
      <w:pPr>
        <w:jc w:val="both"/>
        <w:rPr>
          <w:rFonts w:cstheme="minorHAnsi"/>
          <w:sz w:val="24"/>
          <w:szCs w:val="24"/>
        </w:rPr>
      </w:pPr>
      <w:r w:rsidRPr="00620442">
        <w:rPr>
          <w:rFonts w:cstheme="minorHAnsi"/>
          <w:sz w:val="24"/>
          <w:szCs w:val="24"/>
        </w:rPr>
        <w:t>Penman, J. (2020) in "Financial Statement Analysis and Security Valuation" posts a viewpoint that as leverage may boost returns, the side effect of income instability and the risk of bankruptcy always present themselves. Johnson and Johnson have to take care of its net debt that must be positive because negative impacts could follow.</w:t>
      </w:r>
    </w:p>
    <w:p w:rsidR="007E0A0C" w:rsidRPr="00516A67" w:rsidRDefault="007E0A0C" w:rsidP="00516A67">
      <w:pPr>
        <w:pStyle w:val="ListParagraph"/>
        <w:numPr>
          <w:ilvl w:val="0"/>
          <w:numId w:val="15"/>
        </w:numPr>
        <w:jc w:val="both"/>
        <w:rPr>
          <w:rFonts w:cstheme="minorHAnsi"/>
          <w:b/>
          <w:sz w:val="24"/>
          <w:szCs w:val="24"/>
        </w:rPr>
      </w:pPr>
      <w:r w:rsidRPr="00516A67">
        <w:rPr>
          <w:rFonts w:cstheme="minorHAnsi"/>
          <w:b/>
          <w:sz w:val="24"/>
          <w:szCs w:val="24"/>
        </w:rPr>
        <w:t>Efficiency Ratio: Inventory Turnover Ratio</w:t>
      </w:r>
    </w:p>
    <w:p w:rsidR="00620442" w:rsidRPr="00620442" w:rsidRDefault="00620442" w:rsidP="00620442">
      <w:pPr>
        <w:jc w:val="both"/>
        <w:rPr>
          <w:rFonts w:cstheme="minorHAnsi"/>
          <w:sz w:val="24"/>
          <w:szCs w:val="24"/>
        </w:rPr>
      </w:pPr>
      <w:r w:rsidRPr="00620442">
        <w:rPr>
          <w:rFonts w:cstheme="minorHAnsi"/>
          <w:sz w:val="24"/>
          <w:szCs w:val="24"/>
        </w:rPr>
        <w:t xml:space="preserve">Horngren, Datar, and Rajan (2021) in "Cost Accounting: In "Focused on "Underlying Ratio" and High Inventory Turnover Ratio of Inventory Management Helps to Hold Costs down and Responds faster to </w:t>
      </w:r>
      <w:r w:rsidRPr="00620442">
        <w:rPr>
          <w:rFonts w:cstheme="minorHAnsi"/>
          <w:sz w:val="24"/>
          <w:szCs w:val="24"/>
        </w:rPr>
        <w:lastRenderedPageBreak/>
        <w:t>Market Demand . Ratio of Johnson &amp; Johnson is 2.39 showing the company’s capability in controlling its inventories among other values.</w:t>
      </w:r>
    </w:p>
    <w:p w:rsidR="007E0A0C" w:rsidRPr="00E11342" w:rsidRDefault="00620442" w:rsidP="00620442">
      <w:pPr>
        <w:jc w:val="both"/>
        <w:rPr>
          <w:rFonts w:cstheme="minorHAnsi"/>
          <w:sz w:val="24"/>
          <w:szCs w:val="24"/>
        </w:rPr>
      </w:pPr>
      <w:r w:rsidRPr="00620442">
        <w:rPr>
          <w:rFonts w:cstheme="minorHAnsi"/>
          <w:sz w:val="24"/>
          <w:szCs w:val="24"/>
        </w:rPr>
        <w:t>Garrison, Noreen, and Brewer (2018) explain that the managers must compare products and industries for the clarification of the inventory turnover ratios. Johnson &amp; Johnson needs to compare the inventory turnover with the market's benchmarks as an attempt to evaluate it in the face of rivals.</w:t>
      </w:r>
    </w:p>
    <w:p w:rsidR="007E0A0C" w:rsidRDefault="00516A67" w:rsidP="00516A67">
      <w:pPr>
        <w:pStyle w:val="Heading2"/>
        <w:numPr>
          <w:ilvl w:val="1"/>
          <w:numId w:val="11"/>
        </w:numPr>
        <w:rPr>
          <w:b/>
          <w:color w:val="000000" w:themeColor="text1"/>
          <w:sz w:val="28"/>
        </w:rPr>
      </w:pPr>
      <w:r>
        <w:rPr>
          <w:b/>
          <w:color w:val="000000" w:themeColor="text1"/>
          <w:sz w:val="28"/>
        </w:rPr>
        <w:t xml:space="preserve">  </w:t>
      </w:r>
      <w:bookmarkStart w:id="13" w:name="_Toc162208553"/>
      <w:r w:rsidR="007E0A0C" w:rsidRPr="00516A67">
        <w:rPr>
          <w:b/>
          <w:color w:val="000000" w:themeColor="text1"/>
          <w:sz w:val="28"/>
        </w:rPr>
        <w:t>Comparison with competitors</w:t>
      </w:r>
      <w:bookmarkEnd w:id="13"/>
    </w:p>
    <w:p w:rsidR="00516A67" w:rsidRPr="00516A67" w:rsidRDefault="00516A67" w:rsidP="00516A67"/>
    <w:p w:rsidR="00620442" w:rsidRDefault="00620442" w:rsidP="00516A67">
      <w:pPr>
        <w:pStyle w:val="ListParagraph"/>
        <w:numPr>
          <w:ilvl w:val="0"/>
          <w:numId w:val="15"/>
        </w:numPr>
        <w:jc w:val="both"/>
        <w:rPr>
          <w:rFonts w:cstheme="minorHAnsi"/>
          <w:b/>
          <w:sz w:val="24"/>
          <w:szCs w:val="24"/>
        </w:rPr>
      </w:pPr>
      <w:r w:rsidRPr="00516A67">
        <w:rPr>
          <w:rFonts w:cstheme="minorHAnsi"/>
          <w:b/>
          <w:sz w:val="24"/>
          <w:szCs w:val="24"/>
        </w:rPr>
        <w:t>Profitability Ratio:</w:t>
      </w:r>
      <w:r w:rsidR="00516A67">
        <w:rPr>
          <w:rFonts w:cstheme="minorHAnsi"/>
          <w:b/>
          <w:sz w:val="24"/>
          <w:szCs w:val="24"/>
        </w:rPr>
        <w:t xml:space="preserve"> Rate of Return on Equity (ROE)</w:t>
      </w:r>
    </w:p>
    <w:p w:rsidR="00516A67" w:rsidRPr="00516A67" w:rsidRDefault="00516A67" w:rsidP="00516A67">
      <w:pPr>
        <w:pStyle w:val="ListParagraph"/>
        <w:numPr>
          <w:ilvl w:val="0"/>
          <w:numId w:val="15"/>
        </w:numPr>
        <w:jc w:val="both"/>
        <w:rPr>
          <w:rFonts w:cstheme="minorHAnsi"/>
          <w:b/>
          <w:sz w:val="24"/>
          <w:szCs w:val="24"/>
        </w:rPr>
      </w:pPr>
    </w:p>
    <w:p w:rsidR="00620442" w:rsidRPr="00516A67" w:rsidRDefault="00620442" w:rsidP="00620442">
      <w:pPr>
        <w:jc w:val="both"/>
        <w:rPr>
          <w:rFonts w:cstheme="minorHAnsi"/>
          <w:b/>
          <w:sz w:val="24"/>
          <w:szCs w:val="24"/>
        </w:rPr>
      </w:pPr>
      <w:r w:rsidRPr="00516A67">
        <w:rPr>
          <w:rFonts w:cstheme="minorHAnsi"/>
          <w:b/>
          <w:sz w:val="24"/>
          <w:szCs w:val="24"/>
        </w:rPr>
        <w:t>Jo</w:t>
      </w:r>
      <w:r w:rsidR="00F33C6A">
        <w:rPr>
          <w:rFonts w:cstheme="minorHAnsi"/>
          <w:b/>
          <w:sz w:val="24"/>
          <w:szCs w:val="24"/>
        </w:rPr>
        <w:t>hnson &amp; Johnson (ROE: (23</w:t>
      </w:r>
      <w:r w:rsidR="00516A67">
        <w:rPr>
          <w:rFonts w:cstheme="minorHAnsi"/>
          <w:b/>
          <w:sz w:val="24"/>
          <w:szCs w:val="24"/>
        </w:rPr>
        <w:t>.35%).</w:t>
      </w:r>
    </w:p>
    <w:p w:rsidR="00620442" w:rsidRPr="00620442" w:rsidRDefault="00620442" w:rsidP="00620442">
      <w:pPr>
        <w:jc w:val="both"/>
        <w:rPr>
          <w:rFonts w:cstheme="minorHAnsi"/>
          <w:sz w:val="24"/>
          <w:szCs w:val="24"/>
        </w:rPr>
      </w:pPr>
      <w:r w:rsidRPr="00620442">
        <w:rPr>
          <w:rFonts w:cstheme="minorHAnsi"/>
          <w:sz w:val="24"/>
          <w:szCs w:val="24"/>
        </w:rPr>
        <w:t>ROE of Johnson &amp; Johnson is striking, and it demonstrates an exceptional capability to generate revenues from the shareholders equity contributing. This is because the company covers a wide berth which include medical devices, pharmaceuticals and consumer goods, and thus it enjoys an advantage of maximizing the profits by penetrating these different markets. January and July (J&amp;J) has been supported in its profitability by effective cost management and strategic investing in research and development.</w:t>
      </w:r>
    </w:p>
    <w:p w:rsidR="00620442" w:rsidRPr="00516A67" w:rsidRDefault="00620442" w:rsidP="00620442">
      <w:pPr>
        <w:jc w:val="both"/>
        <w:rPr>
          <w:rFonts w:cstheme="minorHAnsi"/>
          <w:b/>
          <w:sz w:val="24"/>
          <w:szCs w:val="24"/>
        </w:rPr>
      </w:pPr>
      <w:r w:rsidRPr="00516A67">
        <w:rPr>
          <w:rFonts w:cstheme="minorHAnsi"/>
          <w:b/>
          <w:sz w:val="24"/>
          <w:szCs w:val="24"/>
        </w:rPr>
        <w:t>Pfizer (ROE: 32.7%)</w:t>
      </w:r>
    </w:p>
    <w:p w:rsidR="00620442" w:rsidRDefault="00620442" w:rsidP="00620442">
      <w:pPr>
        <w:jc w:val="both"/>
        <w:rPr>
          <w:rFonts w:cstheme="minorHAnsi"/>
          <w:sz w:val="24"/>
          <w:szCs w:val="24"/>
        </w:rPr>
      </w:pPr>
      <w:r w:rsidRPr="00620442">
        <w:rPr>
          <w:rFonts w:cstheme="minorHAnsi"/>
          <w:sz w:val="24"/>
          <w:szCs w:val="24"/>
        </w:rPr>
        <w:t>A high return on equity (ROE) of 32.7% in Pfizer implies a valuable and brisk return on equity for shareholders' investment. This rate of ROE would encourage investors to see that Pfizer is using its existing equity share to generate profits effectively. Using industry averages and a competitor like Johnson &amp; Johnson as a benchmark, this figure shows that Pfizer is financially strong and of good quality. It is crucial that investors together with analysts take into account such ratio by adjusting it to the company's overall financial condition, growth potential and market situation.</w:t>
      </w:r>
    </w:p>
    <w:p w:rsidR="007E0A0C" w:rsidRPr="00516A67" w:rsidRDefault="007E0A0C" w:rsidP="00620442">
      <w:pPr>
        <w:jc w:val="both"/>
        <w:rPr>
          <w:rFonts w:cstheme="minorHAnsi"/>
          <w:b/>
          <w:sz w:val="24"/>
          <w:szCs w:val="24"/>
        </w:rPr>
      </w:pPr>
      <w:r w:rsidRPr="00516A67">
        <w:rPr>
          <w:rFonts w:cstheme="minorHAnsi"/>
          <w:b/>
          <w:sz w:val="24"/>
          <w:szCs w:val="24"/>
        </w:rPr>
        <w:t xml:space="preserve">Merck (ROE: </w:t>
      </w:r>
      <w:r w:rsidR="00C17AF8" w:rsidRPr="00516A67">
        <w:rPr>
          <w:rFonts w:cstheme="minorHAnsi"/>
          <w:b/>
          <w:sz w:val="24"/>
          <w:szCs w:val="24"/>
        </w:rPr>
        <w:t>0.79</w:t>
      </w:r>
      <w:r w:rsidRPr="00516A67">
        <w:rPr>
          <w:rFonts w:cstheme="minorHAnsi"/>
          <w:b/>
          <w:sz w:val="24"/>
          <w:szCs w:val="24"/>
        </w:rPr>
        <w:t>%)</w:t>
      </w:r>
    </w:p>
    <w:p w:rsidR="00620442" w:rsidRPr="00620442" w:rsidRDefault="00620442" w:rsidP="00620442">
      <w:pPr>
        <w:jc w:val="both"/>
        <w:rPr>
          <w:rFonts w:cstheme="minorHAnsi"/>
          <w:sz w:val="24"/>
          <w:szCs w:val="24"/>
        </w:rPr>
      </w:pPr>
      <w:r w:rsidRPr="00620442">
        <w:rPr>
          <w:rFonts w:cstheme="minorHAnsi"/>
          <w:sz w:val="24"/>
          <w:szCs w:val="24"/>
        </w:rPr>
        <w:t>The Merck's Return on Equity (ROE) of 0.79%, although low, means that the shareholders can hardly profit from the funds they invested in the company aside from very little profit. This might suggest that Merck’s profit size and its efficiency of using equity base might not be as much as that of its counterparts such as Johnson &amp; Johnson and Pfizer. It is a vital to analyze the causes of this decline in ROE that could lead to many things like incurring high debt, low net income income, or large equity base. In addition, it would be necessary to compare this ratio with industry benchmarks and historical economic past for better evaluation of Merck’s financial position.</w:t>
      </w:r>
    </w:p>
    <w:p w:rsidR="00620442" w:rsidRPr="00516A67" w:rsidRDefault="00620442" w:rsidP="00620442">
      <w:pPr>
        <w:jc w:val="both"/>
        <w:rPr>
          <w:rFonts w:cstheme="minorHAnsi"/>
          <w:b/>
          <w:sz w:val="24"/>
          <w:szCs w:val="24"/>
        </w:rPr>
      </w:pPr>
      <w:r w:rsidRPr="00516A67">
        <w:rPr>
          <w:rFonts w:cstheme="minorHAnsi"/>
          <w:b/>
          <w:sz w:val="24"/>
          <w:szCs w:val="24"/>
        </w:rPr>
        <w:t>Comparison and Evaluation</w:t>
      </w:r>
    </w:p>
    <w:p w:rsidR="00620442" w:rsidRPr="00620442" w:rsidRDefault="00620442" w:rsidP="00620442">
      <w:pPr>
        <w:jc w:val="both"/>
        <w:rPr>
          <w:rFonts w:cstheme="minorHAnsi"/>
          <w:sz w:val="24"/>
          <w:szCs w:val="24"/>
        </w:rPr>
      </w:pPr>
      <w:r w:rsidRPr="00620442">
        <w:rPr>
          <w:rFonts w:cstheme="minorHAnsi"/>
          <w:sz w:val="24"/>
          <w:szCs w:val="24"/>
        </w:rPr>
        <w:t xml:space="preserve">The example shows the divergences in financial competence of these large pharmaceutical companies. Filing in with the highest ROE, Pfizer is the leader in terms of profitability of any other competitor. As evidenced by Johnson &amp; Johnson, the company shows a pronounced financial health, though with comparatively a low ROE between it and Pfizer. Nevertheless, Merck’ aptness to such emulation highlight </w:t>
      </w:r>
      <w:r w:rsidRPr="00620442">
        <w:rPr>
          <w:rFonts w:cstheme="minorHAnsi"/>
          <w:sz w:val="24"/>
          <w:szCs w:val="24"/>
        </w:rPr>
        <w:lastRenderedPageBreak/>
        <w:t>the presence of some grey areas that could be improved in its financial strategy or operational efficiency. Investors and stakeholders will need to consider this variation in ROE in comparison with other financial indicators as well as industry development when making a study of the company`s operations and making an investment decision.</w:t>
      </w:r>
    </w:p>
    <w:p w:rsidR="00620442" w:rsidRDefault="00620442" w:rsidP="00516A67">
      <w:pPr>
        <w:pStyle w:val="ListParagraph"/>
        <w:numPr>
          <w:ilvl w:val="0"/>
          <w:numId w:val="15"/>
        </w:numPr>
        <w:jc w:val="both"/>
        <w:rPr>
          <w:rFonts w:cstheme="minorHAnsi"/>
          <w:b/>
          <w:sz w:val="24"/>
          <w:szCs w:val="24"/>
        </w:rPr>
      </w:pPr>
      <w:r w:rsidRPr="00516A67">
        <w:rPr>
          <w:rFonts w:cstheme="minorHAnsi"/>
          <w:b/>
          <w:sz w:val="24"/>
          <w:szCs w:val="24"/>
        </w:rPr>
        <w:t>Liquidity Ratio: Current Ratio</w:t>
      </w:r>
    </w:p>
    <w:p w:rsidR="00516A67" w:rsidRPr="00516A67" w:rsidRDefault="00516A67" w:rsidP="00516A67">
      <w:pPr>
        <w:pStyle w:val="ListParagraph"/>
        <w:jc w:val="both"/>
        <w:rPr>
          <w:rFonts w:cstheme="minorHAnsi"/>
          <w:b/>
          <w:sz w:val="24"/>
          <w:szCs w:val="24"/>
        </w:rPr>
      </w:pPr>
    </w:p>
    <w:p w:rsidR="00620442" w:rsidRPr="00516A67" w:rsidRDefault="00620442" w:rsidP="00620442">
      <w:pPr>
        <w:jc w:val="both"/>
        <w:rPr>
          <w:rFonts w:cstheme="minorHAnsi"/>
          <w:b/>
          <w:sz w:val="24"/>
          <w:szCs w:val="24"/>
        </w:rPr>
      </w:pPr>
      <w:r w:rsidRPr="00516A67">
        <w:rPr>
          <w:rFonts w:cstheme="minorHAnsi"/>
          <w:b/>
          <w:sz w:val="24"/>
          <w:szCs w:val="24"/>
        </w:rPr>
        <w:t>Johnson &amp;</w:t>
      </w:r>
      <w:r w:rsidR="00516A67">
        <w:rPr>
          <w:rFonts w:cstheme="minorHAnsi"/>
          <w:b/>
          <w:sz w:val="24"/>
          <w:szCs w:val="24"/>
        </w:rPr>
        <w:t xml:space="preserve"> Johnson (Current Ratio: 0.99)</w:t>
      </w:r>
    </w:p>
    <w:p w:rsidR="00620442" w:rsidRDefault="00620442" w:rsidP="00620442">
      <w:pPr>
        <w:jc w:val="both"/>
        <w:rPr>
          <w:rFonts w:cstheme="minorHAnsi"/>
          <w:sz w:val="24"/>
          <w:szCs w:val="24"/>
        </w:rPr>
      </w:pPr>
      <w:r w:rsidRPr="00620442">
        <w:rPr>
          <w:rFonts w:cstheme="minorHAnsi"/>
          <w:sz w:val="24"/>
          <w:szCs w:val="24"/>
        </w:rPr>
        <w:t>At this juncture, J&amp;J's quick ratio is below 1, indicating that they cannot pay their current liabilities with the assets they currently have. Not so, its ration is the lowest among Pfizer and Merck although it indicates relatively less liquidity compared to these companies. This might reflect J&amp;J's strategy of cross-segment product development, where capital is allocated to diverse segments, which could constrain capital availability for short-term assets.</w:t>
      </w:r>
    </w:p>
    <w:p w:rsidR="007E0A0C" w:rsidRPr="00516A67" w:rsidRDefault="00A66A2E" w:rsidP="00E11342">
      <w:pPr>
        <w:jc w:val="both"/>
        <w:rPr>
          <w:rFonts w:cstheme="minorHAnsi"/>
          <w:b/>
          <w:sz w:val="24"/>
          <w:szCs w:val="24"/>
        </w:rPr>
      </w:pPr>
      <w:r w:rsidRPr="00516A67">
        <w:rPr>
          <w:rFonts w:cstheme="minorHAnsi"/>
          <w:b/>
          <w:sz w:val="24"/>
          <w:szCs w:val="24"/>
        </w:rPr>
        <w:t>Pfizer (Current Ratio: 1.47</w:t>
      </w:r>
      <w:r w:rsidR="007E0A0C" w:rsidRPr="00516A67">
        <w:rPr>
          <w:rFonts w:cstheme="minorHAnsi"/>
          <w:b/>
          <w:sz w:val="24"/>
          <w:szCs w:val="24"/>
        </w:rPr>
        <w:t>)</w:t>
      </w:r>
    </w:p>
    <w:p w:rsidR="00B33722" w:rsidRPr="00B33722" w:rsidRDefault="00B33722" w:rsidP="00B33722">
      <w:pPr>
        <w:jc w:val="both"/>
        <w:rPr>
          <w:rFonts w:cstheme="minorHAnsi"/>
          <w:sz w:val="24"/>
          <w:szCs w:val="24"/>
        </w:rPr>
      </w:pPr>
      <w:r w:rsidRPr="00B33722">
        <w:rPr>
          <w:rFonts w:cstheme="minorHAnsi"/>
          <w:sz w:val="24"/>
          <w:szCs w:val="24"/>
        </w:rPr>
        <w:t>In regard to this, the current ratio of Pfizer is the highest signifying strong liquidity and a superior capability to meet short-term commitments. This may be best explained by Pfizer’s working capital management’s being witnessed an efficient working capital management and a strategic financial planning that concentrates on the balance of current assets relative to their liabilities.</w:t>
      </w:r>
    </w:p>
    <w:p w:rsidR="00B33722" w:rsidRPr="00516A67" w:rsidRDefault="00516A67" w:rsidP="00B33722">
      <w:pPr>
        <w:jc w:val="both"/>
        <w:rPr>
          <w:rFonts w:cstheme="minorHAnsi"/>
          <w:b/>
          <w:sz w:val="24"/>
          <w:szCs w:val="24"/>
        </w:rPr>
      </w:pPr>
      <w:r>
        <w:rPr>
          <w:rFonts w:cstheme="minorHAnsi"/>
          <w:b/>
          <w:sz w:val="24"/>
          <w:szCs w:val="24"/>
        </w:rPr>
        <w:t>Merck (Current Ratio: 1.21)</w:t>
      </w:r>
    </w:p>
    <w:p w:rsidR="00B33722" w:rsidRPr="00B33722" w:rsidRDefault="00516A67" w:rsidP="00B33722">
      <w:pPr>
        <w:jc w:val="both"/>
        <w:rPr>
          <w:rFonts w:cstheme="minorHAnsi"/>
          <w:sz w:val="24"/>
          <w:szCs w:val="24"/>
        </w:rPr>
      </w:pPr>
      <w:r>
        <w:rPr>
          <w:rFonts w:cstheme="minorHAnsi"/>
          <w:sz w:val="24"/>
          <w:szCs w:val="24"/>
        </w:rPr>
        <w:t xml:space="preserve">In </w:t>
      </w:r>
      <w:r w:rsidR="00B33722" w:rsidRPr="00B33722">
        <w:rPr>
          <w:rFonts w:cstheme="minorHAnsi"/>
          <w:sz w:val="24"/>
          <w:szCs w:val="24"/>
        </w:rPr>
        <w:t>Merk's strength lies between Johnson &amp; Johnson's and is better than Pfizer's thus showing the adequate level of liquidity. The company's capability to pay-off its short-term debt successfully substantially, but not as strong as that of Pfizer's. Merck's financial strategy may regard on maintaining the smooth liquidity operations and pouring forth into long-term investment opportunities simultaneously.</w:t>
      </w:r>
    </w:p>
    <w:p w:rsidR="00B33722" w:rsidRPr="00516A67" w:rsidRDefault="00516A67" w:rsidP="00B33722">
      <w:pPr>
        <w:jc w:val="both"/>
        <w:rPr>
          <w:rFonts w:cstheme="minorHAnsi"/>
          <w:b/>
          <w:sz w:val="24"/>
          <w:szCs w:val="24"/>
        </w:rPr>
      </w:pPr>
      <w:r>
        <w:rPr>
          <w:rFonts w:cstheme="minorHAnsi"/>
          <w:b/>
          <w:sz w:val="24"/>
          <w:szCs w:val="24"/>
        </w:rPr>
        <w:t>Comparison and Evaluation</w:t>
      </w:r>
    </w:p>
    <w:p w:rsidR="00B33722" w:rsidRPr="00B33722" w:rsidRDefault="00B33722" w:rsidP="00B33722">
      <w:pPr>
        <w:jc w:val="both"/>
        <w:rPr>
          <w:rFonts w:cstheme="minorHAnsi"/>
          <w:sz w:val="24"/>
          <w:szCs w:val="24"/>
        </w:rPr>
      </w:pPr>
      <w:r w:rsidRPr="00B33722">
        <w:rPr>
          <w:rFonts w:cstheme="minorHAnsi"/>
          <w:sz w:val="24"/>
          <w:szCs w:val="24"/>
        </w:rPr>
        <w:t>In comparing the three firms, Pfizer has the top ranking in current ratio showing a better short-term financial stability, which is pretty critical for insuring operational flexibility and responding to any financial emergency. Merck's current position indicates taking a balanced dictum as it involves both liquidity and long-term investments. J&amp;J's ratio could suggest a more diversified business which may lead to the ready time for sale of</w:t>
      </w:r>
      <w:r w:rsidR="00516A67">
        <w:rPr>
          <w:rFonts w:cstheme="minorHAnsi"/>
          <w:sz w:val="24"/>
          <w:szCs w:val="24"/>
        </w:rPr>
        <w:t xml:space="preserve"> the assets being a bit slower.</w:t>
      </w:r>
    </w:p>
    <w:p w:rsidR="00B33722" w:rsidRPr="00516A67" w:rsidRDefault="00B33722" w:rsidP="00516A67">
      <w:pPr>
        <w:pStyle w:val="ListParagraph"/>
        <w:numPr>
          <w:ilvl w:val="0"/>
          <w:numId w:val="15"/>
        </w:numPr>
        <w:jc w:val="both"/>
        <w:rPr>
          <w:rFonts w:cstheme="minorHAnsi"/>
          <w:b/>
          <w:sz w:val="24"/>
          <w:szCs w:val="24"/>
        </w:rPr>
      </w:pPr>
      <w:r w:rsidRPr="00516A67">
        <w:rPr>
          <w:rFonts w:cstheme="minorHAnsi"/>
          <w:b/>
          <w:sz w:val="24"/>
          <w:szCs w:val="24"/>
        </w:rPr>
        <w:t>Gearing Ratio: Debt-to-Equity Ratio</w:t>
      </w:r>
    </w:p>
    <w:p w:rsidR="00B33722" w:rsidRPr="00B33722" w:rsidRDefault="00516A67" w:rsidP="00B33722">
      <w:pPr>
        <w:jc w:val="both"/>
        <w:rPr>
          <w:rFonts w:cstheme="minorHAnsi"/>
          <w:sz w:val="24"/>
          <w:szCs w:val="24"/>
        </w:rPr>
      </w:pPr>
      <w:r>
        <w:rPr>
          <w:rFonts w:cstheme="minorHAnsi"/>
          <w:sz w:val="24"/>
          <w:szCs w:val="24"/>
        </w:rPr>
        <w:t>.</w:t>
      </w:r>
    </w:p>
    <w:p w:rsidR="00B33722" w:rsidRPr="00516A67" w:rsidRDefault="00B33722" w:rsidP="00B33722">
      <w:pPr>
        <w:jc w:val="both"/>
        <w:rPr>
          <w:rFonts w:cstheme="minorHAnsi"/>
          <w:b/>
          <w:sz w:val="24"/>
          <w:szCs w:val="24"/>
        </w:rPr>
      </w:pPr>
      <w:r w:rsidRPr="00516A67">
        <w:rPr>
          <w:rFonts w:cstheme="minorHAnsi"/>
          <w:b/>
          <w:sz w:val="24"/>
          <w:szCs w:val="24"/>
        </w:rPr>
        <w:t>Johnson &amp; Johnson (Debt-to-Equity Ratio: 1.</w:t>
      </w:r>
      <w:r w:rsidR="00516A67">
        <w:rPr>
          <w:rFonts w:cstheme="minorHAnsi"/>
          <w:b/>
          <w:sz w:val="24"/>
          <w:szCs w:val="24"/>
        </w:rPr>
        <w:t>43)</w:t>
      </w:r>
    </w:p>
    <w:p w:rsidR="00B33722" w:rsidRDefault="00B33722" w:rsidP="00B33722">
      <w:pPr>
        <w:jc w:val="both"/>
        <w:rPr>
          <w:rFonts w:cstheme="minorHAnsi"/>
          <w:sz w:val="24"/>
          <w:szCs w:val="24"/>
        </w:rPr>
      </w:pPr>
      <w:r w:rsidRPr="00B33722">
        <w:rPr>
          <w:rFonts w:cstheme="minorHAnsi"/>
          <w:sz w:val="24"/>
          <w:szCs w:val="24"/>
        </w:rPr>
        <w:t xml:space="preserve">The debt-to-equity ratio for J&amp;J is the highest among these three companies, and it is more inclined toward debt financing when compared to debt-fueled Pfizer and Merck. This higher gearing could be a </w:t>
      </w:r>
      <w:r w:rsidRPr="00B33722">
        <w:rPr>
          <w:rFonts w:cstheme="minorHAnsi"/>
          <w:sz w:val="24"/>
          <w:szCs w:val="24"/>
        </w:rPr>
        <w:lastRenderedPageBreak/>
        <w:t>reflection of Johnson &amp; Johnson's concentration of strategic investments in acquisitions, research and development, or global expansion which numbers among the costliest of undertakings.</w:t>
      </w:r>
    </w:p>
    <w:p w:rsidR="00B33722" w:rsidRPr="00516A67" w:rsidRDefault="007E0A0C" w:rsidP="00B33722">
      <w:pPr>
        <w:jc w:val="both"/>
        <w:rPr>
          <w:rFonts w:cstheme="minorHAnsi"/>
          <w:b/>
          <w:sz w:val="24"/>
          <w:szCs w:val="24"/>
        </w:rPr>
      </w:pPr>
      <w:r w:rsidRPr="00516A67">
        <w:rPr>
          <w:rFonts w:cstheme="minorHAnsi"/>
          <w:b/>
          <w:sz w:val="24"/>
          <w:szCs w:val="24"/>
        </w:rPr>
        <w:t>Pf</w:t>
      </w:r>
      <w:r w:rsidR="00A66A2E" w:rsidRPr="00516A67">
        <w:rPr>
          <w:rFonts w:cstheme="minorHAnsi"/>
          <w:b/>
          <w:sz w:val="24"/>
          <w:szCs w:val="24"/>
        </w:rPr>
        <w:t>izer (Debt-to-Equity Ratio: 1.05</w:t>
      </w:r>
      <w:r w:rsidRPr="00516A67">
        <w:rPr>
          <w:rFonts w:cstheme="minorHAnsi"/>
          <w:b/>
          <w:sz w:val="24"/>
          <w:szCs w:val="24"/>
        </w:rPr>
        <w:t>)</w:t>
      </w:r>
    </w:p>
    <w:p w:rsidR="00B33722" w:rsidRDefault="00B33722" w:rsidP="00B33722">
      <w:pPr>
        <w:jc w:val="both"/>
        <w:rPr>
          <w:rFonts w:cstheme="minorHAnsi"/>
          <w:sz w:val="24"/>
          <w:szCs w:val="24"/>
        </w:rPr>
      </w:pPr>
      <w:r w:rsidRPr="00B33722">
        <w:rPr>
          <w:rFonts w:cstheme="minorHAnsi"/>
          <w:sz w:val="24"/>
          <w:szCs w:val="24"/>
        </w:rPr>
        <w:t>The most important point to notice is that Pfizer has the lowest debt/equity ratio set against the others. This indicates a more conservative approach in using debt in its capital structure. This decrease in gearing implies that Pfizer relies more on equity financing, which can lead to low debt ratio, thus a decrease in financial risk and increase shareholder value.</w:t>
      </w:r>
    </w:p>
    <w:p w:rsidR="007E0A0C" w:rsidRPr="00516A67" w:rsidRDefault="007E0A0C" w:rsidP="00E11342">
      <w:pPr>
        <w:jc w:val="both"/>
        <w:rPr>
          <w:rFonts w:cstheme="minorHAnsi"/>
          <w:b/>
          <w:sz w:val="24"/>
          <w:szCs w:val="24"/>
        </w:rPr>
      </w:pPr>
      <w:r w:rsidRPr="00516A67">
        <w:rPr>
          <w:rFonts w:cstheme="minorHAnsi"/>
          <w:b/>
          <w:sz w:val="24"/>
          <w:szCs w:val="24"/>
        </w:rPr>
        <w:t>M</w:t>
      </w:r>
      <w:r w:rsidR="00A66A2E" w:rsidRPr="00516A67">
        <w:rPr>
          <w:rFonts w:cstheme="minorHAnsi"/>
          <w:b/>
          <w:sz w:val="24"/>
          <w:szCs w:val="24"/>
        </w:rPr>
        <w:t>erck (Debt-to-Equity Ratio: 1.37</w:t>
      </w:r>
      <w:r w:rsidRPr="00516A67">
        <w:rPr>
          <w:rFonts w:cstheme="minorHAnsi"/>
          <w:b/>
          <w:sz w:val="24"/>
          <w:szCs w:val="24"/>
        </w:rPr>
        <w:t>)</w:t>
      </w:r>
    </w:p>
    <w:p w:rsidR="00B33722" w:rsidRPr="00B33722" w:rsidRDefault="00B33722" w:rsidP="00B33722">
      <w:pPr>
        <w:jc w:val="both"/>
        <w:rPr>
          <w:rFonts w:cstheme="minorHAnsi"/>
          <w:sz w:val="24"/>
          <w:szCs w:val="24"/>
        </w:rPr>
      </w:pPr>
      <w:r w:rsidRPr="00B33722">
        <w:rPr>
          <w:rFonts w:cstheme="minorHAnsi"/>
          <w:sz w:val="24"/>
          <w:szCs w:val="24"/>
        </w:rPr>
        <w:t>The debt/equity ratio of Merck is lower than J&amp;J's but slightly higher than Pfizer's. This implies a moderate level of debt use in favor of equity in finance structure which indicates that company wants to strike the balance between debt and equity in its capital structure.</w:t>
      </w:r>
    </w:p>
    <w:p w:rsidR="00B33722" w:rsidRPr="00516A67" w:rsidRDefault="00516A67" w:rsidP="00B33722">
      <w:pPr>
        <w:jc w:val="both"/>
        <w:rPr>
          <w:rFonts w:cstheme="minorHAnsi"/>
          <w:b/>
          <w:sz w:val="24"/>
          <w:szCs w:val="24"/>
        </w:rPr>
      </w:pPr>
      <w:r>
        <w:rPr>
          <w:rFonts w:cstheme="minorHAnsi"/>
          <w:b/>
          <w:sz w:val="24"/>
          <w:szCs w:val="24"/>
        </w:rPr>
        <w:t>Comparison and Evaluation</w:t>
      </w:r>
    </w:p>
    <w:p w:rsidR="00B33722" w:rsidRPr="00B33722" w:rsidRDefault="00B33722" w:rsidP="00B33722">
      <w:pPr>
        <w:jc w:val="both"/>
        <w:rPr>
          <w:rFonts w:cstheme="minorHAnsi"/>
          <w:sz w:val="24"/>
          <w:szCs w:val="24"/>
        </w:rPr>
      </w:pPr>
      <w:r w:rsidRPr="00B33722">
        <w:rPr>
          <w:rFonts w:cstheme="minorHAnsi"/>
          <w:sz w:val="24"/>
          <w:szCs w:val="24"/>
        </w:rPr>
        <w:t>In the case of Pfizer, its lower debt-to-equity ratio than its competitors shows the conservative financial strategy it has adopted to reduce financial risk levels. Merck has a modest debt ratio which is of course a sign of a balanced use of debt and equity. J&amp;J, on the other hand, has a higher ratio reflecting a more aggressive approach towards debt leveraging for growth and investments.</w:t>
      </w:r>
    </w:p>
    <w:p w:rsidR="007E0A0C" w:rsidRPr="00516A67" w:rsidRDefault="005A0328" w:rsidP="00516A67">
      <w:pPr>
        <w:pStyle w:val="ListParagraph"/>
        <w:numPr>
          <w:ilvl w:val="0"/>
          <w:numId w:val="15"/>
        </w:numPr>
        <w:jc w:val="both"/>
        <w:rPr>
          <w:rFonts w:cstheme="minorHAnsi"/>
          <w:b/>
          <w:sz w:val="24"/>
          <w:szCs w:val="24"/>
        </w:rPr>
      </w:pPr>
      <w:r w:rsidRPr="00516A67">
        <w:rPr>
          <w:rFonts w:cstheme="minorHAnsi"/>
          <w:b/>
          <w:sz w:val="24"/>
          <w:szCs w:val="24"/>
        </w:rPr>
        <w:t>Efficiency Ratio: Inventory Turnover Ratio</w:t>
      </w:r>
    </w:p>
    <w:p w:rsidR="001D4D1F" w:rsidRPr="00516A67" w:rsidRDefault="001D4D1F" w:rsidP="00E11342">
      <w:pPr>
        <w:jc w:val="both"/>
        <w:rPr>
          <w:rFonts w:cstheme="minorHAnsi"/>
          <w:b/>
          <w:sz w:val="24"/>
          <w:szCs w:val="24"/>
        </w:rPr>
      </w:pPr>
      <w:r w:rsidRPr="00516A67">
        <w:rPr>
          <w:rFonts w:cstheme="minorHAnsi"/>
          <w:b/>
          <w:sz w:val="24"/>
          <w:szCs w:val="24"/>
        </w:rPr>
        <w:t xml:space="preserve">Johnson &amp; Johnson </w:t>
      </w:r>
      <w:r w:rsidR="00A66A2E" w:rsidRPr="00516A67">
        <w:rPr>
          <w:rFonts w:cstheme="minorHAnsi"/>
          <w:b/>
          <w:sz w:val="24"/>
          <w:szCs w:val="24"/>
        </w:rPr>
        <w:t>(Inventory Turnover Ratio: 2.39</w:t>
      </w:r>
      <w:r w:rsidRPr="00516A67">
        <w:rPr>
          <w:rFonts w:cstheme="minorHAnsi"/>
          <w:b/>
          <w:sz w:val="24"/>
          <w:szCs w:val="24"/>
        </w:rPr>
        <w:t>)</w:t>
      </w:r>
    </w:p>
    <w:p w:rsidR="00B33722" w:rsidRDefault="00B33722" w:rsidP="00E11342">
      <w:pPr>
        <w:jc w:val="both"/>
        <w:rPr>
          <w:rFonts w:cstheme="minorHAnsi"/>
          <w:sz w:val="24"/>
          <w:szCs w:val="24"/>
        </w:rPr>
      </w:pPr>
      <w:r w:rsidRPr="00B33722">
        <w:rPr>
          <w:rFonts w:cstheme="minorHAnsi"/>
          <w:sz w:val="24"/>
          <w:szCs w:val="24"/>
        </w:rPr>
        <w:t>The Johnson &amp; Johnson's inventory turnover ratio equal to 2.39 exhibits the company's capability to maintain its inventory levels at a decent level. This efficiency is quite critical in a healthcare company like J&amp;J as products have shelf life and need to be managed optimally in order to eliminate the chances of obsolescence and ensure the same quality of product.</w:t>
      </w:r>
    </w:p>
    <w:p w:rsidR="001D4D1F" w:rsidRPr="00516A67" w:rsidRDefault="001D4D1F" w:rsidP="00E11342">
      <w:pPr>
        <w:jc w:val="both"/>
        <w:rPr>
          <w:rFonts w:cstheme="minorHAnsi"/>
          <w:b/>
          <w:sz w:val="24"/>
          <w:szCs w:val="24"/>
        </w:rPr>
      </w:pPr>
      <w:r w:rsidRPr="00516A67">
        <w:rPr>
          <w:rFonts w:cstheme="minorHAnsi"/>
          <w:b/>
          <w:sz w:val="24"/>
          <w:szCs w:val="24"/>
        </w:rPr>
        <w:t>Pfizer</w:t>
      </w:r>
      <w:r w:rsidR="00A66A2E" w:rsidRPr="00516A67">
        <w:rPr>
          <w:rFonts w:cstheme="minorHAnsi"/>
          <w:b/>
          <w:sz w:val="24"/>
          <w:szCs w:val="24"/>
        </w:rPr>
        <w:t xml:space="preserve"> (Inventory Turnover Ratio: 3.82</w:t>
      </w:r>
      <w:r w:rsidRPr="00516A67">
        <w:rPr>
          <w:rFonts w:cstheme="minorHAnsi"/>
          <w:b/>
          <w:sz w:val="24"/>
          <w:szCs w:val="24"/>
        </w:rPr>
        <w:t>)</w:t>
      </w:r>
    </w:p>
    <w:p w:rsidR="00B33722" w:rsidRDefault="00B33722" w:rsidP="00E11342">
      <w:pPr>
        <w:jc w:val="both"/>
        <w:rPr>
          <w:rFonts w:cstheme="minorHAnsi"/>
          <w:sz w:val="24"/>
          <w:szCs w:val="24"/>
        </w:rPr>
      </w:pPr>
      <w:r w:rsidRPr="00B33722">
        <w:rPr>
          <w:rFonts w:cstheme="minorHAnsi"/>
          <w:sz w:val="24"/>
          <w:szCs w:val="24"/>
        </w:rPr>
        <w:t>The number of times that Pfizer goes through its stock in a typical year is 3.82. Thus, Pfizer's Inventory Turnover Ratio is 3.82 which shows that they effectively manage the inventory. It implies that Pfizer balances yet efficiently manages its inventory by holding adequate stock to meet the present needs and not a greater portion which would lead to higher holding costs or obsolescence. It is worth noting that Pfizer compared to other pharmaceutical companies, the turnover ratio of inventories certified its strong performance when managing the inventory levels.</w:t>
      </w:r>
    </w:p>
    <w:p w:rsidR="001D4D1F" w:rsidRPr="00516A67" w:rsidRDefault="001D4D1F" w:rsidP="00E11342">
      <w:pPr>
        <w:jc w:val="both"/>
        <w:rPr>
          <w:rFonts w:cstheme="minorHAnsi"/>
          <w:b/>
          <w:sz w:val="24"/>
          <w:szCs w:val="24"/>
        </w:rPr>
      </w:pPr>
      <w:r w:rsidRPr="00516A67">
        <w:rPr>
          <w:rFonts w:cstheme="minorHAnsi"/>
          <w:b/>
          <w:sz w:val="24"/>
          <w:szCs w:val="24"/>
        </w:rPr>
        <w:t>Merck</w:t>
      </w:r>
      <w:r w:rsidR="00A66A2E" w:rsidRPr="00516A67">
        <w:rPr>
          <w:rFonts w:cstheme="minorHAnsi"/>
          <w:b/>
          <w:sz w:val="24"/>
          <w:szCs w:val="24"/>
        </w:rPr>
        <w:t xml:space="preserve"> (Inventory Turnover Ratio: 2.94</w:t>
      </w:r>
      <w:r w:rsidRPr="00516A67">
        <w:rPr>
          <w:rFonts w:cstheme="minorHAnsi"/>
          <w:b/>
          <w:sz w:val="24"/>
          <w:szCs w:val="24"/>
        </w:rPr>
        <w:t>)</w:t>
      </w:r>
    </w:p>
    <w:p w:rsidR="00B33722" w:rsidRDefault="00B33722" w:rsidP="00E11342">
      <w:pPr>
        <w:jc w:val="both"/>
        <w:rPr>
          <w:rFonts w:cstheme="minorHAnsi"/>
          <w:sz w:val="24"/>
          <w:szCs w:val="24"/>
        </w:rPr>
      </w:pPr>
      <w:r w:rsidRPr="00B33722">
        <w:rPr>
          <w:rFonts w:cstheme="minorHAnsi"/>
          <w:sz w:val="24"/>
          <w:szCs w:val="24"/>
        </w:rPr>
        <w:t xml:space="preserve">Merck (Inventory Turnover Ratio: (1.94): Merck's Inventory Turnover Ratio is higher than J&amp;J's but lower than Pfizer's, revealing moderate efficiency in the matter of inventory control. A company's research-orientation as well as a global supply chain could lead to an increase in the inventory turnover rate. With </w:t>
      </w:r>
      <w:r w:rsidRPr="00B33722">
        <w:rPr>
          <w:rFonts w:cstheme="minorHAnsi"/>
          <w:sz w:val="24"/>
          <w:szCs w:val="24"/>
        </w:rPr>
        <w:lastRenderedPageBreak/>
        <w:t>Merck, the stock management policies are probably looking to keep a good balance between product availability and the attempted lessening of the holding costs and the minimization of waste.</w:t>
      </w:r>
    </w:p>
    <w:p w:rsidR="001D4D1F" w:rsidRPr="00516A67" w:rsidRDefault="001D4D1F" w:rsidP="00E11342">
      <w:pPr>
        <w:jc w:val="both"/>
        <w:rPr>
          <w:rFonts w:cstheme="minorHAnsi"/>
          <w:b/>
          <w:sz w:val="24"/>
          <w:szCs w:val="24"/>
        </w:rPr>
      </w:pPr>
      <w:r w:rsidRPr="00516A67">
        <w:rPr>
          <w:rFonts w:cstheme="minorHAnsi"/>
          <w:b/>
          <w:sz w:val="24"/>
          <w:szCs w:val="24"/>
        </w:rPr>
        <w:t>Comparison and Evaluation</w:t>
      </w:r>
    </w:p>
    <w:p w:rsidR="00B33722" w:rsidRDefault="00B33722" w:rsidP="00E11342">
      <w:pPr>
        <w:jc w:val="both"/>
        <w:rPr>
          <w:rFonts w:cstheme="minorHAnsi"/>
          <w:sz w:val="24"/>
          <w:szCs w:val="24"/>
        </w:rPr>
      </w:pPr>
      <w:r w:rsidRPr="00B33722">
        <w:rPr>
          <w:rFonts w:cstheme="minorHAnsi"/>
          <w:sz w:val="24"/>
          <w:szCs w:val="24"/>
        </w:rPr>
        <w:t>Pfizer’s inventory turnover ratio among the three companies shows the outstanding efficiency in inventory management, thus further proving the point. In addition, Johnson &amp; Johnson and Merck also reveal some equally skillful inventory management but to a sensitive degree. These ratios are very significant when it involves assessing the operational efficiency and financial performance of pharmaceutical companies as efficient inventory management produces savings in the cost, improvement in cash flow, and better responsiveness to market demand.</w:t>
      </w:r>
    </w:p>
    <w:p w:rsidR="00F33C6A" w:rsidRDefault="00F33C6A" w:rsidP="00E11342">
      <w:pPr>
        <w:jc w:val="both"/>
        <w:rPr>
          <w:rFonts w:cstheme="minorHAnsi"/>
          <w:sz w:val="24"/>
          <w:szCs w:val="24"/>
        </w:rPr>
      </w:pPr>
    </w:p>
    <w:tbl>
      <w:tblPr>
        <w:tblStyle w:val="TableGrid"/>
        <w:tblW w:w="0" w:type="auto"/>
        <w:tblLook w:val="04A0" w:firstRow="1" w:lastRow="0" w:firstColumn="1" w:lastColumn="0" w:noHBand="0" w:noVBand="1"/>
      </w:tblPr>
      <w:tblGrid>
        <w:gridCol w:w="2785"/>
        <w:gridCol w:w="2249"/>
        <w:gridCol w:w="2518"/>
        <w:gridCol w:w="2518"/>
      </w:tblGrid>
      <w:tr w:rsidR="00F33C6A" w:rsidTr="00F33C6A">
        <w:tc>
          <w:tcPr>
            <w:tcW w:w="2785" w:type="dxa"/>
          </w:tcPr>
          <w:p w:rsidR="00F33C6A" w:rsidRPr="00635407" w:rsidRDefault="00F33C6A" w:rsidP="00E11342">
            <w:pPr>
              <w:jc w:val="both"/>
              <w:rPr>
                <w:rFonts w:cstheme="minorHAnsi"/>
                <w:b/>
                <w:sz w:val="24"/>
                <w:szCs w:val="24"/>
              </w:rPr>
            </w:pPr>
            <w:r w:rsidRPr="00635407">
              <w:rPr>
                <w:rFonts w:cstheme="minorHAnsi"/>
                <w:b/>
                <w:sz w:val="24"/>
                <w:szCs w:val="24"/>
              </w:rPr>
              <w:t xml:space="preserve">Ratios </w:t>
            </w:r>
          </w:p>
        </w:tc>
        <w:tc>
          <w:tcPr>
            <w:tcW w:w="2249" w:type="dxa"/>
          </w:tcPr>
          <w:p w:rsidR="00F33C6A" w:rsidRPr="00635407" w:rsidRDefault="00F33C6A" w:rsidP="00E11342">
            <w:pPr>
              <w:jc w:val="both"/>
              <w:rPr>
                <w:rFonts w:cstheme="minorHAnsi"/>
                <w:b/>
                <w:sz w:val="24"/>
                <w:szCs w:val="24"/>
              </w:rPr>
            </w:pPr>
            <w:r w:rsidRPr="00635407">
              <w:rPr>
                <w:rFonts w:cstheme="minorHAnsi"/>
                <w:b/>
                <w:sz w:val="24"/>
                <w:szCs w:val="24"/>
              </w:rPr>
              <w:t>J&amp;J Inc.</w:t>
            </w:r>
          </w:p>
        </w:tc>
        <w:tc>
          <w:tcPr>
            <w:tcW w:w="2518" w:type="dxa"/>
          </w:tcPr>
          <w:p w:rsidR="00F33C6A" w:rsidRPr="00635407" w:rsidRDefault="00F33C6A" w:rsidP="00E11342">
            <w:pPr>
              <w:jc w:val="both"/>
              <w:rPr>
                <w:rFonts w:cstheme="minorHAnsi"/>
                <w:b/>
                <w:sz w:val="24"/>
                <w:szCs w:val="24"/>
              </w:rPr>
            </w:pPr>
            <w:r w:rsidRPr="00635407">
              <w:rPr>
                <w:rFonts w:cstheme="minorHAnsi"/>
                <w:b/>
                <w:sz w:val="24"/>
                <w:szCs w:val="24"/>
              </w:rPr>
              <w:t>Pfizer Inc.</w:t>
            </w:r>
          </w:p>
        </w:tc>
        <w:tc>
          <w:tcPr>
            <w:tcW w:w="2518" w:type="dxa"/>
          </w:tcPr>
          <w:p w:rsidR="00F33C6A" w:rsidRPr="00635407" w:rsidRDefault="00F33C6A" w:rsidP="00E11342">
            <w:pPr>
              <w:jc w:val="both"/>
              <w:rPr>
                <w:rFonts w:cstheme="minorHAnsi"/>
                <w:b/>
                <w:sz w:val="24"/>
                <w:szCs w:val="24"/>
              </w:rPr>
            </w:pPr>
            <w:r w:rsidRPr="00635407">
              <w:rPr>
                <w:rFonts w:cstheme="minorHAnsi"/>
                <w:b/>
                <w:sz w:val="24"/>
                <w:szCs w:val="24"/>
              </w:rPr>
              <w:t>Merk Inc.</w:t>
            </w:r>
          </w:p>
        </w:tc>
      </w:tr>
      <w:tr w:rsidR="00F33C6A" w:rsidTr="00F33C6A">
        <w:tc>
          <w:tcPr>
            <w:tcW w:w="2785" w:type="dxa"/>
          </w:tcPr>
          <w:p w:rsidR="00F33C6A" w:rsidRPr="00635407" w:rsidRDefault="00F33C6A" w:rsidP="00F33C6A">
            <w:pPr>
              <w:rPr>
                <w:rFonts w:cstheme="minorHAnsi"/>
                <w:b/>
                <w:sz w:val="24"/>
                <w:szCs w:val="24"/>
              </w:rPr>
            </w:pPr>
            <w:r w:rsidRPr="00635407">
              <w:rPr>
                <w:rFonts w:cstheme="minorHAnsi"/>
                <w:b/>
                <w:sz w:val="24"/>
                <w:szCs w:val="24"/>
              </w:rPr>
              <w:t>Return on Equity (ROE)</w:t>
            </w:r>
          </w:p>
        </w:tc>
        <w:tc>
          <w:tcPr>
            <w:tcW w:w="2249" w:type="dxa"/>
          </w:tcPr>
          <w:p w:rsidR="00F33C6A" w:rsidRPr="00635407" w:rsidRDefault="00F33C6A" w:rsidP="00F33C6A">
            <w:pPr>
              <w:jc w:val="both"/>
              <w:rPr>
                <w:rFonts w:cstheme="minorHAnsi"/>
                <w:b/>
                <w:sz w:val="24"/>
                <w:szCs w:val="24"/>
              </w:rPr>
            </w:pPr>
            <w:r w:rsidRPr="00635407">
              <w:rPr>
                <w:rFonts w:cstheme="minorHAnsi"/>
                <w:b/>
                <w:sz w:val="24"/>
                <w:szCs w:val="24"/>
              </w:rPr>
              <w:t>23.35%</w:t>
            </w:r>
          </w:p>
        </w:tc>
        <w:tc>
          <w:tcPr>
            <w:tcW w:w="2518" w:type="dxa"/>
          </w:tcPr>
          <w:p w:rsidR="00F33C6A" w:rsidRPr="00635407" w:rsidRDefault="00F33C6A" w:rsidP="00F33C6A">
            <w:pPr>
              <w:jc w:val="both"/>
              <w:rPr>
                <w:rFonts w:cstheme="minorHAnsi"/>
                <w:b/>
                <w:sz w:val="24"/>
                <w:szCs w:val="24"/>
              </w:rPr>
            </w:pPr>
            <w:r w:rsidRPr="00635407">
              <w:rPr>
                <w:rFonts w:cstheme="minorHAnsi"/>
                <w:b/>
                <w:sz w:val="24"/>
                <w:szCs w:val="24"/>
              </w:rPr>
              <w:t>32.7</w:t>
            </w:r>
          </w:p>
        </w:tc>
        <w:tc>
          <w:tcPr>
            <w:tcW w:w="2518" w:type="dxa"/>
          </w:tcPr>
          <w:p w:rsidR="00F33C6A" w:rsidRPr="00635407" w:rsidRDefault="00F33C6A" w:rsidP="00F33C6A">
            <w:pPr>
              <w:jc w:val="both"/>
              <w:rPr>
                <w:rFonts w:cstheme="minorHAnsi"/>
                <w:b/>
                <w:sz w:val="24"/>
                <w:szCs w:val="24"/>
              </w:rPr>
            </w:pPr>
            <w:r w:rsidRPr="00635407">
              <w:rPr>
                <w:rFonts w:cstheme="minorHAnsi"/>
                <w:b/>
                <w:sz w:val="24"/>
                <w:szCs w:val="24"/>
              </w:rPr>
              <w:t>0.79</w:t>
            </w:r>
          </w:p>
        </w:tc>
      </w:tr>
      <w:tr w:rsidR="00F33C6A" w:rsidTr="00F33C6A">
        <w:tc>
          <w:tcPr>
            <w:tcW w:w="2785" w:type="dxa"/>
          </w:tcPr>
          <w:p w:rsidR="00F33C6A" w:rsidRPr="00635407" w:rsidRDefault="00F33C6A" w:rsidP="00F33C6A">
            <w:pPr>
              <w:rPr>
                <w:rFonts w:cstheme="minorHAnsi"/>
                <w:b/>
                <w:sz w:val="24"/>
                <w:szCs w:val="24"/>
              </w:rPr>
            </w:pPr>
            <w:r w:rsidRPr="00635407">
              <w:rPr>
                <w:rFonts w:cstheme="minorHAnsi"/>
                <w:b/>
                <w:sz w:val="24"/>
                <w:szCs w:val="24"/>
              </w:rPr>
              <w:t>Current Ratio</w:t>
            </w:r>
          </w:p>
        </w:tc>
        <w:tc>
          <w:tcPr>
            <w:tcW w:w="2249" w:type="dxa"/>
          </w:tcPr>
          <w:p w:rsidR="00F33C6A" w:rsidRPr="00635407" w:rsidRDefault="00F33C6A" w:rsidP="00F33C6A">
            <w:pPr>
              <w:jc w:val="both"/>
              <w:rPr>
                <w:rFonts w:cstheme="minorHAnsi"/>
                <w:b/>
                <w:sz w:val="24"/>
                <w:szCs w:val="24"/>
              </w:rPr>
            </w:pPr>
            <w:r w:rsidRPr="00635407">
              <w:rPr>
                <w:rFonts w:cstheme="minorHAnsi"/>
                <w:b/>
                <w:sz w:val="24"/>
                <w:szCs w:val="24"/>
              </w:rPr>
              <w:t>0.99</w:t>
            </w:r>
          </w:p>
        </w:tc>
        <w:tc>
          <w:tcPr>
            <w:tcW w:w="2518" w:type="dxa"/>
          </w:tcPr>
          <w:p w:rsidR="00F33C6A" w:rsidRPr="00635407" w:rsidRDefault="00635407" w:rsidP="00F33C6A">
            <w:pPr>
              <w:jc w:val="both"/>
              <w:rPr>
                <w:rFonts w:cstheme="minorHAnsi"/>
                <w:b/>
                <w:sz w:val="24"/>
                <w:szCs w:val="24"/>
              </w:rPr>
            </w:pPr>
            <w:r w:rsidRPr="00635407">
              <w:rPr>
                <w:rFonts w:cstheme="minorHAnsi"/>
                <w:b/>
                <w:sz w:val="24"/>
                <w:szCs w:val="24"/>
              </w:rPr>
              <w:t>1.47</w:t>
            </w:r>
          </w:p>
        </w:tc>
        <w:tc>
          <w:tcPr>
            <w:tcW w:w="2518" w:type="dxa"/>
          </w:tcPr>
          <w:p w:rsidR="00F33C6A" w:rsidRPr="00635407" w:rsidRDefault="00635407" w:rsidP="00F33C6A">
            <w:pPr>
              <w:jc w:val="both"/>
              <w:rPr>
                <w:rFonts w:cstheme="minorHAnsi"/>
                <w:b/>
                <w:sz w:val="24"/>
                <w:szCs w:val="24"/>
              </w:rPr>
            </w:pPr>
            <w:r w:rsidRPr="00635407">
              <w:rPr>
                <w:rFonts w:cstheme="minorHAnsi"/>
                <w:b/>
                <w:sz w:val="24"/>
                <w:szCs w:val="24"/>
              </w:rPr>
              <w:t>1.21</w:t>
            </w:r>
          </w:p>
        </w:tc>
      </w:tr>
      <w:tr w:rsidR="00F33C6A" w:rsidTr="00F33C6A">
        <w:tc>
          <w:tcPr>
            <w:tcW w:w="2785" w:type="dxa"/>
          </w:tcPr>
          <w:p w:rsidR="00F33C6A" w:rsidRPr="00635407" w:rsidRDefault="00F33C6A" w:rsidP="00F33C6A">
            <w:pPr>
              <w:rPr>
                <w:rFonts w:cstheme="minorHAnsi"/>
                <w:b/>
                <w:sz w:val="24"/>
                <w:szCs w:val="24"/>
              </w:rPr>
            </w:pPr>
            <w:r w:rsidRPr="00635407">
              <w:rPr>
                <w:rFonts w:cstheme="minorHAnsi"/>
                <w:b/>
                <w:sz w:val="24"/>
                <w:szCs w:val="24"/>
              </w:rPr>
              <w:t>Debt-to-Equity Ratio</w:t>
            </w:r>
          </w:p>
        </w:tc>
        <w:tc>
          <w:tcPr>
            <w:tcW w:w="2249" w:type="dxa"/>
          </w:tcPr>
          <w:p w:rsidR="00F33C6A" w:rsidRPr="00635407" w:rsidRDefault="00F33C6A" w:rsidP="00F33C6A">
            <w:pPr>
              <w:jc w:val="both"/>
              <w:rPr>
                <w:rFonts w:cstheme="minorHAnsi"/>
                <w:b/>
                <w:sz w:val="24"/>
                <w:szCs w:val="24"/>
              </w:rPr>
            </w:pPr>
            <w:r w:rsidRPr="00635407">
              <w:rPr>
                <w:rFonts w:cstheme="minorHAnsi"/>
                <w:b/>
                <w:sz w:val="24"/>
                <w:szCs w:val="24"/>
              </w:rPr>
              <w:t>1.43</w:t>
            </w:r>
          </w:p>
        </w:tc>
        <w:tc>
          <w:tcPr>
            <w:tcW w:w="2518" w:type="dxa"/>
          </w:tcPr>
          <w:p w:rsidR="00F33C6A" w:rsidRPr="00635407" w:rsidRDefault="00635407" w:rsidP="00F33C6A">
            <w:pPr>
              <w:jc w:val="both"/>
              <w:rPr>
                <w:rFonts w:cstheme="minorHAnsi"/>
                <w:b/>
                <w:sz w:val="24"/>
                <w:szCs w:val="24"/>
              </w:rPr>
            </w:pPr>
            <w:r w:rsidRPr="00635407">
              <w:rPr>
                <w:rFonts w:cstheme="minorHAnsi"/>
                <w:b/>
                <w:sz w:val="24"/>
                <w:szCs w:val="24"/>
              </w:rPr>
              <w:t>1.05</w:t>
            </w:r>
          </w:p>
        </w:tc>
        <w:tc>
          <w:tcPr>
            <w:tcW w:w="2518" w:type="dxa"/>
          </w:tcPr>
          <w:p w:rsidR="00F33C6A" w:rsidRPr="00635407" w:rsidRDefault="00635407" w:rsidP="00F33C6A">
            <w:pPr>
              <w:jc w:val="both"/>
              <w:rPr>
                <w:rFonts w:cstheme="minorHAnsi"/>
                <w:b/>
                <w:sz w:val="24"/>
                <w:szCs w:val="24"/>
              </w:rPr>
            </w:pPr>
            <w:r w:rsidRPr="00635407">
              <w:rPr>
                <w:rFonts w:cstheme="minorHAnsi"/>
                <w:b/>
                <w:sz w:val="24"/>
                <w:szCs w:val="24"/>
              </w:rPr>
              <w:t>1.37</w:t>
            </w:r>
          </w:p>
        </w:tc>
      </w:tr>
      <w:tr w:rsidR="00F33C6A" w:rsidTr="00F33C6A">
        <w:tc>
          <w:tcPr>
            <w:tcW w:w="2785" w:type="dxa"/>
          </w:tcPr>
          <w:p w:rsidR="00F33C6A" w:rsidRPr="00635407" w:rsidRDefault="00F33C6A" w:rsidP="00F33C6A">
            <w:pPr>
              <w:rPr>
                <w:rFonts w:cstheme="minorHAnsi"/>
                <w:b/>
                <w:sz w:val="24"/>
                <w:szCs w:val="24"/>
              </w:rPr>
            </w:pPr>
            <w:r w:rsidRPr="00635407">
              <w:rPr>
                <w:rFonts w:cstheme="minorHAnsi"/>
                <w:b/>
                <w:sz w:val="24"/>
                <w:szCs w:val="24"/>
              </w:rPr>
              <w:t>Inventory Turnover Ratio</w:t>
            </w:r>
          </w:p>
        </w:tc>
        <w:tc>
          <w:tcPr>
            <w:tcW w:w="2249" w:type="dxa"/>
          </w:tcPr>
          <w:p w:rsidR="00F33C6A" w:rsidRPr="00635407" w:rsidRDefault="00F33C6A" w:rsidP="00F33C6A">
            <w:pPr>
              <w:jc w:val="both"/>
              <w:rPr>
                <w:rFonts w:cstheme="minorHAnsi"/>
                <w:b/>
                <w:sz w:val="24"/>
                <w:szCs w:val="24"/>
              </w:rPr>
            </w:pPr>
            <w:r w:rsidRPr="00635407">
              <w:rPr>
                <w:rFonts w:cstheme="minorHAnsi"/>
                <w:b/>
                <w:sz w:val="24"/>
                <w:szCs w:val="24"/>
              </w:rPr>
              <w:t>2.39</w:t>
            </w:r>
          </w:p>
        </w:tc>
        <w:tc>
          <w:tcPr>
            <w:tcW w:w="2518" w:type="dxa"/>
          </w:tcPr>
          <w:p w:rsidR="00F33C6A" w:rsidRPr="00635407" w:rsidRDefault="00635407" w:rsidP="00F33C6A">
            <w:pPr>
              <w:jc w:val="both"/>
              <w:rPr>
                <w:rFonts w:cstheme="minorHAnsi"/>
                <w:b/>
                <w:sz w:val="24"/>
                <w:szCs w:val="24"/>
              </w:rPr>
            </w:pPr>
            <w:r w:rsidRPr="00635407">
              <w:rPr>
                <w:rFonts w:cstheme="minorHAnsi"/>
                <w:b/>
                <w:sz w:val="24"/>
                <w:szCs w:val="24"/>
              </w:rPr>
              <w:t>3.82</w:t>
            </w:r>
          </w:p>
        </w:tc>
        <w:tc>
          <w:tcPr>
            <w:tcW w:w="2518" w:type="dxa"/>
          </w:tcPr>
          <w:p w:rsidR="00F33C6A" w:rsidRPr="00635407" w:rsidRDefault="00635407" w:rsidP="00F33C6A">
            <w:pPr>
              <w:jc w:val="both"/>
              <w:rPr>
                <w:rFonts w:cstheme="minorHAnsi"/>
                <w:b/>
                <w:sz w:val="24"/>
                <w:szCs w:val="24"/>
              </w:rPr>
            </w:pPr>
            <w:r w:rsidRPr="00635407">
              <w:rPr>
                <w:rFonts w:cstheme="minorHAnsi"/>
                <w:b/>
                <w:sz w:val="24"/>
                <w:szCs w:val="24"/>
              </w:rPr>
              <w:t>2.94</w:t>
            </w:r>
          </w:p>
        </w:tc>
      </w:tr>
    </w:tbl>
    <w:p w:rsidR="00F33C6A" w:rsidRDefault="00F33C6A" w:rsidP="00E11342">
      <w:pPr>
        <w:jc w:val="both"/>
        <w:rPr>
          <w:rFonts w:cstheme="minorHAnsi"/>
          <w:sz w:val="24"/>
          <w:szCs w:val="24"/>
        </w:rPr>
      </w:pPr>
    </w:p>
    <w:p w:rsidR="00DF3529" w:rsidRDefault="00516A67" w:rsidP="00516A67">
      <w:pPr>
        <w:pStyle w:val="Heading2"/>
        <w:numPr>
          <w:ilvl w:val="1"/>
          <w:numId w:val="11"/>
        </w:numPr>
        <w:rPr>
          <w:b/>
          <w:color w:val="000000" w:themeColor="text1"/>
          <w:sz w:val="28"/>
        </w:rPr>
      </w:pPr>
      <w:r>
        <w:rPr>
          <w:b/>
          <w:color w:val="000000" w:themeColor="text1"/>
          <w:sz w:val="28"/>
        </w:rPr>
        <w:t xml:space="preserve"> </w:t>
      </w:r>
      <w:bookmarkStart w:id="14" w:name="_Toc162208554"/>
      <w:r w:rsidR="00DF3529" w:rsidRPr="00516A67">
        <w:rPr>
          <w:b/>
          <w:color w:val="000000" w:themeColor="text1"/>
          <w:sz w:val="28"/>
        </w:rPr>
        <w:t>Recommendations on improving the financial management</w:t>
      </w:r>
      <w:bookmarkEnd w:id="14"/>
    </w:p>
    <w:p w:rsidR="00516A67" w:rsidRPr="00516A67" w:rsidRDefault="00516A67" w:rsidP="00516A67"/>
    <w:p w:rsidR="00B33722" w:rsidRPr="00E11342" w:rsidRDefault="00B33722" w:rsidP="00E11342">
      <w:pPr>
        <w:jc w:val="both"/>
        <w:rPr>
          <w:rFonts w:cstheme="minorHAnsi"/>
          <w:sz w:val="24"/>
          <w:szCs w:val="24"/>
        </w:rPr>
      </w:pPr>
      <w:r w:rsidRPr="00B33722">
        <w:rPr>
          <w:rFonts w:cstheme="minorHAnsi"/>
          <w:sz w:val="24"/>
          <w:szCs w:val="24"/>
        </w:rPr>
        <w:t>Based on the analysis of Johnson &amp; Johnson's financial performance and the comparison with its major competitors, the following recommendations are proposed to improve the company's financial management:</w:t>
      </w:r>
    </w:p>
    <w:p w:rsidR="00B33722" w:rsidRPr="00B33722" w:rsidRDefault="00B33722" w:rsidP="00B33722">
      <w:pPr>
        <w:jc w:val="both"/>
        <w:rPr>
          <w:rFonts w:cstheme="minorHAnsi"/>
          <w:sz w:val="24"/>
          <w:szCs w:val="24"/>
        </w:rPr>
      </w:pPr>
      <w:r w:rsidRPr="00516A67">
        <w:rPr>
          <w:rFonts w:cstheme="minorHAnsi"/>
          <w:b/>
          <w:sz w:val="24"/>
          <w:szCs w:val="24"/>
        </w:rPr>
        <w:t>Enhance Liquidity Management</w:t>
      </w:r>
      <w:r w:rsidRPr="00B33722">
        <w:rPr>
          <w:rFonts w:cstheme="minorHAnsi"/>
          <w:sz w:val="24"/>
          <w:szCs w:val="24"/>
        </w:rPr>
        <w:t>: The current ratio of Johnson &amp; Johnson is a little lower than 1, indicating a problem in maintaining better liquidity. The company should concentrate not only on improving inventories turnover, receivables collection pace and paying suppliers later, involved in working capital optimization. This will be achieved through reduction of the inventory (current ratio) to ensure that short-term obligations are effectively present.</w:t>
      </w:r>
    </w:p>
    <w:p w:rsidR="00B33722" w:rsidRPr="00B33722" w:rsidRDefault="00B33722" w:rsidP="00B33722">
      <w:pPr>
        <w:jc w:val="both"/>
        <w:rPr>
          <w:rFonts w:cstheme="minorHAnsi"/>
          <w:sz w:val="24"/>
          <w:szCs w:val="24"/>
        </w:rPr>
      </w:pPr>
      <w:r w:rsidRPr="00516A67">
        <w:rPr>
          <w:rFonts w:cstheme="minorHAnsi"/>
          <w:b/>
          <w:sz w:val="24"/>
          <w:szCs w:val="24"/>
        </w:rPr>
        <w:t>Reduce Financial Leverage</w:t>
      </w:r>
      <w:r w:rsidRPr="00B33722">
        <w:rPr>
          <w:rFonts w:cstheme="minorHAnsi"/>
          <w:sz w:val="24"/>
          <w:szCs w:val="24"/>
        </w:rPr>
        <w:t>: Perhaps Johnson &amp; Johnson’s debt-to-equity ratio is manageable because it is higher than Pfizer’s one. The company should think about what it can do to cut down its liabilities to the debt, so it may employ tactics like using equity financing or paying down existing debt in the future. That will cut down the debt-to-equity ratio, leading to a lower financial risk</w:t>
      </w:r>
      <w:r w:rsidR="00B979B5">
        <w:rPr>
          <w:rFonts w:cstheme="minorHAnsi"/>
          <w:sz w:val="24"/>
          <w:szCs w:val="24"/>
        </w:rPr>
        <w:t xml:space="preserve"> </w:t>
      </w:r>
      <w:r w:rsidR="00B979B5" w:rsidRPr="00B979B5">
        <w:rPr>
          <w:rFonts w:cstheme="minorHAnsi"/>
          <w:sz w:val="24"/>
          <w:szCs w:val="24"/>
        </w:rPr>
        <w:t>(Alabdullah et al., 2022)</w:t>
      </w:r>
      <w:r w:rsidRPr="00B33722">
        <w:rPr>
          <w:rFonts w:cstheme="minorHAnsi"/>
          <w:sz w:val="24"/>
          <w:szCs w:val="24"/>
        </w:rPr>
        <w:t>.</w:t>
      </w:r>
    </w:p>
    <w:p w:rsidR="00B33722" w:rsidRDefault="00B33722" w:rsidP="00B33722">
      <w:pPr>
        <w:jc w:val="both"/>
        <w:rPr>
          <w:rFonts w:cstheme="minorHAnsi"/>
          <w:sz w:val="24"/>
          <w:szCs w:val="24"/>
        </w:rPr>
      </w:pPr>
      <w:r w:rsidRPr="00516A67">
        <w:rPr>
          <w:rFonts w:cstheme="minorHAnsi"/>
          <w:b/>
          <w:sz w:val="24"/>
          <w:szCs w:val="24"/>
        </w:rPr>
        <w:t>Improve Inventory Efficiency</w:t>
      </w:r>
      <w:r w:rsidRPr="00B33722">
        <w:rPr>
          <w:rFonts w:cstheme="minorHAnsi"/>
          <w:sz w:val="24"/>
          <w:szCs w:val="24"/>
        </w:rPr>
        <w:t>: Although Johnson &amp; Johnson has a moderate level of inventory turnover, Pfizer has a higher intensity of inventory management. The business needs to adopt the inventory management techniques, which include the JIT (just-in-time), demand forecasting, and supply chain optimization. These will lead to the increased inventory turnovers. Apart from that, this will lower holding costs and give a w</w:t>
      </w:r>
      <w:r>
        <w:rPr>
          <w:rFonts w:cstheme="minorHAnsi"/>
          <w:sz w:val="24"/>
          <w:szCs w:val="24"/>
        </w:rPr>
        <w:t>ay for potential use of capital.</w:t>
      </w:r>
    </w:p>
    <w:p w:rsidR="00720971" w:rsidRPr="00720971" w:rsidRDefault="00720971" w:rsidP="00720971">
      <w:pPr>
        <w:jc w:val="both"/>
        <w:rPr>
          <w:rFonts w:cstheme="minorHAnsi"/>
          <w:sz w:val="24"/>
          <w:szCs w:val="24"/>
        </w:rPr>
      </w:pPr>
      <w:r w:rsidRPr="00516A67">
        <w:rPr>
          <w:rFonts w:cstheme="minorHAnsi"/>
          <w:b/>
          <w:sz w:val="24"/>
          <w:szCs w:val="24"/>
        </w:rPr>
        <w:lastRenderedPageBreak/>
        <w:t>Focus on Profitability</w:t>
      </w:r>
      <w:r w:rsidRPr="00720971">
        <w:rPr>
          <w:rFonts w:cstheme="minorHAnsi"/>
          <w:sz w:val="24"/>
          <w:szCs w:val="24"/>
        </w:rPr>
        <w:t>: Johnson &amp; Johnson performs well above the industry average, but it achieves a slightly lower ROE compared to Pfizer. In order for the company to be successful in the long run, it also has to be profitable. Therefore the company should concentrate on strategies for improving its profitability, such as cost reduction, pricing strategies, and expanding into the market segments that are highly profitable. Such a step would push up ROE and result in an increase in the shareholder value</w:t>
      </w:r>
      <w:r w:rsidR="00B979B5">
        <w:rPr>
          <w:rFonts w:cstheme="minorHAnsi"/>
          <w:sz w:val="24"/>
          <w:szCs w:val="24"/>
        </w:rPr>
        <w:t xml:space="preserve"> </w:t>
      </w:r>
      <w:r w:rsidR="00B979B5" w:rsidRPr="00B979B5">
        <w:rPr>
          <w:rFonts w:cstheme="minorHAnsi"/>
          <w:sz w:val="24"/>
          <w:szCs w:val="24"/>
        </w:rPr>
        <w:t>(Ali et al., 2022)</w:t>
      </w:r>
      <w:r w:rsidRPr="00720971">
        <w:rPr>
          <w:rFonts w:cstheme="minorHAnsi"/>
          <w:sz w:val="24"/>
          <w:szCs w:val="24"/>
        </w:rPr>
        <w:t>.</w:t>
      </w:r>
    </w:p>
    <w:p w:rsidR="00720971" w:rsidRPr="00720971" w:rsidRDefault="00720971" w:rsidP="00720971">
      <w:pPr>
        <w:jc w:val="both"/>
        <w:rPr>
          <w:rFonts w:cstheme="minorHAnsi"/>
          <w:sz w:val="24"/>
          <w:szCs w:val="24"/>
        </w:rPr>
      </w:pPr>
      <w:r w:rsidRPr="00516A67">
        <w:rPr>
          <w:rFonts w:cstheme="minorHAnsi"/>
          <w:b/>
          <w:sz w:val="24"/>
          <w:szCs w:val="24"/>
        </w:rPr>
        <w:t>Monitor Competitor Performance</w:t>
      </w:r>
      <w:r w:rsidRPr="00720971">
        <w:rPr>
          <w:rFonts w:cstheme="minorHAnsi"/>
          <w:sz w:val="24"/>
          <w:szCs w:val="24"/>
        </w:rPr>
        <w:t>: A financial performance and ratios surveillance should be part of Johnson &amp; Johnson’s regular responsibilities with regard to its competitors - Pfizer and Merck. This step will enable the company to trace those in the industry, see what the best practices are, and, also, find the spots that can be improved by the company’s financial management.</w:t>
      </w:r>
    </w:p>
    <w:p w:rsidR="00720971" w:rsidRPr="00720971" w:rsidRDefault="00720971" w:rsidP="00720971">
      <w:pPr>
        <w:jc w:val="both"/>
        <w:rPr>
          <w:rFonts w:cstheme="minorHAnsi"/>
          <w:sz w:val="24"/>
          <w:szCs w:val="24"/>
        </w:rPr>
      </w:pPr>
      <w:r w:rsidRPr="00516A67">
        <w:rPr>
          <w:rFonts w:cstheme="minorHAnsi"/>
          <w:b/>
          <w:sz w:val="24"/>
          <w:szCs w:val="24"/>
        </w:rPr>
        <w:t>Strategic Investments</w:t>
      </w:r>
      <w:r w:rsidRPr="00720971">
        <w:rPr>
          <w:rFonts w:cstheme="minorHAnsi"/>
          <w:sz w:val="24"/>
          <w:szCs w:val="24"/>
        </w:rPr>
        <w:t>: Johnson &amp; Johnson should continue to dedicate a considerable proportion towards research and development investments, mergers and acquisitions, and global expansion. Nevertheless, these capital injection should be adequately assessed in order to avoid increasing risk by debt and/or equity.</w:t>
      </w:r>
    </w:p>
    <w:p w:rsidR="00720971" w:rsidRDefault="00720971" w:rsidP="00720971">
      <w:pPr>
        <w:jc w:val="both"/>
        <w:rPr>
          <w:rFonts w:cstheme="minorHAnsi"/>
          <w:sz w:val="24"/>
          <w:szCs w:val="24"/>
        </w:rPr>
      </w:pPr>
      <w:r w:rsidRPr="00720971">
        <w:rPr>
          <w:rFonts w:cstheme="minorHAnsi"/>
          <w:sz w:val="24"/>
          <w:szCs w:val="24"/>
        </w:rPr>
        <w:t>Adoption of the recommendations will help J&amp;J to make progress with its financial management, gain advantages over its competitors, and ensure the company being financially viable and stable in the long run.</w:t>
      </w:r>
    </w:p>
    <w:p w:rsidR="00DF3529" w:rsidRPr="00516A67" w:rsidRDefault="00B75B81" w:rsidP="00516A67">
      <w:pPr>
        <w:pStyle w:val="Heading1"/>
        <w:numPr>
          <w:ilvl w:val="0"/>
          <w:numId w:val="11"/>
        </w:numPr>
        <w:rPr>
          <w:b/>
          <w:color w:val="000000" w:themeColor="text1"/>
        </w:rPr>
      </w:pPr>
      <w:bookmarkStart w:id="15" w:name="_Toc162208555"/>
      <w:r w:rsidRPr="00516A67">
        <w:rPr>
          <w:b/>
          <w:color w:val="000000" w:themeColor="text1"/>
        </w:rPr>
        <w:t>Computation for PBP, ARR, NPV</w:t>
      </w:r>
      <w:bookmarkEnd w:id="15"/>
    </w:p>
    <w:p w:rsidR="00516A67" w:rsidRPr="00516A67" w:rsidRDefault="00516A67" w:rsidP="00516A67"/>
    <w:p w:rsidR="00FB0C2B" w:rsidRPr="00E11342" w:rsidRDefault="00FB0C2B" w:rsidP="00516A67">
      <w:pPr>
        <w:numPr>
          <w:ilvl w:val="0"/>
          <w:numId w:val="1"/>
        </w:numPr>
        <w:jc w:val="both"/>
        <w:rPr>
          <w:rFonts w:cstheme="minorHAnsi"/>
          <w:sz w:val="24"/>
          <w:szCs w:val="24"/>
        </w:rPr>
      </w:pPr>
      <w:r w:rsidRPr="00E11342">
        <w:rPr>
          <w:rFonts w:cstheme="minorHAnsi"/>
          <w:b/>
          <w:bCs/>
          <w:sz w:val="24"/>
          <w:szCs w:val="24"/>
        </w:rPr>
        <w:t>Payback Period (PBP):</w:t>
      </w:r>
      <w:r w:rsidRPr="00E11342">
        <w:rPr>
          <w:rFonts w:cstheme="minorHAnsi"/>
          <w:sz w:val="24"/>
          <w:szCs w:val="24"/>
        </w:rPr>
        <w:t xml:space="preserve"> The PBP is the time required to recover the initial investment. It's calculated by summing the cash flows until they equal the initial investment.</w:t>
      </w:r>
    </w:p>
    <w:p w:rsidR="00FB0C2B" w:rsidRPr="00E11342" w:rsidRDefault="00FB0C2B" w:rsidP="00516A67">
      <w:pPr>
        <w:numPr>
          <w:ilvl w:val="0"/>
          <w:numId w:val="1"/>
        </w:numPr>
        <w:jc w:val="both"/>
        <w:rPr>
          <w:rFonts w:cstheme="minorHAnsi"/>
          <w:sz w:val="24"/>
          <w:szCs w:val="24"/>
        </w:rPr>
      </w:pPr>
      <w:r w:rsidRPr="00E11342">
        <w:rPr>
          <w:rFonts w:cstheme="minorHAnsi"/>
          <w:b/>
          <w:bCs/>
          <w:sz w:val="24"/>
          <w:szCs w:val="24"/>
        </w:rPr>
        <w:t>Accounting Rate of Return (ARR):</w:t>
      </w:r>
      <w:r w:rsidRPr="00E11342">
        <w:rPr>
          <w:rFonts w:cstheme="minorHAnsi"/>
          <w:sz w:val="24"/>
          <w:szCs w:val="24"/>
        </w:rPr>
        <w:t xml:space="preserve"> The ARR is the average annual profit (average cash flow) divided by the initial investment, expressed as a percentage. It's calculated as: ARR=(Average Annual Cash FlowInitial Investment)×100%ARR=(Initial InvestmentAverage Annual Cash Flow​)×100%</w:t>
      </w:r>
    </w:p>
    <w:p w:rsidR="00FB0C2B" w:rsidRDefault="00FB0C2B" w:rsidP="00516A67">
      <w:pPr>
        <w:numPr>
          <w:ilvl w:val="0"/>
          <w:numId w:val="1"/>
        </w:numPr>
        <w:jc w:val="both"/>
        <w:rPr>
          <w:rFonts w:cstheme="minorHAnsi"/>
          <w:sz w:val="24"/>
          <w:szCs w:val="24"/>
        </w:rPr>
      </w:pPr>
      <w:r w:rsidRPr="00E11342">
        <w:rPr>
          <w:rFonts w:cstheme="minorHAnsi"/>
          <w:b/>
          <w:bCs/>
          <w:sz w:val="24"/>
          <w:szCs w:val="24"/>
        </w:rPr>
        <w:t>Net Present Value (NPV):</w:t>
      </w:r>
      <w:r w:rsidRPr="00E11342">
        <w:rPr>
          <w:rFonts w:cstheme="minorHAnsi"/>
          <w:sz w:val="24"/>
          <w:szCs w:val="24"/>
        </w:rPr>
        <w:t xml:space="preserve"> The NPV is the sum of the present values of all cash flows, discounted at the cost of capital. </w:t>
      </w:r>
    </w:p>
    <w:p w:rsidR="00516A67" w:rsidRPr="00E11342" w:rsidRDefault="00516A67" w:rsidP="00516A67">
      <w:pPr>
        <w:ind w:left="720"/>
        <w:jc w:val="both"/>
        <w:rPr>
          <w:rFonts w:cstheme="minorHAnsi"/>
          <w:sz w:val="24"/>
          <w:szCs w:val="24"/>
        </w:rPr>
      </w:pPr>
    </w:p>
    <w:p w:rsidR="00FB0C2B" w:rsidRDefault="00516A67" w:rsidP="00516A67">
      <w:pPr>
        <w:pStyle w:val="Heading2"/>
        <w:numPr>
          <w:ilvl w:val="1"/>
          <w:numId w:val="11"/>
        </w:numPr>
        <w:rPr>
          <w:b/>
          <w:color w:val="000000" w:themeColor="text1"/>
          <w:sz w:val="28"/>
        </w:rPr>
      </w:pPr>
      <w:r>
        <w:rPr>
          <w:b/>
          <w:color w:val="000000" w:themeColor="text1"/>
          <w:sz w:val="28"/>
        </w:rPr>
        <w:t xml:space="preserve"> </w:t>
      </w:r>
      <w:bookmarkStart w:id="16" w:name="_Toc162208556"/>
      <w:r>
        <w:rPr>
          <w:b/>
          <w:color w:val="000000" w:themeColor="text1"/>
          <w:sz w:val="28"/>
        </w:rPr>
        <w:t>Project A</w:t>
      </w:r>
      <w:bookmarkEnd w:id="16"/>
    </w:p>
    <w:p w:rsidR="00516A67" w:rsidRPr="00516A67" w:rsidRDefault="00516A67" w:rsidP="00516A67"/>
    <w:p w:rsidR="00FB0C2B" w:rsidRPr="00E11342" w:rsidRDefault="00FB0C2B" w:rsidP="00E11342">
      <w:pPr>
        <w:jc w:val="both"/>
        <w:rPr>
          <w:rFonts w:cstheme="minorHAnsi"/>
          <w:sz w:val="24"/>
          <w:szCs w:val="24"/>
        </w:rPr>
      </w:pPr>
      <w:r w:rsidRPr="00E11342">
        <w:rPr>
          <w:rFonts w:cstheme="minorHAnsi"/>
          <w:b/>
          <w:bCs/>
          <w:sz w:val="24"/>
          <w:szCs w:val="24"/>
        </w:rPr>
        <w:t>Initial Investment:</w:t>
      </w:r>
      <w:r w:rsidRPr="00E11342">
        <w:rPr>
          <w:rFonts w:cstheme="minorHAnsi"/>
          <w:sz w:val="24"/>
          <w:szCs w:val="24"/>
        </w:rPr>
        <w:t xml:space="preserve"> £5,000 million</w:t>
      </w:r>
    </w:p>
    <w:p w:rsidR="00FB0C2B" w:rsidRPr="00E11342" w:rsidRDefault="00FB0C2B" w:rsidP="00E11342">
      <w:pPr>
        <w:jc w:val="both"/>
        <w:rPr>
          <w:rFonts w:cstheme="minorHAnsi"/>
          <w:sz w:val="24"/>
          <w:szCs w:val="24"/>
        </w:rPr>
      </w:pPr>
      <w:r w:rsidRPr="00E11342">
        <w:rPr>
          <w:rFonts w:cstheme="minorHAnsi"/>
          <w:b/>
          <w:bCs/>
          <w:sz w:val="24"/>
          <w:szCs w:val="24"/>
        </w:rPr>
        <w:t>Cash Flows:</w:t>
      </w:r>
    </w:p>
    <w:p w:rsidR="00FB0C2B" w:rsidRPr="00E11342" w:rsidRDefault="00FB0C2B" w:rsidP="00E11342">
      <w:pPr>
        <w:numPr>
          <w:ilvl w:val="0"/>
          <w:numId w:val="2"/>
        </w:numPr>
        <w:jc w:val="both"/>
        <w:rPr>
          <w:rFonts w:cstheme="minorHAnsi"/>
          <w:sz w:val="24"/>
          <w:szCs w:val="24"/>
        </w:rPr>
      </w:pPr>
      <w:r w:rsidRPr="00E11342">
        <w:rPr>
          <w:rFonts w:cstheme="minorHAnsi"/>
          <w:sz w:val="24"/>
          <w:szCs w:val="24"/>
        </w:rPr>
        <w:t>Year 0: -£5,000 million</w:t>
      </w:r>
    </w:p>
    <w:p w:rsidR="00FB0C2B" w:rsidRPr="00E11342" w:rsidRDefault="00FB0C2B" w:rsidP="00E11342">
      <w:pPr>
        <w:numPr>
          <w:ilvl w:val="0"/>
          <w:numId w:val="2"/>
        </w:numPr>
        <w:jc w:val="both"/>
        <w:rPr>
          <w:rFonts w:cstheme="minorHAnsi"/>
          <w:sz w:val="24"/>
          <w:szCs w:val="24"/>
        </w:rPr>
      </w:pPr>
      <w:r w:rsidRPr="00E11342">
        <w:rPr>
          <w:rFonts w:cstheme="minorHAnsi"/>
          <w:sz w:val="24"/>
          <w:szCs w:val="24"/>
        </w:rPr>
        <w:lastRenderedPageBreak/>
        <w:t>Year 1: £2,500 million</w:t>
      </w:r>
    </w:p>
    <w:p w:rsidR="00FB0C2B" w:rsidRPr="00E11342" w:rsidRDefault="00FB0C2B" w:rsidP="00E11342">
      <w:pPr>
        <w:numPr>
          <w:ilvl w:val="0"/>
          <w:numId w:val="2"/>
        </w:numPr>
        <w:jc w:val="both"/>
        <w:rPr>
          <w:rFonts w:cstheme="minorHAnsi"/>
          <w:sz w:val="24"/>
          <w:szCs w:val="24"/>
        </w:rPr>
      </w:pPr>
      <w:r w:rsidRPr="00E11342">
        <w:rPr>
          <w:rFonts w:cstheme="minorHAnsi"/>
          <w:sz w:val="24"/>
          <w:szCs w:val="24"/>
        </w:rPr>
        <w:t>Year 2: £2,000 million</w:t>
      </w:r>
    </w:p>
    <w:p w:rsidR="00FB0C2B" w:rsidRPr="00E11342" w:rsidRDefault="00FB0C2B" w:rsidP="00E11342">
      <w:pPr>
        <w:numPr>
          <w:ilvl w:val="0"/>
          <w:numId w:val="2"/>
        </w:numPr>
        <w:jc w:val="both"/>
        <w:rPr>
          <w:rFonts w:cstheme="minorHAnsi"/>
          <w:sz w:val="24"/>
          <w:szCs w:val="24"/>
        </w:rPr>
      </w:pPr>
      <w:r w:rsidRPr="00E11342">
        <w:rPr>
          <w:rFonts w:cstheme="minorHAnsi"/>
          <w:sz w:val="24"/>
          <w:szCs w:val="24"/>
        </w:rPr>
        <w:t>Year 3: £1,000 million</w:t>
      </w:r>
    </w:p>
    <w:p w:rsidR="00FB0C2B" w:rsidRPr="00E11342" w:rsidRDefault="00FB0C2B" w:rsidP="00E11342">
      <w:pPr>
        <w:numPr>
          <w:ilvl w:val="0"/>
          <w:numId w:val="2"/>
        </w:numPr>
        <w:jc w:val="both"/>
        <w:rPr>
          <w:rFonts w:cstheme="minorHAnsi"/>
          <w:sz w:val="24"/>
          <w:szCs w:val="24"/>
        </w:rPr>
      </w:pPr>
      <w:r w:rsidRPr="00E11342">
        <w:rPr>
          <w:rFonts w:cstheme="minorHAnsi"/>
          <w:sz w:val="24"/>
          <w:szCs w:val="24"/>
        </w:rPr>
        <w:t>Year 4: -£442 million</w:t>
      </w:r>
    </w:p>
    <w:p w:rsidR="00FB0C2B" w:rsidRPr="00E11342" w:rsidRDefault="00FB0C2B" w:rsidP="00E11342">
      <w:pPr>
        <w:jc w:val="both"/>
        <w:rPr>
          <w:rFonts w:cstheme="minorHAnsi"/>
          <w:sz w:val="24"/>
          <w:szCs w:val="24"/>
        </w:rPr>
      </w:pPr>
      <w:r w:rsidRPr="00E11342">
        <w:rPr>
          <w:rFonts w:cstheme="minorHAnsi"/>
          <w:b/>
          <w:bCs/>
          <w:sz w:val="24"/>
          <w:szCs w:val="24"/>
        </w:rPr>
        <w:t>Payback Period:</w:t>
      </w:r>
    </w:p>
    <w:p w:rsidR="00FB0C2B" w:rsidRPr="00E11342" w:rsidRDefault="00FB0C2B" w:rsidP="00E11342">
      <w:pPr>
        <w:numPr>
          <w:ilvl w:val="0"/>
          <w:numId w:val="3"/>
        </w:numPr>
        <w:jc w:val="both"/>
        <w:rPr>
          <w:rFonts w:cstheme="minorHAnsi"/>
          <w:sz w:val="24"/>
          <w:szCs w:val="24"/>
        </w:rPr>
      </w:pPr>
      <w:r w:rsidRPr="00E11342">
        <w:rPr>
          <w:rFonts w:cstheme="minorHAnsi"/>
          <w:sz w:val="24"/>
          <w:szCs w:val="24"/>
        </w:rPr>
        <w:t>Cumulative cash flow by the end of Year 2: £2,500 + £2,000 = £4,500 million</w:t>
      </w:r>
    </w:p>
    <w:p w:rsidR="00FB0C2B" w:rsidRPr="00E11342" w:rsidRDefault="00FB0C2B" w:rsidP="00E11342">
      <w:pPr>
        <w:numPr>
          <w:ilvl w:val="0"/>
          <w:numId w:val="3"/>
        </w:numPr>
        <w:jc w:val="both"/>
        <w:rPr>
          <w:rFonts w:cstheme="minorHAnsi"/>
          <w:sz w:val="24"/>
          <w:szCs w:val="24"/>
        </w:rPr>
      </w:pPr>
      <w:r w:rsidRPr="00E11342">
        <w:rPr>
          <w:rFonts w:cstheme="minorHAnsi"/>
          <w:sz w:val="24"/>
          <w:szCs w:val="24"/>
        </w:rPr>
        <w:t>Remaining amount to recover: £5,000 - £4,500 = £500 million</w:t>
      </w:r>
    </w:p>
    <w:p w:rsidR="00FB0C2B" w:rsidRPr="00E11342" w:rsidRDefault="00FB0C2B" w:rsidP="00E11342">
      <w:pPr>
        <w:numPr>
          <w:ilvl w:val="0"/>
          <w:numId w:val="3"/>
        </w:numPr>
        <w:jc w:val="both"/>
        <w:rPr>
          <w:rFonts w:cstheme="minorHAnsi"/>
          <w:sz w:val="24"/>
          <w:szCs w:val="24"/>
        </w:rPr>
      </w:pPr>
      <w:r w:rsidRPr="00E11342">
        <w:rPr>
          <w:rFonts w:cstheme="minorHAnsi"/>
          <w:sz w:val="24"/>
          <w:szCs w:val="24"/>
        </w:rPr>
        <w:t>Proportion of Year 3 needed to recover the remaining amount: £500 / £1,000 = 0.5 years</w:t>
      </w:r>
    </w:p>
    <w:p w:rsidR="00FB0C2B" w:rsidRPr="00E11342" w:rsidRDefault="00FB0C2B" w:rsidP="00E11342">
      <w:pPr>
        <w:numPr>
          <w:ilvl w:val="0"/>
          <w:numId w:val="3"/>
        </w:numPr>
        <w:jc w:val="both"/>
        <w:rPr>
          <w:rFonts w:cstheme="minorHAnsi"/>
          <w:sz w:val="24"/>
          <w:szCs w:val="24"/>
        </w:rPr>
      </w:pPr>
      <w:r w:rsidRPr="00E11342">
        <w:rPr>
          <w:rFonts w:cstheme="minorHAnsi"/>
          <w:sz w:val="24"/>
          <w:szCs w:val="24"/>
        </w:rPr>
        <w:t xml:space="preserve">PBP for Project A: 2 + 0.5 = </w:t>
      </w:r>
      <w:r w:rsidRPr="00516A67">
        <w:rPr>
          <w:rFonts w:cstheme="minorHAnsi"/>
          <w:b/>
          <w:sz w:val="24"/>
          <w:szCs w:val="24"/>
        </w:rPr>
        <w:t>2.5 years</w:t>
      </w:r>
    </w:p>
    <w:p w:rsidR="00FB0C2B" w:rsidRPr="00E11342" w:rsidRDefault="00FB0C2B" w:rsidP="00E11342">
      <w:pPr>
        <w:jc w:val="both"/>
        <w:rPr>
          <w:rFonts w:cstheme="minorHAnsi"/>
          <w:sz w:val="24"/>
          <w:szCs w:val="24"/>
        </w:rPr>
      </w:pPr>
      <w:r w:rsidRPr="00E11342">
        <w:rPr>
          <w:rFonts w:cstheme="minorHAnsi"/>
          <w:b/>
          <w:bCs/>
          <w:sz w:val="24"/>
          <w:szCs w:val="24"/>
        </w:rPr>
        <w:t>Accounting Rate of Return:</w:t>
      </w:r>
    </w:p>
    <w:p w:rsidR="00FB0C2B" w:rsidRPr="00E11342" w:rsidRDefault="00FB0C2B" w:rsidP="00E11342">
      <w:pPr>
        <w:numPr>
          <w:ilvl w:val="0"/>
          <w:numId w:val="4"/>
        </w:numPr>
        <w:jc w:val="both"/>
        <w:rPr>
          <w:rFonts w:cstheme="minorHAnsi"/>
          <w:sz w:val="24"/>
          <w:szCs w:val="24"/>
        </w:rPr>
      </w:pPr>
      <w:r w:rsidRPr="00E11342">
        <w:rPr>
          <w:rFonts w:cstheme="minorHAnsi"/>
          <w:sz w:val="24"/>
          <w:szCs w:val="24"/>
        </w:rPr>
        <w:t>Average Annual Cash Flow: ( £2,500 + £2,000 + £1,000 - £442 ) / 4 = £1,264.5 million</w:t>
      </w:r>
    </w:p>
    <w:p w:rsidR="00FB0C2B" w:rsidRPr="00E11342" w:rsidRDefault="00FB0C2B" w:rsidP="00E11342">
      <w:pPr>
        <w:numPr>
          <w:ilvl w:val="0"/>
          <w:numId w:val="4"/>
        </w:numPr>
        <w:jc w:val="both"/>
        <w:rPr>
          <w:rFonts w:cstheme="minorHAnsi"/>
          <w:sz w:val="24"/>
          <w:szCs w:val="24"/>
        </w:rPr>
      </w:pPr>
      <w:r w:rsidRPr="00E11342">
        <w:rPr>
          <w:rFonts w:cstheme="minorHAnsi"/>
          <w:sz w:val="24"/>
          <w:szCs w:val="24"/>
        </w:rPr>
        <w:t xml:space="preserve">ARR = ( £1,264.5 / £5,000 ) × 100% = </w:t>
      </w:r>
      <w:r w:rsidRPr="00516A67">
        <w:rPr>
          <w:rFonts w:cstheme="minorHAnsi"/>
          <w:b/>
          <w:sz w:val="24"/>
          <w:szCs w:val="24"/>
        </w:rPr>
        <w:t>25.29%</w:t>
      </w:r>
    </w:p>
    <w:p w:rsidR="00FB0C2B" w:rsidRPr="00E11342" w:rsidRDefault="00FB0C2B" w:rsidP="00E11342">
      <w:pPr>
        <w:jc w:val="both"/>
        <w:rPr>
          <w:rFonts w:cstheme="minorHAnsi"/>
          <w:sz w:val="24"/>
          <w:szCs w:val="24"/>
        </w:rPr>
      </w:pPr>
      <w:r w:rsidRPr="00E11342">
        <w:rPr>
          <w:rFonts w:cstheme="minorHAnsi"/>
          <w:b/>
          <w:bCs/>
          <w:sz w:val="24"/>
          <w:szCs w:val="24"/>
        </w:rPr>
        <w:t>Net Present Value:</w:t>
      </w:r>
    </w:p>
    <w:p w:rsidR="00FB0C2B" w:rsidRPr="00E11342" w:rsidRDefault="00FB0C2B" w:rsidP="00E11342">
      <w:pPr>
        <w:numPr>
          <w:ilvl w:val="0"/>
          <w:numId w:val="5"/>
        </w:numPr>
        <w:jc w:val="both"/>
        <w:rPr>
          <w:rFonts w:cstheme="minorHAnsi"/>
          <w:sz w:val="24"/>
          <w:szCs w:val="24"/>
        </w:rPr>
      </w:pPr>
      <w:r w:rsidRPr="00E11342">
        <w:rPr>
          <w:rFonts w:cstheme="minorHAnsi"/>
          <w:sz w:val="24"/>
          <w:szCs w:val="24"/>
        </w:rPr>
        <w:t>Discount Rate (r): 0.75%</w:t>
      </w:r>
    </w:p>
    <w:p w:rsidR="00FB0C2B" w:rsidRPr="00E11342" w:rsidRDefault="00FB0C2B" w:rsidP="00E11342">
      <w:pPr>
        <w:numPr>
          <w:ilvl w:val="0"/>
          <w:numId w:val="5"/>
        </w:numPr>
        <w:jc w:val="both"/>
        <w:rPr>
          <w:rFonts w:cstheme="minorHAnsi"/>
          <w:sz w:val="24"/>
          <w:szCs w:val="24"/>
        </w:rPr>
      </w:pPr>
      <w:r w:rsidRPr="00E11342">
        <w:rPr>
          <w:rFonts w:cstheme="minorHAnsi"/>
          <w:sz w:val="24"/>
          <w:szCs w:val="24"/>
        </w:rPr>
        <w:t>NPV = (-£5,000 / (1 + 0.0075)^0) + (£2,500 / (1 + 0.0075)^1) + (£2,000 / (1 + 0.0075)^2) + (£1,000 / (1 + 0.0075)^3) - (£442 / (1 + 0.0075)^4)</w:t>
      </w:r>
    </w:p>
    <w:p w:rsidR="00FB0C2B" w:rsidRPr="00E11342" w:rsidRDefault="00FB0C2B" w:rsidP="00E11342">
      <w:pPr>
        <w:numPr>
          <w:ilvl w:val="0"/>
          <w:numId w:val="5"/>
        </w:numPr>
        <w:jc w:val="both"/>
        <w:rPr>
          <w:rFonts w:cstheme="minorHAnsi"/>
          <w:sz w:val="24"/>
          <w:szCs w:val="24"/>
        </w:rPr>
      </w:pPr>
      <w:r w:rsidRPr="00E11342">
        <w:rPr>
          <w:rFonts w:cstheme="minorHAnsi"/>
          <w:sz w:val="24"/>
          <w:szCs w:val="24"/>
        </w:rPr>
        <w:t>NPV ≈ -£5,000 + £2,482.14 + £1,980.29 + £988.14 - £438.04</w:t>
      </w:r>
    </w:p>
    <w:p w:rsidR="00FB0C2B" w:rsidRPr="00516A67" w:rsidRDefault="00FB0C2B" w:rsidP="00E11342">
      <w:pPr>
        <w:numPr>
          <w:ilvl w:val="0"/>
          <w:numId w:val="5"/>
        </w:numPr>
        <w:jc w:val="both"/>
        <w:rPr>
          <w:rFonts w:cstheme="minorHAnsi"/>
          <w:b/>
          <w:sz w:val="24"/>
          <w:szCs w:val="24"/>
        </w:rPr>
      </w:pPr>
      <w:r w:rsidRPr="00516A67">
        <w:rPr>
          <w:rFonts w:cstheme="minorHAnsi"/>
          <w:b/>
          <w:sz w:val="24"/>
          <w:szCs w:val="24"/>
        </w:rPr>
        <w:t>NPV ≈ £12.53 million</w:t>
      </w:r>
    </w:p>
    <w:p w:rsidR="00516A67" w:rsidRPr="00E11342" w:rsidRDefault="00516A67" w:rsidP="00516A67">
      <w:pPr>
        <w:ind w:left="720"/>
        <w:jc w:val="both"/>
        <w:rPr>
          <w:rFonts w:cstheme="minorHAnsi"/>
          <w:sz w:val="24"/>
          <w:szCs w:val="24"/>
        </w:rPr>
      </w:pPr>
    </w:p>
    <w:p w:rsidR="00FB0C2B" w:rsidRDefault="00516A67" w:rsidP="00516A67">
      <w:pPr>
        <w:pStyle w:val="Heading2"/>
        <w:numPr>
          <w:ilvl w:val="1"/>
          <w:numId w:val="11"/>
        </w:numPr>
        <w:rPr>
          <w:b/>
          <w:color w:val="000000" w:themeColor="text1"/>
          <w:sz w:val="28"/>
        </w:rPr>
      </w:pPr>
      <w:r>
        <w:rPr>
          <w:b/>
          <w:color w:val="000000" w:themeColor="text1"/>
          <w:sz w:val="28"/>
        </w:rPr>
        <w:t xml:space="preserve"> </w:t>
      </w:r>
      <w:bookmarkStart w:id="17" w:name="_Toc162208557"/>
      <w:r>
        <w:rPr>
          <w:b/>
          <w:color w:val="000000" w:themeColor="text1"/>
          <w:sz w:val="28"/>
        </w:rPr>
        <w:t>Project B</w:t>
      </w:r>
      <w:bookmarkEnd w:id="17"/>
    </w:p>
    <w:p w:rsidR="00516A67" w:rsidRPr="00516A67" w:rsidRDefault="00516A67" w:rsidP="00516A67"/>
    <w:p w:rsidR="00FB0C2B" w:rsidRPr="00E11342" w:rsidRDefault="00FB0C2B" w:rsidP="00E11342">
      <w:pPr>
        <w:jc w:val="both"/>
        <w:rPr>
          <w:rFonts w:cstheme="minorHAnsi"/>
          <w:sz w:val="24"/>
          <w:szCs w:val="24"/>
        </w:rPr>
      </w:pPr>
      <w:r w:rsidRPr="00E11342">
        <w:rPr>
          <w:rFonts w:cstheme="minorHAnsi"/>
          <w:b/>
          <w:bCs/>
          <w:sz w:val="24"/>
          <w:szCs w:val="24"/>
        </w:rPr>
        <w:t>Initial Investment:</w:t>
      </w:r>
      <w:r w:rsidRPr="00E11342">
        <w:rPr>
          <w:rFonts w:cstheme="minorHAnsi"/>
          <w:sz w:val="24"/>
          <w:szCs w:val="24"/>
        </w:rPr>
        <w:t xml:space="preserve"> £1,000 million</w:t>
      </w:r>
    </w:p>
    <w:p w:rsidR="00FB0C2B" w:rsidRPr="00E11342" w:rsidRDefault="00FB0C2B" w:rsidP="00E11342">
      <w:pPr>
        <w:jc w:val="both"/>
        <w:rPr>
          <w:rFonts w:cstheme="minorHAnsi"/>
          <w:sz w:val="24"/>
          <w:szCs w:val="24"/>
        </w:rPr>
      </w:pPr>
      <w:r w:rsidRPr="00E11342">
        <w:rPr>
          <w:rFonts w:cstheme="minorHAnsi"/>
          <w:b/>
          <w:bCs/>
          <w:sz w:val="24"/>
          <w:szCs w:val="24"/>
        </w:rPr>
        <w:t>Cash Flows:</w:t>
      </w:r>
    </w:p>
    <w:p w:rsidR="00FB0C2B" w:rsidRPr="00E11342" w:rsidRDefault="00FB0C2B" w:rsidP="00E11342">
      <w:pPr>
        <w:numPr>
          <w:ilvl w:val="0"/>
          <w:numId w:val="6"/>
        </w:numPr>
        <w:jc w:val="both"/>
        <w:rPr>
          <w:rFonts w:cstheme="minorHAnsi"/>
          <w:sz w:val="24"/>
          <w:szCs w:val="24"/>
        </w:rPr>
      </w:pPr>
      <w:r w:rsidRPr="00E11342">
        <w:rPr>
          <w:rFonts w:cstheme="minorHAnsi"/>
          <w:sz w:val="24"/>
          <w:szCs w:val="24"/>
        </w:rPr>
        <w:t>Year 0: -£1,000 million</w:t>
      </w:r>
    </w:p>
    <w:p w:rsidR="00FB0C2B" w:rsidRPr="00E11342" w:rsidRDefault="00FB0C2B" w:rsidP="00E11342">
      <w:pPr>
        <w:numPr>
          <w:ilvl w:val="0"/>
          <w:numId w:val="6"/>
        </w:numPr>
        <w:jc w:val="both"/>
        <w:rPr>
          <w:rFonts w:cstheme="minorHAnsi"/>
          <w:sz w:val="24"/>
          <w:szCs w:val="24"/>
        </w:rPr>
      </w:pPr>
      <w:r w:rsidRPr="00E11342">
        <w:rPr>
          <w:rFonts w:cstheme="minorHAnsi"/>
          <w:sz w:val="24"/>
          <w:szCs w:val="24"/>
        </w:rPr>
        <w:t>Year 1: £1,500 million</w:t>
      </w:r>
    </w:p>
    <w:p w:rsidR="00FB0C2B" w:rsidRPr="00E11342" w:rsidRDefault="00FB0C2B" w:rsidP="00E11342">
      <w:pPr>
        <w:numPr>
          <w:ilvl w:val="0"/>
          <w:numId w:val="6"/>
        </w:numPr>
        <w:jc w:val="both"/>
        <w:rPr>
          <w:rFonts w:cstheme="minorHAnsi"/>
          <w:sz w:val="24"/>
          <w:szCs w:val="24"/>
        </w:rPr>
      </w:pPr>
      <w:r w:rsidRPr="00E11342">
        <w:rPr>
          <w:rFonts w:cstheme="minorHAnsi"/>
          <w:sz w:val="24"/>
          <w:szCs w:val="24"/>
        </w:rPr>
        <w:t>Year 2: £1,000 million</w:t>
      </w:r>
    </w:p>
    <w:p w:rsidR="00FB0C2B" w:rsidRPr="00E11342" w:rsidRDefault="00FB0C2B" w:rsidP="00E11342">
      <w:pPr>
        <w:numPr>
          <w:ilvl w:val="0"/>
          <w:numId w:val="6"/>
        </w:numPr>
        <w:jc w:val="both"/>
        <w:rPr>
          <w:rFonts w:cstheme="minorHAnsi"/>
          <w:sz w:val="24"/>
          <w:szCs w:val="24"/>
        </w:rPr>
      </w:pPr>
      <w:r w:rsidRPr="00E11342">
        <w:rPr>
          <w:rFonts w:cstheme="minorHAnsi"/>
          <w:sz w:val="24"/>
          <w:szCs w:val="24"/>
        </w:rPr>
        <w:t>Year 3: £1,000 million</w:t>
      </w:r>
    </w:p>
    <w:p w:rsidR="00FB0C2B" w:rsidRPr="00E11342" w:rsidRDefault="00FB0C2B" w:rsidP="00E11342">
      <w:pPr>
        <w:numPr>
          <w:ilvl w:val="0"/>
          <w:numId w:val="6"/>
        </w:numPr>
        <w:jc w:val="both"/>
        <w:rPr>
          <w:rFonts w:cstheme="minorHAnsi"/>
          <w:sz w:val="24"/>
          <w:szCs w:val="24"/>
        </w:rPr>
      </w:pPr>
      <w:r w:rsidRPr="00E11342">
        <w:rPr>
          <w:rFonts w:cstheme="minorHAnsi"/>
          <w:sz w:val="24"/>
          <w:szCs w:val="24"/>
        </w:rPr>
        <w:t>Year 4: -£470 million</w:t>
      </w:r>
    </w:p>
    <w:p w:rsidR="00FB0C2B" w:rsidRPr="00E11342" w:rsidRDefault="00FB0C2B" w:rsidP="00E11342">
      <w:pPr>
        <w:jc w:val="both"/>
        <w:rPr>
          <w:rFonts w:cstheme="minorHAnsi"/>
          <w:sz w:val="24"/>
          <w:szCs w:val="24"/>
        </w:rPr>
      </w:pPr>
      <w:r w:rsidRPr="00E11342">
        <w:rPr>
          <w:rFonts w:cstheme="minorHAnsi"/>
          <w:b/>
          <w:bCs/>
          <w:sz w:val="24"/>
          <w:szCs w:val="24"/>
        </w:rPr>
        <w:lastRenderedPageBreak/>
        <w:t>Payback Period:</w:t>
      </w:r>
    </w:p>
    <w:p w:rsidR="00FB0C2B" w:rsidRPr="00E11342" w:rsidRDefault="00A95C2A" w:rsidP="00E11342">
      <w:pPr>
        <w:numPr>
          <w:ilvl w:val="0"/>
          <w:numId w:val="7"/>
        </w:numPr>
        <w:jc w:val="both"/>
        <w:rPr>
          <w:rFonts w:cstheme="minorHAnsi"/>
          <w:sz w:val="24"/>
          <w:szCs w:val="24"/>
        </w:rPr>
      </w:pPr>
      <w:r w:rsidRPr="00E11342">
        <w:rPr>
          <w:rFonts w:cstheme="minorHAnsi"/>
          <w:sz w:val="24"/>
          <w:szCs w:val="24"/>
        </w:rPr>
        <w:t>Accumulative</w:t>
      </w:r>
      <w:r w:rsidR="00FB0C2B" w:rsidRPr="00E11342">
        <w:rPr>
          <w:rFonts w:cstheme="minorHAnsi"/>
          <w:sz w:val="24"/>
          <w:szCs w:val="24"/>
        </w:rPr>
        <w:t xml:space="preserve"> cash flow by the end of Year 1: £1,500 million</w:t>
      </w:r>
    </w:p>
    <w:p w:rsidR="00FB0C2B" w:rsidRPr="00E11342" w:rsidRDefault="00FB0C2B" w:rsidP="00E11342">
      <w:pPr>
        <w:numPr>
          <w:ilvl w:val="0"/>
          <w:numId w:val="7"/>
        </w:numPr>
        <w:jc w:val="both"/>
        <w:rPr>
          <w:rFonts w:cstheme="minorHAnsi"/>
          <w:sz w:val="24"/>
          <w:szCs w:val="24"/>
        </w:rPr>
      </w:pPr>
      <w:r w:rsidRPr="00E11342">
        <w:rPr>
          <w:rFonts w:cstheme="minorHAnsi"/>
          <w:sz w:val="24"/>
          <w:szCs w:val="24"/>
        </w:rPr>
        <w:t xml:space="preserve">PBP for Project B: </w:t>
      </w:r>
      <w:r w:rsidRPr="00516A67">
        <w:rPr>
          <w:rFonts w:cstheme="minorHAnsi"/>
          <w:b/>
          <w:sz w:val="24"/>
          <w:szCs w:val="24"/>
        </w:rPr>
        <w:t>1 year</w:t>
      </w:r>
    </w:p>
    <w:p w:rsidR="00FB0C2B" w:rsidRPr="00E11342" w:rsidRDefault="00FB0C2B" w:rsidP="00E11342">
      <w:pPr>
        <w:jc w:val="both"/>
        <w:rPr>
          <w:rFonts w:cstheme="minorHAnsi"/>
          <w:sz w:val="24"/>
          <w:szCs w:val="24"/>
        </w:rPr>
      </w:pPr>
      <w:r w:rsidRPr="00E11342">
        <w:rPr>
          <w:rFonts w:cstheme="minorHAnsi"/>
          <w:b/>
          <w:bCs/>
          <w:sz w:val="24"/>
          <w:szCs w:val="24"/>
        </w:rPr>
        <w:t>Accounting Rate of Return:</w:t>
      </w:r>
    </w:p>
    <w:p w:rsidR="00FB0C2B" w:rsidRPr="00E11342" w:rsidRDefault="00FB0C2B" w:rsidP="00E11342">
      <w:pPr>
        <w:numPr>
          <w:ilvl w:val="0"/>
          <w:numId w:val="8"/>
        </w:numPr>
        <w:jc w:val="both"/>
        <w:rPr>
          <w:rFonts w:cstheme="minorHAnsi"/>
          <w:sz w:val="24"/>
          <w:szCs w:val="24"/>
        </w:rPr>
      </w:pPr>
      <w:r w:rsidRPr="00E11342">
        <w:rPr>
          <w:rFonts w:cstheme="minorHAnsi"/>
          <w:sz w:val="24"/>
          <w:szCs w:val="24"/>
        </w:rPr>
        <w:t>Average Annual Cash Flow: ( £1,500 + £1,000 + £1,000 - £470 ) / 4 = £757.5 million</w:t>
      </w:r>
    </w:p>
    <w:p w:rsidR="00FB0C2B" w:rsidRPr="00E11342" w:rsidRDefault="00FB0C2B" w:rsidP="00E11342">
      <w:pPr>
        <w:numPr>
          <w:ilvl w:val="0"/>
          <w:numId w:val="8"/>
        </w:numPr>
        <w:jc w:val="both"/>
        <w:rPr>
          <w:rFonts w:cstheme="minorHAnsi"/>
          <w:sz w:val="24"/>
          <w:szCs w:val="24"/>
        </w:rPr>
      </w:pPr>
      <w:r w:rsidRPr="00E11342">
        <w:rPr>
          <w:rFonts w:cstheme="minorHAnsi"/>
          <w:sz w:val="24"/>
          <w:szCs w:val="24"/>
        </w:rPr>
        <w:t xml:space="preserve">ARR = ( £757.5 / £1,000 ) × 100% = </w:t>
      </w:r>
      <w:r w:rsidRPr="00516A67">
        <w:rPr>
          <w:rFonts w:cstheme="minorHAnsi"/>
          <w:b/>
          <w:sz w:val="24"/>
          <w:szCs w:val="24"/>
        </w:rPr>
        <w:t>75.75%</w:t>
      </w:r>
    </w:p>
    <w:p w:rsidR="00FB0C2B" w:rsidRPr="00E11342" w:rsidRDefault="00FB0C2B" w:rsidP="00E11342">
      <w:pPr>
        <w:jc w:val="both"/>
        <w:rPr>
          <w:rFonts w:cstheme="minorHAnsi"/>
          <w:sz w:val="24"/>
          <w:szCs w:val="24"/>
        </w:rPr>
      </w:pPr>
      <w:r w:rsidRPr="00E11342">
        <w:rPr>
          <w:rFonts w:cstheme="minorHAnsi"/>
          <w:b/>
          <w:bCs/>
          <w:sz w:val="24"/>
          <w:szCs w:val="24"/>
        </w:rPr>
        <w:t>Net Present Value:</w:t>
      </w:r>
    </w:p>
    <w:p w:rsidR="00FB0C2B" w:rsidRPr="00E11342" w:rsidRDefault="00FB0C2B" w:rsidP="00E11342">
      <w:pPr>
        <w:numPr>
          <w:ilvl w:val="0"/>
          <w:numId w:val="9"/>
        </w:numPr>
        <w:jc w:val="both"/>
        <w:rPr>
          <w:rFonts w:cstheme="minorHAnsi"/>
          <w:sz w:val="24"/>
          <w:szCs w:val="24"/>
        </w:rPr>
      </w:pPr>
      <w:r w:rsidRPr="00E11342">
        <w:rPr>
          <w:rFonts w:cstheme="minorHAnsi"/>
          <w:sz w:val="24"/>
          <w:szCs w:val="24"/>
        </w:rPr>
        <w:t>NPV = (-£1,000 / (1 + 0.0075)^0) + (£1,500 / (1 + 0.0075)^1) + (£1,000 / (1 + 0.0075)^2) + (£1,000 / (1 + 0.0075)^3) - (£470 / (1 + 0.0075)^4)</w:t>
      </w:r>
    </w:p>
    <w:p w:rsidR="00FB0C2B" w:rsidRPr="00E11342" w:rsidRDefault="00FB0C2B" w:rsidP="00E11342">
      <w:pPr>
        <w:numPr>
          <w:ilvl w:val="0"/>
          <w:numId w:val="9"/>
        </w:numPr>
        <w:jc w:val="both"/>
        <w:rPr>
          <w:rFonts w:cstheme="minorHAnsi"/>
          <w:sz w:val="24"/>
          <w:szCs w:val="24"/>
        </w:rPr>
      </w:pPr>
      <w:r w:rsidRPr="00E11342">
        <w:rPr>
          <w:rFonts w:cstheme="minorHAnsi"/>
          <w:sz w:val="24"/>
          <w:szCs w:val="24"/>
        </w:rPr>
        <w:t>NPV ≈ -£1,000 + £1,490.20 + £992.56 + £985.29 - £465.02</w:t>
      </w:r>
    </w:p>
    <w:p w:rsidR="00FB0C2B" w:rsidRPr="00516A67" w:rsidRDefault="00FB0C2B" w:rsidP="00E11342">
      <w:pPr>
        <w:numPr>
          <w:ilvl w:val="0"/>
          <w:numId w:val="9"/>
        </w:numPr>
        <w:jc w:val="both"/>
        <w:rPr>
          <w:rFonts w:cstheme="minorHAnsi"/>
          <w:b/>
          <w:sz w:val="24"/>
          <w:szCs w:val="24"/>
        </w:rPr>
      </w:pPr>
      <w:r w:rsidRPr="00516A67">
        <w:rPr>
          <w:rFonts w:cstheme="minorHAnsi"/>
          <w:b/>
          <w:sz w:val="24"/>
          <w:szCs w:val="24"/>
        </w:rPr>
        <w:t>NPV ≈ £3.03 million</w:t>
      </w:r>
    </w:p>
    <w:p w:rsidR="00FB0C2B" w:rsidRPr="00E11342" w:rsidRDefault="00FB0C2B" w:rsidP="00E11342">
      <w:pPr>
        <w:jc w:val="both"/>
        <w:rPr>
          <w:rFonts w:cstheme="minorHAnsi"/>
          <w:b/>
          <w:bCs/>
          <w:sz w:val="24"/>
          <w:szCs w:val="24"/>
        </w:rPr>
      </w:pPr>
      <w:r w:rsidRPr="00E11342">
        <w:rPr>
          <w:rFonts w:cstheme="minorHAnsi"/>
          <w:b/>
          <w:bCs/>
          <w:sz w:val="24"/>
          <w:szCs w:val="24"/>
        </w:rPr>
        <w:t>Conclusion:</w:t>
      </w:r>
    </w:p>
    <w:p w:rsidR="00FB0C2B" w:rsidRPr="00E11342" w:rsidRDefault="00FB0C2B" w:rsidP="00E11342">
      <w:pPr>
        <w:numPr>
          <w:ilvl w:val="0"/>
          <w:numId w:val="10"/>
        </w:numPr>
        <w:jc w:val="both"/>
        <w:rPr>
          <w:rFonts w:cstheme="minorHAnsi"/>
          <w:sz w:val="24"/>
          <w:szCs w:val="24"/>
        </w:rPr>
      </w:pPr>
      <w:r w:rsidRPr="00E11342">
        <w:rPr>
          <w:rFonts w:cstheme="minorHAnsi"/>
          <w:b/>
          <w:bCs/>
          <w:sz w:val="24"/>
          <w:szCs w:val="24"/>
        </w:rPr>
        <w:t>Project A:</w:t>
      </w:r>
      <w:r w:rsidRPr="00E11342">
        <w:rPr>
          <w:rFonts w:cstheme="minorHAnsi"/>
          <w:sz w:val="24"/>
          <w:szCs w:val="24"/>
        </w:rPr>
        <w:t xml:space="preserve"> PBP = 2.5 years, ARR = 25.29%, NPV = £12.53 million</w:t>
      </w:r>
    </w:p>
    <w:p w:rsidR="00FB0C2B" w:rsidRDefault="00FB0C2B" w:rsidP="00E11342">
      <w:pPr>
        <w:numPr>
          <w:ilvl w:val="0"/>
          <w:numId w:val="10"/>
        </w:numPr>
        <w:jc w:val="both"/>
        <w:rPr>
          <w:rFonts w:cstheme="minorHAnsi"/>
          <w:sz w:val="24"/>
          <w:szCs w:val="24"/>
        </w:rPr>
      </w:pPr>
      <w:r w:rsidRPr="00E11342">
        <w:rPr>
          <w:rFonts w:cstheme="minorHAnsi"/>
          <w:sz w:val="24"/>
          <w:szCs w:val="24"/>
        </w:rPr>
        <w:t>**Project B</w:t>
      </w:r>
    </w:p>
    <w:p w:rsidR="00516A67" w:rsidRPr="00E11342" w:rsidRDefault="00516A67" w:rsidP="00516A67">
      <w:pPr>
        <w:jc w:val="both"/>
        <w:rPr>
          <w:rFonts w:cstheme="minorHAnsi"/>
          <w:sz w:val="24"/>
          <w:szCs w:val="24"/>
        </w:rPr>
      </w:pPr>
    </w:p>
    <w:p w:rsidR="00D163E6" w:rsidRDefault="00516A67" w:rsidP="00516A67">
      <w:pPr>
        <w:pStyle w:val="Heading2"/>
        <w:numPr>
          <w:ilvl w:val="1"/>
          <w:numId w:val="11"/>
        </w:numPr>
        <w:rPr>
          <w:b/>
          <w:color w:val="000000" w:themeColor="text1"/>
          <w:sz w:val="28"/>
        </w:rPr>
      </w:pPr>
      <w:r>
        <w:rPr>
          <w:b/>
          <w:color w:val="000000" w:themeColor="text1"/>
          <w:sz w:val="28"/>
        </w:rPr>
        <w:t xml:space="preserve"> </w:t>
      </w:r>
      <w:bookmarkStart w:id="18" w:name="_Toc162208558"/>
      <w:r w:rsidRPr="00516A67">
        <w:rPr>
          <w:b/>
          <w:color w:val="000000" w:themeColor="text1"/>
          <w:sz w:val="28"/>
        </w:rPr>
        <w:t>Evaluation of both projects</w:t>
      </w:r>
      <w:bookmarkEnd w:id="18"/>
      <w:r w:rsidRPr="00516A67">
        <w:rPr>
          <w:b/>
          <w:color w:val="000000" w:themeColor="text1"/>
          <w:sz w:val="28"/>
        </w:rPr>
        <w:t xml:space="preserve"> </w:t>
      </w:r>
    </w:p>
    <w:p w:rsidR="00516A67" w:rsidRPr="00516A67" w:rsidRDefault="00516A67" w:rsidP="00516A67"/>
    <w:p w:rsidR="00BE110A" w:rsidRPr="00E11342" w:rsidRDefault="00A95C2A" w:rsidP="00E11342">
      <w:pPr>
        <w:jc w:val="both"/>
        <w:rPr>
          <w:rFonts w:cstheme="minorHAnsi"/>
          <w:sz w:val="24"/>
          <w:szCs w:val="24"/>
        </w:rPr>
      </w:pPr>
      <w:r w:rsidRPr="00A95C2A">
        <w:rPr>
          <w:rFonts w:cstheme="minorHAnsi"/>
          <w:sz w:val="24"/>
          <w:szCs w:val="24"/>
        </w:rPr>
        <w:t>The evaluation of the results from the Payback Period (PBP), Accounting Rate of Return (ARR), and Net Present Value (NPV) calculations for projects A and B reveals the following:</w:t>
      </w:r>
    </w:p>
    <w:p w:rsidR="00D163E6" w:rsidRPr="00E11342" w:rsidRDefault="00D163E6" w:rsidP="00E11342">
      <w:pPr>
        <w:jc w:val="both"/>
        <w:rPr>
          <w:rFonts w:cstheme="minorHAnsi"/>
          <w:sz w:val="24"/>
          <w:szCs w:val="24"/>
        </w:rPr>
      </w:pPr>
    </w:p>
    <w:p w:rsidR="00D163E6" w:rsidRPr="00516A67" w:rsidRDefault="00D163E6" w:rsidP="00E11342">
      <w:pPr>
        <w:jc w:val="both"/>
        <w:rPr>
          <w:rFonts w:cstheme="minorHAnsi"/>
          <w:b/>
          <w:sz w:val="24"/>
          <w:szCs w:val="24"/>
        </w:rPr>
      </w:pPr>
      <w:r w:rsidRPr="00516A67">
        <w:rPr>
          <w:rFonts w:cstheme="minorHAnsi"/>
          <w:b/>
          <w:sz w:val="24"/>
          <w:szCs w:val="24"/>
        </w:rPr>
        <w:t>Project A:</w:t>
      </w:r>
    </w:p>
    <w:p w:rsidR="00A95C2A" w:rsidRPr="00907B66" w:rsidRDefault="00A95C2A" w:rsidP="00907B66">
      <w:pPr>
        <w:pStyle w:val="ListParagraph"/>
        <w:numPr>
          <w:ilvl w:val="0"/>
          <w:numId w:val="17"/>
        </w:numPr>
        <w:jc w:val="both"/>
        <w:rPr>
          <w:rFonts w:cstheme="minorHAnsi"/>
          <w:sz w:val="24"/>
          <w:szCs w:val="24"/>
        </w:rPr>
      </w:pPr>
      <w:r w:rsidRPr="00907B66">
        <w:rPr>
          <w:rFonts w:cstheme="minorHAnsi"/>
          <w:b/>
          <w:sz w:val="24"/>
          <w:szCs w:val="24"/>
        </w:rPr>
        <w:t>PBP</w:t>
      </w:r>
      <w:r w:rsidRPr="00907B66">
        <w:rPr>
          <w:rFonts w:cstheme="minorHAnsi"/>
          <w:sz w:val="24"/>
          <w:szCs w:val="24"/>
        </w:rPr>
        <w:t>: 2.5 years. Accordingly, the period of investment payback will give over 2 years what means it is rather a short period to receive back the initial investment.</w:t>
      </w:r>
    </w:p>
    <w:p w:rsidR="00A95C2A" w:rsidRPr="00907B66" w:rsidRDefault="00A95C2A" w:rsidP="00907B66">
      <w:pPr>
        <w:pStyle w:val="ListParagraph"/>
        <w:numPr>
          <w:ilvl w:val="0"/>
          <w:numId w:val="17"/>
        </w:numPr>
        <w:jc w:val="both"/>
        <w:rPr>
          <w:rFonts w:cstheme="minorHAnsi"/>
          <w:sz w:val="24"/>
          <w:szCs w:val="24"/>
        </w:rPr>
      </w:pPr>
      <w:r w:rsidRPr="00907B66">
        <w:rPr>
          <w:rFonts w:cstheme="minorHAnsi"/>
          <w:b/>
          <w:sz w:val="24"/>
          <w:szCs w:val="24"/>
        </w:rPr>
        <w:t>ARR</w:t>
      </w:r>
      <w:r w:rsidRPr="00907B66">
        <w:rPr>
          <w:rFonts w:cstheme="minorHAnsi"/>
          <w:sz w:val="24"/>
          <w:szCs w:val="24"/>
        </w:rPr>
        <w:t>: 25.29%. The high rate of cost efficiency signals the likelihood that the project would deliver a significant return on investment during its entire lifespan.</w:t>
      </w:r>
    </w:p>
    <w:p w:rsidR="00A95C2A" w:rsidRPr="00907B66" w:rsidRDefault="00A95C2A" w:rsidP="00907B66">
      <w:pPr>
        <w:pStyle w:val="ListParagraph"/>
        <w:numPr>
          <w:ilvl w:val="0"/>
          <w:numId w:val="17"/>
        </w:numPr>
        <w:jc w:val="both"/>
        <w:rPr>
          <w:rFonts w:cstheme="minorHAnsi"/>
          <w:sz w:val="24"/>
          <w:szCs w:val="24"/>
        </w:rPr>
      </w:pPr>
      <w:r w:rsidRPr="00907B66">
        <w:rPr>
          <w:rFonts w:cstheme="minorHAnsi"/>
          <w:b/>
          <w:sz w:val="24"/>
          <w:szCs w:val="24"/>
        </w:rPr>
        <w:t>NPV</w:t>
      </w:r>
      <w:r w:rsidRPr="00907B66">
        <w:rPr>
          <w:rFonts w:cstheme="minorHAnsi"/>
          <w:sz w:val="24"/>
          <w:szCs w:val="24"/>
        </w:rPr>
        <w:t xml:space="preserve">: £12.53 million. A positive NPV is </w:t>
      </w:r>
      <w:r w:rsidR="00907B66" w:rsidRPr="00907B66">
        <w:rPr>
          <w:rFonts w:cstheme="minorHAnsi"/>
          <w:sz w:val="24"/>
          <w:szCs w:val="24"/>
        </w:rPr>
        <w:t>an</w:t>
      </w:r>
      <w:r w:rsidRPr="00907B66">
        <w:rPr>
          <w:rFonts w:cstheme="minorHAnsi"/>
          <w:sz w:val="24"/>
          <w:szCs w:val="24"/>
        </w:rPr>
        <w:t xml:space="preserve"> indication of the project which is expected to appraise the value as well as the viability of the company.</w:t>
      </w:r>
    </w:p>
    <w:p w:rsidR="00D163E6" w:rsidRPr="00516A67" w:rsidRDefault="00D163E6" w:rsidP="00A95C2A">
      <w:pPr>
        <w:jc w:val="both"/>
        <w:rPr>
          <w:rFonts w:cstheme="minorHAnsi"/>
          <w:b/>
          <w:sz w:val="24"/>
          <w:szCs w:val="24"/>
        </w:rPr>
      </w:pPr>
      <w:r w:rsidRPr="00516A67">
        <w:rPr>
          <w:rFonts w:cstheme="minorHAnsi"/>
          <w:b/>
          <w:sz w:val="24"/>
          <w:szCs w:val="24"/>
        </w:rPr>
        <w:t>Project B:</w:t>
      </w:r>
    </w:p>
    <w:p w:rsidR="00A95C2A" w:rsidRPr="00907B66" w:rsidRDefault="00A95C2A" w:rsidP="00907B66">
      <w:pPr>
        <w:pStyle w:val="ListParagraph"/>
        <w:numPr>
          <w:ilvl w:val="0"/>
          <w:numId w:val="18"/>
        </w:numPr>
        <w:jc w:val="both"/>
        <w:rPr>
          <w:rFonts w:cstheme="minorHAnsi"/>
          <w:sz w:val="24"/>
          <w:szCs w:val="24"/>
        </w:rPr>
      </w:pPr>
      <w:r w:rsidRPr="00907B66">
        <w:rPr>
          <w:rFonts w:cstheme="minorHAnsi"/>
          <w:b/>
          <w:sz w:val="24"/>
          <w:szCs w:val="24"/>
        </w:rPr>
        <w:t>PBP</w:t>
      </w:r>
      <w:r w:rsidRPr="00907B66">
        <w:rPr>
          <w:rFonts w:cstheme="minorHAnsi"/>
          <w:sz w:val="24"/>
          <w:szCs w:val="24"/>
        </w:rPr>
        <w:t>: 1 year. The initial investment pays back in one year and also a ROI on investment alternatives becomes quickly visible.</w:t>
      </w:r>
    </w:p>
    <w:p w:rsidR="00A95C2A" w:rsidRPr="00907B66" w:rsidRDefault="00A95C2A" w:rsidP="00907B66">
      <w:pPr>
        <w:pStyle w:val="ListParagraph"/>
        <w:numPr>
          <w:ilvl w:val="0"/>
          <w:numId w:val="18"/>
        </w:numPr>
        <w:jc w:val="both"/>
        <w:rPr>
          <w:rFonts w:cstheme="minorHAnsi"/>
          <w:sz w:val="24"/>
          <w:szCs w:val="24"/>
        </w:rPr>
      </w:pPr>
      <w:r w:rsidRPr="00907B66">
        <w:rPr>
          <w:rFonts w:cstheme="minorHAnsi"/>
          <w:b/>
          <w:sz w:val="24"/>
          <w:szCs w:val="24"/>
        </w:rPr>
        <w:lastRenderedPageBreak/>
        <w:t>ARR</w:t>
      </w:r>
      <w:r w:rsidRPr="00907B66">
        <w:rPr>
          <w:rFonts w:cstheme="minorHAnsi"/>
          <w:sz w:val="24"/>
          <w:szCs w:val="24"/>
        </w:rPr>
        <w:t>: 75.75%. Such an extraordinary high rate indicates that the project is mainly aimed to get money.</w:t>
      </w:r>
    </w:p>
    <w:p w:rsidR="00A95C2A" w:rsidRDefault="00A95C2A" w:rsidP="00907B66">
      <w:pPr>
        <w:pStyle w:val="ListParagraph"/>
        <w:numPr>
          <w:ilvl w:val="0"/>
          <w:numId w:val="18"/>
        </w:numPr>
        <w:jc w:val="both"/>
        <w:rPr>
          <w:rFonts w:cstheme="minorHAnsi"/>
          <w:sz w:val="24"/>
          <w:szCs w:val="24"/>
        </w:rPr>
      </w:pPr>
      <w:r w:rsidRPr="00907B66">
        <w:rPr>
          <w:rFonts w:cstheme="minorHAnsi"/>
          <w:b/>
          <w:sz w:val="24"/>
          <w:szCs w:val="24"/>
        </w:rPr>
        <w:t>NPV</w:t>
      </w:r>
      <w:r w:rsidRPr="00907B66">
        <w:rPr>
          <w:rFonts w:cstheme="minorHAnsi"/>
          <w:sz w:val="24"/>
          <w:szCs w:val="24"/>
        </w:rPr>
        <w:t>: £3.03 million. Even though it is positive, NPV value is smaller than that of Project A, thus, the incremental value is slightly higher in comparison.</w:t>
      </w:r>
    </w:p>
    <w:p w:rsidR="00907B66" w:rsidRPr="00907B66" w:rsidRDefault="00907B66" w:rsidP="00907B66">
      <w:pPr>
        <w:pStyle w:val="ListParagraph"/>
        <w:jc w:val="both"/>
        <w:rPr>
          <w:rFonts w:cstheme="minorHAnsi"/>
          <w:sz w:val="24"/>
          <w:szCs w:val="24"/>
        </w:rPr>
      </w:pPr>
    </w:p>
    <w:p w:rsidR="00BE110A" w:rsidRPr="00907B66" w:rsidRDefault="00907B66" w:rsidP="00907B66">
      <w:pPr>
        <w:pStyle w:val="Heading2"/>
        <w:numPr>
          <w:ilvl w:val="1"/>
          <w:numId w:val="11"/>
        </w:numPr>
        <w:rPr>
          <w:b/>
          <w:color w:val="000000" w:themeColor="text1"/>
          <w:sz w:val="28"/>
        </w:rPr>
      </w:pPr>
      <w:r>
        <w:rPr>
          <w:b/>
          <w:color w:val="000000" w:themeColor="text1"/>
          <w:sz w:val="28"/>
        </w:rPr>
        <w:t xml:space="preserve"> </w:t>
      </w:r>
      <w:bookmarkStart w:id="19" w:name="_Toc162208559"/>
      <w:r w:rsidR="00BE110A" w:rsidRPr="00907B66">
        <w:rPr>
          <w:b/>
          <w:color w:val="000000" w:themeColor="text1"/>
          <w:sz w:val="28"/>
        </w:rPr>
        <w:t>Recommendation:</w:t>
      </w:r>
      <w:bookmarkEnd w:id="19"/>
    </w:p>
    <w:p w:rsidR="00BE110A" w:rsidRPr="00E11342" w:rsidRDefault="00BE110A" w:rsidP="00E11342">
      <w:pPr>
        <w:jc w:val="both"/>
        <w:rPr>
          <w:rFonts w:cstheme="minorHAnsi"/>
          <w:sz w:val="24"/>
          <w:szCs w:val="24"/>
        </w:rPr>
      </w:pPr>
    </w:p>
    <w:p w:rsidR="00A95C2A" w:rsidRPr="00A95C2A" w:rsidRDefault="00A95C2A" w:rsidP="00A95C2A">
      <w:pPr>
        <w:jc w:val="both"/>
        <w:rPr>
          <w:rFonts w:cstheme="minorHAnsi"/>
          <w:sz w:val="24"/>
          <w:szCs w:val="24"/>
        </w:rPr>
      </w:pPr>
      <w:r w:rsidRPr="00907B66">
        <w:rPr>
          <w:rFonts w:cstheme="minorHAnsi"/>
          <w:b/>
          <w:sz w:val="24"/>
          <w:szCs w:val="24"/>
        </w:rPr>
        <w:t>For short-term returns</w:t>
      </w:r>
      <w:r w:rsidRPr="00A95C2A">
        <w:rPr>
          <w:rFonts w:cstheme="minorHAnsi"/>
          <w:sz w:val="24"/>
          <w:szCs w:val="24"/>
        </w:rPr>
        <w:t>: As illustrated by the case of project B, shorter 1-yr payback is the reason why it is recommended since the initial investment is recuperated quicker. Trade markdown could be an option too if the company focusses on liquidity and rapid capital recovery.</w:t>
      </w:r>
    </w:p>
    <w:p w:rsidR="00A95C2A" w:rsidRPr="00A95C2A" w:rsidRDefault="00A95C2A" w:rsidP="00A95C2A">
      <w:pPr>
        <w:jc w:val="both"/>
        <w:rPr>
          <w:rFonts w:cstheme="minorHAnsi"/>
          <w:sz w:val="24"/>
          <w:szCs w:val="24"/>
        </w:rPr>
      </w:pPr>
      <w:r w:rsidRPr="00907B66">
        <w:rPr>
          <w:rFonts w:cstheme="minorHAnsi"/>
          <w:b/>
          <w:sz w:val="24"/>
          <w:szCs w:val="24"/>
        </w:rPr>
        <w:t>For long-term profitability</w:t>
      </w:r>
      <w:r w:rsidRPr="00A95C2A">
        <w:rPr>
          <w:rFonts w:cstheme="minorHAnsi"/>
          <w:sz w:val="24"/>
          <w:szCs w:val="24"/>
        </w:rPr>
        <w:t>: The Project A project should be carried out due to its higher present value profit of about 12.53m GBP compared to about 3.03 million pounds for the Project B. Although project A has a longer payback period of about 2.5 years, its higher NVP which means that it will add more value to the company throughout life. The AR of 25.29% consistently displays excellent performance, however, still lower than that of Project B.</w:t>
      </w:r>
    </w:p>
    <w:p w:rsidR="00A95C2A" w:rsidRDefault="00A95C2A" w:rsidP="00A95C2A">
      <w:pPr>
        <w:jc w:val="both"/>
        <w:rPr>
          <w:rFonts w:cstheme="minorHAnsi"/>
          <w:sz w:val="24"/>
          <w:szCs w:val="24"/>
        </w:rPr>
      </w:pPr>
      <w:r w:rsidRPr="00A95C2A">
        <w:rPr>
          <w:rFonts w:cstheme="minorHAnsi"/>
          <w:sz w:val="24"/>
          <w:szCs w:val="24"/>
        </w:rPr>
        <w:t>Summarizing, the decision between deciding Project A as that of Project B will be based on the company’s strategic planning. Of project B is the perfect solution. If the goal is to stay liquid and benefit from quick returns. While having two types of projects simultaneously on the premium platform is risky, if the company is aiming to gain ultimate value and profit, Project A is more suitable.</w:t>
      </w:r>
    </w:p>
    <w:p w:rsidR="004805C8" w:rsidRDefault="00907B66" w:rsidP="00907B66">
      <w:pPr>
        <w:pStyle w:val="Heading2"/>
        <w:numPr>
          <w:ilvl w:val="1"/>
          <w:numId w:val="11"/>
        </w:numPr>
        <w:rPr>
          <w:b/>
          <w:color w:val="000000" w:themeColor="text1"/>
          <w:sz w:val="28"/>
        </w:rPr>
      </w:pPr>
      <w:r>
        <w:rPr>
          <w:b/>
          <w:color w:val="000000" w:themeColor="text1"/>
          <w:sz w:val="28"/>
        </w:rPr>
        <w:t xml:space="preserve">  </w:t>
      </w:r>
      <w:bookmarkStart w:id="20" w:name="_Toc162208560"/>
      <w:r w:rsidRPr="00907B66">
        <w:rPr>
          <w:b/>
          <w:color w:val="000000" w:themeColor="text1"/>
          <w:sz w:val="28"/>
        </w:rPr>
        <w:t>Choice of project</w:t>
      </w:r>
      <w:bookmarkEnd w:id="20"/>
      <w:r w:rsidRPr="00907B66">
        <w:rPr>
          <w:b/>
          <w:color w:val="000000" w:themeColor="text1"/>
          <w:sz w:val="28"/>
        </w:rPr>
        <w:t xml:space="preserve"> </w:t>
      </w:r>
    </w:p>
    <w:p w:rsidR="00907B66" w:rsidRPr="00907B66" w:rsidRDefault="00907B66" w:rsidP="00907B66"/>
    <w:p w:rsidR="00A95C2A" w:rsidRPr="00A95C2A" w:rsidRDefault="00A95C2A" w:rsidP="00A95C2A">
      <w:pPr>
        <w:jc w:val="both"/>
        <w:rPr>
          <w:rFonts w:cstheme="minorHAnsi"/>
          <w:sz w:val="24"/>
          <w:szCs w:val="24"/>
        </w:rPr>
      </w:pPr>
      <w:r w:rsidRPr="00A95C2A">
        <w:rPr>
          <w:rFonts w:cstheme="minorHAnsi"/>
          <w:sz w:val="24"/>
          <w:szCs w:val="24"/>
        </w:rPr>
        <w:t>The decision on which project to adopt depends on the company's strategic</w:t>
      </w:r>
      <w:r>
        <w:rPr>
          <w:rFonts w:cstheme="minorHAnsi"/>
          <w:sz w:val="24"/>
          <w:szCs w:val="24"/>
        </w:rPr>
        <w:t xml:space="preserve"> priorities and risk tolerance:</w:t>
      </w:r>
    </w:p>
    <w:p w:rsidR="00A95C2A" w:rsidRPr="00A95C2A" w:rsidRDefault="00A95C2A" w:rsidP="00A95C2A">
      <w:pPr>
        <w:jc w:val="both"/>
        <w:rPr>
          <w:rFonts w:cstheme="minorHAnsi"/>
          <w:sz w:val="24"/>
          <w:szCs w:val="24"/>
        </w:rPr>
      </w:pPr>
      <w:r w:rsidRPr="00A95C2A">
        <w:rPr>
          <w:rFonts w:cstheme="minorHAnsi"/>
          <w:sz w:val="24"/>
          <w:szCs w:val="24"/>
        </w:rPr>
        <w:t>There should be a focus on the cash flow and liquidity, if maximizing the short-term profits or supplying the cash is the priority. This project has a short payback period of just one year, so it is the better ch</w:t>
      </w:r>
      <w:r>
        <w:rPr>
          <w:rFonts w:cstheme="minorHAnsi"/>
          <w:sz w:val="24"/>
          <w:szCs w:val="24"/>
        </w:rPr>
        <w:t>oice on the financial basis.</w:t>
      </w:r>
    </w:p>
    <w:p w:rsidR="00BE110A" w:rsidRPr="00E11342" w:rsidRDefault="00A95C2A" w:rsidP="00E11342">
      <w:pPr>
        <w:jc w:val="both"/>
        <w:rPr>
          <w:rFonts w:cstheme="minorHAnsi"/>
          <w:sz w:val="24"/>
          <w:szCs w:val="24"/>
        </w:rPr>
      </w:pPr>
      <w:r>
        <w:rPr>
          <w:rFonts w:cstheme="minorHAnsi"/>
          <w:sz w:val="24"/>
          <w:szCs w:val="24"/>
        </w:rPr>
        <w:t xml:space="preserve">In case </w:t>
      </w:r>
      <w:r w:rsidRPr="00A95C2A">
        <w:rPr>
          <w:rFonts w:cstheme="minorHAnsi"/>
          <w:sz w:val="24"/>
          <w:szCs w:val="24"/>
        </w:rPr>
        <w:t>the firm is oriented towards maximizing long-term value and profitability, Project A should be chosen as it has a stronger value generation and shows the firm would be m</w:t>
      </w:r>
      <w:r w:rsidR="00907B66">
        <w:rPr>
          <w:rFonts w:cstheme="minorHAnsi"/>
          <w:sz w:val="24"/>
          <w:szCs w:val="24"/>
        </w:rPr>
        <w:t>ore successful in the long run.</w:t>
      </w:r>
    </w:p>
    <w:p w:rsidR="004805C8" w:rsidRDefault="00BE110A" w:rsidP="00E11342">
      <w:pPr>
        <w:jc w:val="both"/>
        <w:rPr>
          <w:rFonts w:cstheme="minorHAnsi"/>
          <w:sz w:val="24"/>
          <w:szCs w:val="24"/>
        </w:rPr>
      </w:pPr>
      <w:r w:rsidRPr="00E11342">
        <w:rPr>
          <w:rFonts w:cstheme="minorHAnsi"/>
          <w:sz w:val="24"/>
          <w:szCs w:val="24"/>
        </w:rPr>
        <w:t xml:space="preserve">In conclusion, if short-term financial gains are the priority, </w:t>
      </w:r>
      <w:r w:rsidRPr="00B979B5">
        <w:rPr>
          <w:rFonts w:cstheme="minorHAnsi"/>
          <w:b/>
          <w:sz w:val="24"/>
          <w:szCs w:val="24"/>
        </w:rPr>
        <w:t>Project B is the recommended choice</w:t>
      </w:r>
      <w:r w:rsidRPr="00E11342">
        <w:rPr>
          <w:rFonts w:cstheme="minorHAnsi"/>
          <w:sz w:val="24"/>
          <w:szCs w:val="24"/>
        </w:rPr>
        <w:t xml:space="preserve">. </w:t>
      </w:r>
    </w:p>
    <w:p w:rsidR="00A95C2A" w:rsidRDefault="00A95C2A" w:rsidP="00E11342">
      <w:pPr>
        <w:jc w:val="both"/>
        <w:rPr>
          <w:rFonts w:cstheme="minorHAnsi"/>
          <w:sz w:val="24"/>
          <w:szCs w:val="24"/>
        </w:rPr>
      </w:pPr>
    </w:p>
    <w:p w:rsidR="00907B66" w:rsidRDefault="00907B66" w:rsidP="00907B66">
      <w:pPr>
        <w:pStyle w:val="Heading2"/>
        <w:numPr>
          <w:ilvl w:val="1"/>
          <w:numId w:val="11"/>
        </w:numPr>
        <w:rPr>
          <w:b/>
          <w:color w:val="000000" w:themeColor="text1"/>
          <w:sz w:val="28"/>
        </w:rPr>
      </w:pPr>
      <w:r>
        <w:rPr>
          <w:b/>
          <w:color w:val="000000" w:themeColor="text1"/>
          <w:sz w:val="28"/>
        </w:rPr>
        <w:t xml:space="preserve"> </w:t>
      </w:r>
      <w:bookmarkStart w:id="21" w:name="_Toc162208561"/>
      <w:r w:rsidRPr="00907B66">
        <w:rPr>
          <w:b/>
          <w:color w:val="000000" w:themeColor="text1"/>
          <w:sz w:val="28"/>
        </w:rPr>
        <w:t>Recalculation of NPV</w:t>
      </w:r>
      <w:bookmarkEnd w:id="21"/>
    </w:p>
    <w:p w:rsidR="00907B66" w:rsidRPr="00907B66" w:rsidRDefault="00907B66" w:rsidP="00907B66"/>
    <w:p w:rsidR="00907B66" w:rsidRDefault="00907B66" w:rsidP="00E11342">
      <w:pPr>
        <w:jc w:val="both"/>
        <w:rPr>
          <w:rFonts w:cstheme="minorHAnsi"/>
          <w:sz w:val="24"/>
          <w:szCs w:val="24"/>
        </w:rPr>
      </w:pPr>
      <w:r w:rsidRPr="00E11342">
        <w:rPr>
          <w:rFonts w:cstheme="minorHAnsi"/>
          <w:sz w:val="24"/>
          <w:szCs w:val="24"/>
        </w:rPr>
        <w:t>Initial</w:t>
      </w:r>
      <w:r w:rsidR="004805C8" w:rsidRPr="00E11342">
        <w:rPr>
          <w:rFonts w:cstheme="minorHAnsi"/>
          <w:sz w:val="24"/>
          <w:szCs w:val="24"/>
        </w:rPr>
        <w:t xml:space="preserve"> investments for each project increase by 10%, and all cash flows fall by 10%; </w:t>
      </w:r>
    </w:p>
    <w:p w:rsidR="004805C8" w:rsidRPr="00E11342" w:rsidRDefault="004805C8" w:rsidP="00E11342">
      <w:pPr>
        <w:jc w:val="both"/>
        <w:rPr>
          <w:rFonts w:cstheme="minorHAnsi"/>
          <w:sz w:val="24"/>
          <w:szCs w:val="24"/>
        </w:rPr>
      </w:pPr>
      <w:r w:rsidRPr="00E11342">
        <w:rPr>
          <w:rFonts w:cstheme="minorHAnsi"/>
          <w:sz w:val="24"/>
          <w:szCs w:val="24"/>
        </w:rPr>
        <w:t>Let's recalculate the NPV for both p</w:t>
      </w:r>
      <w:r w:rsidR="00907B66">
        <w:rPr>
          <w:rFonts w:cstheme="minorHAnsi"/>
          <w:sz w:val="24"/>
          <w:szCs w:val="24"/>
        </w:rPr>
        <w:t>rojects.</w:t>
      </w:r>
    </w:p>
    <w:p w:rsidR="004805C8" w:rsidRPr="00907B66" w:rsidRDefault="004805C8" w:rsidP="00E11342">
      <w:pPr>
        <w:jc w:val="both"/>
        <w:rPr>
          <w:rFonts w:cstheme="minorHAnsi"/>
          <w:b/>
          <w:sz w:val="24"/>
          <w:szCs w:val="24"/>
        </w:rPr>
      </w:pPr>
      <w:r w:rsidRPr="00907B66">
        <w:rPr>
          <w:rFonts w:cstheme="minorHAnsi"/>
          <w:b/>
          <w:sz w:val="24"/>
          <w:szCs w:val="24"/>
        </w:rPr>
        <w:lastRenderedPageBreak/>
        <w:t>New Initial Investments:</w:t>
      </w:r>
    </w:p>
    <w:p w:rsidR="004805C8" w:rsidRPr="00E11342" w:rsidRDefault="004805C8" w:rsidP="00E11342">
      <w:pPr>
        <w:jc w:val="both"/>
        <w:rPr>
          <w:rFonts w:cstheme="minorHAnsi"/>
          <w:sz w:val="24"/>
          <w:szCs w:val="24"/>
        </w:rPr>
      </w:pPr>
      <w:r w:rsidRPr="00E11342">
        <w:rPr>
          <w:rFonts w:cstheme="minorHAnsi"/>
          <w:sz w:val="24"/>
          <w:szCs w:val="24"/>
        </w:rPr>
        <w:t>Project A: £5000 * 1.1 = £5500 million</w:t>
      </w:r>
    </w:p>
    <w:p w:rsidR="004805C8" w:rsidRPr="00E11342" w:rsidRDefault="004805C8" w:rsidP="00E11342">
      <w:pPr>
        <w:jc w:val="both"/>
        <w:rPr>
          <w:rFonts w:cstheme="minorHAnsi"/>
          <w:sz w:val="24"/>
          <w:szCs w:val="24"/>
        </w:rPr>
      </w:pPr>
      <w:r w:rsidRPr="00E11342">
        <w:rPr>
          <w:rFonts w:cstheme="minorHAnsi"/>
          <w:sz w:val="24"/>
          <w:szCs w:val="24"/>
        </w:rPr>
        <w:t>Project B: £1000 * 1.1 = £1100 million</w:t>
      </w:r>
    </w:p>
    <w:p w:rsidR="004805C8" w:rsidRPr="00907B66" w:rsidRDefault="004805C8" w:rsidP="00E11342">
      <w:pPr>
        <w:jc w:val="both"/>
        <w:rPr>
          <w:rFonts w:cstheme="minorHAnsi"/>
          <w:b/>
          <w:sz w:val="24"/>
          <w:szCs w:val="24"/>
        </w:rPr>
      </w:pPr>
      <w:r w:rsidRPr="00907B66">
        <w:rPr>
          <w:rFonts w:cstheme="minorHAnsi"/>
          <w:b/>
          <w:sz w:val="24"/>
          <w:szCs w:val="24"/>
        </w:rPr>
        <w:t>New Projected Cash Flows (reduced by 10%):</w:t>
      </w:r>
    </w:p>
    <w:p w:rsidR="004805C8" w:rsidRPr="00E11342" w:rsidRDefault="004805C8" w:rsidP="00E11342">
      <w:pPr>
        <w:jc w:val="both"/>
        <w:rPr>
          <w:rFonts w:cstheme="minorHAnsi"/>
          <w:sz w:val="24"/>
          <w:szCs w:val="24"/>
        </w:rPr>
      </w:pPr>
      <w:r w:rsidRPr="00E11342">
        <w:rPr>
          <w:rFonts w:cstheme="minorHAnsi"/>
          <w:sz w:val="24"/>
          <w:szCs w:val="24"/>
        </w:rPr>
        <w:t>Project A: [£2250, £1800, £900, -£442]</w:t>
      </w:r>
    </w:p>
    <w:p w:rsidR="004805C8" w:rsidRPr="00E11342" w:rsidRDefault="004805C8" w:rsidP="00E11342">
      <w:pPr>
        <w:jc w:val="both"/>
        <w:rPr>
          <w:rFonts w:cstheme="minorHAnsi"/>
          <w:sz w:val="24"/>
          <w:szCs w:val="24"/>
        </w:rPr>
      </w:pPr>
      <w:r w:rsidRPr="00E11342">
        <w:rPr>
          <w:rFonts w:cstheme="minorHAnsi"/>
          <w:sz w:val="24"/>
          <w:szCs w:val="24"/>
        </w:rPr>
        <w:t>Project B: [£1350, £900, £900, -£470]</w:t>
      </w:r>
    </w:p>
    <w:p w:rsidR="004805C8" w:rsidRPr="00E11342" w:rsidRDefault="00907B66" w:rsidP="00E11342">
      <w:pPr>
        <w:jc w:val="both"/>
        <w:rPr>
          <w:rFonts w:cstheme="minorHAnsi"/>
          <w:sz w:val="24"/>
          <w:szCs w:val="24"/>
        </w:rPr>
      </w:pPr>
      <w:r w:rsidRPr="00E11342">
        <w:rPr>
          <w:rFonts w:cstheme="minorHAnsi"/>
          <w:sz w:val="24"/>
          <w:szCs w:val="24"/>
        </w:rPr>
        <w:t>Calculating</w:t>
      </w:r>
      <w:r w:rsidR="004805C8" w:rsidRPr="00E11342">
        <w:rPr>
          <w:rFonts w:cstheme="minorHAnsi"/>
          <w:sz w:val="24"/>
          <w:szCs w:val="24"/>
        </w:rPr>
        <w:t xml:space="preserve"> NPV with the</w:t>
      </w:r>
      <w:r>
        <w:rPr>
          <w:rFonts w:cstheme="minorHAnsi"/>
          <w:sz w:val="24"/>
          <w:szCs w:val="24"/>
        </w:rPr>
        <w:t xml:space="preserve"> cost of capital still at 0.75%</w:t>
      </w:r>
    </w:p>
    <w:p w:rsidR="004805C8" w:rsidRPr="00907B66" w:rsidRDefault="004805C8" w:rsidP="00907B66">
      <w:pPr>
        <w:pStyle w:val="ListParagraph"/>
        <w:numPr>
          <w:ilvl w:val="0"/>
          <w:numId w:val="19"/>
        </w:numPr>
        <w:jc w:val="both"/>
        <w:rPr>
          <w:rFonts w:cstheme="minorHAnsi"/>
          <w:b/>
          <w:sz w:val="24"/>
          <w:szCs w:val="24"/>
        </w:rPr>
      </w:pPr>
      <w:r w:rsidRPr="00907B66">
        <w:rPr>
          <w:rFonts w:cstheme="minorHAnsi"/>
          <w:b/>
          <w:sz w:val="24"/>
          <w:szCs w:val="24"/>
        </w:rPr>
        <w:t>Project A:</w:t>
      </w:r>
    </w:p>
    <w:p w:rsidR="004805C8" w:rsidRPr="00E11342" w:rsidRDefault="004805C8" w:rsidP="00E11342">
      <w:pPr>
        <w:jc w:val="both"/>
        <w:rPr>
          <w:rFonts w:cstheme="minorHAnsi"/>
          <w:sz w:val="24"/>
          <w:szCs w:val="24"/>
        </w:rPr>
      </w:pPr>
      <w:r w:rsidRPr="00E11342">
        <w:rPr>
          <w:rFonts w:cstheme="minorHAnsi"/>
          <w:sz w:val="24"/>
          <w:szCs w:val="24"/>
        </w:rPr>
        <w:t>NPV = (-£5500) + £2250 / (1 + 0.0075)^1 + £1800 / (1 + 0.0075)^2 + £900 / (1 + 0.0075)^3 - £442 / (1 + 0.0075)^4</w:t>
      </w:r>
    </w:p>
    <w:p w:rsidR="004805C8" w:rsidRPr="00E11342" w:rsidRDefault="004805C8" w:rsidP="00E11342">
      <w:pPr>
        <w:jc w:val="both"/>
        <w:rPr>
          <w:rFonts w:cstheme="minorHAnsi"/>
          <w:sz w:val="24"/>
          <w:szCs w:val="24"/>
        </w:rPr>
      </w:pPr>
      <w:r w:rsidRPr="00E11342">
        <w:rPr>
          <w:rFonts w:cstheme="minorHAnsi"/>
          <w:sz w:val="24"/>
          <w:szCs w:val="24"/>
        </w:rPr>
        <w:t>NPV = -£5500 + £2234.83 + £1785.66 + £893.49 - £439.25</w:t>
      </w:r>
    </w:p>
    <w:p w:rsidR="004805C8" w:rsidRPr="00907B66" w:rsidRDefault="004805C8" w:rsidP="00E11342">
      <w:pPr>
        <w:jc w:val="both"/>
        <w:rPr>
          <w:rFonts w:cstheme="minorHAnsi"/>
          <w:b/>
          <w:sz w:val="24"/>
          <w:szCs w:val="24"/>
        </w:rPr>
      </w:pPr>
      <w:r w:rsidRPr="00907B66">
        <w:rPr>
          <w:rFonts w:cstheme="minorHAnsi"/>
          <w:b/>
          <w:sz w:val="24"/>
          <w:szCs w:val="24"/>
        </w:rPr>
        <w:t>NPV = £5.73 million</w:t>
      </w:r>
    </w:p>
    <w:p w:rsidR="004805C8" w:rsidRPr="00E11342" w:rsidRDefault="004805C8" w:rsidP="00E11342">
      <w:pPr>
        <w:jc w:val="both"/>
        <w:rPr>
          <w:rFonts w:cstheme="minorHAnsi"/>
          <w:sz w:val="24"/>
          <w:szCs w:val="24"/>
        </w:rPr>
      </w:pPr>
    </w:p>
    <w:p w:rsidR="004805C8" w:rsidRDefault="004805C8" w:rsidP="00907B66">
      <w:pPr>
        <w:pStyle w:val="ListParagraph"/>
        <w:numPr>
          <w:ilvl w:val="0"/>
          <w:numId w:val="19"/>
        </w:numPr>
        <w:jc w:val="both"/>
        <w:rPr>
          <w:rFonts w:cstheme="minorHAnsi"/>
          <w:b/>
          <w:sz w:val="24"/>
          <w:szCs w:val="24"/>
        </w:rPr>
      </w:pPr>
      <w:r w:rsidRPr="00907B66">
        <w:rPr>
          <w:rFonts w:cstheme="minorHAnsi"/>
          <w:b/>
          <w:sz w:val="24"/>
          <w:szCs w:val="24"/>
        </w:rPr>
        <w:t>Project B:</w:t>
      </w:r>
    </w:p>
    <w:p w:rsidR="00907B66" w:rsidRPr="00907B66" w:rsidRDefault="00907B66" w:rsidP="00907B66">
      <w:pPr>
        <w:pStyle w:val="ListParagraph"/>
        <w:jc w:val="both"/>
        <w:rPr>
          <w:rFonts w:cstheme="minorHAnsi"/>
          <w:b/>
          <w:sz w:val="24"/>
          <w:szCs w:val="24"/>
        </w:rPr>
      </w:pPr>
    </w:p>
    <w:p w:rsidR="004805C8" w:rsidRPr="00E11342" w:rsidRDefault="004805C8" w:rsidP="00E11342">
      <w:pPr>
        <w:jc w:val="both"/>
        <w:rPr>
          <w:rFonts w:cstheme="minorHAnsi"/>
          <w:sz w:val="24"/>
          <w:szCs w:val="24"/>
        </w:rPr>
      </w:pPr>
      <w:r w:rsidRPr="00E11342">
        <w:rPr>
          <w:rFonts w:cstheme="minorHAnsi"/>
          <w:sz w:val="24"/>
          <w:szCs w:val="24"/>
        </w:rPr>
        <w:t>NPV = (-£1100) + £1350 / (1 + 0.0075)^1 + £900 / (1 + 0.0075)^2 + £900 / (1 + 0.0075)^3 - £470 / (1 + 0.0075)^4</w:t>
      </w:r>
    </w:p>
    <w:p w:rsidR="004805C8" w:rsidRPr="00E11342" w:rsidRDefault="004805C8" w:rsidP="00E11342">
      <w:pPr>
        <w:jc w:val="both"/>
        <w:rPr>
          <w:rFonts w:cstheme="minorHAnsi"/>
          <w:sz w:val="24"/>
          <w:szCs w:val="24"/>
        </w:rPr>
      </w:pPr>
      <w:r w:rsidRPr="00E11342">
        <w:rPr>
          <w:rFonts w:cstheme="minorHAnsi"/>
          <w:sz w:val="24"/>
          <w:szCs w:val="24"/>
        </w:rPr>
        <w:t>NPV = -£1100 + £1340.52 + £893.49 + £893.49 - £467.13</w:t>
      </w:r>
    </w:p>
    <w:p w:rsidR="004805C8" w:rsidRPr="00907B66" w:rsidRDefault="004805C8" w:rsidP="00E11342">
      <w:pPr>
        <w:jc w:val="both"/>
        <w:rPr>
          <w:rFonts w:cstheme="minorHAnsi"/>
          <w:b/>
          <w:sz w:val="24"/>
          <w:szCs w:val="24"/>
        </w:rPr>
      </w:pPr>
      <w:r w:rsidRPr="00907B66">
        <w:rPr>
          <w:rFonts w:cstheme="minorHAnsi"/>
          <w:b/>
          <w:sz w:val="24"/>
          <w:szCs w:val="24"/>
        </w:rPr>
        <w:t>NPV = £2.60 million</w:t>
      </w:r>
    </w:p>
    <w:p w:rsidR="004805C8" w:rsidRPr="00E11342" w:rsidRDefault="004805C8" w:rsidP="00E11342">
      <w:pPr>
        <w:jc w:val="both"/>
        <w:rPr>
          <w:rFonts w:cstheme="minorHAnsi"/>
          <w:sz w:val="24"/>
          <w:szCs w:val="24"/>
        </w:rPr>
      </w:pPr>
      <w:r w:rsidRPr="00E11342">
        <w:rPr>
          <w:rFonts w:cstheme="minorHAnsi"/>
          <w:sz w:val="24"/>
          <w:szCs w:val="24"/>
        </w:rPr>
        <w:t>Commentary:</w:t>
      </w:r>
    </w:p>
    <w:p w:rsidR="004805C8" w:rsidRDefault="00A95C2A" w:rsidP="00E11342">
      <w:pPr>
        <w:jc w:val="both"/>
        <w:rPr>
          <w:rFonts w:cstheme="minorHAnsi"/>
          <w:sz w:val="24"/>
          <w:szCs w:val="24"/>
        </w:rPr>
      </w:pPr>
      <w:r w:rsidRPr="00A95C2A">
        <w:rPr>
          <w:rFonts w:cstheme="minorHAnsi"/>
          <w:sz w:val="24"/>
          <w:szCs w:val="24"/>
        </w:rPr>
        <w:t>After adjusting for the increase in initial investments and the decrease in cash flows, the NPVs for both projects have decreased:</w:t>
      </w:r>
    </w:p>
    <w:tbl>
      <w:tblPr>
        <w:tblStyle w:val="TableGrid"/>
        <w:tblW w:w="0" w:type="auto"/>
        <w:tblLook w:val="04A0" w:firstRow="1" w:lastRow="0" w:firstColumn="1" w:lastColumn="0" w:noHBand="0" w:noVBand="1"/>
      </w:tblPr>
      <w:tblGrid>
        <w:gridCol w:w="3176"/>
        <w:gridCol w:w="2129"/>
        <w:gridCol w:w="4224"/>
      </w:tblGrid>
      <w:tr w:rsidR="00907B66" w:rsidTr="00810DA0">
        <w:trPr>
          <w:trHeight w:val="692"/>
        </w:trPr>
        <w:tc>
          <w:tcPr>
            <w:tcW w:w="3176" w:type="dxa"/>
          </w:tcPr>
          <w:p w:rsidR="00907B66" w:rsidRDefault="00907B66" w:rsidP="00810DA0">
            <w:pPr>
              <w:rPr>
                <w:rFonts w:cstheme="minorHAnsi"/>
                <w:sz w:val="24"/>
                <w:szCs w:val="24"/>
              </w:rPr>
            </w:pPr>
            <w:r>
              <w:rPr>
                <w:rFonts w:cstheme="minorHAnsi"/>
                <w:sz w:val="24"/>
                <w:szCs w:val="24"/>
              </w:rPr>
              <w:t>NO</w:t>
            </w:r>
          </w:p>
        </w:tc>
        <w:tc>
          <w:tcPr>
            <w:tcW w:w="2129" w:type="dxa"/>
          </w:tcPr>
          <w:p w:rsidR="00907B66" w:rsidRDefault="00907B66" w:rsidP="00810DA0">
            <w:pPr>
              <w:jc w:val="center"/>
              <w:rPr>
                <w:rFonts w:cstheme="minorHAnsi"/>
                <w:sz w:val="24"/>
                <w:szCs w:val="24"/>
              </w:rPr>
            </w:pPr>
            <w:r>
              <w:rPr>
                <w:rFonts w:cstheme="minorHAnsi"/>
                <w:sz w:val="24"/>
                <w:szCs w:val="24"/>
              </w:rPr>
              <w:t>NPV</w:t>
            </w:r>
          </w:p>
        </w:tc>
        <w:tc>
          <w:tcPr>
            <w:tcW w:w="4224" w:type="dxa"/>
          </w:tcPr>
          <w:p w:rsidR="00907B66" w:rsidRDefault="00907B66" w:rsidP="00810DA0">
            <w:pPr>
              <w:jc w:val="center"/>
              <w:rPr>
                <w:rFonts w:cstheme="minorHAnsi"/>
                <w:sz w:val="24"/>
                <w:szCs w:val="24"/>
              </w:rPr>
            </w:pPr>
            <w:r>
              <w:rPr>
                <w:rFonts w:cstheme="minorHAnsi"/>
                <w:sz w:val="24"/>
                <w:szCs w:val="24"/>
              </w:rPr>
              <w:t>NPV After decreasing CF by 10%</w:t>
            </w:r>
          </w:p>
        </w:tc>
      </w:tr>
      <w:tr w:rsidR="00907B66" w:rsidTr="00810DA0">
        <w:trPr>
          <w:trHeight w:val="337"/>
        </w:trPr>
        <w:tc>
          <w:tcPr>
            <w:tcW w:w="3176" w:type="dxa"/>
          </w:tcPr>
          <w:p w:rsidR="00907B66" w:rsidRDefault="00907B66" w:rsidP="00E11342">
            <w:pPr>
              <w:jc w:val="both"/>
              <w:rPr>
                <w:rFonts w:cstheme="minorHAnsi"/>
                <w:sz w:val="24"/>
                <w:szCs w:val="24"/>
              </w:rPr>
            </w:pPr>
            <w:r>
              <w:rPr>
                <w:rFonts w:cstheme="minorHAnsi"/>
                <w:sz w:val="24"/>
                <w:szCs w:val="24"/>
              </w:rPr>
              <w:t>Project A</w:t>
            </w:r>
          </w:p>
        </w:tc>
        <w:tc>
          <w:tcPr>
            <w:tcW w:w="2129" w:type="dxa"/>
          </w:tcPr>
          <w:p w:rsidR="00907B66" w:rsidRDefault="00907B66" w:rsidP="00810DA0">
            <w:pPr>
              <w:jc w:val="center"/>
              <w:rPr>
                <w:rFonts w:cstheme="minorHAnsi"/>
                <w:sz w:val="24"/>
                <w:szCs w:val="24"/>
              </w:rPr>
            </w:pPr>
            <w:r w:rsidRPr="00E11342">
              <w:rPr>
                <w:rFonts w:cstheme="minorHAnsi"/>
                <w:sz w:val="24"/>
                <w:szCs w:val="24"/>
              </w:rPr>
              <w:t>£12.53</w:t>
            </w:r>
          </w:p>
        </w:tc>
        <w:tc>
          <w:tcPr>
            <w:tcW w:w="4224" w:type="dxa"/>
          </w:tcPr>
          <w:p w:rsidR="00907B66" w:rsidRDefault="00907B66" w:rsidP="00810DA0">
            <w:pPr>
              <w:jc w:val="center"/>
              <w:rPr>
                <w:rFonts w:cstheme="minorHAnsi"/>
                <w:sz w:val="24"/>
                <w:szCs w:val="24"/>
              </w:rPr>
            </w:pPr>
            <w:r w:rsidRPr="00E11342">
              <w:rPr>
                <w:rFonts w:cstheme="minorHAnsi"/>
                <w:sz w:val="24"/>
                <w:szCs w:val="24"/>
              </w:rPr>
              <w:t>£5.73</w:t>
            </w:r>
          </w:p>
        </w:tc>
      </w:tr>
      <w:tr w:rsidR="00907B66" w:rsidTr="00810DA0">
        <w:trPr>
          <w:trHeight w:val="337"/>
        </w:trPr>
        <w:tc>
          <w:tcPr>
            <w:tcW w:w="3176" w:type="dxa"/>
          </w:tcPr>
          <w:p w:rsidR="00907B66" w:rsidRDefault="00907B66" w:rsidP="00E11342">
            <w:pPr>
              <w:jc w:val="both"/>
              <w:rPr>
                <w:rFonts w:cstheme="minorHAnsi"/>
                <w:sz w:val="24"/>
                <w:szCs w:val="24"/>
              </w:rPr>
            </w:pPr>
            <w:r>
              <w:rPr>
                <w:rFonts w:cstheme="minorHAnsi"/>
                <w:sz w:val="24"/>
                <w:szCs w:val="24"/>
              </w:rPr>
              <w:t>Project B</w:t>
            </w:r>
          </w:p>
        </w:tc>
        <w:tc>
          <w:tcPr>
            <w:tcW w:w="2129" w:type="dxa"/>
          </w:tcPr>
          <w:p w:rsidR="00907B66" w:rsidRDefault="00907B66" w:rsidP="00810DA0">
            <w:pPr>
              <w:jc w:val="center"/>
              <w:rPr>
                <w:rFonts w:cstheme="minorHAnsi"/>
                <w:sz w:val="24"/>
                <w:szCs w:val="24"/>
              </w:rPr>
            </w:pPr>
            <w:r w:rsidRPr="00E11342">
              <w:rPr>
                <w:rFonts w:cstheme="minorHAnsi"/>
                <w:sz w:val="24"/>
                <w:szCs w:val="24"/>
              </w:rPr>
              <w:t>£3.03</w:t>
            </w:r>
          </w:p>
        </w:tc>
        <w:tc>
          <w:tcPr>
            <w:tcW w:w="4224" w:type="dxa"/>
          </w:tcPr>
          <w:p w:rsidR="00907B66" w:rsidRDefault="00907B66" w:rsidP="00810DA0">
            <w:pPr>
              <w:jc w:val="center"/>
              <w:rPr>
                <w:rFonts w:cstheme="minorHAnsi"/>
                <w:sz w:val="24"/>
                <w:szCs w:val="24"/>
              </w:rPr>
            </w:pPr>
            <w:r w:rsidRPr="00E11342">
              <w:rPr>
                <w:rFonts w:cstheme="minorHAnsi"/>
                <w:sz w:val="24"/>
                <w:szCs w:val="24"/>
              </w:rPr>
              <w:t>£2.60</w:t>
            </w:r>
          </w:p>
        </w:tc>
      </w:tr>
    </w:tbl>
    <w:p w:rsidR="004805C8" w:rsidRPr="00E11342" w:rsidRDefault="004805C8" w:rsidP="00E11342">
      <w:pPr>
        <w:jc w:val="both"/>
        <w:rPr>
          <w:rFonts w:cstheme="minorHAnsi"/>
          <w:sz w:val="24"/>
          <w:szCs w:val="24"/>
        </w:rPr>
      </w:pPr>
    </w:p>
    <w:p w:rsidR="004805C8" w:rsidRPr="00E11342" w:rsidRDefault="007E1EAA" w:rsidP="00E11342">
      <w:pPr>
        <w:jc w:val="both"/>
        <w:rPr>
          <w:rFonts w:cstheme="minorHAnsi"/>
          <w:sz w:val="24"/>
          <w:szCs w:val="24"/>
        </w:rPr>
      </w:pPr>
      <w:r>
        <w:rPr>
          <w:rFonts w:cstheme="minorHAnsi"/>
          <w:sz w:val="24"/>
          <w:szCs w:val="24"/>
        </w:rPr>
        <w:t xml:space="preserve">Project A's NPV decreased </w:t>
      </w:r>
      <w:r w:rsidRPr="00E11342">
        <w:rPr>
          <w:rFonts w:cstheme="minorHAnsi"/>
          <w:sz w:val="24"/>
          <w:szCs w:val="24"/>
        </w:rPr>
        <w:t>£</w:t>
      </w:r>
      <w:r w:rsidR="004805C8" w:rsidRPr="00E11342">
        <w:rPr>
          <w:rFonts w:cstheme="minorHAnsi"/>
          <w:sz w:val="24"/>
          <w:szCs w:val="24"/>
        </w:rPr>
        <w:t>12.53 million to £5.73 million.</w:t>
      </w:r>
    </w:p>
    <w:p w:rsidR="004805C8" w:rsidRPr="00E11342" w:rsidRDefault="007E1EAA" w:rsidP="00E11342">
      <w:pPr>
        <w:jc w:val="both"/>
        <w:rPr>
          <w:rFonts w:cstheme="minorHAnsi"/>
          <w:sz w:val="24"/>
          <w:szCs w:val="24"/>
        </w:rPr>
      </w:pPr>
      <w:r>
        <w:rPr>
          <w:rFonts w:cstheme="minorHAnsi"/>
          <w:sz w:val="24"/>
          <w:szCs w:val="24"/>
        </w:rPr>
        <w:t xml:space="preserve">Project B's NPV decreased </w:t>
      </w:r>
      <w:r w:rsidR="004805C8" w:rsidRPr="00E11342">
        <w:rPr>
          <w:rFonts w:cstheme="minorHAnsi"/>
          <w:sz w:val="24"/>
          <w:szCs w:val="24"/>
        </w:rPr>
        <w:t>£3.03 million to £2.60 million.</w:t>
      </w:r>
    </w:p>
    <w:p w:rsidR="007E1EAA" w:rsidRDefault="007E1EAA" w:rsidP="00E11342">
      <w:pPr>
        <w:jc w:val="both"/>
        <w:rPr>
          <w:rFonts w:cstheme="minorHAnsi"/>
          <w:sz w:val="24"/>
          <w:szCs w:val="24"/>
        </w:rPr>
      </w:pPr>
      <w:r w:rsidRPr="007E1EAA">
        <w:rPr>
          <w:rFonts w:cstheme="minorHAnsi"/>
          <w:sz w:val="24"/>
          <w:szCs w:val="24"/>
        </w:rPr>
        <w:lastRenderedPageBreak/>
        <w:t>Notwithstanding these alterations, Project A retains a higher NPV than Project B, implying that it may remain the more profitable option in the long term. But the decline in NPV for both projects reveals that the level of profitability has now become less than what was estimated at the start. This decrease in profitability may cause the company to make a decision between two projects based on their financial capabilities and risk tolerance, either to proceed or not. It is critical to once again review the projects under new considerations and other factors like the strategic alignment and possible risks before taking a conclusion.</w:t>
      </w:r>
    </w:p>
    <w:p w:rsidR="00FE33E5" w:rsidRDefault="00740F95" w:rsidP="00740F95">
      <w:pPr>
        <w:pStyle w:val="Heading2"/>
        <w:numPr>
          <w:ilvl w:val="1"/>
          <w:numId w:val="11"/>
        </w:numPr>
        <w:rPr>
          <w:b/>
          <w:color w:val="000000" w:themeColor="text1"/>
          <w:sz w:val="28"/>
        </w:rPr>
      </w:pPr>
      <w:r>
        <w:rPr>
          <w:b/>
          <w:color w:val="000000" w:themeColor="text1"/>
          <w:sz w:val="28"/>
        </w:rPr>
        <w:t xml:space="preserve"> </w:t>
      </w:r>
      <w:bookmarkStart w:id="22" w:name="_Toc162208562"/>
      <w:r w:rsidR="00FE33E5" w:rsidRPr="00740F95">
        <w:rPr>
          <w:b/>
          <w:color w:val="000000" w:themeColor="text1"/>
          <w:sz w:val="28"/>
        </w:rPr>
        <w:t>Advantages and shortcomings of the calculations</w:t>
      </w:r>
      <w:bookmarkEnd w:id="22"/>
    </w:p>
    <w:p w:rsidR="00740F95" w:rsidRPr="00740F95" w:rsidRDefault="00740F95" w:rsidP="00740F95"/>
    <w:p w:rsidR="00FE33E5" w:rsidRPr="00E11342" w:rsidRDefault="00FE33E5" w:rsidP="00E11342">
      <w:pPr>
        <w:jc w:val="both"/>
        <w:rPr>
          <w:rFonts w:cstheme="minorHAnsi"/>
          <w:sz w:val="24"/>
          <w:szCs w:val="24"/>
        </w:rPr>
      </w:pPr>
      <w:r w:rsidRPr="00E11342">
        <w:rPr>
          <w:rFonts w:cstheme="minorHAnsi"/>
          <w:sz w:val="24"/>
          <w:szCs w:val="24"/>
        </w:rPr>
        <w:t>Evaluating capital projects is a crucial aspect of financial management, and various techniques are employed for this purpose. The Payback Period (PBP), Accounting Rate of Return (ARR), and Net Present Value (NPV) are three commonly used methods, each with its own set of advantages and shortcomings:</w:t>
      </w:r>
    </w:p>
    <w:p w:rsidR="00FE33E5" w:rsidRPr="00E11342" w:rsidRDefault="00FE33E5" w:rsidP="00E11342">
      <w:pPr>
        <w:jc w:val="both"/>
        <w:rPr>
          <w:rFonts w:cstheme="minorHAnsi"/>
          <w:sz w:val="24"/>
          <w:szCs w:val="24"/>
        </w:rPr>
      </w:pPr>
    </w:p>
    <w:p w:rsidR="00FE33E5" w:rsidRPr="00DA1B70" w:rsidRDefault="00DA1B70" w:rsidP="00DA1B70">
      <w:pPr>
        <w:pStyle w:val="ListParagraph"/>
        <w:numPr>
          <w:ilvl w:val="0"/>
          <w:numId w:val="19"/>
        </w:numPr>
        <w:jc w:val="both"/>
        <w:rPr>
          <w:rFonts w:cstheme="minorHAnsi"/>
          <w:b/>
          <w:sz w:val="24"/>
          <w:szCs w:val="24"/>
        </w:rPr>
      </w:pPr>
      <w:r>
        <w:rPr>
          <w:rFonts w:cstheme="minorHAnsi"/>
          <w:b/>
          <w:sz w:val="24"/>
          <w:szCs w:val="24"/>
        </w:rPr>
        <w:t>Payback Period (PBP)</w:t>
      </w:r>
    </w:p>
    <w:p w:rsidR="00FE33E5" w:rsidRPr="00E11342" w:rsidRDefault="00FE33E5" w:rsidP="00E11342">
      <w:pPr>
        <w:jc w:val="both"/>
        <w:rPr>
          <w:rFonts w:cstheme="minorHAnsi"/>
          <w:sz w:val="24"/>
          <w:szCs w:val="24"/>
        </w:rPr>
      </w:pPr>
    </w:p>
    <w:p w:rsidR="00FE33E5" w:rsidRPr="00740F95" w:rsidRDefault="00FE33E5" w:rsidP="00E11342">
      <w:pPr>
        <w:jc w:val="both"/>
        <w:rPr>
          <w:rFonts w:cstheme="minorHAnsi"/>
          <w:b/>
          <w:sz w:val="24"/>
          <w:szCs w:val="24"/>
        </w:rPr>
      </w:pPr>
      <w:r w:rsidRPr="00740F95">
        <w:rPr>
          <w:rFonts w:cstheme="minorHAnsi"/>
          <w:b/>
          <w:sz w:val="24"/>
          <w:szCs w:val="24"/>
        </w:rPr>
        <w:t>Advantages:</w:t>
      </w:r>
    </w:p>
    <w:p w:rsidR="007E1EAA" w:rsidRPr="007E1EAA" w:rsidRDefault="007E1EAA" w:rsidP="007E1EAA">
      <w:pPr>
        <w:jc w:val="both"/>
        <w:rPr>
          <w:rFonts w:cstheme="minorHAnsi"/>
          <w:sz w:val="24"/>
          <w:szCs w:val="24"/>
        </w:rPr>
      </w:pPr>
      <w:r w:rsidRPr="007E1EAA">
        <w:rPr>
          <w:rFonts w:cstheme="minorHAnsi"/>
          <w:sz w:val="24"/>
          <w:szCs w:val="24"/>
        </w:rPr>
        <w:t>Simplicity: PBP is simple and clear to understand, so it is frequently chosen for decision making especially during the project selection of the initial screening (Smith 2019).</w:t>
      </w:r>
    </w:p>
    <w:p w:rsidR="007E1EAA" w:rsidRPr="007E1EAA" w:rsidRDefault="007E1EAA" w:rsidP="007E1EAA">
      <w:pPr>
        <w:jc w:val="both"/>
        <w:rPr>
          <w:rFonts w:cstheme="minorHAnsi"/>
          <w:sz w:val="24"/>
          <w:szCs w:val="24"/>
        </w:rPr>
      </w:pPr>
      <w:r w:rsidRPr="007E1EAA">
        <w:rPr>
          <w:rFonts w:cstheme="minorHAnsi"/>
          <w:sz w:val="24"/>
          <w:szCs w:val="24"/>
        </w:rPr>
        <w:t>Liquidity Focus: It represents the swiftness on the capturing of investments, which is good for those businesses that prefer liquidity (Johnson, 2021).</w:t>
      </w:r>
    </w:p>
    <w:p w:rsidR="007E1EAA" w:rsidRPr="00DA1B70" w:rsidRDefault="007E1EAA" w:rsidP="007E1EAA">
      <w:pPr>
        <w:jc w:val="both"/>
        <w:rPr>
          <w:rFonts w:cstheme="minorHAnsi"/>
          <w:b/>
          <w:sz w:val="24"/>
          <w:szCs w:val="24"/>
        </w:rPr>
      </w:pPr>
      <w:r w:rsidRPr="00DA1B70">
        <w:rPr>
          <w:rFonts w:cstheme="minorHAnsi"/>
          <w:b/>
          <w:sz w:val="24"/>
          <w:szCs w:val="24"/>
        </w:rPr>
        <w:t>Shortcomings:</w:t>
      </w:r>
    </w:p>
    <w:p w:rsidR="007E1EAA" w:rsidRPr="007E1EAA" w:rsidRDefault="007E1EAA" w:rsidP="007E1EAA">
      <w:pPr>
        <w:jc w:val="both"/>
        <w:rPr>
          <w:rFonts w:cstheme="minorHAnsi"/>
          <w:sz w:val="24"/>
          <w:szCs w:val="24"/>
        </w:rPr>
      </w:pPr>
      <w:r w:rsidRPr="007E1EAA">
        <w:rPr>
          <w:rFonts w:cstheme="minorHAnsi"/>
          <w:sz w:val="24"/>
          <w:szCs w:val="24"/>
        </w:rPr>
        <w:t>Ignores Time Value of Money: Unlike PBP, NPV does not take the time value of money into account, which may result in underestimation of project financial risks. (Brown, 2020)</w:t>
      </w:r>
    </w:p>
    <w:p w:rsidR="007E1EAA" w:rsidRDefault="007E1EAA" w:rsidP="007E1EAA">
      <w:pPr>
        <w:jc w:val="both"/>
        <w:rPr>
          <w:rFonts w:cstheme="minorHAnsi"/>
          <w:sz w:val="24"/>
          <w:szCs w:val="24"/>
        </w:rPr>
      </w:pPr>
      <w:r w:rsidRPr="007E1EAA">
        <w:rPr>
          <w:rFonts w:cstheme="minorHAnsi"/>
          <w:sz w:val="24"/>
          <w:szCs w:val="24"/>
        </w:rPr>
        <w:t>Excludes Post-Payback Cash Flows: It disregards the cash flows during the time span after the payback period, hence often underestimating the value of long-term investments (Wilson 2022).</w:t>
      </w:r>
    </w:p>
    <w:p w:rsidR="00FE33E5" w:rsidRPr="00DA1B70" w:rsidRDefault="00DA1B70" w:rsidP="00DA1B70">
      <w:pPr>
        <w:pStyle w:val="ListParagraph"/>
        <w:numPr>
          <w:ilvl w:val="0"/>
          <w:numId w:val="19"/>
        </w:numPr>
        <w:jc w:val="both"/>
        <w:rPr>
          <w:rFonts w:cstheme="minorHAnsi"/>
          <w:b/>
          <w:sz w:val="24"/>
          <w:szCs w:val="24"/>
        </w:rPr>
      </w:pPr>
      <w:r w:rsidRPr="00DA1B70">
        <w:rPr>
          <w:rFonts w:cstheme="minorHAnsi"/>
          <w:b/>
          <w:sz w:val="24"/>
          <w:szCs w:val="24"/>
        </w:rPr>
        <w:t>Accounting Rate of Return (ARR)</w:t>
      </w:r>
    </w:p>
    <w:p w:rsidR="007E1EAA" w:rsidRPr="00DA1B70" w:rsidRDefault="007E1EAA" w:rsidP="007E1EAA">
      <w:pPr>
        <w:jc w:val="both"/>
        <w:rPr>
          <w:rFonts w:cstheme="minorHAnsi"/>
          <w:b/>
          <w:sz w:val="24"/>
          <w:szCs w:val="24"/>
        </w:rPr>
      </w:pPr>
      <w:r w:rsidRPr="00DA1B70">
        <w:rPr>
          <w:rFonts w:cstheme="minorHAnsi"/>
          <w:b/>
          <w:sz w:val="24"/>
          <w:szCs w:val="24"/>
        </w:rPr>
        <w:t>Advantages:</w:t>
      </w:r>
    </w:p>
    <w:p w:rsidR="007E1EAA" w:rsidRPr="007E1EAA" w:rsidRDefault="007E1EAA" w:rsidP="007E1EAA">
      <w:pPr>
        <w:jc w:val="both"/>
        <w:rPr>
          <w:rFonts w:cstheme="minorHAnsi"/>
          <w:sz w:val="24"/>
          <w:szCs w:val="24"/>
        </w:rPr>
      </w:pPr>
      <w:r w:rsidRPr="007E1EAA">
        <w:rPr>
          <w:rFonts w:cstheme="minorHAnsi"/>
          <w:sz w:val="24"/>
          <w:szCs w:val="24"/>
        </w:rPr>
        <w:t>Profitability Indicator: ARR means the yearly average return, through which we investigate the project profitability year by year (Clark, 2019).</w:t>
      </w:r>
    </w:p>
    <w:p w:rsidR="007E1EAA" w:rsidRPr="007E1EAA" w:rsidRDefault="007E1EAA" w:rsidP="007E1EAA">
      <w:pPr>
        <w:jc w:val="both"/>
        <w:rPr>
          <w:rFonts w:cstheme="minorHAnsi"/>
          <w:sz w:val="24"/>
          <w:szCs w:val="24"/>
        </w:rPr>
      </w:pPr>
      <w:r w:rsidRPr="007E1EAA">
        <w:rPr>
          <w:rFonts w:cstheme="minorHAnsi"/>
          <w:sz w:val="24"/>
          <w:szCs w:val="24"/>
        </w:rPr>
        <w:t>Ease of Calculation: It does produce account records, thus, it is easier to make calculations (Beacom, Martin, 2020).</w:t>
      </w:r>
    </w:p>
    <w:p w:rsidR="007E1EAA" w:rsidRPr="00DA1B70" w:rsidRDefault="007E1EAA" w:rsidP="007E1EAA">
      <w:pPr>
        <w:jc w:val="both"/>
        <w:rPr>
          <w:rFonts w:cstheme="minorHAnsi"/>
          <w:b/>
          <w:sz w:val="24"/>
          <w:szCs w:val="24"/>
        </w:rPr>
      </w:pPr>
      <w:r w:rsidRPr="00DA1B70">
        <w:rPr>
          <w:rFonts w:cstheme="minorHAnsi"/>
          <w:b/>
          <w:sz w:val="24"/>
          <w:szCs w:val="24"/>
        </w:rPr>
        <w:t>Shortcomings:</w:t>
      </w:r>
    </w:p>
    <w:p w:rsidR="007E1EAA" w:rsidRPr="007E1EAA" w:rsidRDefault="007E1EAA" w:rsidP="007E1EAA">
      <w:pPr>
        <w:jc w:val="both"/>
        <w:rPr>
          <w:rFonts w:cstheme="minorHAnsi"/>
          <w:sz w:val="24"/>
          <w:szCs w:val="24"/>
        </w:rPr>
      </w:pPr>
      <w:r w:rsidRPr="007E1EAA">
        <w:rPr>
          <w:rFonts w:cstheme="minorHAnsi"/>
          <w:sz w:val="24"/>
          <w:szCs w:val="24"/>
        </w:rPr>
        <w:lastRenderedPageBreak/>
        <w:t>Ignores Cash Flows: ARR capitalizes on accounting profits which indeed may be not true; thus, some discounted cash flow (DCF) techniques are used such as economic value added (Adams, 2021).</w:t>
      </w:r>
    </w:p>
    <w:p w:rsidR="007E1EAA" w:rsidRDefault="007E1EAA" w:rsidP="007E1EAA">
      <w:pPr>
        <w:jc w:val="both"/>
        <w:rPr>
          <w:rFonts w:cstheme="minorHAnsi"/>
          <w:sz w:val="24"/>
          <w:szCs w:val="24"/>
        </w:rPr>
      </w:pPr>
      <w:r w:rsidRPr="007E1EAA">
        <w:rPr>
          <w:rFonts w:cstheme="minorHAnsi"/>
          <w:sz w:val="24"/>
          <w:szCs w:val="24"/>
        </w:rPr>
        <w:t>Variance in Results: Various accounting practices could therefore result in diverse ARR figures, and such inconsistencies impede comparable records (Turner, 2023).</w:t>
      </w:r>
    </w:p>
    <w:p w:rsidR="00FE33E5" w:rsidRPr="00DA1B70" w:rsidRDefault="00DA1B70" w:rsidP="00E11342">
      <w:pPr>
        <w:pStyle w:val="ListParagraph"/>
        <w:numPr>
          <w:ilvl w:val="0"/>
          <w:numId w:val="19"/>
        </w:numPr>
        <w:jc w:val="both"/>
        <w:rPr>
          <w:rFonts w:cstheme="minorHAnsi"/>
          <w:b/>
          <w:sz w:val="24"/>
          <w:szCs w:val="24"/>
        </w:rPr>
      </w:pPr>
      <w:r w:rsidRPr="00DA1B70">
        <w:rPr>
          <w:rFonts w:cstheme="minorHAnsi"/>
          <w:b/>
          <w:sz w:val="24"/>
          <w:szCs w:val="24"/>
        </w:rPr>
        <w:t>Net Present Value (NPV)</w:t>
      </w:r>
    </w:p>
    <w:p w:rsidR="00FE33E5" w:rsidRPr="00DA1B70" w:rsidRDefault="00FE33E5" w:rsidP="00E11342">
      <w:pPr>
        <w:jc w:val="both"/>
        <w:rPr>
          <w:rFonts w:cstheme="minorHAnsi"/>
          <w:b/>
          <w:sz w:val="24"/>
          <w:szCs w:val="24"/>
        </w:rPr>
      </w:pPr>
      <w:r w:rsidRPr="00DA1B70">
        <w:rPr>
          <w:rFonts w:cstheme="minorHAnsi"/>
          <w:b/>
          <w:sz w:val="24"/>
          <w:szCs w:val="24"/>
        </w:rPr>
        <w:t>Advantages:</w:t>
      </w:r>
    </w:p>
    <w:p w:rsidR="007E1EAA" w:rsidRPr="007E1EAA" w:rsidRDefault="007E1EAA" w:rsidP="007E1EAA">
      <w:pPr>
        <w:jc w:val="both"/>
        <w:rPr>
          <w:rFonts w:cstheme="minorHAnsi"/>
          <w:sz w:val="24"/>
          <w:szCs w:val="24"/>
        </w:rPr>
      </w:pPr>
      <w:r w:rsidRPr="007E1EAA">
        <w:rPr>
          <w:rFonts w:cstheme="minorHAnsi"/>
          <w:sz w:val="24"/>
          <w:szCs w:val="24"/>
        </w:rPr>
        <w:t>Time Value of Money: NPV considers the time value of money and it predicts a value of the project in more accurate way (Evans, 2019).</w:t>
      </w:r>
    </w:p>
    <w:p w:rsidR="007E1EAA" w:rsidRPr="007E1EAA" w:rsidRDefault="007E1EAA" w:rsidP="007E1EAA">
      <w:pPr>
        <w:jc w:val="both"/>
        <w:rPr>
          <w:rFonts w:cstheme="minorHAnsi"/>
          <w:sz w:val="24"/>
          <w:szCs w:val="24"/>
        </w:rPr>
      </w:pPr>
      <w:r w:rsidRPr="007E1EAA">
        <w:rPr>
          <w:rFonts w:cstheme="minorHAnsi"/>
          <w:sz w:val="24"/>
          <w:szCs w:val="24"/>
        </w:rPr>
        <w:t>Comprehensive Evaluation: It takes into account all the financial matters that are involved in this project, such as the credit in and outflow for the entire life cycle which subsequently provides a comprehensive outlook about operating profits (Kim, 2020).</w:t>
      </w:r>
    </w:p>
    <w:p w:rsidR="007E1EAA" w:rsidRPr="00DA1B70" w:rsidRDefault="007E1EAA" w:rsidP="007E1EAA">
      <w:pPr>
        <w:jc w:val="both"/>
        <w:rPr>
          <w:rFonts w:cstheme="minorHAnsi"/>
          <w:b/>
          <w:sz w:val="24"/>
          <w:szCs w:val="24"/>
        </w:rPr>
      </w:pPr>
      <w:r w:rsidRPr="00DA1B70">
        <w:rPr>
          <w:rFonts w:cstheme="minorHAnsi"/>
          <w:b/>
          <w:sz w:val="24"/>
          <w:szCs w:val="24"/>
        </w:rPr>
        <w:t>Shortcomings:</w:t>
      </w:r>
    </w:p>
    <w:p w:rsidR="007E1EAA" w:rsidRPr="007E1EAA" w:rsidRDefault="007E1EAA" w:rsidP="007E1EAA">
      <w:pPr>
        <w:jc w:val="both"/>
        <w:rPr>
          <w:rFonts w:cstheme="minorHAnsi"/>
          <w:sz w:val="24"/>
          <w:szCs w:val="24"/>
        </w:rPr>
      </w:pPr>
      <w:r w:rsidRPr="007E1EAA">
        <w:rPr>
          <w:rFonts w:cstheme="minorHAnsi"/>
          <w:sz w:val="24"/>
          <w:szCs w:val="24"/>
        </w:rPr>
        <w:t>Complexity: NPV is a complicated factor however to projects with uncertain disposals this makes it even tougher (Harris, 2022)</w:t>
      </w:r>
      <w:r>
        <w:rPr>
          <w:rFonts w:cstheme="minorHAnsi"/>
          <w:sz w:val="24"/>
          <w:szCs w:val="24"/>
        </w:rPr>
        <w:t>.</w:t>
      </w:r>
    </w:p>
    <w:p w:rsidR="007E1EAA" w:rsidRDefault="007E1EAA" w:rsidP="007E1EAA">
      <w:pPr>
        <w:jc w:val="both"/>
        <w:rPr>
          <w:rFonts w:cstheme="minorHAnsi"/>
          <w:sz w:val="24"/>
          <w:szCs w:val="24"/>
        </w:rPr>
      </w:pPr>
      <w:r w:rsidRPr="007E1EAA">
        <w:rPr>
          <w:rFonts w:cstheme="minorHAnsi"/>
          <w:sz w:val="24"/>
          <w:szCs w:val="24"/>
        </w:rPr>
        <w:t>Estimation Sensitivity: NPV can be volatile, because it uses the discount rate and the assumed cash flows, thus the results are prone to variability (Garcia, 2024).</w:t>
      </w:r>
    </w:p>
    <w:p w:rsidR="00674AAA" w:rsidRDefault="00DA1B70" w:rsidP="00DA1B70">
      <w:pPr>
        <w:pStyle w:val="Heading2"/>
        <w:numPr>
          <w:ilvl w:val="1"/>
          <w:numId w:val="11"/>
        </w:numPr>
        <w:rPr>
          <w:b/>
          <w:color w:val="000000" w:themeColor="text1"/>
          <w:sz w:val="28"/>
        </w:rPr>
      </w:pPr>
      <w:r>
        <w:rPr>
          <w:b/>
          <w:color w:val="000000" w:themeColor="text1"/>
          <w:sz w:val="28"/>
        </w:rPr>
        <w:t xml:space="preserve">  </w:t>
      </w:r>
      <w:bookmarkStart w:id="23" w:name="_Toc162208563"/>
      <w:r w:rsidR="00E11342" w:rsidRPr="00DA1B70">
        <w:rPr>
          <w:b/>
          <w:color w:val="000000" w:themeColor="text1"/>
          <w:sz w:val="28"/>
        </w:rPr>
        <w:t>Non-financial</w:t>
      </w:r>
      <w:r w:rsidR="00D163E6" w:rsidRPr="00DA1B70">
        <w:rPr>
          <w:b/>
          <w:color w:val="000000" w:themeColor="text1"/>
          <w:sz w:val="28"/>
        </w:rPr>
        <w:t xml:space="preserve"> factors management</w:t>
      </w:r>
      <w:bookmarkEnd w:id="23"/>
    </w:p>
    <w:p w:rsidR="00DA1B70" w:rsidRPr="00DA1B70" w:rsidRDefault="00DA1B70" w:rsidP="00DA1B70"/>
    <w:p w:rsidR="00B75B81" w:rsidRPr="00B75B81" w:rsidRDefault="00B75B81" w:rsidP="00B75B81">
      <w:pPr>
        <w:jc w:val="both"/>
        <w:rPr>
          <w:rFonts w:cstheme="minorHAnsi"/>
          <w:sz w:val="24"/>
          <w:szCs w:val="24"/>
        </w:rPr>
      </w:pPr>
      <w:r w:rsidRPr="00DA1B70">
        <w:rPr>
          <w:rFonts w:cstheme="minorHAnsi"/>
          <w:b/>
          <w:sz w:val="24"/>
          <w:szCs w:val="24"/>
        </w:rPr>
        <w:t>Strategic Alignment</w:t>
      </w:r>
      <w:r w:rsidRPr="00B75B81">
        <w:rPr>
          <w:rFonts w:cstheme="minorHAnsi"/>
          <w:sz w:val="24"/>
          <w:szCs w:val="24"/>
        </w:rPr>
        <w:t>: Investment should be made in accordance with the company's long-term strategic objectives and vision to avoid short-term unaligned investments. Thus prioritizes putting resources towards areas which enhance the company's success and its alignment with the company's strategic plans.</w:t>
      </w:r>
    </w:p>
    <w:p w:rsidR="00B75B81" w:rsidRPr="00B75B81" w:rsidRDefault="00B75B81" w:rsidP="00B75B81">
      <w:pPr>
        <w:jc w:val="both"/>
        <w:rPr>
          <w:rFonts w:cstheme="minorHAnsi"/>
          <w:sz w:val="24"/>
          <w:szCs w:val="24"/>
        </w:rPr>
      </w:pPr>
      <w:r w:rsidRPr="00DA1B70">
        <w:rPr>
          <w:rFonts w:cstheme="minorHAnsi"/>
          <w:b/>
          <w:sz w:val="24"/>
          <w:szCs w:val="24"/>
        </w:rPr>
        <w:t>Market Dynamics</w:t>
      </w:r>
      <w:r w:rsidRPr="00B75B81">
        <w:rPr>
          <w:rFonts w:cstheme="minorHAnsi"/>
          <w:sz w:val="24"/>
          <w:szCs w:val="24"/>
        </w:rPr>
        <w:t>: It is very much necessary to grasp the market dynamics which include customer inclinations, resistance, and the trends of the industry, at the same time. Analyze whether the investment can serve off current and future market needs, and how well it places the company on the competitive map.</w:t>
      </w:r>
    </w:p>
    <w:p w:rsidR="00B75B81" w:rsidRPr="00B75B81" w:rsidRDefault="00B75B81" w:rsidP="00B75B81">
      <w:pPr>
        <w:jc w:val="both"/>
        <w:rPr>
          <w:rFonts w:cstheme="minorHAnsi"/>
          <w:sz w:val="24"/>
          <w:szCs w:val="24"/>
        </w:rPr>
      </w:pPr>
      <w:r w:rsidRPr="00DA1B70">
        <w:rPr>
          <w:rFonts w:cstheme="minorHAnsi"/>
          <w:b/>
          <w:sz w:val="24"/>
          <w:szCs w:val="24"/>
        </w:rPr>
        <w:t>Regulatory and Compliance Factors:</w:t>
      </w:r>
      <w:r w:rsidRPr="00B75B81">
        <w:rPr>
          <w:rFonts w:cstheme="minorHAnsi"/>
          <w:sz w:val="24"/>
          <w:szCs w:val="24"/>
        </w:rPr>
        <w:t xml:space="preserve"> Compliance with the authorities and regulation is a key factor. Management should look at the influence not only of the current but also the imminent legislation (e.g. environmental regulation, labor aspects, and very specific industry requirements) on investments.</w:t>
      </w:r>
    </w:p>
    <w:p w:rsidR="00B75B81" w:rsidRPr="00B75B81" w:rsidRDefault="00B75B81" w:rsidP="00B75B81">
      <w:pPr>
        <w:jc w:val="both"/>
        <w:rPr>
          <w:rFonts w:cstheme="minorHAnsi"/>
          <w:sz w:val="24"/>
          <w:szCs w:val="24"/>
        </w:rPr>
      </w:pPr>
      <w:r w:rsidRPr="00DA1B70">
        <w:rPr>
          <w:rFonts w:cstheme="minorHAnsi"/>
          <w:b/>
          <w:sz w:val="24"/>
          <w:szCs w:val="24"/>
        </w:rPr>
        <w:t>Technological Advancements</w:t>
      </w:r>
      <w:r w:rsidRPr="00B75B81">
        <w:rPr>
          <w:rFonts w:cstheme="minorHAnsi"/>
          <w:sz w:val="24"/>
          <w:szCs w:val="24"/>
        </w:rPr>
        <w:t>: Making a difference with or unnecessary competition is one of the most serious issues in a current business environment which is permanent change. Management needs to weigh whether this investment is technology sustainable and give the company strong points to get ready for forthcoming technological advances.</w:t>
      </w:r>
    </w:p>
    <w:p w:rsidR="00FE33E5" w:rsidRPr="00E11342" w:rsidRDefault="00B75B81" w:rsidP="00B75B81">
      <w:pPr>
        <w:jc w:val="both"/>
        <w:rPr>
          <w:rFonts w:cstheme="minorHAnsi"/>
          <w:sz w:val="24"/>
          <w:szCs w:val="24"/>
        </w:rPr>
      </w:pPr>
      <w:r w:rsidRPr="00DA1B70">
        <w:rPr>
          <w:rFonts w:cstheme="minorHAnsi"/>
          <w:b/>
          <w:sz w:val="24"/>
          <w:szCs w:val="24"/>
        </w:rPr>
        <w:lastRenderedPageBreak/>
        <w:t>Reputation and Social Responsibility</w:t>
      </w:r>
      <w:r w:rsidRPr="00B75B81">
        <w:rPr>
          <w:rFonts w:cstheme="minorHAnsi"/>
          <w:sz w:val="24"/>
          <w:szCs w:val="24"/>
        </w:rPr>
        <w:t>: Apart from the financial effect, the potential of the investment on the company's image as a responsible business should also be properly assessed. Ethical, sustainable and responsible investments help to improve a corporation's brand and can garner the trust of various stakeholders.</w:t>
      </w:r>
    </w:p>
    <w:p w:rsidR="00FE33E5" w:rsidRPr="00E11342" w:rsidRDefault="00FE33E5" w:rsidP="00E11342">
      <w:pPr>
        <w:jc w:val="both"/>
        <w:rPr>
          <w:rFonts w:cstheme="minorHAnsi"/>
          <w:sz w:val="24"/>
          <w:szCs w:val="24"/>
        </w:rPr>
      </w:pPr>
    </w:p>
    <w:p w:rsidR="00FE33E5" w:rsidRPr="00E11342" w:rsidRDefault="00FE33E5" w:rsidP="00E11342">
      <w:pPr>
        <w:jc w:val="both"/>
        <w:rPr>
          <w:rFonts w:cstheme="minorHAnsi"/>
          <w:sz w:val="24"/>
          <w:szCs w:val="24"/>
        </w:rPr>
      </w:pPr>
    </w:p>
    <w:p w:rsidR="00FE33E5" w:rsidRDefault="00FE33E5" w:rsidP="00E11342">
      <w:pPr>
        <w:jc w:val="both"/>
        <w:rPr>
          <w:rFonts w:cstheme="minorHAnsi"/>
          <w:sz w:val="24"/>
          <w:szCs w:val="24"/>
        </w:rPr>
      </w:pPr>
    </w:p>
    <w:p w:rsidR="0026572B" w:rsidRDefault="0026572B" w:rsidP="00E11342">
      <w:pPr>
        <w:jc w:val="both"/>
        <w:rPr>
          <w:rFonts w:cstheme="minorHAnsi"/>
          <w:sz w:val="24"/>
          <w:szCs w:val="24"/>
        </w:rPr>
      </w:pPr>
    </w:p>
    <w:p w:rsidR="0026572B" w:rsidRDefault="0026572B" w:rsidP="00E11342">
      <w:pPr>
        <w:jc w:val="both"/>
        <w:rPr>
          <w:rFonts w:cstheme="minorHAnsi"/>
          <w:sz w:val="24"/>
          <w:szCs w:val="24"/>
        </w:rPr>
      </w:pPr>
    </w:p>
    <w:p w:rsidR="0026572B" w:rsidRDefault="0026572B" w:rsidP="00E11342">
      <w:pPr>
        <w:jc w:val="both"/>
        <w:rPr>
          <w:rFonts w:cstheme="minorHAnsi"/>
          <w:sz w:val="24"/>
          <w:szCs w:val="24"/>
        </w:rPr>
      </w:pPr>
    </w:p>
    <w:p w:rsidR="0026572B" w:rsidRDefault="0026572B" w:rsidP="00E11342">
      <w:pPr>
        <w:jc w:val="both"/>
        <w:rPr>
          <w:rFonts w:cstheme="minorHAnsi"/>
          <w:sz w:val="24"/>
          <w:szCs w:val="24"/>
        </w:rPr>
      </w:pPr>
    </w:p>
    <w:p w:rsidR="0026572B" w:rsidRDefault="0026572B" w:rsidP="00E11342">
      <w:pPr>
        <w:jc w:val="both"/>
        <w:rPr>
          <w:rFonts w:cstheme="minorHAnsi"/>
          <w:sz w:val="24"/>
          <w:szCs w:val="24"/>
        </w:rPr>
      </w:pPr>
    </w:p>
    <w:p w:rsidR="0026572B" w:rsidRDefault="0026572B" w:rsidP="00E11342">
      <w:pPr>
        <w:jc w:val="both"/>
        <w:rPr>
          <w:rFonts w:cstheme="minorHAnsi"/>
          <w:sz w:val="24"/>
          <w:szCs w:val="24"/>
        </w:rPr>
      </w:pPr>
    </w:p>
    <w:p w:rsidR="0026572B" w:rsidRDefault="0026572B" w:rsidP="00E11342">
      <w:pPr>
        <w:jc w:val="both"/>
        <w:rPr>
          <w:rFonts w:cstheme="minorHAnsi"/>
          <w:sz w:val="24"/>
          <w:szCs w:val="24"/>
        </w:rPr>
      </w:pPr>
    </w:p>
    <w:p w:rsidR="0026572B" w:rsidRDefault="0026572B" w:rsidP="00E11342">
      <w:pPr>
        <w:jc w:val="both"/>
        <w:rPr>
          <w:rFonts w:cstheme="minorHAnsi"/>
          <w:sz w:val="24"/>
          <w:szCs w:val="24"/>
        </w:rPr>
      </w:pPr>
    </w:p>
    <w:p w:rsidR="0026572B" w:rsidRDefault="0026572B" w:rsidP="00E11342">
      <w:pPr>
        <w:jc w:val="both"/>
        <w:rPr>
          <w:rFonts w:cstheme="minorHAnsi"/>
          <w:sz w:val="24"/>
          <w:szCs w:val="24"/>
        </w:rPr>
      </w:pPr>
    </w:p>
    <w:p w:rsidR="0026572B" w:rsidRDefault="0026572B" w:rsidP="00E11342">
      <w:pPr>
        <w:jc w:val="both"/>
        <w:rPr>
          <w:rFonts w:cstheme="minorHAnsi"/>
          <w:sz w:val="24"/>
          <w:szCs w:val="24"/>
        </w:rPr>
      </w:pPr>
    </w:p>
    <w:p w:rsidR="0026572B" w:rsidRDefault="0026572B" w:rsidP="00E11342">
      <w:pPr>
        <w:jc w:val="both"/>
        <w:rPr>
          <w:rFonts w:cstheme="minorHAnsi"/>
          <w:sz w:val="24"/>
          <w:szCs w:val="24"/>
        </w:rPr>
      </w:pPr>
    </w:p>
    <w:p w:rsidR="0026572B" w:rsidRDefault="0026572B" w:rsidP="00E11342">
      <w:pPr>
        <w:jc w:val="both"/>
        <w:rPr>
          <w:rFonts w:cstheme="minorHAnsi"/>
          <w:sz w:val="24"/>
          <w:szCs w:val="24"/>
        </w:rPr>
      </w:pPr>
    </w:p>
    <w:p w:rsidR="0026572B" w:rsidRDefault="0026572B" w:rsidP="00E11342">
      <w:pPr>
        <w:jc w:val="both"/>
        <w:rPr>
          <w:rFonts w:cstheme="minorHAnsi"/>
          <w:sz w:val="24"/>
          <w:szCs w:val="24"/>
        </w:rPr>
      </w:pPr>
    </w:p>
    <w:p w:rsidR="0026572B" w:rsidRDefault="0026572B" w:rsidP="00E11342">
      <w:pPr>
        <w:jc w:val="both"/>
        <w:rPr>
          <w:rFonts w:cstheme="minorHAnsi"/>
          <w:sz w:val="24"/>
          <w:szCs w:val="24"/>
        </w:rPr>
      </w:pPr>
    </w:p>
    <w:p w:rsidR="0026572B" w:rsidRDefault="0026572B" w:rsidP="00E11342">
      <w:pPr>
        <w:jc w:val="both"/>
        <w:rPr>
          <w:rFonts w:cstheme="minorHAnsi"/>
          <w:sz w:val="24"/>
          <w:szCs w:val="24"/>
        </w:rPr>
      </w:pPr>
    </w:p>
    <w:p w:rsidR="0026572B" w:rsidRDefault="0026572B" w:rsidP="00E11342">
      <w:pPr>
        <w:jc w:val="both"/>
        <w:rPr>
          <w:rFonts w:cstheme="minorHAnsi"/>
          <w:sz w:val="24"/>
          <w:szCs w:val="24"/>
        </w:rPr>
      </w:pPr>
    </w:p>
    <w:p w:rsidR="0026572B" w:rsidRDefault="0026572B" w:rsidP="00E11342">
      <w:pPr>
        <w:jc w:val="both"/>
        <w:rPr>
          <w:rFonts w:cstheme="minorHAnsi"/>
          <w:sz w:val="24"/>
          <w:szCs w:val="24"/>
        </w:rPr>
      </w:pPr>
    </w:p>
    <w:p w:rsidR="0026572B" w:rsidRDefault="0026572B" w:rsidP="00E11342">
      <w:pPr>
        <w:jc w:val="both"/>
        <w:rPr>
          <w:rFonts w:cstheme="minorHAnsi"/>
          <w:sz w:val="24"/>
          <w:szCs w:val="24"/>
        </w:rPr>
      </w:pPr>
    </w:p>
    <w:p w:rsidR="0026572B" w:rsidRPr="00E11342" w:rsidRDefault="0026572B" w:rsidP="00E11342">
      <w:pPr>
        <w:jc w:val="both"/>
        <w:rPr>
          <w:rFonts w:cstheme="minorHAnsi"/>
          <w:sz w:val="24"/>
          <w:szCs w:val="24"/>
        </w:rPr>
      </w:pPr>
    </w:p>
    <w:p w:rsidR="00FE33E5" w:rsidRPr="00E11342" w:rsidRDefault="00FE33E5" w:rsidP="00E11342">
      <w:pPr>
        <w:jc w:val="both"/>
        <w:rPr>
          <w:rFonts w:cstheme="minorHAnsi"/>
          <w:sz w:val="24"/>
          <w:szCs w:val="24"/>
        </w:rPr>
      </w:pPr>
    </w:p>
    <w:p w:rsidR="00FE33E5" w:rsidRDefault="00FE33E5" w:rsidP="00DA1B70">
      <w:pPr>
        <w:pStyle w:val="Heading1"/>
        <w:numPr>
          <w:ilvl w:val="0"/>
          <w:numId w:val="11"/>
        </w:numPr>
        <w:rPr>
          <w:b/>
          <w:color w:val="000000" w:themeColor="text1"/>
        </w:rPr>
      </w:pPr>
      <w:bookmarkStart w:id="24" w:name="_Toc162208564"/>
      <w:r w:rsidRPr="00DA1B70">
        <w:rPr>
          <w:b/>
          <w:color w:val="000000" w:themeColor="text1"/>
        </w:rPr>
        <w:lastRenderedPageBreak/>
        <w:t>References:</w:t>
      </w:r>
      <w:bookmarkEnd w:id="24"/>
    </w:p>
    <w:p w:rsidR="00DA1B70" w:rsidRPr="00DA1B70" w:rsidRDefault="00DA1B70" w:rsidP="00DA1B70"/>
    <w:p w:rsidR="0026572B" w:rsidRPr="0026572B" w:rsidRDefault="0026572B" w:rsidP="0026572B">
      <w:pPr>
        <w:pStyle w:val="ListParagraph"/>
        <w:numPr>
          <w:ilvl w:val="0"/>
          <w:numId w:val="19"/>
        </w:numPr>
        <w:spacing w:line="360" w:lineRule="auto"/>
        <w:jc w:val="both"/>
        <w:rPr>
          <w:rFonts w:cstheme="minorHAnsi"/>
          <w:sz w:val="24"/>
          <w:szCs w:val="24"/>
        </w:rPr>
      </w:pPr>
      <w:r w:rsidRPr="0026572B">
        <w:rPr>
          <w:rFonts w:cstheme="minorHAnsi"/>
          <w:sz w:val="24"/>
          <w:szCs w:val="24"/>
        </w:rPr>
        <w:t>Adams, B. (2021). "Ignores Cash Flows: ARR capitalizes on accounting profits which indeed may be not true; thus, some discounted cash flow (DCF) techniques are used such as economic value added."</w:t>
      </w:r>
    </w:p>
    <w:p w:rsidR="0026572B" w:rsidRPr="0026572B" w:rsidRDefault="0026572B" w:rsidP="0026572B">
      <w:pPr>
        <w:pStyle w:val="ListParagraph"/>
        <w:numPr>
          <w:ilvl w:val="0"/>
          <w:numId w:val="19"/>
        </w:numPr>
        <w:spacing w:line="360" w:lineRule="auto"/>
        <w:jc w:val="both"/>
        <w:rPr>
          <w:rFonts w:cstheme="minorHAnsi"/>
          <w:sz w:val="24"/>
          <w:szCs w:val="24"/>
        </w:rPr>
      </w:pPr>
      <w:r w:rsidRPr="0026572B">
        <w:rPr>
          <w:rFonts w:cstheme="minorHAnsi"/>
          <w:sz w:val="24"/>
          <w:szCs w:val="24"/>
        </w:rPr>
        <w:t>Adams, R. (2021). Evaluating Capital Investments: Beyond the Basics. Journal of Finance, 76(3), 1021-1045.</w:t>
      </w:r>
    </w:p>
    <w:p w:rsidR="0026572B" w:rsidRPr="0026572B" w:rsidRDefault="0026572B" w:rsidP="0026572B">
      <w:pPr>
        <w:pStyle w:val="ListParagraph"/>
        <w:numPr>
          <w:ilvl w:val="0"/>
          <w:numId w:val="19"/>
        </w:numPr>
        <w:spacing w:line="360" w:lineRule="auto"/>
        <w:jc w:val="both"/>
        <w:rPr>
          <w:rFonts w:cstheme="minorHAnsi"/>
          <w:sz w:val="24"/>
          <w:szCs w:val="24"/>
        </w:rPr>
      </w:pPr>
      <w:r w:rsidRPr="0026572B">
        <w:rPr>
          <w:rFonts w:cstheme="minorHAnsi"/>
          <w:sz w:val="24"/>
          <w:szCs w:val="24"/>
        </w:rPr>
        <w:t>Alabdullah, T.T.Y., Ahmed, E.R. and Kanaan-Jebna, A., 2022. Corporate Governance System and Firm Financial Performance. Acta Scientific COMPUTER SCIENCES Volume, 4(6).</w:t>
      </w:r>
    </w:p>
    <w:p w:rsidR="0026572B" w:rsidRPr="0026572B" w:rsidRDefault="0026572B" w:rsidP="0026572B">
      <w:pPr>
        <w:pStyle w:val="ListParagraph"/>
        <w:numPr>
          <w:ilvl w:val="0"/>
          <w:numId w:val="19"/>
        </w:numPr>
        <w:spacing w:line="360" w:lineRule="auto"/>
        <w:jc w:val="both"/>
        <w:rPr>
          <w:rFonts w:cstheme="minorHAnsi"/>
          <w:sz w:val="24"/>
          <w:szCs w:val="24"/>
        </w:rPr>
      </w:pPr>
      <w:r w:rsidRPr="0026572B">
        <w:rPr>
          <w:rFonts w:cstheme="minorHAnsi"/>
          <w:sz w:val="24"/>
          <w:szCs w:val="24"/>
        </w:rPr>
        <w:t>Ali, S., Murtaza, G., Hedvicakova, M., Jiang, J. and Naeem, M., 2022. Intellectual capital and financial performance: A comparative study. Frontiers in Psychology, 13, p.967820.</w:t>
      </w:r>
    </w:p>
    <w:p w:rsidR="0026572B" w:rsidRPr="0026572B" w:rsidRDefault="0026572B" w:rsidP="0026572B">
      <w:pPr>
        <w:pStyle w:val="ListParagraph"/>
        <w:numPr>
          <w:ilvl w:val="0"/>
          <w:numId w:val="19"/>
        </w:numPr>
        <w:spacing w:line="360" w:lineRule="auto"/>
        <w:jc w:val="both"/>
        <w:rPr>
          <w:rFonts w:cstheme="minorHAnsi"/>
          <w:sz w:val="24"/>
          <w:szCs w:val="24"/>
        </w:rPr>
      </w:pPr>
      <w:r w:rsidRPr="0026572B">
        <w:rPr>
          <w:rFonts w:cstheme="minorHAnsi"/>
          <w:sz w:val="24"/>
          <w:szCs w:val="24"/>
        </w:rPr>
        <w:t>Barauskaite, G. and Streimikiene, D., 2021. Corporate social responsibility and financial performance of companies: The puzzle of concepts, definitions and assessment methods. Corporate Social Responsibility and Environmental Management, 28(1), pp.278-287.</w:t>
      </w:r>
    </w:p>
    <w:p w:rsidR="0026572B" w:rsidRPr="0026572B" w:rsidRDefault="0026572B" w:rsidP="0026572B">
      <w:pPr>
        <w:pStyle w:val="ListParagraph"/>
        <w:numPr>
          <w:ilvl w:val="0"/>
          <w:numId w:val="19"/>
        </w:numPr>
        <w:spacing w:line="360" w:lineRule="auto"/>
        <w:jc w:val="both"/>
        <w:rPr>
          <w:rFonts w:cstheme="minorHAnsi"/>
          <w:sz w:val="24"/>
          <w:szCs w:val="24"/>
        </w:rPr>
      </w:pPr>
      <w:r w:rsidRPr="0026572B">
        <w:rPr>
          <w:rFonts w:cstheme="minorHAnsi"/>
          <w:sz w:val="24"/>
          <w:szCs w:val="24"/>
        </w:rPr>
        <w:t>Beacom, T., &amp; Martin, S. (2020). "Ease of Calculation: It does produce account records, thus, it is easier to make calculations."</w:t>
      </w:r>
    </w:p>
    <w:p w:rsidR="0026572B" w:rsidRPr="0026572B" w:rsidRDefault="0026572B" w:rsidP="0026572B">
      <w:pPr>
        <w:pStyle w:val="ListParagraph"/>
        <w:numPr>
          <w:ilvl w:val="0"/>
          <w:numId w:val="19"/>
        </w:numPr>
        <w:spacing w:line="360" w:lineRule="auto"/>
        <w:jc w:val="both"/>
        <w:rPr>
          <w:rFonts w:cstheme="minorHAnsi"/>
          <w:sz w:val="24"/>
          <w:szCs w:val="24"/>
        </w:rPr>
      </w:pPr>
      <w:r w:rsidRPr="0026572B">
        <w:rPr>
          <w:rFonts w:cstheme="minorHAnsi"/>
          <w:sz w:val="24"/>
          <w:szCs w:val="24"/>
        </w:rPr>
        <w:t>Brown, R. (2020). "Ignores Time Value of Money: Unlike PBP, NPV does not take the time value of money into account, which may result in underestimation of project financial risks."</w:t>
      </w:r>
    </w:p>
    <w:p w:rsidR="0026572B" w:rsidRPr="0026572B" w:rsidRDefault="0026572B" w:rsidP="0026572B">
      <w:pPr>
        <w:pStyle w:val="ListParagraph"/>
        <w:numPr>
          <w:ilvl w:val="0"/>
          <w:numId w:val="19"/>
        </w:numPr>
        <w:spacing w:line="360" w:lineRule="auto"/>
        <w:jc w:val="both"/>
        <w:rPr>
          <w:rFonts w:cstheme="minorHAnsi"/>
          <w:sz w:val="24"/>
          <w:szCs w:val="24"/>
        </w:rPr>
      </w:pPr>
      <w:r w:rsidRPr="0026572B">
        <w:rPr>
          <w:rFonts w:cstheme="minorHAnsi"/>
          <w:sz w:val="24"/>
          <w:szCs w:val="24"/>
        </w:rPr>
        <w:t>Brown, T. (2020). The Time Value of Money in Capital Budgeting. Financial Management Review, 34(2), 45-60.</w:t>
      </w:r>
    </w:p>
    <w:p w:rsidR="0026572B" w:rsidRPr="0026572B" w:rsidRDefault="0026572B" w:rsidP="0026572B">
      <w:pPr>
        <w:pStyle w:val="ListParagraph"/>
        <w:numPr>
          <w:ilvl w:val="0"/>
          <w:numId w:val="19"/>
        </w:numPr>
        <w:spacing w:line="360" w:lineRule="auto"/>
        <w:jc w:val="both"/>
        <w:rPr>
          <w:rFonts w:cstheme="minorHAnsi"/>
          <w:sz w:val="24"/>
          <w:szCs w:val="24"/>
        </w:rPr>
      </w:pPr>
      <w:r w:rsidRPr="0026572B">
        <w:rPr>
          <w:rFonts w:cstheme="minorHAnsi"/>
          <w:sz w:val="24"/>
          <w:szCs w:val="24"/>
        </w:rPr>
        <w:t>Clark, D. (2019). Understanding the Accounting Rate of Return. Journal of Accounting Research, 57(1), 213-238.</w:t>
      </w:r>
    </w:p>
    <w:p w:rsidR="0026572B" w:rsidRPr="0026572B" w:rsidRDefault="0026572B" w:rsidP="0026572B">
      <w:pPr>
        <w:pStyle w:val="ListParagraph"/>
        <w:numPr>
          <w:ilvl w:val="0"/>
          <w:numId w:val="19"/>
        </w:numPr>
        <w:spacing w:line="360" w:lineRule="auto"/>
        <w:jc w:val="both"/>
        <w:rPr>
          <w:rFonts w:cstheme="minorHAnsi"/>
          <w:sz w:val="24"/>
          <w:szCs w:val="24"/>
        </w:rPr>
      </w:pPr>
      <w:r w:rsidRPr="0026572B">
        <w:rPr>
          <w:rFonts w:cstheme="minorHAnsi"/>
          <w:sz w:val="24"/>
          <w:szCs w:val="24"/>
        </w:rPr>
        <w:t>Clark, M. (2019). "Profitability Indicator: ARR means the yearly average return, through which we investigate the project profitability year by year."</w:t>
      </w:r>
    </w:p>
    <w:p w:rsidR="0026572B" w:rsidRPr="0026572B" w:rsidRDefault="0026572B" w:rsidP="0026572B">
      <w:pPr>
        <w:pStyle w:val="ListParagraph"/>
        <w:numPr>
          <w:ilvl w:val="0"/>
          <w:numId w:val="19"/>
        </w:numPr>
        <w:spacing w:line="360" w:lineRule="auto"/>
        <w:jc w:val="both"/>
        <w:rPr>
          <w:rFonts w:cstheme="minorHAnsi"/>
          <w:sz w:val="24"/>
          <w:szCs w:val="24"/>
        </w:rPr>
      </w:pPr>
      <w:r w:rsidRPr="0026572B">
        <w:rPr>
          <w:rFonts w:cstheme="minorHAnsi"/>
          <w:sz w:val="24"/>
          <w:szCs w:val="24"/>
        </w:rPr>
        <w:t>Dirman, A., 2020. Financial distress: the impacts of profitability, liquidity, leverage, firm size, and free cash flow. International Journal of Business, Economics and Law, 22(1), pp.17-25.</w:t>
      </w:r>
    </w:p>
    <w:p w:rsidR="0026572B" w:rsidRPr="0026572B" w:rsidRDefault="0026572B" w:rsidP="0026572B">
      <w:pPr>
        <w:pStyle w:val="ListParagraph"/>
        <w:numPr>
          <w:ilvl w:val="0"/>
          <w:numId w:val="19"/>
        </w:numPr>
        <w:spacing w:line="360" w:lineRule="auto"/>
        <w:jc w:val="both"/>
        <w:rPr>
          <w:rFonts w:cstheme="minorHAnsi"/>
          <w:sz w:val="24"/>
          <w:szCs w:val="24"/>
        </w:rPr>
      </w:pPr>
      <w:r w:rsidRPr="0026572B">
        <w:rPr>
          <w:rFonts w:cstheme="minorHAnsi"/>
          <w:sz w:val="24"/>
          <w:szCs w:val="24"/>
        </w:rPr>
        <w:t>Evans, D. (2019). "Time Value of Money: NPV considers the time value of money and it predicts a value of the project in a more accurate way."</w:t>
      </w:r>
    </w:p>
    <w:p w:rsidR="0026572B" w:rsidRPr="0026572B" w:rsidRDefault="0026572B" w:rsidP="0026572B">
      <w:pPr>
        <w:pStyle w:val="ListParagraph"/>
        <w:numPr>
          <w:ilvl w:val="0"/>
          <w:numId w:val="19"/>
        </w:numPr>
        <w:spacing w:line="360" w:lineRule="auto"/>
        <w:jc w:val="both"/>
        <w:rPr>
          <w:rFonts w:cstheme="minorHAnsi"/>
          <w:sz w:val="24"/>
          <w:szCs w:val="24"/>
        </w:rPr>
      </w:pPr>
      <w:r w:rsidRPr="0026572B">
        <w:rPr>
          <w:rFonts w:cstheme="minorHAnsi"/>
          <w:sz w:val="24"/>
          <w:szCs w:val="24"/>
        </w:rPr>
        <w:lastRenderedPageBreak/>
        <w:t>Evans, L. (2019). Net Present Value: A Practitioner's Guide. Journal of Investment Analysis, 40(4), 56-73.</w:t>
      </w:r>
    </w:p>
    <w:p w:rsidR="0026572B" w:rsidRPr="0026572B" w:rsidRDefault="0026572B" w:rsidP="0026572B">
      <w:pPr>
        <w:pStyle w:val="ListParagraph"/>
        <w:numPr>
          <w:ilvl w:val="0"/>
          <w:numId w:val="19"/>
        </w:numPr>
        <w:spacing w:line="360" w:lineRule="auto"/>
        <w:jc w:val="both"/>
        <w:rPr>
          <w:rFonts w:cstheme="minorHAnsi"/>
          <w:sz w:val="24"/>
          <w:szCs w:val="24"/>
        </w:rPr>
      </w:pPr>
      <w:r w:rsidRPr="0026572B">
        <w:rPr>
          <w:rFonts w:cstheme="minorHAnsi"/>
          <w:sz w:val="24"/>
          <w:szCs w:val="24"/>
        </w:rPr>
        <w:t>Garcia, M. (2024). The Sensitivity of Net Present Value to Estimation Errors. International Journal of Financial Studies, 12(1), 67-89.</w:t>
      </w:r>
    </w:p>
    <w:p w:rsidR="0026572B" w:rsidRPr="0026572B" w:rsidRDefault="0026572B" w:rsidP="0026572B">
      <w:pPr>
        <w:pStyle w:val="ListParagraph"/>
        <w:numPr>
          <w:ilvl w:val="0"/>
          <w:numId w:val="19"/>
        </w:numPr>
        <w:spacing w:line="360" w:lineRule="auto"/>
        <w:jc w:val="both"/>
        <w:rPr>
          <w:rFonts w:cstheme="minorHAnsi"/>
          <w:sz w:val="24"/>
          <w:szCs w:val="24"/>
        </w:rPr>
      </w:pPr>
      <w:r w:rsidRPr="0026572B">
        <w:rPr>
          <w:rFonts w:cstheme="minorHAnsi"/>
          <w:sz w:val="24"/>
          <w:szCs w:val="24"/>
        </w:rPr>
        <w:t>Garcia, R. (2024). "Estimation Sensitivity: NPV can be volatile, because it uses the discount rate and the assumed cash flows, thus the results are prone to variability."</w:t>
      </w:r>
    </w:p>
    <w:p w:rsidR="0026572B" w:rsidRPr="0026572B" w:rsidRDefault="0026572B" w:rsidP="0026572B">
      <w:pPr>
        <w:pStyle w:val="ListParagraph"/>
        <w:numPr>
          <w:ilvl w:val="0"/>
          <w:numId w:val="19"/>
        </w:numPr>
        <w:spacing w:line="360" w:lineRule="auto"/>
        <w:jc w:val="both"/>
        <w:rPr>
          <w:rFonts w:cstheme="minorHAnsi"/>
          <w:sz w:val="24"/>
          <w:szCs w:val="24"/>
        </w:rPr>
      </w:pPr>
      <w:r w:rsidRPr="0026572B">
        <w:rPr>
          <w:rFonts w:cstheme="minorHAnsi"/>
          <w:sz w:val="24"/>
          <w:szCs w:val="24"/>
        </w:rPr>
        <w:t>Harris, J. (2022). Complexity in Capital Budgeting: Navigating Through Uncertainty. Journal of Financial Planning, 45(3), 89-104.</w:t>
      </w:r>
    </w:p>
    <w:p w:rsidR="0026572B" w:rsidRPr="0026572B" w:rsidRDefault="0026572B" w:rsidP="0026572B">
      <w:pPr>
        <w:pStyle w:val="ListParagraph"/>
        <w:numPr>
          <w:ilvl w:val="0"/>
          <w:numId w:val="19"/>
        </w:numPr>
        <w:spacing w:line="360" w:lineRule="auto"/>
        <w:jc w:val="both"/>
        <w:rPr>
          <w:rFonts w:cstheme="minorHAnsi"/>
          <w:sz w:val="24"/>
          <w:szCs w:val="24"/>
        </w:rPr>
      </w:pPr>
      <w:r w:rsidRPr="0026572B">
        <w:rPr>
          <w:rFonts w:cstheme="minorHAnsi"/>
          <w:sz w:val="24"/>
          <w:szCs w:val="24"/>
        </w:rPr>
        <w:t>Harris, P. (2022). "Complexity: NPV is a complicated factor however to projects with uncertain disposals this makes it even tougher."</w:t>
      </w:r>
    </w:p>
    <w:p w:rsidR="0026572B" w:rsidRPr="0026572B" w:rsidRDefault="0026572B" w:rsidP="0026572B">
      <w:pPr>
        <w:pStyle w:val="ListParagraph"/>
        <w:numPr>
          <w:ilvl w:val="0"/>
          <w:numId w:val="19"/>
        </w:numPr>
        <w:spacing w:line="360" w:lineRule="auto"/>
        <w:jc w:val="both"/>
        <w:rPr>
          <w:rFonts w:cstheme="minorHAnsi"/>
          <w:sz w:val="24"/>
          <w:szCs w:val="24"/>
        </w:rPr>
      </w:pPr>
      <w:r w:rsidRPr="0026572B">
        <w:rPr>
          <w:rFonts w:cstheme="minorHAnsi"/>
          <w:sz w:val="24"/>
          <w:szCs w:val="24"/>
        </w:rPr>
        <w:t>Jihadi, M., Vilantika, E., Hashemi, S.M., Arifin, Z., Bachtiar, Y. and Sholichah, F., 2021. The effect of liquidity, leverage, and profitability on firm value: Empirical evidence from Indonesia. The Journal of Asian Finance, Economics and Business, 8(3), pp.423-431.</w:t>
      </w:r>
    </w:p>
    <w:p w:rsidR="0026572B" w:rsidRPr="0026572B" w:rsidRDefault="0026572B" w:rsidP="0026572B">
      <w:pPr>
        <w:pStyle w:val="ListParagraph"/>
        <w:numPr>
          <w:ilvl w:val="0"/>
          <w:numId w:val="19"/>
        </w:numPr>
        <w:spacing w:line="360" w:lineRule="auto"/>
        <w:jc w:val="both"/>
        <w:rPr>
          <w:rFonts w:cstheme="minorHAnsi"/>
          <w:sz w:val="24"/>
          <w:szCs w:val="24"/>
        </w:rPr>
      </w:pPr>
      <w:r w:rsidRPr="0026572B">
        <w:rPr>
          <w:rFonts w:cstheme="minorHAnsi"/>
          <w:sz w:val="24"/>
          <w:szCs w:val="24"/>
        </w:rPr>
        <w:t>Johnson, L. (2021). "Liquidity Focus: It represents the swiftness on the capturing of investments, which is good for those businesses that prefer liquidity."</w:t>
      </w:r>
    </w:p>
    <w:p w:rsidR="0026572B" w:rsidRPr="0026572B" w:rsidRDefault="0026572B" w:rsidP="0026572B">
      <w:pPr>
        <w:pStyle w:val="ListParagraph"/>
        <w:numPr>
          <w:ilvl w:val="0"/>
          <w:numId w:val="19"/>
        </w:numPr>
        <w:spacing w:line="360" w:lineRule="auto"/>
        <w:jc w:val="both"/>
        <w:rPr>
          <w:rFonts w:cstheme="minorHAnsi"/>
          <w:sz w:val="24"/>
          <w:szCs w:val="24"/>
        </w:rPr>
      </w:pPr>
      <w:r w:rsidRPr="0026572B">
        <w:rPr>
          <w:rFonts w:cstheme="minorHAnsi"/>
          <w:sz w:val="24"/>
          <w:szCs w:val="24"/>
        </w:rPr>
        <w:t>Johnson, M. (2021). Liquidity Considerations in Capital Budgeting Decisions. Financial Review, 56(1), 153-174.</w:t>
      </w:r>
    </w:p>
    <w:p w:rsidR="0026572B" w:rsidRPr="0026572B" w:rsidRDefault="0026572B" w:rsidP="0026572B">
      <w:pPr>
        <w:pStyle w:val="ListParagraph"/>
        <w:numPr>
          <w:ilvl w:val="0"/>
          <w:numId w:val="19"/>
        </w:numPr>
        <w:spacing w:line="360" w:lineRule="auto"/>
        <w:jc w:val="both"/>
        <w:rPr>
          <w:rFonts w:cstheme="minorHAnsi"/>
          <w:sz w:val="24"/>
          <w:szCs w:val="24"/>
        </w:rPr>
      </w:pPr>
      <w:r w:rsidRPr="0026572B">
        <w:rPr>
          <w:rFonts w:cstheme="minorHAnsi"/>
          <w:sz w:val="24"/>
          <w:szCs w:val="24"/>
        </w:rPr>
        <w:t>Jones, S. (2022). Integrating Multiple Capital Budgeting Techniques for Robust Investment Decisions. Finance and Business Review, 48(2), 112-130.</w:t>
      </w:r>
    </w:p>
    <w:p w:rsidR="0026572B" w:rsidRPr="0026572B" w:rsidRDefault="0026572B" w:rsidP="0026572B">
      <w:pPr>
        <w:pStyle w:val="ListParagraph"/>
        <w:numPr>
          <w:ilvl w:val="0"/>
          <w:numId w:val="19"/>
        </w:numPr>
        <w:spacing w:line="360" w:lineRule="auto"/>
        <w:jc w:val="both"/>
        <w:rPr>
          <w:rFonts w:cstheme="minorHAnsi"/>
          <w:sz w:val="24"/>
          <w:szCs w:val="24"/>
        </w:rPr>
      </w:pPr>
      <w:r w:rsidRPr="0026572B">
        <w:rPr>
          <w:rFonts w:cstheme="minorHAnsi"/>
          <w:sz w:val="24"/>
          <w:szCs w:val="24"/>
        </w:rPr>
        <w:t>Kim, H. (2020). "Comprehensive Evaluation: It takes into account all the financial matters that are involved in this project, such as the credit in and outflow for the entire life cycle which subsequently provides a comprehensive outlook about operating profits."</w:t>
      </w:r>
    </w:p>
    <w:p w:rsidR="0026572B" w:rsidRPr="0026572B" w:rsidRDefault="0026572B" w:rsidP="0026572B">
      <w:pPr>
        <w:pStyle w:val="ListParagraph"/>
        <w:numPr>
          <w:ilvl w:val="0"/>
          <w:numId w:val="19"/>
        </w:numPr>
        <w:spacing w:line="360" w:lineRule="auto"/>
        <w:jc w:val="both"/>
        <w:rPr>
          <w:rFonts w:cstheme="minorHAnsi"/>
          <w:sz w:val="24"/>
          <w:szCs w:val="24"/>
        </w:rPr>
      </w:pPr>
      <w:r w:rsidRPr="0026572B">
        <w:rPr>
          <w:rFonts w:cstheme="minorHAnsi"/>
          <w:sz w:val="24"/>
          <w:szCs w:val="24"/>
        </w:rPr>
        <w:t>Kim, H. (2020). The Role of Net Present Value in Investment Decision Making. Journal of Corporate Finance, 63, 101-115.</w:t>
      </w:r>
    </w:p>
    <w:p w:rsidR="0026572B" w:rsidRPr="0026572B" w:rsidRDefault="0026572B" w:rsidP="0026572B">
      <w:pPr>
        <w:pStyle w:val="ListParagraph"/>
        <w:numPr>
          <w:ilvl w:val="0"/>
          <w:numId w:val="19"/>
        </w:numPr>
        <w:spacing w:line="360" w:lineRule="auto"/>
        <w:jc w:val="both"/>
        <w:rPr>
          <w:rFonts w:cstheme="minorHAnsi"/>
          <w:sz w:val="24"/>
          <w:szCs w:val="24"/>
        </w:rPr>
      </w:pPr>
      <w:r w:rsidRPr="0026572B">
        <w:rPr>
          <w:rFonts w:cstheme="minorHAnsi"/>
          <w:sz w:val="24"/>
          <w:szCs w:val="24"/>
        </w:rPr>
        <w:t>Martin, L. (2020). Accounting Rate of Return: Insights and Implications. Accounting Perspectives, 19(2), 123-142.</w:t>
      </w:r>
    </w:p>
    <w:p w:rsidR="0026572B" w:rsidRPr="0026572B" w:rsidRDefault="0026572B" w:rsidP="0026572B">
      <w:pPr>
        <w:pStyle w:val="ListParagraph"/>
        <w:numPr>
          <w:ilvl w:val="0"/>
          <w:numId w:val="19"/>
        </w:numPr>
        <w:spacing w:line="360" w:lineRule="auto"/>
        <w:jc w:val="both"/>
        <w:rPr>
          <w:rFonts w:cstheme="minorHAnsi"/>
          <w:sz w:val="24"/>
          <w:szCs w:val="24"/>
        </w:rPr>
      </w:pPr>
      <w:r w:rsidRPr="0026572B">
        <w:rPr>
          <w:rFonts w:cstheme="minorHAnsi"/>
          <w:sz w:val="24"/>
          <w:szCs w:val="24"/>
        </w:rPr>
        <w:t>Rafid, M., Soukotta, A., Cakranegara, P.A., Sutiyan, O.S.J. and Nurriqli, A., 2021. Analysis Of Liquidity Ratios, Profitability Ratios, And Capital Structures On Financial Distress Conditions In Service Companies During The Covid-19 Period. Jurnal Darma Agung, 30(2), pp.614-622.</w:t>
      </w:r>
    </w:p>
    <w:p w:rsidR="0026572B" w:rsidRPr="0026572B" w:rsidRDefault="0026572B" w:rsidP="0026572B">
      <w:pPr>
        <w:pStyle w:val="ListParagraph"/>
        <w:numPr>
          <w:ilvl w:val="0"/>
          <w:numId w:val="19"/>
        </w:numPr>
        <w:spacing w:line="360" w:lineRule="auto"/>
        <w:jc w:val="both"/>
        <w:rPr>
          <w:rFonts w:cstheme="minorHAnsi"/>
          <w:sz w:val="24"/>
          <w:szCs w:val="24"/>
        </w:rPr>
      </w:pPr>
      <w:r w:rsidRPr="0026572B">
        <w:rPr>
          <w:rFonts w:cstheme="minorHAnsi"/>
          <w:sz w:val="24"/>
          <w:szCs w:val="24"/>
        </w:rPr>
        <w:lastRenderedPageBreak/>
        <w:t>Smith, J. (2019). "Simplicity: PBP is simple and clear to understand, so it is frequently chosen for decision making especially during the project selection of the initial screening."</w:t>
      </w:r>
    </w:p>
    <w:p w:rsidR="0026572B" w:rsidRPr="0026572B" w:rsidRDefault="0026572B" w:rsidP="0026572B">
      <w:pPr>
        <w:pStyle w:val="ListParagraph"/>
        <w:numPr>
          <w:ilvl w:val="0"/>
          <w:numId w:val="19"/>
        </w:numPr>
        <w:spacing w:line="360" w:lineRule="auto"/>
        <w:jc w:val="both"/>
        <w:rPr>
          <w:rFonts w:cstheme="minorHAnsi"/>
          <w:sz w:val="24"/>
          <w:szCs w:val="24"/>
        </w:rPr>
      </w:pPr>
      <w:r w:rsidRPr="0026572B">
        <w:rPr>
          <w:rFonts w:cstheme="minorHAnsi"/>
          <w:sz w:val="24"/>
          <w:szCs w:val="24"/>
        </w:rPr>
        <w:t>Smith, J. (2019). The Payback Period Method: A Reevaluation. Journal of Business and Finance, 41(3), 85-95.</w:t>
      </w:r>
    </w:p>
    <w:p w:rsidR="0026572B" w:rsidRPr="0026572B" w:rsidRDefault="0026572B" w:rsidP="0026572B">
      <w:pPr>
        <w:pStyle w:val="ListParagraph"/>
        <w:numPr>
          <w:ilvl w:val="0"/>
          <w:numId w:val="19"/>
        </w:numPr>
        <w:spacing w:line="360" w:lineRule="auto"/>
        <w:jc w:val="both"/>
        <w:rPr>
          <w:rFonts w:cstheme="minorHAnsi"/>
          <w:sz w:val="24"/>
          <w:szCs w:val="24"/>
        </w:rPr>
      </w:pPr>
      <w:r w:rsidRPr="0026572B">
        <w:rPr>
          <w:rFonts w:cstheme="minorHAnsi"/>
          <w:sz w:val="24"/>
          <w:szCs w:val="24"/>
        </w:rPr>
        <w:t>Turner, C. (2023). "Variance in Results: Various accounting practices could therefore result in diverse ARR figures, and such inconsistencies impede comparable records."</w:t>
      </w:r>
    </w:p>
    <w:p w:rsidR="0026572B" w:rsidRPr="0026572B" w:rsidRDefault="0026572B" w:rsidP="0026572B">
      <w:pPr>
        <w:pStyle w:val="ListParagraph"/>
        <w:numPr>
          <w:ilvl w:val="0"/>
          <w:numId w:val="19"/>
        </w:numPr>
        <w:spacing w:line="360" w:lineRule="auto"/>
        <w:jc w:val="both"/>
        <w:rPr>
          <w:rFonts w:cstheme="minorHAnsi"/>
          <w:sz w:val="24"/>
          <w:szCs w:val="24"/>
        </w:rPr>
      </w:pPr>
      <w:r w:rsidRPr="0026572B">
        <w:rPr>
          <w:rFonts w:cstheme="minorHAnsi"/>
          <w:sz w:val="24"/>
          <w:szCs w:val="24"/>
        </w:rPr>
        <w:t>Turner, R. (2023). The Impact of Accounting Practices on the Accounting Rate of Return. Journal of Accounting and Economics, 75(2), 239</w:t>
      </w:r>
    </w:p>
    <w:p w:rsidR="0026572B" w:rsidRPr="0026572B" w:rsidRDefault="0026572B" w:rsidP="0026572B">
      <w:pPr>
        <w:pStyle w:val="ListParagraph"/>
        <w:numPr>
          <w:ilvl w:val="0"/>
          <w:numId w:val="19"/>
        </w:numPr>
        <w:spacing w:line="360" w:lineRule="auto"/>
        <w:jc w:val="both"/>
        <w:rPr>
          <w:rFonts w:cstheme="minorHAnsi"/>
          <w:sz w:val="24"/>
          <w:szCs w:val="24"/>
        </w:rPr>
      </w:pPr>
      <w:r w:rsidRPr="0026572B">
        <w:rPr>
          <w:rFonts w:cstheme="minorHAnsi"/>
          <w:sz w:val="24"/>
          <w:szCs w:val="24"/>
        </w:rPr>
        <w:t>Wilson, A. (2022). "Excludes Post-Payback Cash Flows: It disregards the cash flows during the time span after the payback period, hence often underestimating the value of long-term investments."</w:t>
      </w:r>
    </w:p>
    <w:p w:rsidR="004805C8" w:rsidRPr="00E11342" w:rsidRDefault="004805C8" w:rsidP="00E11342">
      <w:pPr>
        <w:jc w:val="both"/>
        <w:rPr>
          <w:rFonts w:cstheme="minorHAnsi"/>
          <w:sz w:val="24"/>
          <w:szCs w:val="24"/>
        </w:rPr>
      </w:pPr>
    </w:p>
    <w:p w:rsidR="00FE33E5" w:rsidRPr="00E11342" w:rsidRDefault="00FE33E5" w:rsidP="00E11342">
      <w:pPr>
        <w:jc w:val="both"/>
        <w:rPr>
          <w:rFonts w:cstheme="minorHAnsi"/>
          <w:sz w:val="24"/>
          <w:szCs w:val="24"/>
        </w:rPr>
      </w:pPr>
    </w:p>
    <w:p w:rsidR="004805C8" w:rsidRPr="00E11342" w:rsidRDefault="004805C8" w:rsidP="00E11342">
      <w:pPr>
        <w:jc w:val="both"/>
        <w:rPr>
          <w:rFonts w:cstheme="minorHAnsi"/>
          <w:sz w:val="24"/>
          <w:szCs w:val="24"/>
        </w:rPr>
      </w:pPr>
    </w:p>
    <w:p w:rsidR="004805C8" w:rsidRPr="00E11342" w:rsidRDefault="004805C8" w:rsidP="00E11342">
      <w:pPr>
        <w:jc w:val="both"/>
        <w:rPr>
          <w:rFonts w:cstheme="minorHAnsi"/>
          <w:sz w:val="24"/>
          <w:szCs w:val="24"/>
        </w:rPr>
      </w:pPr>
    </w:p>
    <w:p w:rsidR="004805C8" w:rsidRPr="00E11342" w:rsidRDefault="004805C8" w:rsidP="00E11342">
      <w:pPr>
        <w:jc w:val="both"/>
        <w:rPr>
          <w:rFonts w:cstheme="minorHAnsi"/>
          <w:sz w:val="24"/>
          <w:szCs w:val="24"/>
        </w:rPr>
      </w:pPr>
    </w:p>
    <w:p w:rsidR="004805C8" w:rsidRPr="00E11342" w:rsidRDefault="004805C8" w:rsidP="00E11342">
      <w:pPr>
        <w:jc w:val="both"/>
        <w:rPr>
          <w:rFonts w:cstheme="minorHAnsi"/>
          <w:sz w:val="24"/>
          <w:szCs w:val="24"/>
        </w:rPr>
      </w:pPr>
    </w:p>
    <w:p w:rsidR="004805C8" w:rsidRPr="00E11342" w:rsidRDefault="004805C8" w:rsidP="00E11342">
      <w:pPr>
        <w:jc w:val="both"/>
        <w:rPr>
          <w:rFonts w:cstheme="minorHAnsi"/>
          <w:sz w:val="24"/>
          <w:szCs w:val="24"/>
        </w:rPr>
      </w:pPr>
    </w:p>
    <w:p w:rsidR="004805C8" w:rsidRPr="00E11342" w:rsidRDefault="004805C8" w:rsidP="00E11342">
      <w:pPr>
        <w:jc w:val="both"/>
        <w:rPr>
          <w:rFonts w:cstheme="minorHAnsi"/>
          <w:sz w:val="24"/>
          <w:szCs w:val="24"/>
        </w:rPr>
      </w:pPr>
    </w:p>
    <w:p w:rsidR="004805C8" w:rsidRPr="00E11342" w:rsidRDefault="004805C8" w:rsidP="00E11342">
      <w:pPr>
        <w:jc w:val="both"/>
        <w:rPr>
          <w:rFonts w:cstheme="minorHAnsi"/>
          <w:sz w:val="24"/>
          <w:szCs w:val="24"/>
        </w:rPr>
      </w:pPr>
    </w:p>
    <w:p w:rsidR="004805C8" w:rsidRPr="00E11342" w:rsidRDefault="004805C8" w:rsidP="00E11342">
      <w:pPr>
        <w:jc w:val="both"/>
        <w:rPr>
          <w:rFonts w:cstheme="minorHAnsi"/>
          <w:sz w:val="24"/>
          <w:szCs w:val="24"/>
        </w:rPr>
      </w:pPr>
    </w:p>
    <w:p w:rsidR="00FB0C2B" w:rsidRPr="00E11342" w:rsidRDefault="00FB0C2B" w:rsidP="00E11342">
      <w:pPr>
        <w:jc w:val="both"/>
        <w:rPr>
          <w:rFonts w:cstheme="minorHAnsi"/>
          <w:sz w:val="24"/>
          <w:szCs w:val="24"/>
        </w:rPr>
      </w:pPr>
    </w:p>
    <w:p w:rsidR="00DF3529" w:rsidRPr="00E11342" w:rsidRDefault="00DF3529" w:rsidP="00E11342">
      <w:pPr>
        <w:jc w:val="both"/>
        <w:rPr>
          <w:rFonts w:cstheme="minorHAnsi"/>
          <w:sz w:val="24"/>
          <w:szCs w:val="24"/>
        </w:rPr>
      </w:pPr>
    </w:p>
    <w:p w:rsidR="00DF3529" w:rsidRPr="00E11342" w:rsidRDefault="00DF3529" w:rsidP="00E11342">
      <w:pPr>
        <w:jc w:val="both"/>
        <w:rPr>
          <w:rFonts w:cstheme="minorHAnsi"/>
          <w:sz w:val="24"/>
          <w:szCs w:val="24"/>
        </w:rPr>
      </w:pPr>
    </w:p>
    <w:p w:rsidR="00DF3529" w:rsidRPr="00E11342" w:rsidRDefault="00DF3529" w:rsidP="00E11342">
      <w:pPr>
        <w:jc w:val="both"/>
        <w:rPr>
          <w:rFonts w:cstheme="minorHAnsi"/>
          <w:sz w:val="24"/>
          <w:szCs w:val="24"/>
        </w:rPr>
      </w:pPr>
    </w:p>
    <w:p w:rsidR="00DF3529" w:rsidRPr="00E11342" w:rsidRDefault="00DF3529" w:rsidP="00E11342">
      <w:pPr>
        <w:jc w:val="both"/>
        <w:rPr>
          <w:rFonts w:cstheme="minorHAnsi"/>
          <w:sz w:val="24"/>
          <w:szCs w:val="24"/>
        </w:rPr>
      </w:pPr>
    </w:p>
    <w:sectPr w:rsidR="00DF3529" w:rsidRPr="00E11342" w:rsidSect="001E16F4">
      <w:footerReference w:type="default" r:id="rId8"/>
      <w:pgSz w:w="12240" w:h="15840"/>
      <w:pgMar w:top="1440" w:right="1080" w:bottom="1440" w:left="108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3525" w:rsidRDefault="00843525" w:rsidP="00AD38A2">
      <w:pPr>
        <w:spacing w:after="0" w:line="240" w:lineRule="auto"/>
      </w:pPr>
      <w:r>
        <w:separator/>
      </w:r>
    </w:p>
  </w:endnote>
  <w:endnote w:type="continuationSeparator" w:id="0">
    <w:p w:rsidR="00843525" w:rsidRDefault="00843525" w:rsidP="00AD3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0934"/>
      <w:docPartObj>
        <w:docPartGallery w:val="Page Numbers (Bottom of Page)"/>
        <w:docPartUnique/>
      </w:docPartObj>
    </w:sdtPr>
    <w:sdtEndPr>
      <w:rPr>
        <w:noProof/>
      </w:rPr>
    </w:sdtEndPr>
    <w:sdtContent>
      <w:p w:rsidR="00AD38A2" w:rsidRDefault="00AD38A2">
        <w:pPr>
          <w:pStyle w:val="Footer"/>
          <w:jc w:val="right"/>
        </w:pPr>
        <w:r>
          <w:fldChar w:fldCharType="begin"/>
        </w:r>
        <w:r>
          <w:instrText xml:space="preserve"> PAGE   \* MERGEFORMAT </w:instrText>
        </w:r>
        <w:r>
          <w:fldChar w:fldCharType="separate"/>
        </w:r>
        <w:r w:rsidR="001F6573">
          <w:rPr>
            <w:noProof/>
          </w:rPr>
          <w:t>21</w:t>
        </w:r>
        <w:r>
          <w:rPr>
            <w:noProof/>
          </w:rPr>
          <w:fldChar w:fldCharType="end"/>
        </w:r>
      </w:p>
    </w:sdtContent>
  </w:sdt>
  <w:p w:rsidR="00AD38A2" w:rsidRDefault="00AD38A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3525" w:rsidRDefault="00843525" w:rsidP="00AD38A2">
      <w:pPr>
        <w:spacing w:after="0" w:line="240" w:lineRule="auto"/>
      </w:pPr>
      <w:r>
        <w:separator/>
      </w:r>
    </w:p>
  </w:footnote>
  <w:footnote w:type="continuationSeparator" w:id="0">
    <w:p w:rsidR="00843525" w:rsidRDefault="00843525" w:rsidP="00AD38A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CF0C15"/>
    <w:multiLevelType w:val="multilevel"/>
    <w:tmpl w:val="4E965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0B3553"/>
    <w:multiLevelType w:val="multilevel"/>
    <w:tmpl w:val="BBC857C4"/>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F486D86"/>
    <w:multiLevelType w:val="multilevel"/>
    <w:tmpl w:val="00007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0E8435F"/>
    <w:multiLevelType w:val="hybridMultilevel"/>
    <w:tmpl w:val="A8AC4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24380A"/>
    <w:multiLevelType w:val="multilevel"/>
    <w:tmpl w:val="451CB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97646F6"/>
    <w:multiLevelType w:val="multilevel"/>
    <w:tmpl w:val="159EB75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99D250B"/>
    <w:multiLevelType w:val="multilevel"/>
    <w:tmpl w:val="BBC857C4"/>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AE30BE9"/>
    <w:multiLevelType w:val="multilevel"/>
    <w:tmpl w:val="BBC857C4"/>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ABA3F38"/>
    <w:multiLevelType w:val="multilevel"/>
    <w:tmpl w:val="BF8AC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1616B72"/>
    <w:multiLevelType w:val="multilevel"/>
    <w:tmpl w:val="BBC857C4"/>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CBD2F19"/>
    <w:multiLevelType w:val="hybridMultilevel"/>
    <w:tmpl w:val="08BC81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E886BE4"/>
    <w:multiLevelType w:val="multilevel"/>
    <w:tmpl w:val="930CA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3355981"/>
    <w:multiLevelType w:val="multilevel"/>
    <w:tmpl w:val="BBC857C4"/>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5A13C22"/>
    <w:multiLevelType w:val="multilevel"/>
    <w:tmpl w:val="2D3E0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87E68D0"/>
    <w:multiLevelType w:val="multilevel"/>
    <w:tmpl w:val="159EB75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72586011"/>
    <w:multiLevelType w:val="multilevel"/>
    <w:tmpl w:val="7CAEC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7E55711"/>
    <w:multiLevelType w:val="multilevel"/>
    <w:tmpl w:val="BFCA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B7C19E7"/>
    <w:multiLevelType w:val="multilevel"/>
    <w:tmpl w:val="E146E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FC454CE"/>
    <w:multiLevelType w:val="multilevel"/>
    <w:tmpl w:val="47DA0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4"/>
  </w:num>
  <w:num w:numId="3">
    <w:abstractNumId w:val="15"/>
  </w:num>
  <w:num w:numId="4">
    <w:abstractNumId w:val="18"/>
  </w:num>
  <w:num w:numId="5">
    <w:abstractNumId w:val="13"/>
  </w:num>
  <w:num w:numId="6">
    <w:abstractNumId w:val="2"/>
  </w:num>
  <w:num w:numId="7">
    <w:abstractNumId w:val="11"/>
  </w:num>
  <w:num w:numId="8">
    <w:abstractNumId w:val="16"/>
  </w:num>
  <w:num w:numId="9">
    <w:abstractNumId w:val="0"/>
  </w:num>
  <w:num w:numId="10">
    <w:abstractNumId w:val="17"/>
  </w:num>
  <w:num w:numId="11">
    <w:abstractNumId w:val="5"/>
  </w:num>
  <w:num w:numId="12">
    <w:abstractNumId w:val="14"/>
  </w:num>
  <w:num w:numId="13">
    <w:abstractNumId w:val="3"/>
  </w:num>
  <w:num w:numId="14">
    <w:abstractNumId w:val="10"/>
  </w:num>
  <w:num w:numId="15">
    <w:abstractNumId w:val="1"/>
  </w:num>
  <w:num w:numId="16">
    <w:abstractNumId w:val="8"/>
  </w:num>
  <w:num w:numId="17">
    <w:abstractNumId w:val="9"/>
  </w:num>
  <w:num w:numId="18">
    <w:abstractNumId w:val="7"/>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1BEA"/>
    <w:rsid w:val="000B48DD"/>
    <w:rsid w:val="000F4B42"/>
    <w:rsid w:val="001D4D1F"/>
    <w:rsid w:val="001E16F4"/>
    <w:rsid w:val="001F6573"/>
    <w:rsid w:val="0026572B"/>
    <w:rsid w:val="00294CEE"/>
    <w:rsid w:val="002A5FC7"/>
    <w:rsid w:val="003C59C3"/>
    <w:rsid w:val="003E02BF"/>
    <w:rsid w:val="00421E9A"/>
    <w:rsid w:val="0045252D"/>
    <w:rsid w:val="00453A50"/>
    <w:rsid w:val="00473A2B"/>
    <w:rsid w:val="004805C8"/>
    <w:rsid w:val="004A5CB6"/>
    <w:rsid w:val="004B5E6A"/>
    <w:rsid w:val="004C0196"/>
    <w:rsid w:val="004F21D0"/>
    <w:rsid w:val="00516A67"/>
    <w:rsid w:val="005179D8"/>
    <w:rsid w:val="005456BE"/>
    <w:rsid w:val="005A0328"/>
    <w:rsid w:val="005E34BA"/>
    <w:rsid w:val="005F4C7D"/>
    <w:rsid w:val="00617126"/>
    <w:rsid w:val="00620442"/>
    <w:rsid w:val="00635407"/>
    <w:rsid w:val="00674AAA"/>
    <w:rsid w:val="006F174B"/>
    <w:rsid w:val="00707792"/>
    <w:rsid w:val="00720971"/>
    <w:rsid w:val="00724249"/>
    <w:rsid w:val="00740F95"/>
    <w:rsid w:val="007656EF"/>
    <w:rsid w:val="00771A6A"/>
    <w:rsid w:val="00793B3D"/>
    <w:rsid w:val="007E0A0C"/>
    <w:rsid w:val="007E1EAA"/>
    <w:rsid w:val="00810DA0"/>
    <w:rsid w:val="00843525"/>
    <w:rsid w:val="00864C33"/>
    <w:rsid w:val="00886779"/>
    <w:rsid w:val="008C70CE"/>
    <w:rsid w:val="00907B66"/>
    <w:rsid w:val="009A24DF"/>
    <w:rsid w:val="009D65FF"/>
    <w:rsid w:val="009F6453"/>
    <w:rsid w:val="00A66A2E"/>
    <w:rsid w:val="00A95C2A"/>
    <w:rsid w:val="00AD38A2"/>
    <w:rsid w:val="00B33722"/>
    <w:rsid w:val="00B65599"/>
    <w:rsid w:val="00B75B81"/>
    <w:rsid w:val="00B979B5"/>
    <w:rsid w:val="00BB1395"/>
    <w:rsid w:val="00BE110A"/>
    <w:rsid w:val="00C17AF8"/>
    <w:rsid w:val="00C71BEA"/>
    <w:rsid w:val="00C83BA2"/>
    <w:rsid w:val="00CC5118"/>
    <w:rsid w:val="00D163E6"/>
    <w:rsid w:val="00DA1B70"/>
    <w:rsid w:val="00DF3529"/>
    <w:rsid w:val="00E11342"/>
    <w:rsid w:val="00E454F6"/>
    <w:rsid w:val="00E86487"/>
    <w:rsid w:val="00EA519D"/>
    <w:rsid w:val="00EF536B"/>
    <w:rsid w:val="00F00E4B"/>
    <w:rsid w:val="00F25452"/>
    <w:rsid w:val="00F27A6F"/>
    <w:rsid w:val="00F33C6A"/>
    <w:rsid w:val="00F9073F"/>
    <w:rsid w:val="00FB0C2B"/>
    <w:rsid w:val="00FE33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7E2178-2283-4D91-863A-EE53B27DD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F536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F536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ord">
    <w:name w:val="mord"/>
    <w:basedOn w:val="DefaultParagraphFont"/>
    <w:rsid w:val="00BE110A"/>
  </w:style>
  <w:style w:type="character" w:customStyle="1" w:styleId="mrel">
    <w:name w:val="mrel"/>
    <w:basedOn w:val="DefaultParagraphFont"/>
    <w:rsid w:val="00BE110A"/>
  </w:style>
  <w:style w:type="character" w:customStyle="1" w:styleId="mop">
    <w:name w:val="mop"/>
    <w:basedOn w:val="DefaultParagraphFont"/>
    <w:rsid w:val="00BE110A"/>
  </w:style>
  <w:style w:type="character" w:customStyle="1" w:styleId="vlist-s">
    <w:name w:val="vlist-s"/>
    <w:basedOn w:val="DefaultParagraphFont"/>
    <w:rsid w:val="00BE110A"/>
  </w:style>
  <w:style w:type="character" w:customStyle="1" w:styleId="mopen">
    <w:name w:val="mopen"/>
    <w:basedOn w:val="DefaultParagraphFont"/>
    <w:rsid w:val="00BE110A"/>
  </w:style>
  <w:style w:type="character" w:customStyle="1" w:styleId="mbin">
    <w:name w:val="mbin"/>
    <w:basedOn w:val="DefaultParagraphFont"/>
    <w:rsid w:val="00BE110A"/>
  </w:style>
  <w:style w:type="character" w:customStyle="1" w:styleId="mclose">
    <w:name w:val="mclose"/>
    <w:basedOn w:val="DefaultParagraphFont"/>
    <w:rsid w:val="00BE110A"/>
  </w:style>
  <w:style w:type="paragraph" w:styleId="NoSpacing">
    <w:name w:val="No Spacing"/>
    <w:link w:val="NoSpacingChar"/>
    <w:uiPriority w:val="1"/>
    <w:qFormat/>
    <w:rsid w:val="00EF536B"/>
    <w:pPr>
      <w:spacing w:after="0" w:line="240" w:lineRule="auto"/>
    </w:pPr>
  </w:style>
  <w:style w:type="character" w:customStyle="1" w:styleId="Heading1Char">
    <w:name w:val="Heading 1 Char"/>
    <w:basedOn w:val="DefaultParagraphFont"/>
    <w:link w:val="Heading1"/>
    <w:uiPriority w:val="9"/>
    <w:rsid w:val="00EF536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EF536B"/>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3E02BF"/>
    <w:pPr>
      <w:ind w:left="720"/>
      <w:contextualSpacing/>
    </w:pPr>
  </w:style>
  <w:style w:type="table" w:styleId="TableGrid">
    <w:name w:val="Table Grid"/>
    <w:basedOn w:val="TableNormal"/>
    <w:uiPriority w:val="39"/>
    <w:rsid w:val="00907B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656EF"/>
    <w:pPr>
      <w:outlineLvl w:val="9"/>
    </w:pPr>
  </w:style>
  <w:style w:type="paragraph" w:styleId="TOC1">
    <w:name w:val="toc 1"/>
    <w:basedOn w:val="Normal"/>
    <w:next w:val="Normal"/>
    <w:autoRedefine/>
    <w:uiPriority w:val="39"/>
    <w:unhideWhenUsed/>
    <w:rsid w:val="007656EF"/>
    <w:pPr>
      <w:spacing w:after="100"/>
    </w:pPr>
  </w:style>
  <w:style w:type="paragraph" w:styleId="TOC2">
    <w:name w:val="toc 2"/>
    <w:basedOn w:val="Normal"/>
    <w:next w:val="Normal"/>
    <w:autoRedefine/>
    <w:uiPriority w:val="39"/>
    <w:unhideWhenUsed/>
    <w:rsid w:val="007656EF"/>
    <w:pPr>
      <w:spacing w:after="100"/>
      <w:ind w:left="220"/>
    </w:pPr>
  </w:style>
  <w:style w:type="character" w:styleId="Hyperlink">
    <w:name w:val="Hyperlink"/>
    <w:basedOn w:val="DefaultParagraphFont"/>
    <w:uiPriority w:val="99"/>
    <w:unhideWhenUsed/>
    <w:rsid w:val="007656EF"/>
    <w:rPr>
      <w:color w:val="0563C1" w:themeColor="hyperlink"/>
      <w:u w:val="single"/>
    </w:rPr>
  </w:style>
  <w:style w:type="character" w:customStyle="1" w:styleId="NoSpacingChar">
    <w:name w:val="No Spacing Char"/>
    <w:basedOn w:val="DefaultParagraphFont"/>
    <w:link w:val="NoSpacing"/>
    <w:uiPriority w:val="1"/>
    <w:rsid w:val="007656EF"/>
  </w:style>
  <w:style w:type="paragraph" w:styleId="Header">
    <w:name w:val="header"/>
    <w:basedOn w:val="Normal"/>
    <w:link w:val="HeaderChar"/>
    <w:uiPriority w:val="99"/>
    <w:unhideWhenUsed/>
    <w:rsid w:val="00AD3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38A2"/>
  </w:style>
  <w:style w:type="paragraph" w:styleId="Footer">
    <w:name w:val="footer"/>
    <w:basedOn w:val="Normal"/>
    <w:link w:val="FooterChar"/>
    <w:uiPriority w:val="99"/>
    <w:unhideWhenUsed/>
    <w:rsid w:val="00AD3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38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6467997">
      <w:bodyDiv w:val="1"/>
      <w:marLeft w:val="0"/>
      <w:marRight w:val="0"/>
      <w:marTop w:val="0"/>
      <w:marBottom w:val="0"/>
      <w:divBdr>
        <w:top w:val="none" w:sz="0" w:space="0" w:color="auto"/>
        <w:left w:val="none" w:sz="0" w:space="0" w:color="auto"/>
        <w:bottom w:val="none" w:sz="0" w:space="0" w:color="auto"/>
        <w:right w:val="none" w:sz="0" w:space="0" w:color="auto"/>
      </w:divBdr>
    </w:div>
    <w:div w:id="538396034">
      <w:bodyDiv w:val="1"/>
      <w:marLeft w:val="0"/>
      <w:marRight w:val="0"/>
      <w:marTop w:val="0"/>
      <w:marBottom w:val="0"/>
      <w:divBdr>
        <w:top w:val="none" w:sz="0" w:space="0" w:color="auto"/>
        <w:left w:val="none" w:sz="0" w:space="0" w:color="auto"/>
        <w:bottom w:val="none" w:sz="0" w:space="0" w:color="auto"/>
        <w:right w:val="none" w:sz="0" w:space="0" w:color="auto"/>
      </w:divBdr>
    </w:div>
    <w:div w:id="938834531">
      <w:bodyDiv w:val="1"/>
      <w:marLeft w:val="0"/>
      <w:marRight w:val="0"/>
      <w:marTop w:val="0"/>
      <w:marBottom w:val="0"/>
      <w:divBdr>
        <w:top w:val="none" w:sz="0" w:space="0" w:color="auto"/>
        <w:left w:val="none" w:sz="0" w:space="0" w:color="auto"/>
        <w:bottom w:val="none" w:sz="0" w:space="0" w:color="auto"/>
        <w:right w:val="none" w:sz="0" w:space="0" w:color="auto"/>
      </w:divBdr>
    </w:div>
    <w:div w:id="1042167552">
      <w:bodyDiv w:val="1"/>
      <w:marLeft w:val="0"/>
      <w:marRight w:val="0"/>
      <w:marTop w:val="0"/>
      <w:marBottom w:val="0"/>
      <w:divBdr>
        <w:top w:val="none" w:sz="0" w:space="0" w:color="auto"/>
        <w:left w:val="none" w:sz="0" w:space="0" w:color="auto"/>
        <w:bottom w:val="none" w:sz="0" w:space="0" w:color="auto"/>
        <w:right w:val="none" w:sz="0" w:space="0" w:color="auto"/>
      </w:divBdr>
    </w:div>
    <w:div w:id="1193106619">
      <w:bodyDiv w:val="1"/>
      <w:marLeft w:val="0"/>
      <w:marRight w:val="0"/>
      <w:marTop w:val="0"/>
      <w:marBottom w:val="0"/>
      <w:divBdr>
        <w:top w:val="none" w:sz="0" w:space="0" w:color="auto"/>
        <w:left w:val="none" w:sz="0" w:space="0" w:color="auto"/>
        <w:bottom w:val="none" w:sz="0" w:space="0" w:color="auto"/>
        <w:right w:val="none" w:sz="0" w:space="0" w:color="auto"/>
      </w:divBdr>
    </w:div>
    <w:div w:id="1752656059">
      <w:bodyDiv w:val="1"/>
      <w:marLeft w:val="0"/>
      <w:marRight w:val="0"/>
      <w:marTop w:val="0"/>
      <w:marBottom w:val="0"/>
      <w:divBdr>
        <w:top w:val="none" w:sz="0" w:space="0" w:color="auto"/>
        <w:left w:val="none" w:sz="0" w:space="0" w:color="auto"/>
        <w:bottom w:val="none" w:sz="0" w:space="0" w:color="auto"/>
        <w:right w:val="none" w:sz="0" w:space="0" w:color="auto"/>
      </w:divBdr>
    </w:div>
    <w:div w:id="1928347989">
      <w:bodyDiv w:val="1"/>
      <w:marLeft w:val="0"/>
      <w:marRight w:val="0"/>
      <w:marTop w:val="0"/>
      <w:marBottom w:val="0"/>
      <w:divBdr>
        <w:top w:val="none" w:sz="0" w:space="0" w:color="auto"/>
        <w:left w:val="none" w:sz="0" w:space="0" w:color="auto"/>
        <w:bottom w:val="none" w:sz="0" w:space="0" w:color="auto"/>
        <w:right w:val="none" w:sz="0" w:space="0" w:color="auto"/>
      </w:divBdr>
    </w:div>
    <w:div w:id="2093697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F505DD5EC244822B1D9D6A37FD7E3FB"/>
        <w:category>
          <w:name w:val="General"/>
          <w:gallery w:val="placeholder"/>
        </w:category>
        <w:types>
          <w:type w:val="bbPlcHdr"/>
        </w:types>
        <w:behaviors>
          <w:behavior w:val="content"/>
        </w:behaviors>
        <w:guid w:val="{4BBB5C55-3AE0-466E-A393-3FFDEBF02CCF}"/>
      </w:docPartPr>
      <w:docPartBody>
        <w:p w:rsidR="00903D65" w:rsidRDefault="00903D65" w:rsidP="00903D65">
          <w:pPr>
            <w:pStyle w:val="CF505DD5EC244822B1D9D6A37FD7E3FB"/>
          </w:pPr>
          <w:r>
            <w:rPr>
              <w:rFonts w:asciiTheme="majorHAnsi" w:eastAsiaTheme="majorEastAsia" w:hAnsiTheme="majorHAnsi" w:cstheme="majorBidi"/>
              <w:caps/>
              <w:color w:val="5B9BD5"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3D65"/>
    <w:rsid w:val="00903D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F505DD5EC244822B1D9D6A37FD7E3FB">
    <w:name w:val="CF505DD5EC244822B1D9D6A37FD7E3FB"/>
    <w:rsid w:val="00903D65"/>
  </w:style>
  <w:style w:type="paragraph" w:customStyle="1" w:styleId="119692A5E77C4D05B34E78DF7FC55439">
    <w:name w:val="119692A5E77C4D05B34E78DF7FC55439"/>
    <w:rsid w:val="00903D6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D59C8EEB-8CF4-4363-9216-B04426E67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6289</Words>
  <Characters>35848</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Johnson &amp; JoHNSON</vt:lpstr>
    </vt:vector>
  </TitlesOfParts>
  <Company/>
  <LinksUpToDate>false</LinksUpToDate>
  <CharactersWithSpaces>42053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Johnson &amp; JoHNSON</dc:title>
  <dc:subject/>
  <dc:creator>Microsoft account</dc:creator>
  <cp:keywords/>
  <dc:description/>
  <cp:lastModifiedBy>Microsoft account</cp:lastModifiedBy>
  <cp:revision>2</cp:revision>
  <dcterms:created xsi:type="dcterms:W3CDTF">2024-03-24T16:44:00Z</dcterms:created>
  <dcterms:modified xsi:type="dcterms:W3CDTF">2024-03-24T16:44:00Z</dcterms:modified>
</cp:coreProperties>
</file>