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5AC268" w14:textId="77777777" w:rsidR="00091D89" w:rsidRPr="00A143E4" w:rsidRDefault="00091D89" w:rsidP="00091D89">
      <w:pPr>
        <w:spacing w:before="240"/>
        <w:jc w:val="center"/>
        <w:rPr>
          <w:rFonts w:ascii="Arial" w:hAnsi="Arial" w:cs="Arial"/>
          <w:sz w:val="24"/>
          <w:lang w:val="en-GB"/>
        </w:rPr>
      </w:pPr>
      <w:r>
        <w:rPr>
          <w:noProof/>
        </w:rPr>
        <w:drawing>
          <wp:inline distT="0" distB="0" distL="0" distR="0" wp14:anchorId="36B7C9D9" wp14:editId="43C74BEB">
            <wp:extent cx="4152900" cy="1328420"/>
            <wp:effectExtent l="0" t="0" r="0" b="0"/>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inline>
        </w:drawing>
      </w:r>
    </w:p>
    <w:p w14:paraId="25E0D4CB" w14:textId="77777777" w:rsidR="00091D89" w:rsidRPr="00063B4C" w:rsidRDefault="00091D89" w:rsidP="00091D89">
      <w:pPr>
        <w:ind w:right="1229"/>
        <w:jc w:val="center"/>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w:t>
      </w:r>
      <w:r>
        <w:rPr>
          <w:rFonts w:cs="Arial"/>
          <w:sz w:val="60"/>
          <w:szCs w:val="60"/>
        </w:rPr>
        <w:t xml:space="preserve">m </w:t>
      </w:r>
      <w:r w:rsidRPr="00063B4C">
        <w:rPr>
          <w:rFonts w:cs="Arial"/>
          <w:sz w:val="60"/>
          <w:szCs w:val="60"/>
        </w:rPr>
        <w:t>Campus</w:t>
      </w:r>
    </w:p>
    <w:p w14:paraId="3D502E63" w14:textId="77777777" w:rsidR="00091D89" w:rsidRPr="00063B4C" w:rsidRDefault="00091D89" w:rsidP="00091D89">
      <w:pPr>
        <w:pStyle w:val="BodyText"/>
        <w:jc w:val="center"/>
        <w:rPr>
          <w:rFonts w:ascii="Aptos" w:hAnsi="Aptos" w:cs="Arial"/>
          <w:sz w:val="20"/>
        </w:rPr>
      </w:pPr>
    </w:p>
    <w:p w14:paraId="4810601C" w14:textId="77777777" w:rsidR="00091D89" w:rsidRDefault="00091D89" w:rsidP="00091D89">
      <w:pPr>
        <w:spacing w:before="240"/>
        <w:jc w:val="center"/>
        <w:rPr>
          <w:rFonts w:ascii="Arial" w:hAnsi="Arial" w:cs="Arial"/>
          <w:b/>
          <w:bCs/>
        </w:rPr>
      </w:pPr>
      <w:r w:rsidRPr="00063B4C">
        <w:rPr>
          <w:rFonts w:cs="Arial"/>
          <w:sz w:val="60"/>
          <w:szCs w:val="60"/>
        </w:rPr>
        <w:t>BSc (Hons) Health and Social Care</w:t>
      </w:r>
    </w:p>
    <w:p w14:paraId="3743EB56" w14:textId="77777777" w:rsidR="00091D89" w:rsidRDefault="00091D89" w:rsidP="00091D89">
      <w:pPr>
        <w:rPr>
          <w:rFonts w:cs="Arial"/>
          <w:b/>
          <w:sz w:val="28"/>
          <w:szCs w:val="28"/>
        </w:rPr>
      </w:pPr>
    </w:p>
    <w:p w14:paraId="43A821ED" w14:textId="77777777" w:rsidR="00091D89" w:rsidRDefault="00091D89" w:rsidP="00091D89">
      <w:pPr>
        <w:rPr>
          <w:rFonts w:cs="Arial"/>
          <w:b/>
          <w:sz w:val="28"/>
          <w:szCs w:val="28"/>
        </w:rPr>
      </w:pPr>
    </w:p>
    <w:p w14:paraId="242A5937" w14:textId="77777777" w:rsidR="00091D89" w:rsidRDefault="00091D89" w:rsidP="00091D89">
      <w:pPr>
        <w:rPr>
          <w:rFonts w:cs="Arial"/>
          <w:b/>
          <w:sz w:val="28"/>
          <w:szCs w:val="28"/>
        </w:rPr>
      </w:pPr>
    </w:p>
    <w:p w14:paraId="07AD5DD6" w14:textId="77777777" w:rsidR="00091D89" w:rsidRDefault="00091D89" w:rsidP="00091D89">
      <w:pPr>
        <w:rPr>
          <w:rFonts w:cs="Arial"/>
          <w:b/>
          <w:sz w:val="28"/>
          <w:szCs w:val="28"/>
        </w:rPr>
      </w:pPr>
    </w:p>
    <w:p w14:paraId="20F59FD4" w14:textId="77777777" w:rsidR="00091D89" w:rsidRDefault="00091D89" w:rsidP="00091D89">
      <w:pPr>
        <w:rPr>
          <w:rFonts w:cs="Arial"/>
          <w:b/>
          <w:sz w:val="28"/>
          <w:szCs w:val="28"/>
        </w:rPr>
      </w:pPr>
    </w:p>
    <w:p w14:paraId="0A014DA1" w14:textId="77777777" w:rsidR="00091D89" w:rsidRDefault="00091D89" w:rsidP="00091D89">
      <w:pPr>
        <w:rPr>
          <w:rFonts w:cs="Arial"/>
          <w:b/>
          <w:sz w:val="28"/>
          <w:szCs w:val="28"/>
        </w:rPr>
      </w:pPr>
    </w:p>
    <w:p w14:paraId="6F0BC325" w14:textId="77777777" w:rsidR="00091D89" w:rsidRDefault="00091D89" w:rsidP="00091D89">
      <w:pPr>
        <w:rPr>
          <w:rFonts w:cs="Arial"/>
          <w:b/>
          <w:sz w:val="28"/>
          <w:szCs w:val="28"/>
        </w:rPr>
      </w:pPr>
    </w:p>
    <w:p w14:paraId="314A6258" w14:textId="77777777" w:rsidR="00091D89" w:rsidRDefault="00091D89" w:rsidP="00091D89">
      <w:pPr>
        <w:rPr>
          <w:rFonts w:cs="Arial"/>
          <w:b/>
          <w:sz w:val="28"/>
          <w:szCs w:val="28"/>
        </w:rPr>
      </w:pPr>
    </w:p>
    <w:p w14:paraId="0DABA635" w14:textId="77777777" w:rsidR="00091D89" w:rsidRDefault="00091D89" w:rsidP="00091D89">
      <w:pPr>
        <w:rPr>
          <w:rFonts w:cs="Arial"/>
          <w:b/>
          <w:sz w:val="28"/>
          <w:szCs w:val="28"/>
        </w:rPr>
      </w:pPr>
    </w:p>
    <w:p w14:paraId="0D1409BC" w14:textId="77777777" w:rsidR="00091D89" w:rsidRDefault="00091D89" w:rsidP="00091D89">
      <w:pPr>
        <w:rPr>
          <w:rFonts w:cs="Arial"/>
          <w:b/>
          <w:sz w:val="28"/>
          <w:szCs w:val="28"/>
        </w:rPr>
      </w:pPr>
    </w:p>
    <w:p w14:paraId="5A84ADBC" w14:textId="77777777" w:rsidR="00091D89" w:rsidRDefault="00091D89" w:rsidP="00091D89">
      <w:pPr>
        <w:rPr>
          <w:rFonts w:cs="Arial"/>
          <w:b/>
          <w:sz w:val="28"/>
          <w:szCs w:val="28"/>
        </w:rPr>
      </w:pPr>
    </w:p>
    <w:p w14:paraId="2BF26EA9" w14:textId="77777777" w:rsidR="00091D89" w:rsidRDefault="00091D89" w:rsidP="00091D89">
      <w:pPr>
        <w:rPr>
          <w:rFonts w:cs="Arial"/>
          <w:b/>
          <w:sz w:val="28"/>
          <w:szCs w:val="28"/>
        </w:rPr>
      </w:pPr>
    </w:p>
    <w:p w14:paraId="2E33E8DF" w14:textId="77777777" w:rsidR="00091D89" w:rsidRDefault="00091D89" w:rsidP="00091D89">
      <w:pPr>
        <w:rPr>
          <w:rFonts w:cs="Arial"/>
          <w:b/>
          <w:sz w:val="28"/>
          <w:szCs w:val="28"/>
        </w:rPr>
      </w:pPr>
    </w:p>
    <w:p w14:paraId="54C639E7" w14:textId="77777777" w:rsidR="00091D89" w:rsidRDefault="00091D89" w:rsidP="00091D89">
      <w:pPr>
        <w:rPr>
          <w:rFonts w:cs="Arial"/>
          <w:b/>
          <w:sz w:val="28"/>
          <w:szCs w:val="28"/>
        </w:rPr>
      </w:pPr>
    </w:p>
    <w:p w14:paraId="53A82D21" w14:textId="77777777" w:rsidR="00091D89" w:rsidRDefault="00091D89" w:rsidP="00091D89">
      <w:pPr>
        <w:rPr>
          <w:rFonts w:cs="Arial"/>
          <w:b/>
          <w:sz w:val="28"/>
          <w:szCs w:val="28"/>
        </w:rPr>
      </w:pPr>
    </w:p>
    <w:p w14:paraId="75D83F80" w14:textId="77777777" w:rsidR="00091D89" w:rsidRPr="0000132F" w:rsidRDefault="00091D89" w:rsidP="00091D89">
      <w:pPr>
        <w:rPr>
          <w:rFonts w:cs="Arial"/>
          <w:b/>
          <w:sz w:val="24"/>
        </w:rPr>
      </w:pPr>
      <w:r w:rsidRPr="0000132F">
        <w:rPr>
          <w:rFonts w:cs="Arial"/>
          <w:b/>
          <w:sz w:val="24"/>
        </w:rPr>
        <w:lastRenderedPageBreak/>
        <w:t>DECLARATION</w:t>
      </w:r>
    </w:p>
    <w:p w14:paraId="0408FCA7" w14:textId="77777777" w:rsidR="00091D89" w:rsidRPr="0000132F" w:rsidRDefault="00091D89" w:rsidP="00091D89">
      <w:pPr>
        <w:jc w:val="both"/>
        <w:rPr>
          <w:rFonts w:cs="Arial"/>
          <w:szCs w:val="22"/>
        </w:rPr>
      </w:pPr>
      <w:r w:rsidRPr="0000132F">
        <w:rPr>
          <w:rFonts w:cs="Arial"/>
          <w:szCs w:val="22"/>
        </w:rPr>
        <w:t>This work has not previously been accepted in substance for any degree and is not being concurrently submitted in candidature for any degree</w:t>
      </w:r>
    </w:p>
    <w:p w14:paraId="67D13C67" w14:textId="394DA333" w:rsidR="00091D89" w:rsidRPr="005D4939" w:rsidRDefault="00091D89" w:rsidP="00091D89">
      <w:pPr>
        <w:jc w:val="both"/>
        <w:rPr>
          <w:rFonts w:cs="Arial"/>
          <w:b/>
          <w:bCs/>
          <w:szCs w:val="22"/>
          <w:lang w:val="en-US"/>
        </w:rPr>
      </w:pPr>
      <w:r w:rsidRPr="0000132F">
        <w:rPr>
          <w:rFonts w:cs="Arial"/>
          <w:szCs w:val="22"/>
        </w:rPr>
        <w:t>Signe</w:t>
      </w:r>
      <w:r w:rsidR="005D4939">
        <w:rPr>
          <w:rFonts w:cs="Arial"/>
          <w:szCs w:val="22"/>
          <w:lang w:val="en-US"/>
        </w:rPr>
        <w:t xml:space="preserve">d </w:t>
      </w:r>
      <w:r w:rsidR="005D4939" w:rsidRPr="005D4939">
        <w:rPr>
          <w:rFonts w:cs="Arial"/>
          <w:b/>
          <w:bCs/>
          <w:szCs w:val="22"/>
          <w:lang w:val="en-US"/>
        </w:rPr>
        <w:t>Samina Nazir</w:t>
      </w:r>
    </w:p>
    <w:p w14:paraId="61071BED" w14:textId="7ABB35CE" w:rsidR="00091D89" w:rsidRPr="005D4939" w:rsidRDefault="00091D89" w:rsidP="00091D89">
      <w:pPr>
        <w:jc w:val="both"/>
        <w:rPr>
          <w:rFonts w:cs="Arial"/>
          <w:szCs w:val="22"/>
          <w:lang w:val="en-US"/>
        </w:rPr>
      </w:pPr>
      <w:r w:rsidRPr="0000132F">
        <w:rPr>
          <w:rFonts w:cs="Arial"/>
          <w:szCs w:val="22"/>
        </w:rPr>
        <w:t>Dat</w:t>
      </w:r>
      <w:r w:rsidR="005D4939">
        <w:rPr>
          <w:rFonts w:cs="Arial"/>
          <w:szCs w:val="22"/>
          <w:lang w:val="en-US"/>
        </w:rPr>
        <w:t>e: 26</w:t>
      </w:r>
      <w:r w:rsidR="005D4939" w:rsidRPr="005D4939">
        <w:rPr>
          <w:rFonts w:cs="Arial"/>
          <w:szCs w:val="22"/>
          <w:vertAlign w:val="superscript"/>
          <w:lang w:val="en-US"/>
        </w:rPr>
        <w:t>th</w:t>
      </w:r>
      <w:r w:rsidR="005D4939">
        <w:rPr>
          <w:rFonts w:cs="Arial"/>
          <w:szCs w:val="22"/>
          <w:lang w:val="en-US"/>
        </w:rPr>
        <w:t xml:space="preserve"> March 2026</w:t>
      </w:r>
    </w:p>
    <w:p w14:paraId="68C72B23" w14:textId="77777777" w:rsidR="00091D89" w:rsidRPr="0000132F" w:rsidRDefault="00091D89" w:rsidP="00091D89">
      <w:pPr>
        <w:jc w:val="both"/>
        <w:rPr>
          <w:rFonts w:cs="Arial"/>
          <w:szCs w:val="22"/>
        </w:rPr>
      </w:pPr>
    </w:p>
    <w:p w14:paraId="3BCEC7F7" w14:textId="77777777" w:rsidR="00091D89" w:rsidRPr="0000132F" w:rsidRDefault="00091D89" w:rsidP="00091D89">
      <w:pPr>
        <w:jc w:val="both"/>
        <w:rPr>
          <w:rFonts w:cs="Arial"/>
          <w:bCs/>
          <w:kern w:val="32"/>
          <w:szCs w:val="22"/>
        </w:rPr>
      </w:pPr>
      <w:r w:rsidRPr="0000132F">
        <w:rPr>
          <w:rFonts w:cs="Arial"/>
          <w:b/>
          <w:szCs w:val="22"/>
        </w:rPr>
        <w:t xml:space="preserve">STATEMENT 1 </w:t>
      </w:r>
    </w:p>
    <w:p w14:paraId="06DA17F0" w14:textId="77777777" w:rsidR="00091D89" w:rsidRPr="0000132F" w:rsidRDefault="00091D89" w:rsidP="00091D89">
      <w:pPr>
        <w:jc w:val="both"/>
        <w:rPr>
          <w:rFonts w:cs="Arial"/>
          <w:szCs w:val="22"/>
        </w:rPr>
      </w:pPr>
      <w:r w:rsidRPr="0000132F">
        <w:rPr>
          <w:rFonts w:cs="Arial"/>
          <w:szCs w:val="22"/>
        </w:rPr>
        <w:t>This dissertation is being submitted in partial fulfilment of the requirements for the degree of BSc.</w:t>
      </w:r>
    </w:p>
    <w:p w14:paraId="032D0DDC" w14:textId="77777777" w:rsidR="005D4939" w:rsidRPr="005D4939" w:rsidRDefault="005D4939" w:rsidP="005D4939">
      <w:pPr>
        <w:jc w:val="both"/>
        <w:rPr>
          <w:rFonts w:cs="Arial"/>
          <w:b/>
          <w:bCs/>
          <w:szCs w:val="22"/>
          <w:lang w:val="en-US"/>
        </w:rPr>
      </w:pPr>
      <w:r w:rsidRPr="0000132F">
        <w:rPr>
          <w:rFonts w:cs="Arial"/>
          <w:szCs w:val="22"/>
        </w:rPr>
        <w:t>Signe</w:t>
      </w:r>
      <w:r>
        <w:rPr>
          <w:rFonts w:cs="Arial"/>
          <w:szCs w:val="22"/>
          <w:lang w:val="en-US"/>
        </w:rPr>
        <w:t xml:space="preserve">d </w:t>
      </w:r>
      <w:r w:rsidRPr="005D4939">
        <w:rPr>
          <w:rFonts w:cs="Arial"/>
          <w:b/>
          <w:bCs/>
          <w:szCs w:val="22"/>
          <w:lang w:val="en-US"/>
        </w:rPr>
        <w:t>Samina Nazir</w:t>
      </w:r>
    </w:p>
    <w:p w14:paraId="72795B8E" w14:textId="77777777" w:rsidR="005D4939" w:rsidRPr="005D4939" w:rsidRDefault="005D4939" w:rsidP="005D4939">
      <w:pPr>
        <w:jc w:val="both"/>
        <w:rPr>
          <w:rFonts w:cs="Arial"/>
          <w:szCs w:val="22"/>
          <w:lang w:val="en-US"/>
        </w:rPr>
      </w:pPr>
      <w:r w:rsidRPr="0000132F">
        <w:rPr>
          <w:rFonts w:cs="Arial"/>
          <w:szCs w:val="22"/>
        </w:rPr>
        <w:t>Dat</w:t>
      </w:r>
      <w:r>
        <w:rPr>
          <w:rFonts w:cs="Arial"/>
          <w:szCs w:val="22"/>
          <w:lang w:val="en-US"/>
        </w:rPr>
        <w:t>e: 26</w:t>
      </w:r>
      <w:r w:rsidRPr="005D4939">
        <w:rPr>
          <w:rFonts w:cs="Arial"/>
          <w:szCs w:val="22"/>
          <w:vertAlign w:val="superscript"/>
          <w:lang w:val="en-US"/>
        </w:rPr>
        <w:t>th</w:t>
      </w:r>
      <w:r>
        <w:rPr>
          <w:rFonts w:cs="Arial"/>
          <w:szCs w:val="22"/>
          <w:lang w:val="en-US"/>
        </w:rPr>
        <w:t xml:space="preserve"> March 2026</w:t>
      </w:r>
    </w:p>
    <w:p w14:paraId="544A8983" w14:textId="77777777" w:rsidR="00091D89" w:rsidRPr="0000132F" w:rsidRDefault="00091D89" w:rsidP="00091D89">
      <w:pPr>
        <w:jc w:val="both"/>
        <w:rPr>
          <w:rFonts w:cs="Arial"/>
          <w:szCs w:val="22"/>
        </w:rPr>
      </w:pPr>
    </w:p>
    <w:p w14:paraId="4A8A47D9" w14:textId="77777777" w:rsidR="00091D89" w:rsidRPr="0000132F" w:rsidRDefault="00091D89" w:rsidP="00091D89">
      <w:pPr>
        <w:jc w:val="both"/>
        <w:rPr>
          <w:rFonts w:cs="Arial"/>
          <w:szCs w:val="22"/>
        </w:rPr>
      </w:pPr>
      <w:r w:rsidRPr="0000132F">
        <w:rPr>
          <w:rFonts w:cs="Arial"/>
          <w:b/>
          <w:szCs w:val="22"/>
        </w:rPr>
        <w:t>STATEMENT 2</w:t>
      </w:r>
    </w:p>
    <w:p w14:paraId="35F320D5" w14:textId="77777777" w:rsidR="00091D89" w:rsidRPr="0000132F" w:rsidRDefault="00091D89" w:rsidP="00091D89">
      <w:pPr>
        <w:jc w:val="both"/>
        <w:rPr>
          <w:rFonts w:cs="Arial"/>
          <w:szCs w:val="22"/>
        </w:rPr>
      </w:pPr>
      <w:r w:rsidRPr="0000132F">
        <w:rPr>
          <w:rFonts w:cs="Arial"/>
          <w:szCs w:val="22"/>
        </w:rPr>
        <w:t>This dissertation is the result of my own independent work/investigation, except where otherwise stated. Other sources are acknowledged by footnotes giving explicit references.  A bibliography is appended.</w:t>
      </w:r>
    </w:p>
    <w:p w14:paraId="34BA3DFE" w14:textId="77777777" w:rsidR="005D4939" w:rsidRPr="005D4939" w:rsidRDefault="005D4939" w:rsidP="005D4939">
      <w:pPr>
        <w:jc w:val="both"/>
        <w:rPr>
          <w:rFonts w:cs="Arial"/>
          <w:b/>
          <w:bCs/>
          <w:szCs w:val="22"/>
          <w:lang w:val="en-US"/>
        </w:rPr>
      </w:pPr>
      <w:r w:rsidRPr="0000132F">
        <w:rPr>
          <w:rFonts w:cs="Arial"/>
          <w:szCs w:val="22"/>
        </w:rPr>
        <w:t>Signe</w:t>
      </w:r>
      <w:r>
        <w:rPr>
          <w:rFonts w:cs="Arial"/>
          <w:szCs w:val="22"/>
          <w:lang w:val="en-US"/>
        </w:rPr>
        <w:t xml:space="preserve">d </w:t>
      </w:r>
      <w:r w:rsidRPr="005D4939">
        <w:rPr>
          <w:rFonts w:cs="Arial"/>
          <w:b/>
          <w:bCs/>
          <w:szCs w:val="22"/>
          <w:lang w:val="en-US"/>
        </w:rPr>
        <w:t>Samina Nazir</w:t>
      </w:r>
    </w:p>
    <w:p w14:paraId="67E8F6F0" w14:textId="77777777" w:rsidR="005D4939" w:rsidRPr="005D4939" w:rsidRDefault="005D4939" w:rsidP="005D4939">
      <w:pPr>
        <w:jc w:val="both"/>
        <w:rPr>
          <w:rFonts w:cs="Arial"/>
          <w:szCs w:val="22"/>
          <w:lang w:val="en-US"/>
        </w:rPr>
      </w:pPr>
      <w:r w:rsidRPr="0000132F">
        <w:rPr>
          <w:rFonts w:cs="Arial"/>
          <w:szCs w:val="22"/>
        </w:rPr>
        <w:t>Dat</w:t>
      </w:r>
      <w:r>
        <w:rPr>
          <w:rFonts w:cs="Arial"/>
          <w:szCs w:val="22"/>
          <w:lang w:val="en-US"/>
        </w:rPr>
        <w:t>e: 26</w:t>
      </w:r>
      <w:r w:rsidRPr="005D4939">
        <w:rPr>
          <w:rFonts w:cs="Arial"/>
          <w:szCs w:val="22"/>
          <w:vertAlign w:val="superscript"/>
          <w:lang w:val="en-US"/>
        </w:rPr>
        <w:t>th</w:t>
      </w:r>
      <w:r>
        <w:rPr>
          <w:rFonts w:cs="Arial"/>
          <w:szCs w:val="22"/>
          <w:lang w:val="en-US"/>
        </w:rPr>
        <w:t xml:space="preserve"> March 2026</w:t>
      </w:r>
    </w:p>
    <w:p w14:paraId="40127409" w14:textId="77777777" w:rsidR="00091D89" w:rsidRPr="0000132F" w:rsidRDefault="00091D89" w:rsidP="00091D89">
      <w:pPr>
        <w:jc w:val="both"/>
        <w:rPr>
          <w:rFonts w:cs="Arial"/>
          <w:szCs w:val="22"/>
        </w:rPr>
      </w:pPr>
    </w:p>
    <w:p w14:paraId="1EFA4295" w14:textId="77777777" w:rsidR="00091D89" w:rsidRPr="0000132F" w:rsidRDefault="00091D89" w:rsidP="00091D89">
      <w:pPr>
        <w:jc w:val="both"/>
        <w:rPr>
          <w:rFonts w:cs="Arial"/>
          <w:szCs w:val="22"/>
        </w:rPr>
      </w:pPr>
      <w:r w:rsidRPr="0000132F">
        <w:rPr>
          <w:rFonts w:cs="Arial"/>
          <w:b/>
          <w:szCs w:val="22"/>
        </w:rPr>
        <w:t>STATEMENT 3</w:t>
      </w:r>
    </w:p>
    <w:p w14:paraId="01D90248" w14:textId="77777777" w:rsidR="00091D89" w:rsidRPr="0000132F" w:rsidRDefault="00091D89" w:rsidP="00091D89">
      <w:pPr>
        <w:jc w:val="both"/>
        <w:rPr>
          <w:rFonts w:cs="Arial"/>
          <w:szCs w:val="22"/>
        </w:rPr>
      </w:pPr>
      <w:r w:rsidRPr="0000132F">
        <w:rPr>
          <w:rFonts w:cs="Arial"/>
          <w:szCs w:val="22"/>
        </w:rPr>
        <w:t>I hereby give consent for my dissertation, if accepted, to be available for photocopying and for interlibrary loan, and for the title and summary to be made available to outside organisations.</w:t>
      </w:r>
    </w:p>
    <w:p w14:paraId="6F5641D5" w14:textId="77777777" w:rsidR="005D4939" w:rsidRPr="005D4939" w:rsidRDefault="005D4939" w:rsidP="005D4939">
      <w:pPr>
        <w:jc w:val="both"/>
        <w:rPr>
          <w:rFonts w:cs="Arial"/>
          <w:b/>
          <w:bCs/>
          <w:szCs w:val="22"/>
          <w:lang w:val="en-US"/>
        </w:rPr>
      </w:pPr>
      <w:r w:rsidRPr="0000132F">
        <w:rPr>
          <w:rFonts w:cs="Arial"/>
          <w:szCs w:val="22"/>
        </w:rPr>
        <w:t>Signe</w:t>
      </w:r>
      <w:r>
        <w:rPr>
          <w:rFonts w:cs="Arial"/>
          <w:szCs w:val="22"/>
          <w:lang w:val="en-US"/>
        </w:rPr>
        <w:t xml:space="preserve">d </w:t>
      </w:r>
      <w:r w:rsidRPr="005D4939">
        <w:rPr>
          <w:rFonts w:cs="Arial"/>
          <w:b/>
          <w:bCs/>
          <w:szCs w:val="22"/>
          <w:lang w:val="en-US"/>
        </w:rPr>
        <w:t>Samina Nazir</w:t>
      </w:r>
    </w:p>
    <w:p w14:paraId="5B2870C1" w14:textId="77777777" w:rsidR="005D4939" w:rsidRPr="005D4939" w:rsidRDefault="005D4939" w:rsidP="005D4939">
      <w:pPr>
        <w:jc w:val="both"/>
        <w:rPr>
          <w:rFonts w:cs="Arial"/>
          <w:szCs w:val="22"/>
          <w:lang w:val="en-US"/>
        </w:rPr>
      </w:pPr>
      <w:r w:rsidRPr="0000132F">
        <w:rPr>
          <w:rFonts w:cs="Arial"/>
          <w:szCs w:val="22"/>
        </w:rPr>
        <w:t>Dat</w:t>
      </w:r>
      <w:r>
        <w:rPr>
          <w:rFonts w:cs="Arial"/>
          <w:szCs w:val="22"/>
          <w:lang w:val="en-US"/>
        </w:rPr>
        <w:t>e: 26</w:t>
      </w:r>
      <w:r w:rsidRPr="005D4939">
        <w:rPr>
          <w:rFonts w:cs="Arial"/>
          <w:szCs w:val="22"/>
          <w:vertAlign w:val="superscript"/>
          <w:lang w:val="en-US"/>
        </w:rPr>
        <w:t>th</w:t>
      </w:r>
      <w:r>
        <w:rPr>
          <w:rFonts w:cs="Arial"/>
          <w:szCs w:val="22"/>
          <w:lang w:val="en-US"/>
        </w:rPr>
        <w:t xml:space="preserve"> March 2026</w:t>
      </w:r>
    </w:p>
    <w:p w14:paraId="1D1B4462" w14:textId="77777777" w:rsidR="00091D89" w:rsidRPr="0000132F" w:rsidRDefault="00091D89" w:rsidP="00091D89">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jc w:val="both"/>
        <w:rPr>
          <w:rFonts w:cs="Arial"/>
          <w:szCs w:val="22"/>
        </w:rPr>
      </w:pPr>
    </w:p>
    <w:p w14:paraId="3A1B25FD" w14:textId="77777777" w:rsidR="00091D89" w:rsidRPr="0000132F" w:rsidRDefault="00091D89" w:rsidP="00091D89">
      <w:pPr>
        <w:jc w:val="both"/>
        <w:rPr>
          <w:rFonts w:cs="Arial"/>
          <w:b/>
          <w:szCs w:val="22"/>
        </w:rPr>
      </w:pPr>
      <w:r w:rsidRPr="0000132F">
        <w:rPr>
          <w:rFonts w:cs="Arial"/>
          <w:b/>
          <w:szCs w:val="22"/>
        </w:rPr>
        <w:t>STATEMENT 4</w:t>
      </w:r>
    </w:p>
    <w:p w14:paraId="3E8D3234" w14:textId="77777777" w:rsidR="00091D89" w:rsidRPr="0000132F" w:rsidRDefault="00091D89" w:rsidP="00091D89">
      <w:pPr>
        <w:jc w:val="both"/>
        <w:rPr>
          <w:rFonts w:cs="Arial"/>
          <w:szCs w:val="22"/>
        </w:rPr>
      </w:pPr>
      <w:r w:rsidRPr="0000132F">
        <w:rPr>
          <w:rFonts w:cs="Arial"/>
          <w:szCs w:val="22"/>
        </w:rPr>
        <w:t>I hereby give consent for my dissertation, if accepted, to be available on the university’s IT system to those who have consent to use the system.</w:t>
      </w:r>
    </w:p>
    <w:p w14:paraId="397A7701" w14:textId="77777777" w:rsidR="005D4939" w:rsidRPr="005D4939" w:rsidRDefault="005D4939" w:rsidP="005D4939">
      <w:pPr>
        <w:jc w:val="both"/>
        <w:rPr>
          <w:rFonts w:cs="Arial"/>
          <w:b/>
          <w:bCs/>
          <w:szCs w:val="22"/>
          <w:lang w:val="en-US"/>
        </w:rPr>
      </w:pPr>
      <w:r w:rsidRPr="0000132F">
        <w:rPr>
          <w:rFonts w:cs="Arial"/>
          <w:szCs w:val="22"/>
        </w:rPr>
        <w:t>Signe</w:t>
      </w:r>
      <w:r>
        <w:rPr>
          <w:rFonts w:cs="Arial"/>
          <w:szCs w:val="22"/>
          <w:lang w:val="en-US"/>
        </w:rPr>
        <w:t xml:space="preserve">d </w:t>
      </w:r>
      <w:r w:rsidRPr="005D4939">
        <w:rPr>
          <w:rFonts w:cs="Arial"/>
          <w:b/>
          <w:bCs/>
          <w:szCs w:val="22"/>
          <w:lang w:val="en-US"/>
        </w:rPr>
        <w:t>Samina Nazir</w:t>
      </w:r>
    </w:p>
    <w:p w14:paraId="2A342181" w14:textId="77777777" w:rsidR="005D4939" w:rsidRPr="005D4939" w:rsidRDefault="005D4939" w:rsidP="005D4939">
      <w:pPr>
        <w:jc w:val="both"/>
        <w:rPr>
          <w:rFonts w:cs="Arial"/>
          <w:szCs w:val="22"/>
          <w:lang w:val="en-US"/>
        </w:rPr>
      </w:pPr>
      <w:r w:rsidRPr="0000132F">
        <w:rPr>
          <w:rFonts w:cs="Arial"/>
          <w:szCs w:val="22"/>
        </w:rPr>
        <w:t>Dat</w:t>
      </w:r>
      <w:r>
        <w:rPr>
          <w:rFonts w:cs="Arial"/>
          <w:szCs w:val="22"/>
          <w:lang w:val="en-US"/>
        </w:rPr>
        <w:t>e: 26</w:t>
      </w:r>
      <w:r w:rsidRPr="005D4939">
        <w:rPr>
          <w:rFonts w:cs="Arial"/>
          <w:szCs w:val="22"/>
          <w:vertAlign w:val="superscript"/>
          <w:lang w:val="en-US"/>
        </w:rPr>
        <w:t>th</w:t>
      </w:r>
      <w:r>
        <w:rPr>
          <w:rFonts w:cs="Arial"/>
          <w:szCs w:val="22"/>
          <w:lang w:val="en-US"/>
        </w:rPr>
        <w:t xml:space="preserve"> March 2026</w:t>
      </w:r>
    </w:p>
    <w:p w14:paraId="6A429C74" w14:textId="77777777" w:rsidR="00091D89" w:rsidRDefault="00091D89" w:rsidP="00091D89">
      <w:pPr>
        <w:jc w:val="both"/>
        <w:rPr>
          <w:szCs w:val="22"/>
          <w:lang w:val="en-US"/>
        </w:rPr>
      </w:pPr>
    </w:p>
    <w:p w14:paraId="4FAC1FB9" w14:textId="77777777" w:rsidR="005962AF" w:rsidRDefault="005962AF" w:rsidP="00091D89">
      <w:pPr>
        <w:jc w:val="both"/>
        <w:rPr>
          <w:szCs w:val="22"/>
          <w:lang w:val="en-US"/>
        </w:rPr>
      </w:pPr>
    </w:p>
    <w:p w14:paraId="43F835C0" w14:textId="77777777" w:rsidR="005962AF" w:rsidRDefault="005962AF" w:rsidP="00091D89">
      <w:pPr>
        <w:jc w:val="both"/>
        <w:rPr>
          <w:szCs w:val="22"/>
          <w:lang w:val="en-US"/>
        </w:rPr>
      </w:pPr>
    </w:p>
    <w:p w14:paraId="4FF885DA" w14:textId="77777777" w:rsidR="005962AF" w:rsidRDefault="005962AF" w:rsidP="00091D89">
      <w:pPr>
        <w:jc w:val="both"/>
        <w:rPr>
          <w:szCs w:val="22"/>
          <w:lang w:val="en-US"/>
        </w:rPr>
      </w:pPr>
    </w:p>
    <w:p w14:paraId="5E1394AE" w14:textId="77777777" w:rsidR="005962AF" w:rsidRDefault="005962AF" w:rsidP="00091D89">
      <w:pPr>
        <w:jc w:val="both"/>
        <w:rPr>
          <w:szCs w:val="22"/>
          <w:lang w:val="en-US"/>
        </w:rPr>
      </w:pPr>
    </w:p>
    <w:p w14:paraId="72E978DC" w14:textId="1ADEA335" w:rsidR="005962AF" w:rsidRPr="004D20C5" w:rsidRDefault="005962AF" w:rsidP="004D20C5">
      <w:pPr>
        <w:jc w:val="both"/>
        <w:rPr>
          <w:b/>
          <w:bCs/>
          <w:sz w:val="24"/>
          <w:szCs w:val="28"/>
          <w:lang w:val="en-US"/>
        </w:rPr>
      </w:pPr>
      <w:r w:rsidRPr="004D20C5">
        <w:rPr>
          <w:b/>
          <w:bCs/>
          <w:sz w:val="24"/>
          <w:szCs w:val="28"/>
        </w:rPr>
        <w:lastRenderedPageBreak/>
        <w:t>Acknowledgments</w:t>
      </w:r>
    </w:p>
    <w:p w14:paraId="58C9F98A" w14:textId="15140E27" w:rsidR="004D20C5" w:rsidRPr="00F47838" w:rsidRDefault="00F47838" w:rsidP="004D20C5">
      <w:pPr>
        <w:spacing w:before="240"/>
        <w:jc w:val="both"/>
        <w:rPr>
          <w:szCs w:val="22"/>
          <w:lang w:val="en-US"/>
        </w:rPr>
      </w:pPr>
      <w:r w:rsidRPr="00F47838">
        <w:rPr>
          <w:szCs w:val="22"/>
          <w:lang w:val="en-US"/>
        </w:rPr>
        <w:t>I would like to express my sincere gratitude to my lecturers, for their guidance, patience, and understanding throughout my journey their support has meant so much to me, especially during such a challenging time in my life. I would also like to give special thanks to the University of Wales Trinity Saint David for providing the resources and learning environment that made it possible to complete this work.</w:t>
      </w:r>
    </w:p>
    <w:p w14:paraId="078875BA" w14:textId="4D95C841" w:rsidR="0041093D" w:rsidRPr="00F47838" w:rsidRDefault="00F47838" w:rsidP="004D20C5">
      <w:pPr>
        <w:spacing w:before="240"/>
        <w:jc w:val="both"/>
        <w:rPr>
          <w:szCs w:val="22"/>
          <w:lang w:val="en-US"/>
        </w:rPr>
      </w:pPr>
      <w:r w:rsidRPr="00F47838">
        <w:rPr>
          <w:szCs w:val="22"/>
          <w:lang w:val="en-US"/>
        </w:rPr>
        <w:t>Most importantly, I want to dedicate this work to my husband and my children. To my husband, thank you for your constant support, strength, and encouragement—you have been my anchor through everything. To my children, you are my greatest motivation and the reason I continue to strive for a better future.</w:t>
      </w:r>
    </w:p>
    <w:p w14:paraId="42E4B139" w14:textId="04BCCE48" w:rsidR="0041093D" w:rsidRPr="00F47838" w:rsidRDefault="00F47838" w:rsidP="004D20C5">
      <w:pPr>
        <w:spacing w:before="240"/>
        <w:jc w:val="both"/>
        <w:rPr>
          <w:szCs w:val="22"/>
          <w:lang w:val="en-US"/>
        </w:rPr>
      </w:pPr>
      <w:r w:rsidRPr="00F47838">
        <w:rPr>
          <w:szCs w:val="22"/>
          <w:lang w:val="en-US"/>
        </w:rPr>
        <w:t>To my daughter, Khadijah, your bravery and strength throughout your major surgeries have been truly inspiring. Watching you face such difficult moments with courage has given me the determination to keep going, even when things felt overwhelming. You are stronger than words can ever express, and I am so proud of you.</w:t>
      </w:r>
    </w:p>
    <w:p w14:paraId="6B007E71" w14:textId="74B3A0DE" w:rsidR="005962AF" w:rsidRPr="005962AF" w:rsidRDefault="00F47838" w:rsidP="004D20C5">
      <w:pPr>
        <w:spacing w:before="240"/>
        <w:jc w:val="both"/>
        <w:rPr>
          <w:szCs w:val="22"/>
          <w:lang w:val="en-US"/>
        </w:rPr>
      </w:pPr>
      <w:r w:rsidRPr="00F47838">
        <w:rPr>
          <w:szCs w:val="22"/>
          <w:lang w:val="en-US"/>
        </w:rPr>
        <w:t>Balancing my studies during such an emotional time has not been easy, but the love, patience, and understanding from my family have carried me through. This achievement is not mine alone—it belongs to all of you.</w:t>
      </w:r>
    </w:p>
    <w:p w14:paraId="162F73B6" w14:textId="77777777" w:rsidR="005962AF" w:rsidRDefault="005962AF" w:rsidP="00091D89">
      <w:pPr>
        <w:jc w:val="both"/>
        <w:rPr>
          <w:szCs w:val="22"/>
          <w:lang w:val="en-US"/>
        </w:rPr>
      </w:pPr>
    </w:p>
    <w:p w14:paraId="2C11677D" w14:textId="77777777" w:rsidR="005962AF" w:rsidRDefault="005962AF" w:rsidP="00091D89">
      <w:pPr>
        <w:jc w:val="both"/>
        <w:rPr>
          <w:szCs w:val="22"/>
          <w:lang w:val="en-US"/>
        </w:rPr>
      </w:pPr>
    </w:p>
    <w:p w14:paraId="19A3B810" w14:textId="77777777" w:rsidR="005962AF" w:rsidRDefault="005962AF" w:rsidP="00091D89">
      <w:pPr>
        <w:jc w:val="both"/>
        <w:rPr>
          <w:szCs w:val="22"/>
          <w:lang w:val="en-US"/>
        </w:rPr>
      </w:pPr>
    </w:p>
    <w:p w14:paraId="75C75463" w14:textId="77777777" w:rsidR="005962AF" w:rsidRDefault="005962AF" w:rsidP="00091D89">
      <w:pPr>
        <w:jc w:val="both"/>
        <w:rPr>
          <w:szCs w:val="22"/>
          <w:lang w:val="en-US"/>
        </w:rPr>
      </w:pPr>
    </w:p>
    <w:p w14:paraId="7F516DE2" w14:textId="77777777" w:rsidR="005962AF" w:rsidRDefault="005962AF" w:rsidP="00091D89">
      <w:pPr>
        <w:jc w:val="both"/>
        <w:rPr>
          <w:szCs w:val="22"/>
          <w:lang w:val="en-US"/>
        </w:rPr>
      </w:pPr>
    </w:p>
    <w:p w14:paraId="55EE0EEE" w14:textId="77777777" w:rsidR="005962AF" w:rsidRDefault="005962AF" w:rsidP="00091D89">
      <w:pPr>
        <w:jc w:val="both"/>
        <w:rPr>
          <w:szCs w:val="22"/>
          <w:lang w:val="en-US"/>
        </w:rPr>
      </w:pPr>
    </w:p>
    <w:p w14:paraId="59898DE7" w14:textId="77777777" w:rsidR="005962AF" w:rsidRDefault="005962AF" w:rsidP="00091D89">
      <w:pPr>
        <w:jc w:val="both"/>
        <w:rPr>
          <w:szCs w:val="22"/>
          <w:lang w:val="en-US"/>
        </w:rPr>
      </w:pPr>
    </w:p>
    <w:p w14:paraId="33C12700" w14:textId="77777777" w:rsidR="00F1598D" w:rsidRDefault="00F1598D" w:rsidP="00F47838">
      <w:pPr>
        <w:spacing w:before="240"/>
        <w:rPr>
          <w:szCs w:val="22"/>
          <w:lang w:val="en-US"/>
        </w:rPr>
      </w:pPr>
    </w:p>
    <w:p w14:paraId="6F46DC9A" w14:textId="77777777" w:rsidR="00F47838" w:rsidRPr="00F47838" w:rsidRDefault="00F47838" w:rsidP="00F47838">
      <w:pPr>
        <w:spacing w:before="240"/>
        <w:rPr>
          <w:rFonts w:cs="Calibri"/>
          <w:b/>
          <w:bCs/>
          <w:sz w:val="36"/>
          <w:szCs w:val="36"/>
          <w:lang w:val="en-US"/>
        </w:rPr>
      </w:pPr>
    </w:p>
    <w:p w14:paraId="0C2F7E7C" w14:textId="77777777" w:rsidR="004D20C5" w:rsidRDefault="004D20C5" w:rsidP="00006876">
      <w:pPr>
        <w:spacing w:before="240"/>
        <w:jc w:val="center"/>
        <w:rPr>
          <w:rFonts w:cs="Calibri"/>
          <w:b/>
          <w:bCs/>
          <w:sz w:val="36"/>
          <w:szCs w:val="36"/>
          <w:lang w:val="en-US"/>
        </w:rPr>
      </w:pPr>
    </w:p>
    <w:p w14:paraId="7DE6D0A1" w14:textId="77777777" w:rsidR="004D20C5" w:rsidRDefault="004D20C5" w:rsidP="00006876">
      <w:pPr>
        <w:spacing w:before="240"/>
        <w:jc w:val="center"/>
        <w:rPr>
          <w:rFonts w:cs="Calibri"/>
          <w:b/>
          <w:bCs/>
          <w:sz w:val="36"/>
          <w:szCs w:val="36"/>
          <w:lang w:val="en-US"/>
        </w:rPr>
      </w:pPr>
    </w:p>
    <w:p w14:paraId="1141E6C8" w14:textId="3D6F9D00" w:rsidR="00ED4A77" w:rsidRDefault="006662CB" w:rsidP="00006876">
      <w:pPr>
        <w:spacing w:before="240"/>
        <w:jc w:val="center"/>
        <w:rPr>
          <w:rFonts w:cs="Calibri"/>
          <w:b/>
          <w:bCs/>
          <w:sz w:val="36"/>
          <w:szCs w:val="36"/>
        </w:rPr>
      </w:pPr>
      <w:r w:rsidRPr="00006876">
        <w:rPr>
          <w:rFonts w:cs="Calibri"/>
          <w:b/>
          <w:bCs/>
          <w:sz w:val="36"/>
          <w:szCs w:val="36"/>
        </w:rPr>
        <w:lastRenderedPageBreak/>
        <w:t>Telemedicine and Digital Health as Tools for Advancing SDG in Rural Communities</w:t>
      </w:r>
    </w:p>
    <w:p w14:paraId="7B3F7FF2" w14:textId="77777777" w:rsidR="00006876" w:rsidRDefault="00006876" w:rsidP="00006876">
      <w:pPr>
        <w:spacing w:before="240"/>
        <w:jc w:val="center"/>
        <w:rPr>
          <w:rFonts w:cs="Calibri"/>
          <w:b/>
          <w:bCs/>
          <w:sz w:val="36"/>
          <w:szCs w:val="36"/>
        </w:rPr>
      </w:pPr>
    </w:p>
    <w:p w14:paraId="140E93A8" w14:textId="77777777" w:rsidR="00006876" w:rsidRPr="00006876" w:rsidRDefault="00006876" w:rsidP="00006876">
      <w:pPr>
        <w:spacing w:before="240"/>
        <w:jc w:val="center"/>
        <w:rPr>
          <w:rFonts w:cs="Calibri"/>
          <w:sz w:val="36"/>
          <w:szCs w:val="36"/>
          <w:lang w:val="en-GB"/>
        </w:rPr>
      </w:pPr>
    </w:p>
    <w:p w14:paraId="6E445573" w14:textId="77777777" w:rsidR="00967F99" w:rsidRPr="00BF40C8" w:rsidRDefault="00967F99" w:rsidP="00967F99">
      <w:pPr>
        <w:spacing w:before="240"/>
        <w:jc w:val="center"/>
        <w:rPr>
          <w:rFonts w:cs="Calibri"/>
          <w:b/>
          <w:bCs/>
          <w:sz w:val="36"/>
          <w:szCs w:val="36"/>
          <w:lang w:val="en-US"/>
        </w:rPr>
      </w:pPr>
      <w:r w:rsidRPr="00006876">
        <w:rPr>
          <w:rFonts w:cs="Calibri"/>
          <w:b/>
          <w:bCs/>
          <w:sz w:val="36"/>
          <w:szCs w:val="36"/>
        </w:rPr>
        <w:t>Name</w:t>
      </w:r>
      <w:r>
        <w:rPr>
          <w:rFonts w:cs="Calibri"/>
          <w:b/>
          <w:bCs/>
          <w:sz w:val="36"/>
          <w:szCs w:val="36"/>
          <w:lang w:val="en-US"/>
        </w:rPr>
        <w:t>: Samina Nazir</w:t>
      </w:r>
    </w:p>
    <w:p w14:paraId="4E8F0C1F" w14:textId="77777777" w:rsidR="00967F99" w:rsidRPr="00BF40C8" w:rsidRDefault="00967F99" w:rsidP="00967F99">
      <w:pPr>
        <w:spacing w:before="240"/>
        <w:jc w:val="center"/>
        <w:rPr>
          <w:rFonts w:cs="Calibri"/>
          <w:b/>
          <w:bCs/>
          <w:sz w:val="36"/>
          <w:szCs w:val="36"/>
          <w:lang w:val="en-US"/>
        </w:rPr>
      </w:pPr>
      <w:r w:rsidRPr="00006876">
        <w:rPr>
          <w:rFonts w:cs="Calibri"/>
          <w:b/>
          <w:bCs/>
          <w:sz w:val="36"/>
          <w:szCs w:val="36"/>
        </w:rPr>
        <w:t xml:space="preserve">Student </w:t>
      </w:r>
      <w:r>
        <w:rPr>
          <w:rFonts w:cs="Calibri"/>
          <w:b/>
          <w:bCs/>
          <w:sz w:val="36"/>
          <w:szCs w:val="36"/>
          <w:lang w:val="en-US"/>
        </w:rPr>
        <w:t>n</w:t>
      </w:r>
      <w:r w:rsidRPr="00006876">
        <w:rPr>
          <w:rFonts w:cs="Calibri"/>
          <w:b/>
          <w:bCs/>
          <w:sz w:val="36"/>
          <w:szCs w:val="36"/>
        </w:rPr>
        <w:t>umber</w:t>
      </w:r>
      <w:r>
        <w:rPr>
          <w:rFonts w:cs="Calibri"/>
          <w:b/>
          <w:bCs/>
          <w:sz w:val="36"/>
          <w:szCs w:val="36"/>
          <w:lang w:val="en-US"/>
        </w:rPr>
        <w:t>: 2215433</w:t>
      </w:r>
    </w:p>
    <w:p w14:paraId="60D0D81A" w14:textId="77777777" w:rsidR="00967F99" w:rsidRPr="00BF40C8" w:rsidRDefault="00967F99" w:rsidP="00967F99">
      <w:pPr>
        <w:spacing w:before="240"/>
        <w:jc w:val="center"/>
        <w:rPr>
          <w:rFonts w:cs="Calibri"/>
          <w:b/>
          <w:bCs/>
          <w:sz w:val="36"/>
          <w:szCs w:val="36"/>
          <w:lang w:val="en-US"/>
        </w:rPr>
      </w:pPr>
      <w:r w:rsidRPr="00BF40C8">
        <w:rPr>
          <w:rFonts w:cs="Calibri"/>
          <w:b/>
          <w:bCs/>
          <w:sz w:val="36"/>
          <w:szCs w:val="36"/>
          <w:lang w:val="en-US"/>
        </w:rPr>
        <w:t>Module name: Independent Project</w:t>
      </w:r>
    </w:p>
    <w:p w14:paraId="46FF4B4A" w14:textId="77777777" w:rsidR="00967F99" w:rsidRPr="00BF40C8" w:rsidRDefault="00967F99" w:rsidP="00967F99">
      <w:pPr>
        <w:spacing w:before="240"/>
        <w:jc w:val="center"/>
        <w:rPr>
          <w:rFonts w:cs="Calibri"/>
          <w:b/>
          <w:bCs/>
          <w:sz w:val="36"/>
          <w:szCs w:val="36"/>
          <w:lang w:val="en-US"/>
        </w:rPr>
      </w:pPr>
      <w:r w:rsidRPr="00BF40C8">
        <w:rPr>
          <w:rFonts w:cs="Calibri"/>
          <w:b/>
          <w:bCs/>
          <w:sz w:val="36"/>
          <w:szCs w:val="36"/>
          <w:lang w:val="en-US"/>
        </w:rPr>
        <w:t>Module code: BMHP6020</w:t>
      </w:r>
    </w:p>
    <w:p w14:paraId="4AF83AA9" w14:textId="77777777" w:rsidR="00967F99" w:rsidRPr="00BF40C8" w:rsidRDefault="00967F99" w:rsidP="00967F99">
      <w:pPr>
        <w:spacing w:before="240"/>
        <w:jc w:val="center"/>
        <w:rPr>
          <w:rFonts w:cs="Calibri"/>
          <w:b/>
          <w:bCs/>
          <w:sz w:val="36"/>
          <w:szCs w:val="36"/>
          <w:lang w:val="en-US"/>
        </w:rPr>
      </w:pPr>
      <w:r w:rsidRPr="00BF40C8">
        <w:rPr>
          <w:rFonts w:cs="Calibri"/>
          <w:b/>
          <w:bCs/>
          <w:sz w:val="36"/>
          <w:szCs w:val="36"/>
          <w:lang w:val="en-US"/>
        </w:rPr>
        <w:t>Lecturer: Chloe Harries</w:t>
      </w:r>
    </w:p>
    <w:p w14:paraId="01ADFFB1" w14:textId="77777777" w:rsidR="00006876" w:rsidRPr="00006876" w:rsidRDefault="00006876" w:rsidP="00006876">
      <w:pPr>
        <w:spacing w:before="240"/>
        <w:jc w:val="center"/>
        <w:rPr>
          <w:rFonts w:cs="Calibri"/>
          <w:b/>
          <w:bCs/>
          <w:sz w:val="36"/>
          <w:szCs w:val="36"/>
        </w:rPr>
      </w:pPr>
    </w:p>
    <w:p w14:paraId="5247D566" w14:textId="77777777" w:rsidR="00006876" w:rsidRPr="00967F99" w:rsidRDefault="00006876" w:rsidP="00967F99">
      <w:pPr>
        <w:bidi/>
        <w:spacing w:before="240"/>
        <w:rPr>
          <w:rFonts w:cs="Calibri"/>
          <w:b/>
          <w:bCs/>
          <w:sz w:val="36"/>
          <w:szCs w:val="36"/>
          <w:lang w:val="en-US" w:bidi="ur-PK"/>
        </w:rPr>
      </w:pPr>
    </w:p>
    <w:p w14:paraId="28D287B5" w14:textId="77777777" w:rsidR="00006876" w:rsidRPr="00006876" w:rsidRDefault="00006876" w:rsidP="00006876">
      <w:pPr>
        <w:bidi/>
        <w:spacing w:before="240"/>
        <w:jc w:val="center"/>
        <w:rPr>
          <w:rFonts w:cs="Calibri"/>
          <w:b/>
          <w:bCs/>
          <w:sz w:val="36"/>
          <w:szCs w:val="36"/>
          <w:lang w:bidi="ur-PK"/>
        </w:rPr>
      </w:pPr>
    </w:p>
    <w:p w14:paraId="2FACF742" w14:textId="77777777" w:rsidR="00006876" w:rsidRPr="00006876" w:rsidRDefault="00006876" w:rsidP="00006876">
      <w:pPr>
        <w:bidi/>
        <w:spacing w:before="240"/>
        <w:jc w:val="center"/>
        <w:rPr>
          <w:rFonts w:cs="Calibri"/>
          <w:b/>
          <w:bCs/>
          <w:sz w:val="36"/>
          <w:szCs w:val="36"/>
          <w:rtl/>
          <w:lang w:bidi="ur-PK"/>
        </w:rPr>
      </w:pPr>
    </w:p>
    <w:p w14:paraId="199663EA" w14:textId="77777777" w:rsidR="00006876" w:rsidRPr="00F1598D" w:rsidRDefault="00006876" w:rsidP="00006876">
      <w:pPr>
        <w:spacing w:before="240"/>
        <w:jc w:val="center"/>
        <w:rPr>
          <w:rFonts w:cs="Calibri"/>
          <w:b/>
          <w:bCs/>
          <w:sz w:val="36"/>
          <w:szCs w:val="36"/>
        </w:rPr>
      </w:pPr>
      <w:r w:rsidRPr="00F1598D">
        <w:rPr>
          <w:rFonts w:cs="Calibri"/>
          <w:b/>
          <w:bCs/>
          <w:sz w:val="36"/>
          <w:szCs w:val="36"/>
        </w:rPr>
        <w:t>Dissertation submitted as part of the requirements for the award BSc (Hons) Health and Social Care</w:t>
      </w:r>
    </w:p>
    <w:p w14:paraId="0BE5616E" w14:textId="77777777" w:rsidR="00744D27" w:rsidRDefault="00744D27" w:rsidP="00006876">
      <w:pPr>
        <w:spacing w:before="240"/>
        <w:jc w:val="both"/>
        <w:rPr>
          <w:rFonts w:cs="Calibri"/>
          <w:szCs w:val="22"/>
          <w:lang w:val="en-GB"/>
        </w:rPr>
      </w:pPr>
    </w:p>
    <w:p w14:paraId="74048A92" w14:textId="77777777" w:rsidR="00006876" w:rsidRDefault="00006876" w:rsidP="00006876">
      <w:pPr>
        <w:spacing w:before="240"/>
        <w:jc w:val="both"/>
        <w:rPr>
          <w:rFonts w:cs="Calibri"/>
          <w:szCs w:val="22"/>
          <w:lang w:val="en-GB"/>
        </w:rPr>
      </w:pPr>
    </w:p>
    <w:p w14:paraId="07810267" w14:textId="77777777" w:rsidR="00006876" w:rsidRDefault="00006876" w:rsidP="00006876">
      <w:pPr>
        <w:spacing w:before="240"/>
        <w:jc w:val="both"/>
        <w:rPr>
          <w:rFonts w:cs="Calibri"/>
          <w:szCs w:val="22"/>
          <w:lang w:val="en-GB"/>
        </w:rPr>
      </w:pPr>
    </w:p>
    <w:p w14:paraId="1FF96FC0" w14:textId="6827DA9A" w:rsidR="009E0B21" w:rsidRPr="005509E8" w:rsidRDefault="008B5F15" w:rsidP="00006876">
      <w:pPr>
        <w:spacing w:before="240"/>
        <w:jc w:val="both"/>
        <w:rPr>
          <w:rFonts w:cs="Calibri"/>
          <w:b/>
          <w:bCs/>
          <w:sz w:val="24"/>
          <w:lang w:val="en-GB"/>
        </w:rPr>
      </w:pPr>
      <w:r w:rsidRPr="005509E8">
        <w:rPr>
          <w:rFonts w:cs="Calibri"/>
          <w:b/>
          <w:bCs/>
          <w:sz w:val="24"/>
          <w:lang w:val="en-GB"/>
        </w:rPr>
        <w:t>Abstract</w:t>
      </w:r>
    </w:p>
    <w:p w14:paraId="2826AD0E" w14:textId="77777777" w:rsidR="004C46A0" w:rsidRDefault="00C116CC" w:rsidP="008B4698">
      <w:pPr>
        <w:jc w:val="both"/>
      </w:pPr>
      <w:r w:rsidRPr="00C116CC">
        <w:t xml:space="preserve">This dissertation investigates the role of telemedicine and broader interventions in digital health in achieving Sustainable Development Goals (SDGs) in rural communities, focusing on SDG 3 (health and well-being), SDG 9 (infrastructure and innovation) and SDG 10 (reduced inequalities). The importance of this study in relation to health and social care is that rural populations have long-term challenges in accessing timely, continuous care, and digital health has been proposed as a neutral answer while evidence indicates that it can perpetuate or amplify inequities when infrastructure, affordability and digital capability are uneven. </w:t>
      </w:r>
    </w:p>
    <w:p w14:paraId="39CDC6D3" w14:textId="77777777" w:rsidR="004C46A0" w:rsidRDefault="00C116CC" w:rsidP="004C46A0">
      <w:pPr>
        <w:jc w:val="both"/>
      </w:pPr>
      <w:r w:rsidRPr="00C116CC">
        <w:t xml:space="preserve">A desk-based and literature-led methodology was employed. A structured search strategy was used across academic databases and relevant policy sources, based on inclusion and exclusion criteria and quality appraisal (CRAAP) framework. 12 studies were defined and analysed using thematic analysis to identify recurring pattern of rural telehealth implementation and outcomes. Three themes emerged. First, sustainable rural telehealth requires readiness of infrastructure and interoperable systems and without reliable connectivity, data-sharing capacity, and maintenance support, telehealth is fragile and fails to integrate into routine care. Second, digital literacy, trust and cultural acceptability influence equitable uptake, and even where services are present, users may not participate in services if platforms are difficult to use, privacy cannot be guaranteed or remote care conflicts with expectations of relationship-based clinical interactions. </w:t>
      </w:r>
      <w:r w:rsidR="00F717EA" w:rsidRPr="00F717EA">
        <w:t xml:space="preserve">Third, social and economic disparities impact the most beneficiaries of telehealth. </w:t>
      </w:r>
    </w:p>
    <w:p w14:paraId="07140BF6" w14:textId="44BA4AA0" w:rsidR="008B5F15" w:rsidRDefault="00F717EA" w:rsidP="004C46A0">
      <w:pPr>
        <w:jc w:val="both"/>
      </w:pPr>
      <w:r w:rsidRPr="00F717EA">
        <w:t>Telehealth may enhance care access among rural populations, but the good can be distributed unequally where people are more likely to have improved internet, devices, and digital literacy. This is even more problematic as digital services become the primary mode of care. There are also limitations in the study. It relies on secondary evidence, the studies incorporated are in dissimilar settings and employ varying methods, and there is a lack of coherent measurement of SDG-related outcomes, particularly among the marginalised populations. The significance of these limits is that they can result in sweeping conclusions or policy suggestions that lack strong evidence. The dissertation thus advises the design of telehealth to be equitable, enhance infrastructure and compatibility of systems, and develop digital skills, trust, and culturally fit services. In general, telemedicine helps to achieve SDGs in rural communities only when it is designed and managed in a manner that endorses inclusion, equity, and sustainability.</w:t>
      </w:r>
    </w:p>
    <w:p w14:paraId="2330BA1E" w14:textId="77777777" w:rsidR="004C46A0" w:rsidRDefault="004C46A0" w:rsidP="00006876">
      <w:pPr>
        <w:spacing w:before="240"/>
        <w:jc w:val="both"/>
      </w:pPr>
    </w:p>
    <w:p w14:paraId="5FE156F5" w14:textId="77777777" w:rsidR="004C46A0" w:rsidRPr="008B5F15" w:rsidRDefault="004C46A0" w:rsidP="00006876">
      <w:pPr>
        <w:spacing w:before="240"/>
        <w:jc w:val="both"/>
        <w:rPr>
          <w:rFonts w:cs="Calibri"/>
          <w:b/>
          <w:bCs/>
          <w:szCs w:val="22"/>
          <w:lang w:val="en-GB"/>
        </w:rPr>
      </w:pPr>
    </w:p>
    <w:sdt>
      <w:sdtPr>
        <w:rPr>
          <w:rFonts w:ascii="Calibri" w:eastAsia="Times New Roman" w:hAnsi="Calibri" w:cs="Calibri"/>
          <w:b w:val="0"/>
          <w:bCs w:val="0"/>
          <w:color w:val="auto"/>
          <w:sz w:val="22"/>
          <w:szCs w:val="22"/>
          <w:lang w:eastAsia="en-GB"/>
        </w:rPr>
        <w:id w:val="76107377"/>
        <w:docPartObj>
          <w:docPartGallery w:val="Table of Contents"/>
          <w:docPartUnique/>
        </w:docPartObj>
      </w:sdtPr>
      <w:sdtEndPr>
        <w:rPr>
          <w:noProof/>
        </w:rPr>
      </w:sdtEndPr>
      <w:sdtContent>
        <w:p w14:paraId="3A154DD4" w14:textId="3811144F" w:rsidR="00FD3C99" w:rsidRPr="00E90620" w:rsidRDefault="00FD3C99">
          <w:pPr>
            <w:pStyle w:val="TOCHeading"/>
            <w:rPr>
              <w:rFonts w:ascii="Calibri" w:hAnsi="Calibri" w:cs="Calibri"/>
              <w:sz w:val="32"/>
              <w:szCs w:val="32"/>
            </w:rPr>
          </w:pPr>
          <w:r w:rsidRPr="00E90620">
            <w:rPr>
              <w:rFonts w:ascii="Calibri" w:hAnsi="Calibri" w:cs="Calibri"/>
              <w:sz w:val="32"/>
              <w:szCs w:val="32"/>
            </w:rPr>
            <w:t>Table of Contents</w:t>
          </w:r>
        </w:p>
        <w:p w14:paraId="4D16A6C3" w14:textId="69E386B2" w:rsidR="00E90620" w:rsidRPr="00E90620" w:rsidRDefault="00FD3C99">
          <w:pPr>
            <w:pStyle w:val="TOC1"/>
            <w:tabs>
              <w:tab w:val="right" w:leader="dot" w:pos="9016"/>
            </w:tabs>
            <w:rPr>
              <w:rFonts w:ascii="Calibri" w:eastAsiaTheme="minorEastAsia" w:hAnsi="Calibri" w:cs="Calibri"/>
              <w:b w:val="0"/>
              <w:bCs w:val="0"/>
              <w:noProof/>
              <w:kern w:val="2"/>
              <w:sz w:val="22"/>
              <w:szCs w:val="22"/>
              <w14:ligatures w14:val="standardContextual"/>
            </w:rPr>
          </w:pPr>
          <w:r w:rsidRPr="00E90620">
            <w:rPr>
              <w:rFonts w:ascii="Calibri" w:hAnsi="Calibri" w:cs="Calibri"/>
              <w:b w:val="0"/>
              <w:bCs w:val="0"/>
              <w:sz w:val="22"/>
              <w:szCs w:val="22"/>
            </w:rPr>
            <w:fldChar w:fldCharType="begin"/>
          </w:r>
          <w:r w:rsidRPr="00E90620">
            <w:rPr>
              <w:rFonts w:ascii="Calibri" w:hAnsi="Calibri" w:cs="Calibri"/>
              <w:sz w:val="22"/>
              <w:szCs w:val="22"/>
            </w:rPr>
            <w:instrText xml:space="preserve"> TOC \o "1-3" \h \z \u </w:instrText>
          </w:r>
          <w:r w:rsidRPr="00E90620">
            <w:rPr>
              <w:rFonts w:ascii="Calibri" w:hAnsi="Calibri" w:cs="Calibri"/>
              <w:b w:val="0"/>
              <w:bCs w:val="0"/>
              <w:sz w:val="22"/>
              <w:szCs w:val="22"/>
            </w:rPr>
            <w:fldChar w:fldCharType="separate"/>
          </w:r>
          <w:hyperlink w:anchor="_Toc220350647" w:history="1">
            <w:r w:rsidR="00E90620" w:rsidRPr="00E90620">
              <w:rPr>
                <w:rStyle w:val="Hyperlink"/>
                <w:rFonts w:ascii="Calibri" w:hAnsi="Calibri" w:cs="Calibri"/>
                <w:noProof/>
                <w:sz w:val="22"/>
                <w:szCs w:val="22"/>
              </w:rPr>
              <w:t>CHAPTER 1: Introduction</w:t>
            </w:r>
            <w:r w:rsidR="00E90620" w:rsidRPr="00E90620">
              <w:rPr>
                <w:rFonts w:ascii="Calibri" w:hAnsi="Calibri" w:cs="Calibri"/>
                <w:noProof/>
                <w:webHidden/>
                <w:sz w:val="22"/>
                <w:szCs w:val="22"/>
              </w:rPr>
              <w:tab/>
            </w:r>
            <w:r w:rsidR="00E90620" w:rsidRPr="00E90620">
              <w:rPr>
                <w:rFonts w:ascii="Calibri" w:hAnsi="Calibri" w:cs="Calibri"/>
                <w:noProof/>
                <w:webHidden/>
                <w:sz w:val="22"/>
                <w:szCs w:val="22"/>
              </w:rPr>
              <w:fldChar w:fldCharType="begin"/>
            </w:r>
            <w:r w:rsidR="00E90620" w:rsidRPr="00E90620">
              <w:rPr>
                <w:rFonts w:ascii="Calibri" w:hAnsi="Calibri" w:cs="Calibri"/>
                <w:noProof/>
                <w:webHidden/>
                <w:sz w:val="22"/>
                <w:szCs w:val="22"/>
              </w:rPr>
              <w:instrText xml:space="preserve"> PAGEREF _Toc220350647 \h </w:instrText>
            </w:r>
            <w:r w:rsidR="00E90620" w:rsidRPr="00E90620">
              <w:rPr>
                <w:rFonts w:ascii="Calibri" w:hAnsi="Calibri" w:cs="Calibri"/>
                <w:noProof/>
                <w:webHidden/>
                <w:sz w:val="22"/>
                <w:szCs w:val="22"/>
              </w:rPr>
            </w:r>
            <w:r w:rsidR="00E90620" w:rsidRPr="00E90620">
              <w:rPr>
                <w:rFonts w:ascii="Calibri" w:hAnsi="Calibri" w:cs="Calibri"/>
                <w:noProof/>
                <w:webHidden/>
                <w:sz w:val="22"/>
                <w:szCs w:val="22"/>
              </w:rPr>
              <w:fldChar w:fldCharType="separate"/>
            </w:r>
            <w:r w:rsidR="00F757E5">
              <w:rPr>
                <w:rFonts w:ascii="Calibri" w:hAnsi="Calibri" w:cs="Calibri"/>
                <w:noProof/>
                <w:webHidden/>
                <w:sz w:val="22"/>
                <w:szCs w:val="22"/>
              </w:rPr>
              <w:t>8</w:t>
            </w:r>
            <w:r w:rsidR="00E90620" w:rsidRPr="00E90620">
              <w:rPr>
                <w:rFonts w:ascii="Calibri" w:hAnsi="Calibri" w:cs="Calibri"/>
                <w:noProof/>
                <w:webHidden/>
                <w:sz w:val="22"/>
                <w:szCs w:val="22"/>
              </w:rPr>
              <w:fldChar w:fldCharType="end"/>
            </w:r>
          </w:hyperlink>
        </w:p>
        <w:p w14:paraId="79086446" w14:textId="6AA7014A" w:rsidR="00E90620" w:rsidRPr="00E90620" w:rsidRDefault="00E90620">
          <w:pPr>
            <w:pStyle w:val="TOC2"/>
            <w:tabs>
              <w:tab w:val="right" w:leader="dot" w:pos="9016"/>
            </w:tabs>
            <w:rPr>
              <w:rFonts w:ascii="Calibri" w:eastAsiaTheme="minorEastAsia" w:hAnsi="Calibri" w:cs="Calibri"/>
              <w:i w:val="0"/>
              <w:iCs w:val="0"/>
              <w:noProof/>
              <w:kern w:val="2"/>
              <w:sz w:val="22"/>
              <w:szCs w:val="22"/>
              <w14:ligatures w14:val="standardContextual"/>
            </w:rPr>
          </w:pPr>
          <w:hyperlink w:anchor="_Toc220350648" w:history="1">
            <w:r w:rsidRPr="00E90620">
              <w:rPr>
                <w:rStyle w:val="Hyperlink"/>
                <w:rFonts w:ascii="Calibri" w:hAnsi="Calibri" w:cs="Calibri"/>
                <w:noProof/>
                <w:sz w:val="22"/>
                <w:szCs w:val="22"/>
              </w:rPr>
              <w:t>1.1 Introduction</w:t>
            </w:r>
            <w:r w:rsidRPr="00E90620">
              <w:rPr>
                <w:rFonts w:ascii="Calibri" w:hAnsi="Calibri" w:cs="Calibri"/>
                <w:noProof/>
                <w:webHidden/>
                <w:sz w:val="22"/>
                <w:szCs w:val="22"/>
              </w:rPr>
              <w:tab/>
            </w:r>
            <w:r w:rsidRPr="00E90620">
              <w:rPr>
                <w:rFonts w:ascii="Calibri" w:hAnsi="Calibri" w:cs="Calibri"/>
                <w:noProof/>
                <w:webHidden/>
                <w:sz w:val="22"/>
                <w:szCs w:val="22"/>
              </w:rPr>
              <w:fldChar w:fldCharType="begin"/>
            </w:r>
            <w:r w:rsidRPr="00E90620">
              <w:rPr>
                <w:rFonts w:ascii="Calibri" w:hAnsi="Calibri" w:cs="Calibri"/>
                <w:noProof/>
                <w:webHidden/>
                <w:sz w:val="22"/>
                <w:szCs w:val="22"/>
              </w:rPr>
              <w:instrText xml:space="preserve"> PAGEREF _Toc220350648 \h </w:instrText>
            </w:r>
            <w:r w:rsidRPr="00E90620">
              <w:rPr>
                <w:rFonts w:ascii="Calibri" w:hAnsi="Calibri" w:cs="Calibri"/>
                <w:noProof/>
                <w:webHidden/>
                <w:sz w:val="22"/>
                <w:szCs w:val="22"/>
              </w:rPr>
            </w:r>
            <w:r w:rsidRPr="00E90620">
              <w:rPr>
                <w:rFonts w:ascii="Calibri" w:hAnsi="Calibri" w:cs="Calibri"/>
                <w:noProof/>
                <w:webHidden/>
                <w:sz w:val="22"/>
                <w:szCs w:val="22"/>
              </w:rPr>
              <w:fldChar w:fldCharType="separate"/>
            </w:r>
            <w:r w:rsidR="00F757E5">
              <w:rPr>
                <w:rFonts w:ascii="Calibri" w:hAnsi="Calibri" w:cs="Calibri"/>
                <w:noProof/>
                <w:webHidden/>
                <w:sz w:val="22"/>
                <w:szCs w:val="22"/>
              </w:rPr>
              <w:t>8</w:t>
            </w:r>
            <w:r w:rsidRPr="00E90620">
              <w:rPr>
                <w:rFonts w:ascii="Calibri" w:hAnsi="Calibri" w:cs="Calibri"/>
                <w:noProof/>
                <w:webHidden/>
                <w:sz w:val="22"/>
                <w:szCs w:val="22"/>
              </w:rPr>
              <w:fldChar w:fldCharType="end"/>
            </w:r>
          </w:hyperlink>
        </w:p>
        <w:p w14:paraId="51FBBEAD" w14:textId="41D562FF" w:rsidR="00E90620" w:rsidRPr="00E90620" w:rsidRDefault="00E90620">
          <w:pPr>
            <w:pStyle w:val="TOC2"/>
            <w:tabs>
              <w:tab w:val="right" w:leader="dot" w:pos="9016"/>
            </w:tabs>
            <w:rPr>
              <w:rFonts w:ascii="Calibri" w:eastAsiaTheme="minorEastAsia" w:hAnsi="Calibri" w:cs="Calibri"/>
              <w:i w:val="0"/>
              <w:iCs w:val="0"/>
              <w:noProof/>
              <w:kern w:val="2"/>
              <w:sz w:val="22"/>
              <w:szCs w:val="22"/>
              <w14:ligatures w14:val="standardContextual"/>
            </w:rPr>
          </w:pPr>
          <w:hyperlink w:anchor="_Toc220350649" w:history="1">
            <w:r w:rsidRPr="00E90620">
              <w:rPr>
                <w:rStyle w:val="Hyperlink"/>
                <w:rFonts w:ascii="Calibri" w:hAnsi="Calibri" w:cs="Calibri"/>
                <w:noProof/>
                <w:sz w:val="22"/>
                <w:szCs w:val="22"/>
              </w:rPr>
              <w:t>1.2 Definitions and Terminology</w:t>
            </w:r>
            <w:r w:rsidRPr="00E90620">
              <w:rPr>
                <w:rFonts w:ascii="Calibri" w:hAnsi="Calibri" w:cs="Calibri"/>
                <w:noProof/>
                <w:webHidden/>
                <w:sz w:val="22"/>
                <w:szCs w:val="22"/>
              </w:rPr>
              <w:tab/>
            </w:r>
            <w:r w:rsidRPr="00E90620">
              <w:rPr>
                <w:rFonts w:ascii="Calibri" w:hAnsi="Calibri" w:cs="Calibri"/>
                <w:noProof/>
                <w:webHidden/>
                <w:sz w:val="22"/>
                <w:szCs w:val="22"/>
              </w:rPr>
              <w:fldChar w:fldCharType="begin"/>
            </w:r>
            <w:r w:rsidRPr="00E90620">
              <w:rPr>
                <w:rFonts w:ascii="Calibri" w:hAnsi="Calibri" w:cs="Calibri"/>
                <w:noProof/>
                <w:webHidden/>
                <w:sz w:val="22"/>
                <w:szCs w:val="22"/>
              </w:rPr>
              <w:instrText xml:space="preserve"> PAGEREF _Toc220350649 \h </w:instrText>
            </w:r>
            <w:r w:rsidRPr="00E90620">
              <w:rPr>
                <w:rFonts w:ascii="Calibri" w:hAnsi="Calibri" w:cs="Calibri"/>
                <w:noProof/>
                <w:webHidden/>
                <w:sz w:val="22"/>
                <w:szCs w:val="22"/>
              </w:rPr>
            </w:r>
            <w:r w:rsidRPr="00E90620">
              <w:rPr>
                <w:rFonts w:ascii="Calibri" w:hAnsi="Calibri" w:cs="Calibri"/>
                <w:noProof/>
                <w:webHidden/>
                <w:sz w:val="22"/>
                <w:szCs w:val="22"/>
              </w:rPr>
              <w:fldChar w:fldCharType="separate"/>
            </w:r>
            <w:r w:rsidR="00F757E5">
              <w:rPr>
                <w:rFonts w:ascii="Calibri" w:hAnsi="Calibri" w:cs="Calibri"/>
                <w:noProof/>
                <w:webHidden/>
                <w:sz w:val="22"/>
                <w:szCs w:val="22"/>
              </w:rPr>
              <w:t>9</w:t>
            </w:r>
            <w:r w:rsidRPr="00E90620">
              <w:rPr>
                <w:rFonts w:ascii="Calibri" w:hAnsi="Calibri" w:cs="Calibri"/>
                <w:noProof/>
                <w:webHidden/>
                <w:sz w:val="22"/>
                <w:szCs w:val="22"/>
              </w:rPr>
              <w:fldChar w:fldCharType="end"/>
            </w:r>
          </w:hyperlink>
        </w:p>
        <w:p w14:paraId="41CEC63E" w14:textId="267B2B5C" w:rsidR="00E90620" w:rsidRPr="00E90620" w:rsidRDefault="00E90620">
          <w:pPr>
            <w:pStyle w:val="TOC2"/>
            <w:tabs>
              <w:tab w:val="right" w:leader="dot" w:pos="9016"/>
            </w:tabs>
            <w:rPr>
              <w:rFonts w:ascii="Calibri" w:eastAsiaTheme="minorEastAsia" w:hAnsi="Calibri" w:cs="Calibri"/>
              <w:i w:val="0"/>
              <w:iCs w:val="0"/>
              <w:noProof/>
              <w:kern w:val="2"/>
              <w:sz w:val="22"/>
              <w:szCs w:val="22"/>
              <w14:ligatures w14:val="standardContextual"/>
            </w:rPr>
          </w:pPr>
          <w:hyperlink w:anchor="_Toc220350650" w:history="1">
            <w:r w:rsidRPr="00E90620">
              <w:rPr>
                <w:rStyle w:val="Hyperlink"/>
                <w:rFonts w:ascii="Calibri" w:hAnsi="Calibri" w:cs="Calibri"/>
                <w:noProof/>
                <w:sz w:val="22"/>
                <w:szCs w:val="22"/>
              </w:rPr>
              <w:t>1.3 Rationale for Research</w:t>
            </w:r>
            <w:r w:rsidRPr="00E90620">
              <w:rPr>
                <w:rFonts w:ascii="Calibri" w:hAnsi="Calibri" w:cs="Calibri"/>
                <w:noProof/>
                <w:webHidden/>
                <w:sz w:val="22"/>
                <w:szCs w:val="22"/>
              </w:rPr>
              <w:tab/>
            </w:r>
            <w:r w:rsidRPr="00E90620">
              <w:rPr>
                <w:rFonts w:ascii="Calibri" w:hAnsi="Calibri" w:cs="Calibri"/>
                <w:noProof/>
                <w:webHidden/>
                <w:sz w:val="22"/>
                <w:szCs w:val="22"/>
              </w:rPr>
              <w:fldChar w:fldCharType="begin"/>
            </w:r>
            <w:r w:rsidRPr="00E90620">
              <w:rPr>
                <w:rFonts w:ascii="Calibri" w:hAnsi="Calibri" w:cs="Calibri"/>
                <w:noProof/>
                <w:webHidden/>
                <w:sz w:val="22"/>
                <w:szCs w:val="22"/>
              </w:rPr>
              <w:instrText xml:space="preserve"> PAGEREF _Toc220350650 \h </w:instrText>
            </w:r>
            <w:r w:rsidRPr="00E90620">
              <w:rPr>
                <w:rFonts w:ascii="Calibri" w:hAnsi="Calibri" w:cs="Calibri"/>
                <w:noProof/>
                <w:webHidden/>
                <w:sz w:val="22"/>
                <w:szCs w:val="22"/>
              </w:rPr>
            </w:r>
            <w:r w:rsidRPr="00E90620">
              <w:rPr>
                <w:rFonts w:ascii="Calibri" w:hAnsi="Calibri" w:cs="Calibri"/>
                <w:noProof/>
                <w:webHidden/>
                <w:sz w:val="22"/>
                <w:szCs w:val="22"/>
              </w:rPr>
              <w:fldChar w:fldCharType="separate"/>
            </w:r>
            <w:r w:rsidR="00F757E5">
              <w:rPr>
                <w:rFonts w:ascii="Calibri" w:hAnsi="Calibri" w:cs="Calibri"/>
                <w:noProof/>
                <w:webHidden/>
                <w:sz w:val="22"/>
                <w:szCs w:val="22"/>
              </w:rPr>
              <w:t>10</w:t>
            </w:r>
            <w:r w:rsidRPr="00E90620">
              <w:rPr>
                <w:rFonts w:ascii="Calibri" w:hAnsi="Calibri" w:cs="Calibri"/>
                <w:noProof/>
                <w:webHidden/>
                <w:sz w:val="22"/>
                <w:szCs w:val="22"/>
              </w:rPr>
              <w:fldChar w:fldCharType="end"/>
            </w:r>
          </w:hyperlink>
        </w:p>
        <w:p w14:paraId="349818BB" w14:textId="3AA9503C" w:rsidR="00E90620" w:rsidRPr="00E90620" w:rsidRDefault="00E90620">
          <w:pPr>
            <w:pStyle w:val="TOC2"/>
            <w:tabs>
              <w:tab w:val="right" w:leader="dot" w:pos="9016"/>
            </w:tabs>
            <w:rPr>
              <w:rFonts w:ascii="Calibri" w:eastAsiaTheme="minorEastAsia" w:hAnsi="Calibri" w:cs="Calibri"/>
              <w:i w:val="0"/>
              <w:iCs w:val="0"/>
              <w:noProof/>
              <w:kern w:val="2"/>
              <w:sz w:val="22"/>
              <w:szCs w:val="22"/>
              <w14:ligatures w14:val="standardContextual"/>
            </w:rPr>
          </w:pPr>
          <w:hyperlink w:anchor="_Toc220350651" w:history="1">
            <w:r w:rsidRPr="00E90620">
              <w:rPr>
                <w:rStyle w:val="Hyperlink"/>
                <w:rFonts w:ascii="Calibri" w:hAnsi="Calibri" w:cs="Calibri"/>
                <w:noProof/>
                <w:sz w:val="22"/>
                <w:szCs w:val="22"/>
              </w:rPr>
              <w:t>1.4 Aim and Objectives</w:t>
            </w:r>
            <w:r w:rsidRPr="00E90620">
              <w:rPr>
                <w:rFonts w:ascii="Calibri" w:hAnsi="Calibri" w:cs="Calibri"/>
                <w:noProof/>
                <w:webHidden/>
                <w:sz w:val="22"/>
                <w:szCs w:val="22"/>
              </w:rPr>
              <w:tab/>
            </w:r>
            <w:r w:rsidRPr="00E90620">
              <w:rPr>
                <w:rFonts w:ascii="Calibri" w:hAnsi="Calibri" w:cs="Calibri"/>
                <w:noProof/>
                <w:webHidden/>
                <w:sz w:val="22"/>
                <w:szCs w:val="22"/>
              </w:rPr>
              <w:fldChar w:fldCharType="begin"/>
            </w:r>
            <w:r w:rsidRPr="00E90620">
              <w:rPr>
                <w:rFonts w:ascii="Calibri" w:hAnsi="Calibri" w:cs="Calibri"/>
                <w:noProof/>
                <w:webHidden/>
                <w:sz w:val="22"/>
                <w:szCs w:val="22"/>
              </w:rPr>
              <w:instrText xml:space="preserve"> PAGEREF _Toc220350651 \h </w:instrText>
            </w:r>
            <w:r w:rsidRPr="00E90620">
              <w:rPr>
                <w:rFonts w:ascii="Calibri" w:hAnsi="Calibri" w:cs="Calibri"/>
                <w:noProof/>
                <w:webHidden/>
                <w:sz w:val="22"/>
                <w:szCs w:val="22"/>
              </w:rPr>
            </w:r>
            <w:r w:rsidRPr="00E90620">
              <w:rPr>
                <w:rFonts w:ascii="Calibri" w:hAnsi="Calibri" w:cs="Calibri"/>
                <w:noProof/>
                <w:webHidden/>
                <w:sz w:val="22"/>
                <w:szCs w:val="22"/>
              </w:rPr>
              <w:fldChar w:fldCharType="separate"/>
            </w:r>
            <w:r w:rsidR="00F757E5">
              <w:rPr>
                <w:rFonts w:ascii="Calibri" w:hAnsi="Calibri" w:cs="Calibri"/>
                <w:noProof/>
                <w:webHidden/>
                <w:sz w:val="22"/>
                <w:szCs w:val="22"/>
              </w:rPr>
              <w:t>10</w:t>
            </w:r>
            <w:r w:rsidRPr="00E90620">
              <w:rPr>
                <w:rFonts w:ascii="Calibri" w:hAnsi="Calibri" w:cs="Calibri"/>
                <w:noProof/>
                <w:webHidden/>
                <w:sz w:val="22"/>
                <w:szCs w:val="22"/>
              </w:rPr>
              <w:fldChar w:fldCharType="end"/>
            </w:r>
          </w:hyperlink>
        </w:p>
        <w:p w14:paraId="49F9A077" w14:textId="76FD33CF" w:rsidR="00E90620" w:rsidRPr="00E90620" w:rsidRDefault="00E90620">
          <w:pPr>
            <w:pStyle w:val="TOC2"/>
            <w:tabs>
              <w:tab w:val="right" w:leader="dot" w:pos="9016"/>
            </w:tabs>
            <w:rPr>
              <w:rFonts w:ascii="Calibri" w:eastAsiaTheme="minorEastAsia" w:hAnsi="Calibri" w:cs="Calibri"/>
              <w:i w:val="0"/>
              <w:iCs w:val="0"/>
              <w:noProof/>
              <w:kern w:val="2"/>
              <w:sz w:val="22"/>
              <w:szCs w:val="22"/>
              <w14:ligatures w14:val="standardContextual"/>
            </w:rPr>
          </w:pPr>
          <w:hyperlink w:anchor="_Toc220350652" w:history="1">
            <w:r w:rsidRPr="00E90620">
              <w:rPr>
                <w:rStyle w:val="Hyperlink"/>
                <w:rFonts w:ascii="Calibri" w:hAnsi="Calibri" w:cs="Calibri"/>
                <w:noProof/>
                <w:sz w:val="22"/>
                <w:szCs w:val="22"/>
              </w:rPr>
              <w:t>1.5 Conclusion</w:t>
            </w:r>
            <w:r w:rsidRPr="00E90620">
              <w:rPr>
                <w:rFonts w:ascii="Calibri" w:hAnsi="Calibri" w:cs="Calibri"/>
                <w:noProof/>
                <w:webHidden/>
                <w:sz w:val="22"/>
                <w:szCs w:val="22"/>
              </w:rPr>
              <w:tab/>
            </w:r>
            <w:r w:rsidRPr="00E90620">
              <w:rPr>
                <w:rFonts w:ascii="Calibri" w:hAnsi="Calibri" w:cs="Calibri"/>
                <w:noProof/>
                <w:webHidden/>
                <w:sz w:val="22"/>
                <w:szCs w:val="22"/>
              </w:rPr>
              <w:fldChar w:fldCharType="begin"/>
            </w:r>
            <w:r w:rsidRPr="00E90620">
              <w:rPr>
                <w:rFonts w:ascii="Calibri" w:hAnsi="Calibri" w:cs="Calibri"/>
                <w:noProof/>
                <w:webHidden/>
                <w:sz w:val="22"/>
                <w:szCs w:val="22"/>
              </w:rPr>
              <w:instrText xml:space="preserve"> PAGEREF _Toc220350652 \h </w:instrText>
            </w:r>
            <w:r w:rsidRPr="00E90620">
              <w:rPr>
                <w:rFonts w:ascii="Calibri" w:hAnsi="Calibri" w:cs="Calibri"/>
                <w:noProof/>
                <w:webHidden/>
                <w:sz w:val="22"/>
                <w:szCs w:val="22"/>
              </w:rPr>
            </w:r>
            <w:r w:rsidRPr="00E90620">
              <w:rPr>
                <w:rFonts w:ascii="Calibri" w:hAnsi="Calibri" w:cs="Calibri"/>
                <w:noProof/>
                <w:webHidden/>
                <w:sz w:val="22"/>
                <w:szCs w:val="22"/>
              </w:rPr>
              <w:fldChar w:fldCharType="separate"/>
            </w:r>
            <w:r w:rsidR="00F757E5">
              <w:rPr>
                <w:rFonts w:ascii="Calibri" w:hAnsi="Calibri" w:cs="Calibri"/>
                <w:noProof/>
                <w:webHidden/>
                <w:sz w:val="22"/>
                <w:szCs w:val="22"/>
              </w:rPr>
              <w:t>11</w:t>
            </w:r>
            <w:r w:rsidRPr="00E90620">
              <w:rPr>
                <w:rFonts w:ascii="Calibri" w:hAnsi="Calibri" w:cs="Calibri"/>
                <w:noProof/>
                <w:webHidden/>
                <w:sz w:val="22"/>
                <w:szCs w:val="22"/>
              </w:rPr>
              <w:fldChar w:fldCharType="end"/>
            </w:r>
          </w:hyperlink>
        </w:p>
        <w:p w14:paraId="088DC99A" w14:textId="5B38C84D" w:rsidR="00E90620" w:rsidRPr="00E90620" w:rsidRDefault="00E90620">
          <w:pPr>
            <w:pStyle w:val="TOC1"/>
            <w:tabs>
              <w:tab w:val="right" w:leader="dot" w:pos="9016"/>
            </w:tabs>
            <w:rPr>
              <w:rFonts w:ascii="Calibri" w:eastAsiaTheme="minorEastAsia" w:hAnsi="Calibri" w:cs="Calibri"/>
              <w:b w:val="0"/>
              <w:bCs w:val="0"/>
              <w:noProof/>
              <w:kern w:val="2"/>
              <w:sz w:val="22"/>
              <w:szCs w:val="22"/>
              <w14:ligatures w14:val="standardContextual"/>
            </w:rPr>
          </w:pPr>
          <w:hyperlink w:anchor="_Toc220350653" w:history="1">
            <w:r w:rsidRPr="00E90620">
              <w:rPr>
                <w:rStyle w:val="Hyperlink"/>
                <w:rFonts w:ascii="Calibri" w:hAnsi="Calibri" w:cs="Calibri"/>
                <w:noProof/>
                <w:sz w:val="22"/>
                <w:szCs w:val="22"/>
                <w:lang w:val="en-GB"/>
              </w:rPr>
              <w:t>CHAPTER 2 – Background Information and Analysis</w:t>
            </w:r>
            <w:r w:rsidRPr="00E90620">
              <w:rPr>
                <w:rFonts w:ascii="Calibri" w:hAnsi="Calibri" w:cs="Calibri"/>
                <w:noProof/>
                <w:webHidden/>
                <w:sz w:val="22"/>
                <w:szCs w:val="22"/>
              </w:rPr>
              <w:tab/>
            </w:r>
            <w:r w:rsidRPr="00E90620">
              <w:rPr>
                <w:rFonts w:ascii="Calibri" w:hAnsi="Calibri" w:cs="Calibri"/>
                <w:noProof/>
                <w:webHidden/>
                <w:sz w:val="22"/>
                <w:szCs w:val="22"/>
              </w:rPr>
              <w:fldChar w:fldCharType="begin"/>
            </w:r>
            <w:r w:rsidRPr="00E90620">
              <w:rPr>
                <w:rFonts w:ascii="Calibri" w:hAnsi="Calibri" w:cs="Calibri"/>
                <w:noProof/>
                <w:webHidden/>
                <w:sz w:val="22"/>
                <w:szCs w:val="22"/>
              </w:rPr>
              <w:instrText xml:space="preserve"> PAGEREF _Toc220350653 \h </w:instrText>
            </w:r>
            <w:r w:rsidRPr="00E90620">
              <w:rPr>
                <w:rFonts w:ascii="Calibri" w:hAnsi="Calibri" w:cs="Calibri"/>
                <w:noProof/>
                <w:webHidden/>
                <w:sz w:val="22"/>
                <w:szCs w:val="22"/>
              </w:rPr>
            </w:r>
            <w:r w:rsidRPr="00E90620">
              <w:rPr>
                <w:rFonts w:ascii="Calibri" w:hAnsi="Calibri" w:cs="Calibri"/>
                <w:noProof/>
                <w:webHidden/>
                <w:sz w:val="22"/>
                <w:szCs w:val="22"/>
              </w:rPr>
              <w:fldChar w:fldCharType="separate"/>
            </w:r>
            <w:r w:rsidR="00F757E5">
              <w:rPr>
                <w:rFonts w:ascii="Calibri" w:hAnsi="Calibri" w:cs="Calibri"/>
                <w:noProof/>
                <w:webHidden/>
                <w:sz w:val="22"/>
                <w:szCs w:val="22"/>
              </w:rPr>
              <w:t>12</w:t>
            </w:r>
            <w:r w:rsidRPr="00E90620">
              <w:rPr>
                <w:rFonts w:ascii="Calibri" w:hAnsi="Calibri" w:cs="Calibri"/>
                <w:noProof/>
                <w:webHidden/>
                <w:sz w:val="22"/>
                <w:szCs w:val="22"/>
              </w:rPr>
              <w:fldChar w:fldCharType="end"/>
            </w:r>
          </w:hyperlink>
        </w:p>
        <w:p w14:paraId="427BE0A7" w14:textId="3D01C551" w:rsidR="00E90620" w:rsidRPr="00E90620" w:rsidRDefault="00E90620">
          <w:pPr>
            <w:pStyle w:val="TOC2"/>
            <w:tabs>
              <w:tab w:val="right" w:leader="dot" w:pos="9016"/>
            </w:tabs>
            <w:rPr>
              <w:rFonts w:ascii="Calibri" w:eastAsiaTheme="minorEastAsia" w:hAnsi="Calibri" w:cs="Calibri"/>
              <w:i w:val="0"/>
              <w:iCs w:val="0"/>
              <w:noProof/>
              <w:kern w:val="2"/>
              <w:sz w:val="22"/>
              <w:szCs w:val="22"/>
              <w14:ligatures w14:val="standardContextual"/>
            </w:rPr>
          </w:pPr>
          <w:hyperlink w:anchor="_Toc220350654" w:history="1">
            <w:r w:rsidRPr="00E90620">
              <w:rPr>
                <w:rStyle w:val="Hyperlink"/>
                <w:rFonts w:ascii="Calibri" w:hAnsi="Calibri" w:cs="Calibri"/>
                <w:noProof/>
                <w:sz w:val="22"/>
                <w:szCs w:val="22"/>
              </w:rPr>
              <w:t>2.1 Introduction</w:t>
            </w:r>
            <w:r w:rsidRPr="00E90620">
              <w:rPr>
                <w:rFonts w:ascii="Calibri" w:hAnsi="Calibri" w:cs="Calibri"/>
                <w:noProof/>
                <w:webHidden/>
                <w:sz w:val="22"/>
                <w:szCs w:val="22"/>
              </w:rPr>
              <w:tab/>
            </w:r>
            <w:r w:rsidRPr="00E90620">
              <w:rPr>
                <w:rFonts w:ascii="Calibri" w:hAnsi="Calibri" w:cs="Calibri"/>
                <w:noProof/>
                <w:webHidden/>
                <w:sz w:val="22"/>
                <w:szCs w:val="22"/>
              </w:rPr>
              <w:fldChar w:fldCharType="begin"/>
            </w:r>
            <w:r w:rsidRPr="00E90620">
              <w:rPr>
                <w:rFonts w:ascii="Calibri" w:hAnsi="Calibri" w:cs="Calibri"/>
                <w:noProof/>
                <w:webHidden/>
                <w:sz w:val="22"/>
                <w:szCs w:val="22"/>
              </w:rPr>
              <w:instrText xml:space="preserve"> PAGEREF _Toc220350654 \h </w:instrText>
            </w:r>
            <w:r w:rsidRPr="00E90620">
              <w:rPr>
                <w:rFonts w:ascii="Calibri" w:hAnsi="Calibri" w:cs="Calibri"/>
                <w:noProof/>
                <w:webHidden/>
                <w:sz w:val="22"/>
                <w:szCs w:val="22"/>
              </w:rPr>
            </w:r>
            <w:r w:rsidRPr="00E90620">
              <w:rPr>
                <w:rFonts w:ascii="Calibri" w:hAnsi="Calibri" w:cs="Calibri"/>
                <w:noProof/>
                <w:webHidden/>
                <w:sz w:val="22"/>
                <w:szCs w:val="22"/>
              </w:rPr>
              <w:fldChar w:fldCharType="separate"/>
            </w:r>
            <w:r w:rsidR="00F757E5">
              <w:rPr>
                <w:rFonts w:ascii="Calibri" w:hAnsi="Calibri" w:cs="Calibri"/>
                <w:noProof/>
                <w:webHidden/>
                <w:sz w:val="22"/>
                <w:szCs w:val="22"/>
              </w:rPr>
              <w:t>12</w:t>
            </w:r>
            <w:r w:rsidRPr="00E90620">
              <w:rPr>
                <w:rFonts w:ascii="Calibri" w:hAnsi="Calibri" w:cs="Calibri"/>
                <w:noProof/>
                <w:webHidden/>
                <w:sz w:val="22"/>
                <w:szCs w:val="22"/>
              </w:rPr>
              <w:fldChar w:fldCharType="end"/>
            </w:r>
          </w:hyperlink>
        </w:p>
        <w:p w14:paraId="256639FD" w14:textId="3B1F0EB5" w:rsidR="00E90620" w:rsidRPr="00E90620" w:rsidRDefault="00E90620">
          <w:pPr>
            <w:pStyle w:val="TOC2"/>
            <w:tabs>
              <w:tab w:val="right" w:leader="dot" w:pos="9016"/>
            </w:tabs>
            <w:rPr>
              <w:rFonts w:ascii="Calibri" w:eastAsiaTheme="minorEastAsia" w:hAnsi="Calibri" w:cs="Calibri"/>
              <w:i w:val="0"/>
              <w:iCs w:val="0"/>
              <w:noProof/>
              <w:kern w:val="2"/>
              <w:sz w:val="22"/>
              <w:szCs w:val="22"/>
              <w14:ligatures w14:val="standardContextual"/>
            </w:rPr>
          </w:pPr>
          <w:hyperlink w:anchor="_Toc220350655" w:history="1">
            <w:r w:rsidRPr="00E90620">
              <w:rPr>
                <w:rStyle w:val="Hyperlink"/>
                <w:rFonts w:ascii="Calibri" w:hAnsi="Calibri" w:cs="Calibri"/>
                <w:noProof/>
                <w:sz w:val="22"/>
                <w:szCs w:val="22"/>
              </w:rPr>
              <w:t>2.2 Historical Background</w:t>
            </w:r>
            <w:r w:rsidRPr="00E90620">
              <w:rPr>
                <w:rFonts w:ascii="Calibri" w:hAnsi="Calibri" w:cs="Calibri"/>
                <w:noProof/>
                <w:webHidden/>
                <w:sz w:val="22"/>
                <w:szCs w:val="22"/>
              </w:rPr>
              <w:tab/>
            </w:r>
            <w:r w:rsidRPr="00E90620">
              <w:rPr>
                <w:rFonts w:ascii="Calibri" w:hAnsi="Calibri" w:cs="Calibri"/>
                <w:noProof/>
                <w:webHidden/>
                <w:sz w:val="22"/>
                <w:szCs w:val="22"/>
              </w:rPr>
              <w:fldChar w:fldCharType="begin"/>
            </w:r>
            <w:r w:rsidRPr="00E90620">
              <w:rPr>
                <w:rFonts w:ascii="Calibri" w:hAnsi="Calibri" w:cs="Calibri"/>
                <w:noProof/>
                <w:webHidden/>
                <w:sz w:val="22"/>
                <w:szCs w:val="22"/>
              </w:rPr>
              <w:instrText xml:space="preserve"> PAGEREF _Toc220350655 \h </w:instrText>
            </w:r>
            <w:r w:rsidRPr="00E90620">
              <w:rPr>
                <w:rFonts w:ascii="Calibri" w:hAnsi="Calibri" w:cs="Calibri"/>
                <w:noProof/>
                <w:webHidden/>
                <w:sz w:val="22"/>
                <w:szCs w:val="22"/>
              </w:rPr>
            </w:r>
            <w:r w:rsidRPr="00E90620">
              <w:rPr>
                <w:rFonts w:ascii="Calibri" w:hAnsi="Calibri" w:cs="Calibri"/>
                <w:noProof/>
                <w:webHidden/>
                <w:sz w:val="22"/>
                <w:szCs w:val="22"/>
              </w:rPr>
              <w:fldChar w:fldCharType="separate"/>
            </w:r>
            <w:r w:rsidR="00F757E5">
              <w:rPr>
                <w:rFonts w:ascii="Calibri" w:hAnsi="Calibri" w:cs="Calibri"/>
                <w:noProof/>
                <w:webHidden/>
                <w:sz w:val="22"/>
                <w:szCs w:val="22"/>
              </w:rPr>
              <w:t>12</w:t>
            </w:r>
            <w:r w:rsidRPr="00E90620">
              <w:rPr>
                <w:rFonts w:ascii="Calibri" w:hAnsi="Calibri" w:cs="Calibri"/>
                <w:noProof/>
                <w:webHidden/>
                <w:sz w:val="22"/>
                <w:szCs w:val="22"/>
              </w:rPr>
              <w:fldChar w:fldCharType="end"/>
            </w:r>
          </w:hyperlink>
        </w:p>
        <w:p w14:paraId="5DCB7826" w14:textId="53DD5F73" w:rsidR="00E90620" w:rsidRPr="00E90620" w:rsidRDefault="00E90620">
          <w:pPr>
            <w:pStyle w:val="TOC2"/>
            <w:tabs>
              <w:tab w:val="right" w:leader="dot" w:pos="9016"/>
            </w:tabs>
            <w:rPr>
              <w:rFonts w:ascii="Calibri" w:eastAsiaTheme="minorEastAsia" w:hAnsi="Calibri" w:cs="Calibri"/>
              <w:i w:val="0"/>
              <w:iCs w:val="0"/>
              <w:noProof/>
              <w:kern w:val="2"/>
              <w:sz w:val="22"/>
              <w:szCs w:val="22"/>
              <w14:ligatures w14:val="standardContextual"/>
            </w:rPr>
          </w:pPr>
          <w:hyperlink w:anchor="_Toc220350656" w:history="1">
            <w:r w:rsidRPr="00E90620">
              <w:rPr>
                <w:rStyle w:val="Hyperlink"/>
                <w:rFonts w:ascii="Calibri" w:hAnsi="Calibri" w:cs="Calibri"/>
                <w:noProof/>
                <w:sz w:val="22"/>
                <w:szCs w:val="22"/>
              </w:rPr>
              <w:t>2.3 Theoretical Background</w:t>
            </w:r>
            <w:r w:rsidRPr="00E90620">
              <w:rPr>
                <w:rFonts w:ascii="Calibri" w:hAnsi="Calibri" w:cs="Calibri"/>
                <w:noProof/>
                <w:webHidden/>
                <w:sz w:val="22"/>
                <w:szCs w:val="22"/>
              </w:rPr>
              <w:tab/>
            </w:r>
            <w:r w:rsidRPr="00E90620">
              <w:rPr>
                <w:rFonts w:ascii="Calibri" w:hAnsi="Calibri" w:cs="Calibri"/>
                <w:noProof/>
                <w:webHidden/>
                <w:sz w:val="22"/>
                <w:szCs w:val="22"/>
              </w:rPr>
              <w:fldChar w:fldCharType="begin"/>
            </w:r>
            <w:r w:rsidRPr="00E90620">
              <w:rPr>
                <w:rFonts w:ascii="Calibri" w:hAnsi="Calibri" w:cs="Calibri"/>
                <w:noProof/>
                <w:webHidden/>
                <w:sz w:val="22"/>
                <w:szCs w:val="22"/>
              </w:rPr>
              <w:instrText xml:space="preserve"> PAGEREF _Toc220350656 \h </w:instrText>
            </w:r>
            <w:r w:rsidRPr="00E90620">
              <w:rPr>
                <w:rFonts w:ascii="Calibri" w:hAnsi="Calibri" w:cs="Calibri"/>
                <w:noProof/>
                <w:webHidden/>
                <w:sz w:val="22"/>
                <w:szCs w:val="22"/>
              </w:rPr>
            </w:r>
            <w:r w:rsidRPr="00E90620">
              <w:rPr>
                <w:rFonts w:ascii="Calibri" w:hAnsi="Calibri" w:cs="Calibri"/>
                <w:noProof/>
                <w:webHidden/>
                <w:sz w:val="22"/>
                <w:szCs w:val="22"/>
              </w:rPr>
              <w:fldChar w:fldCharType="separate"/>
            </w:r>
            <w:r w:rsidR="00F757E5">
              <w:rPr>
                <w:rFonts w:ascii="Calibri" w:hAnsi="Calibri" w:cs="Calibri"/>
                <w:noProof/>
                <w:webHidden/>
                <w:sz w:val="22"/>
                <w:szCs w:val="22"/>
              </w:rPr>
              <w:t>14</w:t>
            </w:r>
            <w:r w:rsidRPr="00E90620">
              <w:rPr>
                <w:rFonts w:ascii="Calibri" w:hAnsi="Calibri" w:cs="Calibri"/>
                <w:noProof/>
                <w:webHidden/>
                <w:sz w:val="22"/>
                <w:szCs w:val="22"/>
              </w:rPr>
              <w:fldChar w:fldCharType="end"/>
            </w:r>
          </w:hyperlink>
        </w:p>
        <w:p w14:paraId="61CD3074" w14:textId="4F5ED384" w:rsidR="00E90620" w:rsidRPr="00E90620" w:rsidRDefault="00E90620">
          <w:pPr>
            <w:pStyle w:val="TOC2"/>
            <w:tabs>
              <w:tab w:val="right" w:leader="dot" w:pos="9016"/>
            </w:tabs>
            <w:rPr>
              <w:rFonts w:ascii="Calibri" w:eastAsiaTheme="minorEastAsia" w:hAnsi="Calibri" w:cs="Calibri"/>
              <w:i w:val="0"/>
              <w:iCs w:val="0"/>
              <w:noProof/>
              <w:kern w:val="2"/>
              <w:sz w:val="22"/>
              <w:szCs w:val="22"/>
              <w14:ligatures w14:val="standardContextual"/>
            </w:rPr>
          </w:pPr>
          <w:hyperlink w:anchor="_Toc220350657" w:history="1">
            <w:r w:rsidRPr="00E90620">
              <w:rPr>
                <w:rStyle w:val="Hyperlink"/>
                <w:rFonts w:ascii="Calibri" w:hAnsi="Calibri" w:cs="Calibri"/>
                <w:noProof/>
                <w:sz w:val="22"/>
                <w:szCs w:val="22"/>
              </w:rPr>
              <w:t>2.4 International Context</w:t>
            </w:r>
            <w:r w:rsidRPr="00E90620">
              <w:rPr>
                <w:rFonts w:ascii="Calibri" w:hAnsi="Calibri" w:cs="Calibri"/>
                <w:noProof/>
                <w:webHidden/>
                <w:sz w:val="22"/>
                <w:szCs w:val="22"/>
              </w:rPr>
              <w:tab/>
            </w:r>
            <w:r w:rsidRPr="00E90620">
              <w:rPr>
                <w:rFonts w:ascii="Calibri" w:hAnsi="Calibri" w:cs="Calibri"/>
                <w:noProof/>
                <w:webHidden/>
                <w:sz w:val="22"/>
                <w:szCs w:val="22"/>
              </w:rPr>
              <w:fldChar w:fldCharType="begin"/>
            </w:r>
            <w:r w:rsidRPr="00E90620">
              <w:rPr>
                <w:rFonts w:ascii="Calibri" w:hAnsi="Calibri" w:cs="Calibri"/>
                <w:noProof/>
                <w:webHidden/>
                <w:sz w:val="22"/>
                <w:szCs w:val="22"/>
              </w:rPr>
              <w:instrText xml:space="preserve"> PAGEREF _Toc220350657 \h </w:instrText>
            </w:r>
            <w:r w:rsidRPr="00E90620">
              <w:rPr>
                <w:rFonts w:ascii="Calibri" w:hAnsi="Calibri" w:cs="Calibri"/>
                <w:noProof/>
                <w:webHidden/>
                <w:sz w:val="22"/>
                <w:szCs w:val="22"/>
              </w:rPr>
            </w:r>
            <w:r w:rsidRPr="00E90620">
              <w:rPr>
                <w:rFonts w:ascii="Calibri" w:hAnsi="Calibri" w:cs="Calibri"/>
                <w:noProof/>
                <w:webHidden/>
                <w:sz w:val="22"/>
                <w:szCs w:val="22"/>
              </w:rPr>
              <w:fldChar w:fldCharType="separate"/>
            </w:r>
            <w:r w:rsidR="00F757E5">
              <w:rPr>
                <w:rFonts w:ascii="Calibri" w:hAnsi="Calibri" w:cs="Calibri"/>
                <w:noProof/>
                <w:webHidden/>
                <w:sz w:val="22"/>
                <w:szCs w:val="22"/>
              </w:rPr>
              <w:t>16</w:t>
            </w:r>
            <w:r w:rsidRPr="00E90620">
              <w:rPr>
                <w:rFonts w:ascii="Calibri" w:hAnsi="Calibri" w:cs="Calibri"/>
                <w:noProof/>
                <w:webHidden/>
                <w:sz w:val="22"/>
                <w:szCs w:val="22"/>
              </w:rPr>
              <w:fldChar w:fldCharType="end"/>
            </w:r>
          </w:hyperlink>
        </w:p>
        <w:p w14:paraId="17C8CC80" w14:textId="68EF956D" w:rsidR="00E90620" w:rsidRPr="00E90620" w:rsidRDefault="00E90620">
          <w:pPr>
            <w:pStyle w:val="TOC2"/>
            <w:tabs>
              <w:tab w:val="right" w:leader="dot" w:pos="9016"/>
            </w:tabs>
            <w:rPr>
              <w:rFonts w:ascii="Calibri" w:eastAsiaTheme="minorEastAsia" w:hAnsi="Calibri" w:cs="Calibri"/>
              <w:i w:val="0"/>
              <w:iCs w:val="0"/>
              <w:noProof/>
              <w:kern w:val="2"/>
              <w:sz w:val="22"/>
              <w:szCs w:val="22"/>
              <w14:ligatures w14:val="standardContextual"/>
            </w:rPr>
          </w:pPr>
          <w:hyperlink w:anchor="_Toc220350658" w:history="1">
            <w:r w:rsidRPr="00E90620">
              <w:rPr>
                <w:rStyle w:val="Hyperlink"/>
                <w:rFonts w:ascii="Calibri" w:hAnsi="Calibri" w:cs="Calibri"/>
                <w:noProof/>
                <w:sz w:val="22"/>
                <w:szCs w:val="22"/>
              </w:rPr>
              <w:t>2.5 National/Local UK</w:t>
            </w:r>
            <w:r w:rsidRPr="00E90620">
              <w:rPr>
                <w:rFonts w:ascii="Calibri" w:hAnsi="Calibri" w:cs="Calibri"/>
                <w:noProof/>
                <w:webHidden/>
                <w:sz w:val="22"/>
                <w:szCs w:val="22"/>
              </w:rPr>
              <w:tab/>
            </w:r>
            <w:r w:rsidRPr="00E90620">
              <w:rPr>
                <w:rFonts w:ascii="Calibri" w:hAnsi="Calibri" w:cs="Calibri"/>
                <w:noProof/>
                <w:webHidden/>
                <w:sz w:val="22"/>
                <w:szCs w:val="22"/>
              </w:rPr>
              <w:fldChar w:fldCharType="begin"/>
            </w:r>
            <w:r w:rsidRPr="00E90620">
              <w:rPr>
                <w:rFonts w:ascii="Calibri" w:hAnsi="Calibri" w:cs="Calibri"/>
                <w:noProof/>
                <w:webHidden/>
                <w:sz w:val="22"/>
                <w:szCs w:val="22"/>
              </w:rPr>
              <w:instrText xml:space="preserve"> PAGEREF _Toc220350658 \h </w:instrText>
            </w:r>
            <w:r w:rsidRPr="00E90620">
              <w:rPr>
                <w:rFonts w:ascii="Calibri" w:hAnsi="Calibri" w:cs="Calibri"/>
                <w:noProof/>
                <w:webHidden/>
                <w:sz w:val="22"/>
                <w:szCs w:val="22"/>
              </w:rPr>
            </w:r>
            <w:r w:rsidRPr="00E90620">
              <w:rPr>
                <w:rFonts w:ascii="Calibri" w:hAnsi="Calibri" w:cs="Calibri"/>
                <w:noProof/>
                <w:webHidden/>
                <w:sz w:val="22"/>
                <w:szCs w:val="22"/>
              </w:rPr>
              <w:fldChar w:fldCharType="separate"/>
            </w:r>
            <w:r w:rsidR="00F757E5">
              <w:rPr>
                <w:rFonts w:ascii="Calibri" w:hAnsi="Calibri" w:cs="Calibri"/>
                <w:noProof/>
                <w:webHidden/>
                <w:sz w:val="22"/>
                <w:szCs w:val="22"/>
              </w:rPr>
              <w:t>18</w:t>
            </w:r>
            <w:r w:rsidRPr="00E90620">
              <w:rPr>
                <w:rFonts w:ascii="Calibri" w:hAnsi="Calibri" w:cs="Calibri"/>
                <w:noProof/>
                <w:webHidden/>
                <w:sz w:val="22"/>
                <w:szCs w:val="22"/>
              </w:rPr>
              <w:fldChar w:fldCharType="end"/>
            </w:r>
          </w:hyperlink>
        </w:p>
        <w:p w14:paraId="0D5A15BB" w14:textId="2CA604E8" w:rsidR="00E90620" w:rsidRPr="00E90620" w:rsidRDefault="00E90620">
          <w:pPr>
            <w:pStyle w:val="TOC2"/>
            <w:tabs>
              <w:tab w:val="right" w:leader="dot" w:pos="9016"/>
            </w:tabs>
            <w:rPr>
              <w:rFonts w:ascii="Calibri" w:eastAsiaTheme="minorEastAsia" w:hAnsi="Calibri" w:cs="Calibri"/>
              <w:i w:val="0"/>
              <w:iCs w:val="0"/>
              <w:noProof/>
              <w:kern w:val="2"/>
              <w:sz w:val="22"/>
              <w:szCs w:val="22"/>
              <w14:ligatures w14:val="standardContextual"/>
            </w:rPr>
          </w:pPr>
          <w:hyperlink w:anchor="_Toc220350659" w:history="1">
            <w:r w:rsidRPr="00E90620">
              <w:rPr>
                <w:rStyle w:val="Hyperlink"/>
                <w:rFonts w:ascii="Calibri" w:hAnsi="Calibri" w:cs="Calibri"/>
                <w:noProof/>
                <w:sz w:val="22"/>
                <w:szCs w:val="22"/>
              </w:rPr>
              <w:t>2.6 Conclusion</w:t>
            </w:r>
            <w:r w:rsidRPr="00E90620">
              <w:rPr>
                <w:rFonts w:ascii="Calibri" w:hAnsi="Calibri" w:cs="Calibri"/>
                <w:noProof/>
                <w:webHidden/>
                <w:sz w:val="22"/>
                <w:szCs w:val="22"/>
              </w:rPr>
              <w:tab/>
            </w:r>
            <w:r w:rsidRPr="00E90620">
              <w:rPr>
                <w:rFonts w:ascii="Calibri" w:hAnsi="Calibri" w:cs="Calibri"/>
                <w:noProof/>
                <w:webHidden/>
                <w:sz w:val="22"/>
                <w:szCs w:val="22"/>
              </w:rPr>
              <w:fldChar w:fldCharType="begin"/>
            </w:r>
            <w:r w:rsidRPr="00E90620">
              <w:rPr>
                <w:rFonts w:ascii="Calibri" w:hAnsi="Calibri" w:cs="Calibri"/>
                <w:noProof/>
                <w:webHidden/>
                <w:sz w:val="22"/>
                <w:szCs w:val="22"/>
              </w:rPr>
              <w:instrText xml:space="preserve"> PAGEREF _Toc220350659 \h </w:instrText>
            </w:r>
            <w:r w:rsidRPr="00E90620">
              <w:rPr>
                <w:rFonts w:ascii="Calibri" w:hAnsi="Calibri" w:cs="Calibri"/>
                <w:noProof/>
                <w:webHidden/>
                <w:sz w:val="22"/>
                <w:szCs w:val="22"/>
              </w:rPr>
            </w:r>
            <w:r w:rsidRPr="00E90620">
              <w:rPr>
                <w:rFonts w:ascii="Calibri" w:hAnsi="Calibri" w:cs="Calibri"/>
                <w:noProof/>
                <w:webHidden/>
                <w:sz w:val="22"/>
                <w:szCs w:val="22"/>
              </w:rPr>
              <w:fldChar w:fldCharType="separate"/>
            </w:r>
            <w:r w:rsidR="00F757E5">
              <w:rPr>
                <w:rFonts w:ascii="Calibri" w:hAnsi="Calibri" w:cs="Calibri"/>
                <w:noProof/>
                <w:webHidden/>
                <w:sz w:val="22"/>
                <w:szCs w:val="22"/>
              </w:rPr>
              <w:t>19</w:t>
            </w:r>
            <w:r w:rsidRPr="00E90620">
              <w:rPr>
                <w:rFonts w:ascii="Calibri" w:hAnsi="Calibri" w:cs="Calibri"/>
                <w:noProof/>
                <w:webHidden/>
                <w:sz w:val="22"/>
                <w:szCs w:val="22"/>
              </w:rPr>
              <w:fldChar w:fldCharType="end"/>
            </w:r>
          </w:hyperlink>
        </w:p>
        <w:p w14:paraId="5400687F" w14:textId="1B5857D4" w:rsidR="00E90620" w:rsidRPr="00E90620" w:rsidRDefault="00E90620">
          <w:pPr>
            <w:pStyle w:val="TOC1"/>
            <w:tabs>
              <w:tab w:val="right" w:leader="dot" w:pos="9016"/>
            </w:tabs>
            <w:rPr>
              <w:rFonts w:ascii="Calibri" w:eastAsiaTheme="minorEastAsia" w:hAnsi="Calibri" w:cs="Calibri"/>
              <w:b w:val="0"/>
              <w:bCs w:val="0"/>
              <w:noProof/>
              <w:kern w:val="2"/>
              <w:sz w:val="22"/>
              <w:szCs w:val="22"/>
              <w14:ligatures w14:val="standardContextual"/>
            </w:rPr>
          </w:pPr>
          <w:hyperlink w:anchor="_Toc220350660" w:history="1">
            <w:r w:rsidRPr="00E90620">
              <w:rPr>
                <w:rStyle w:val="Hyperlink"/>
                <w:rFonts w:ascii="Calibri" w:hAnsi="Calibri" w:cs="Calibri"/>
                <w:noProof/>
                <w:sz w:val="22"/>
                <w:szCs w:val="22"/>
              </w:rPr>
              <w:t>CHAPTER 3: Methodology</w:t>
            </w:r>
            <w:r w:rsidRPr="00E90620">
              <w:rPr>
                <w:rFonts w:ascii="Calibri" w:hAnsi="Calibri" w:cs="Calibri"/>
                <w:noProof/>
                <w:webHidden/>
                <w:sz w:val="22"/>
                <w:szCs w:val="22"/>
              </w:rPr>
              <w:tab/>
            </w:r>
            <w:r w:rsidRPr="00E90620">
              <w:rPr>
                <w:rFonts w:ascii="Calibri" w:hAnsi="Calibri" w:cs="Calibri"/>
                <w:noProof/>
                <w:webHidden/>
                <w:sz w:val="22"/>
                <w:szCs w:val="22"/>
              </w:rPr>
              <w:fldChar w:fldCharType="begin"/>
            </w:r>
            <w:r w:rsidRPr="00E90620">
              <w:rPr>
                <w:rFonts w:ascii="Calibri" w:hAnsi="Calibri" w:cs="Calibri"/>
                <w:noProof/>
                <w:webHidden/>
                <w:sz w:val="22"/>
                <w:szCs w:val="22"/>
              </w:rPr>
              <w:instrText xml:space="preserve"> PAGEREF _Toc220350660 \h </w:instrText>
            </w:r>
            <w:r w:rsidRPr="00E90620">
              <w:rPr>
                <w:rFonts w:ascii="Calibri" w:hAnsi="Calibri" w:cs="Calibri"/>
                <w:noProof/>
                <w:webHidden/>
                <w:sz w:val="22"/>
                <w:szCs w:val="22"/>
              </w:rPr>
            </w:r>
            <w:r w:rsidRPr="00E90620">
              <w:rPr>
                <w:rFonts w:ascii="Calibri" w:hAnsi="Calibri" w:cs="Calibri"/>
                <w:noProof/>
                <w:webHidden/>
                <w:sz w:val="22"/>
                <w:szCs w:val="22"/>
              </w:rPr>
              <w:fldChar w:fldCharType="separate"/>
            </w:r>
            <w:r w:rsidR="00F757E5">
              <w:rPr>
                <w:rFonts w:ascii="Calibri" w:hAnsi="Calibri" w:cs="Calibri"/>
                <w:noProof/>
                <w:webHidden/>
                <w:sz w:val="22"/>
                <w:szCs w:val="22"/>
              </w:rPr>
              <w:t>20</w:t>
            </w:r>
            <w:r w:rsidRPr="00E90620">
              <w:rPr>
                <w:rFonts w:ascii="Calibri" w:hAnsi="Calibri" w:cs="Calibri"/>
                <w:noProof/>
                <w:webHidden/>
                <w:sz w:val="22"/>
                <w:szCs w:val="22"/>
              </w:rPr>
              <w:fldChar w:fldCharType="end"/>
            </w:r>
          </w:hyperlink>
        </w:p>
        <w:p w14:paraId="2EB5A781" w14:textId="70D679B4" w:rsidR="00E90620" w:rsidRPr="00E90620" w:rsidRDefault="00E90620">
          <w:pPr>
            <w:pStyle w:val="TOC2"/>
            <w:tabs>
              <w:tab w:val="right" w:leader="dot" w:pos="9016"/>
            </w:tabs>
            <w:rPr>
              <w:rFonts w:ascii="Calibri" w:eastAsiaTheme="minorEastAsia" w:hAnsi="Calibri" w:cs="Calibri"/>
              <w:i w:val="0"/>
              <w:iCs w:val="0"/>
              <w:noProof/>
              <w:kern w:val="2"/>
              <w:sz w:val="22"/>
              <w:szCs w:val="22"/>
              <w14:ligatures w14:val="standardContextual"/>
            </w:rPr>
          </w:pPr>
          <w:hyperlink w:anchor="_Toc220350661" w:history="1">
            <w:r w:rsidRPr="00E90620">
              <w:rPr>
                <w:rStyle w:val="Hyperlink"/>
                <w:rFonts w:ascii="Calibri" w:hAnsi="Calibri" w:cs="Calibri"/>
                <w:noProof/>
                <w:sz w:val="22"/>
                <w:szCs w:val="22"/>
              </w:rPr>
              <w:t>3.1. Introduction</w:t>
            </w:r>
            <w:r w:rsidRPr="00E90620">
              <w:rPr>
                <w:rFonts w:ascii="Calibri" w:hAnsi="Calibri" w:cs="Calibri"/>
                <w:noProof/>
                <w:webHidden/>
                <w:sz w:val="22"/>
                <w:szCs w:val="22"/>
              </w:rPr>
              <w:tab/>
            </w:r>
            <w:r w:rsidRPr="00E90620">
              <w:rPr>
                <w:rFonts w:ascii="Calibri" w:hAnsi="Calibri" w:cs="Calibri"/>
                <w:noProof/>
                <w:webHidden/>
                <w:sz w:val="22"/>
                <w:szCs w:val="22"/>
              </w:rPr>
              <w:fldChar w:fldCharType="begin"/>
            </w:r>
            <w:r w:rsidRPr="00E90620">
              <w:rPr>
                <w:rFonts w:ascii="Calibri" w:hAnsi="Calibri" w:cs="Calibri"/>
                <w:noProof/>
                <w:webHidden/>
                <w:sz w:val="22"/>
                <w:szCs w:val="22"/>
              </w:rPr>
              <w:instrText xml:space="preserve"> PAGEREF _Toc220350661 \h </w:instrText>
            </w:r>
            <w:r w:rsidRPr="00E90620">
              <w:rPr>
                <w:rFonts w:ascii="Calibri" w:hAnsi="Calibri" w:cs="Calibri"/>
                <w:noProof/>
                <w:webHidden/>
                <w:sz w:val="22"/>
                <w:szCs w:val="22"/>
              </w:rPr>
            </w:r>
            <w:r w:rsidRPr="00E90620">
              <w:rPr>
                <w:rFonts w:ascii="Calibri" w:hAnsi="Calibri" w:cs="Calibri"/>
                <w:noProof/>
                <w:webHidden/>
                <w:sz w:val="22"/>
                <w:szCs w:val="22"/>
              </w:rPr>
              <w:fldChar w:fldCharType="separate"/>
            </w:r>
            <w:r w:rsidR="00F757E5">
              <w:rPr>
                <w:rFonts w:ascii="Calibri" w:hAnsi="Calibri" w:cs="Calibri"/>
                <w:noProof/>
                <w:webHidden/>
                <w:sz w:val="22"/>
                <w:szCs w:val="22"/>
              </w:rPr>
              <w:t>20</w:t>
            </w:r>
            <w:r w:rsidRPr="00E90620">
              <w:rPr>
                <w:rFonts w:ascii="Calibri" w:hAnsi="Calibri" w:cs="Calibri"/>
                <w:noProof/>
                <w:webHidden/>
                <w:sz w:val="22"/>
                <w:szCs w:val="22"/>
              </w:rPr>
              <w:fldChar w:fldCharType="end"/>
            </w:r>
          </w:hyperlink>
        </w:p>
        <w:p w14:paraId="09E7D1C3" w14:textId="792A476F" w:rsidR="00E90620" w:rsidRPr="00E90620" w:rsidRDefault="00E90620">
          <w:pPr>
            <w:pStyle w:val="TOC2"/>
            <w:tabs>
              <w:tab w:val="right" w:leader="dot" w:pos="9016"/>
            </w:tabs>
            <w:rPr>
              <w:rFonts w:ascii="Calibri" w:eastAsiaTheme="minorEastAsia" w:hAnsi="Calibri" w:cs="Calibri"/>
              <w:i w:val="0"/>
              <w:iCs w:val="0"/>
              <w:noProof/>
              <w:kern w:val="2"/>
              <w:sz w:val="22"/>
              <w:szCs w:val="22"/>
              <w14:ligatures w14:val="standardContextual"/>
            </w:rPr>
          </w:pPr>
          <w:hyperlink w:anchor="_Toc220350662" w:history="1">
            <w:r w:rsidRPr="00E90620">
              <w:rPr>
                <w:rStyle w:val="Hyperlink"/>
                <w:rFonts w:ascii="Calibri" w:hAnsi="Calibri" w:cs="Calibri"/>
                <w:noProof/>
                <w:sz w:val="22"/>
                <w:szCs w:val="22"/>
              </w:rPr>
              <w:t>3.2. Search Strategy</w:t>
            </w:r>
            <w:r w:rsidRPr="00E90620">
              <w:rPr>
                <w:rFonts w:ascii="Calibri" w:hAnsi="Calibri" w:cs="Calibri"/>
                <w:noProof/>
                <w:webHidden/>
                <w:sz w:val="22"/>
                <w:szCs w:val="22"/>
              </w:rPr>
              <w:tab/>
            </w:r>
            <w:r w:rsidRPr="00E90620">
              <w:rPr>
                <w:rFonts w:ascii="Calibri" w:hAnsi="Calibri" w:cs="Calibri"/>
                <w:noProof/>
                <w:webHidden/>
                <w:sz w:val="22"/>
                <w:szCs w:val="22"/>
              </w:rPr>
              <w:fldChar w:fldCharType="begin"/>
            </w:r>
            <w:r w:rsidRPr="00E90620">
              <w:rPr>
                <w:rFonts w:ascii="Calibri" w:hAnsi="Calibri" w:cs="Calibri"/>
                <w:noProof/>
                <w:webHidden/>
                <w:sz w:val="22"/>
                <w:szCs w:val="22"/>
              </w:rPr>
              <w:instrText xml:space="preserve"> PAGEREF _Toc220350662 \h </w:instrText>
            </w:r>
            <w:r w:rsidRPr="00E90620">
              <w:rPr>
                <w:rFonts w:ascii="Calibri" w:hAnsi="Calibri" w:cs="Calibri"/>
                <w:noProof/>
                <w:webHidden/>
                <w:sz w:val="22"/>
                <w:szCs w:val="22"/>
              </w:rPr>
            </w:r>
            <w:r w:rsidRPr="00E90620">
              <w:rPr>
                <w:rFonts w:ascii="Calibri" w:hAnsi="Calibri" w:cs="Calibri"/>
                <w:noProof/>
                <w:webHidden/>
                <w:sz w:val="22"/>
                <w:szCs w:val="22"/>
              </w:rPr>
              <w:fldChar w:fldCharType="separate"/>
            </w:r>
            <w:r w:rsidR="00F757E5">
              <w:rPr>
                <w:rFonts w:ascii="Calibri" w:hAnsi="Calibri" w:cs="Calibri"/>
                <w:noProof/>
                <w:webHidden/>
                <w:sz w:val="22"/>
                <w:szCs w:val="22"/>
              </w:rPr>
              <w:t>20</w:t>
            </w:r>
            <w:r w:rsidRPr="00E90620">
              <w:rPr>
                <w:rFonts w:ascii="Calibri" w:hAnsi="Calibri" w:cs="Calibri"/>
                <w:noProof/>
                <w:webHidden/>
                <w:sz w:val="22"/>
                <w:szCs w:val="22"/>
              </w:rPr>
              <w:fldChar w:fldCharType="end"/>
            </w:r>
          </w:hyperlink>
        </w:p>
        <w:p w14:paraId="1D66EDC6" w14:textId="45E41D71" w:rsidR="00E90620" w:rsidRPr="00E90620" w:rsidRDefault="00E90620">
          <w:pPr>
            <w:pStyle w:val="TOC2"/>
            <w:tabs>
              <w:tab w:val="right" w:leader="dot" w:pos="9016"/>
            </w:tabs>
            <w:rPr>
              <w:rFonts w:ascii="Calibri" w:eastAsiaTheme="minorEastAsia" w:hAnsi="Calibri" w:cs="Calibri"/>
              <w:i w:val="0"/>
              <w:iCs w:val="0"/>
              <w:noProof/>
              <w:kern w:val="2"/>
              <w:sz w:val="22"/>
              <w:szCs w:val="22"/>
              <w14:ligatures w14:val="standardContextual"/>
            </w:rPr>
          </w:pPr>
          <w:hyperlink w:anchor="_Toc220350663" w:history="1">
            <w:r w:rsidRPr="00E90620">
              <w:rPr>
                <w:rStyle w:val="Hyperlink"/>
                <w:rFonts w:ascii="Calibri" w:hAnsi="Calibri" w:cs="Calibri"/>
                <w:noProof/>
                <w:sz w:val="22"/>
                <w:szCs w:val="22"/>
              </w:rPr>
              <w:t>3.3. Searching for Information</w:t>
            </w:r>
            <w:r w:rsidRPr="00E90620">
              <w:rPr>
                <w:rFonts w:ascii="Calibri" w:hAnsi="Calibri" w:cs="Calibri"/>
                <w:noProof/>
                <w:webHidden/>
                <w:sz w:val="22"/>
                <w:szCs w:val="22"/>
              </w:rPr>
              <w:tab/>
            </w:r>
            <w:r w:rsidRPr="00E90620">
              <w:rPr>
                <w:rFonts w:ascii="Calibri" w:hAnsi="Calibri" w:cs="Calibri"/>
                <w:noProof/>
                <w:webHidden/>
                <w:sz w:val="22"/>
                <w:szCs w:val="22"/>
              </w:rPr>
              <w:fldChar w:fldCharType="begin"/>
            </w:r>
            <w:r w:rsidRPr="00E90620">
              <w:rPr>
                <w:rFonts w:ascii="Calibri" w:hAnsi="Calibri" w:cs="Calibri"/>
                <w:noProof/>
                <w:webHidden/>
                <w:sz w:val="22"/>
                <w:szCs w:val="22"/>
              </w:rPr>
              <w:instrText xml:space="preserve"> PAGEREF _Toc220350663 \h </w:instrText>
            </w:r>
            <w:r w:rsidRPr="00E90620">
              <w:rPr>
                <w:rFonts w:ascii="Calibri" w:hAnsi="Calibri" w:cs="Calibri"/>
                <w:noProof/>
                <w:webHidden/>
                <w:sz w:val="22"/>
                <w:szCs w:val="22"/>
              </w:rPr>
            </w:r>
            <w:r w:rsidRPr="00E90620">
              <w:rPr>
                <w:rFonts w:ascii="Calibri" w:hAnsi="Calibri" w:cs="Calibri"/>
                <w:noProof/>
                <w:webHidden/>
                <w:sz w:val="22"/>
                <w:szCs w:val="22"/>
              </w:rPr>
              <w:fldChar w:fldCharType="separate"/>
            </w:r>
            <w:r w:rsidR="00F757E5">
              <w:rPr>
                <w:rFonts w:ascii="Calibri" w:hAnsi="Calibri" w:cs="Calibri"/>
                <w:noProof/>
                <w:webHidden/>
                <w:sz w:val="22"/>
                <w:szCs w:val="22"/>
              </w:rPr>
              <w:t>21</w:t>
            </w:r>
            <w:r w:rsidRPr="00E90620">
              <w:rPr>
                <w:rFonts w:ascii="Calibri" w:hAnsi="Calibri" w:cs="Calibri"/>
                <w:noProof/>
                <w:webHidden/>
                <w:sz w:val="22"/>
                <w:szCs w:val="22"/>
              </w:rPr>
              <w:fldChar w:fldCharType="end"/>
            </w:r>
          </w:hyperlink>
        </w:p>
        <w:p w14:paraId="10BC86CB" w14:textId="71E7F970" w:rsidR="00E90620" w:rsidRPr="00E90620" w:rsidRDefault="00E90620">
          <w:pPr>
            <w:pStyle w:val="TOC2"/>
            <w:tabs>
              <w:tab w:val="right" w:leader="dot" w:pos="9016"/>
            </w:tabs>
            <w:rPr>
              <w:rFonts w:ascii="Calibri" w:eastAsiaTheme="minorEastAsia" w:hAnsi="Calibri" w:cs="Calibri"/>
              <w:i w:val="0"/>
              <w:iCs w:val="0"/>
              <w:noProof/>
              <w:kern w:val="2"/>
              <w:sz w:val="22"/>
              <w:szCs w:val="22"/>
              <w14:ligatures w14:val="standardContextual"/>
            </w:rPr>
          </w:pPr>
          <w:hyperlink w:anchor="_Toc220350664" w:history="1">
            <w:r w:rsidRPr="00E90620">
              <w:rPr>
                <w:rStyle w:val="Hyperlink"/>
                <w:rFonts w:ascii="Calibri" w:hAnsi="Calibri" w:cs="Calibri"/>
                <w:noProof/>
                <w:sz w:val="22"/>
                <w:szCs w:val="22"/>
              </w:rPr>
              <w:t>3.4. Research Validation</w:t>
            </w:r>
            <w:r w:rsidRPr="00E90620">
              <w:rPr>
                <w:rFonts w:ascii="Calibri" w:hAnsi="Calibri" w:cs="Calibri"/>
                <w:noProof/>
                <w:webHidden/>
                <w:sz w:val="22"/>
                <w:szCs w:val="22"/>
              </w:rPr>
              <w:tab/>
            </w:r>
            <w:r w:rsidRPr="00E90620">
              <w:rPr>
                <w:rFonts w:ascii="Calibri" w:hAnsi="Calibri" w:cs="Calibri"/>
                <w:noProof/>
                <w:webHidden/>
                <w:sz w:val="22"/>
                <w:szCs w:val="22"/>
              </w:rPr>
              <w:fldChar w:fldCharType="begin"/>
            </w:r>
            <w:r w:rsidRPr="00E90620">
              <w:rPr>
                <w:rFonts w:ascii="Calibri" w:hAnsi="Calibri" w:cs="Calibri"/>
                <w:noProof/>
                <w:webHidden/>
                <w:sz w:val="22"/>
                <w:szCs w:val="22"/>
              </w:rPr>
              <w:instrText xml:space="preserve"> PAGEREF _Toc220350664 \h </w:instrText>
            </w:r>
            <w:r w:rsidRPr="00E90620">
              <w:rPr>
                <w:rFonts w:ascii="Calibri" w:hAnsi="Calibri" w:cs="Calibri"/>
                <w:noProof/>
                <w:webHidden/>
                <w:sz w:val="22"/>
                <w:szCs w:val="22"/>
              </w:rPr>
            </w:r>
            <w:r w:rsidRPr="00E90620">
              <w:rPr>
                <w:rFonts w:ascii="Calibri" w:hAnsi="Calibri" w:cs="Calibri"/>
                <w:noProof/>
                <w:webHidden/>
                <w:sz w:val="22"/>
                <w:szCs w:val="22"/>
              </w:rPr>
              <w:fldChar w:fldCharType="separate"/>
            </w:r>
            <w:r w:rsidR="00F757E5">
              <w:rPr>
                <w:rFonts w:ascii="Calibri" w:hAnsi="Calibri" w:cs="Calibri"/>
                <w:noProof/>
                <w:webHidden/>
                <w:sz w:val="22"/>
                <w:szCs w:val="22"/>
              </w:rPr>
              <w:t>22</w:t>
            </w:r>
            <w:r w:rsidRPr="00E90620">
              <w:rPr>
                <w:rFonts w:ascii="Calibri" w:hAnsi="Calibri" w:cs="Calibri"/>
                <w:noProof/>
                <w:webHidden/>
                <w:sz w:val="22"/>
                <w:szCs w:val="22"/>
              </w:rPr>
              <w:fldChar w:fldCharType="end"/>
            </w:r>
          </w:hyperlink>
        </w:p>
        <w:p w14:paraId="2B8BE6A0" w14:textId="06AFCF6D" w:rsidR="00E90620" w:rsidRPr="00E90620" w:rsidRDefault="00E90620">
          <w:pPr>
            <w:pStyle w:val="TOC2"/>
            <w:tabs>
              <w:tab w:val="right" w:leader="dot" w:pos="9016"/>
            </w:tabs>
            <w:rPr>
              <w:rFonts w:ascii="Calibri" w:eastAsiaTheme="minorEastAsia" w:hAnsi="Calibri" w:cs="Calibri"/>
              <w:i w:val="0"/>
              <w:iCs w:val="0"/>
              <w:noProof/>
              <w:kern w:val="2"/>
              <w:sz w:val="22"/>
              <w:szCs w:val="22"/>
              <w14:ligatures w14:val="standardContextual"/>
            </w:rPr>
          </w:pPr>
          <w:hyperlink w:anchor="_Toc220350665" w:history="1">
            <w:r w:rsidRPr="00E90620">
              <w:rPr>
                <w:rStyle w:val="Hyperlink"/>
                <w:rFonts w:ascii="Calibri" w:hAnsi="Calibri" w:cs="Calibri"/>
                <w:noProof/>
                <w:sz w:val="22"/>
                <w:szCs w:val="22"/>
              </w:rPr>
              <w:t>3.5. Inclusion and Exclusion Criteria</w:t>
            </w:r>
            <w:r w:rsidRPr="00E90620">
              <w:rPr>
                <w:rFonts w:ascii="Calibri" w:hAnsi="Calibri" w:cs="Calibri"/>
                <w:noProof/>
                <w:webHidden/>
                <w:sz w:val="22"/>
                <w:szCs w:val="22"/>
              </w:rPr>
              <w:tab/>
            </w:r>
            <w:r w:rsidRPr="00E90620">
              <w:rPr>
                <w:rFonts w:ascii="Calibri" w:hAnsi="Calibri" w:cs="Calibri"/>
                <w:noProof/>
                <w:webHidden/>
                <w:sz w:val="22"/>
                <w:szCs w:val="22"/>
              </w:rPr>
              <w:fldChar w:fldCharType="begin"/>
            </w:r>
            <w:r w:rsidRPr="00E90620">
              <w:rPr>
                <w:rFonts w:ascii="Calibri" w:hAnsi="Calibri" w:cs="Calibri"/>
                <w:noProof/>
                <w:webHidden/>
                <w:sz w:val="22"/>
                <w:szCs w:val="22"/>
              </w:rPr>
              <w:instrText xml:space="preserve"> PAGEREF _Toc220350665 \h </w:instrText>
            </w:r>
            <w:r w:rsidRPr="00E90620">
              <w:rPr>
                <w:rFonts w:ascii="Calibri" w:hAnsi="Calibri" w:cs="Calibri"/>
                <w:noProof/>
                <w:webHidden/>
                <w:sz w:val="22"/>
                <w:szCs w:val="22"/>
              </w:rPr>
            </w:r>
            <w:r w:rsidRPr="00E90620">
              <w:rPr>
                <w:rFonts w:ascii="Calibri" w:hAnsi="Calibri" w:cs="Calibri"/>
                <w:noProof/>
                <w:webHidden/>
                <w:sz w:val="22"/>
                <w:szCs w:val="22"/>
              </w:rPr>
              <w:fldChar w:fldCharType="separate"/>
            </w:r>
            <w:r w:rsidR="00F757E5">
              <w:rPr>
                <w:rFonts w:ascii="Calibri" w:hAnsi="Calibri" w:cs="Calibri"/>
                <w:noProof/>
                <w:webHidden/>
                <w:sz w:val="22"/>
                <w:szCs w:val="22"/>
              </w:rPr>
              <w:t>23</w:t>
            </w:r>
            <w:r w:rsidRPr="00E90620">
              <w:rPr>
                <w:rFonts w:ascii="Calibri" w:hAnsi="Calibri" w:cs="Calibri"/>
                <w:noProof/>
                <w:webHidden/>
                <w:sz w:val="22"/>
                <w:szCs w:val="22"/>
              </w:rPr>
              <w:fldChar w:fldCharType="end"/>
            </w:r>
          </w:hyperlink>
        </w:p>
        <w:p w14:paraId="311B498A" w14:textId="2CBC12A1" w:rsidR="00E90620" w:rsidRPr="00E90620" w:rsidRDefault="00E90620">
          <w:pPr>
            <w:pStyle w:val="TOC2"/>
            <w:tabs>
              <w:tab w:val="right" w:leader="dot" w:pos="9016"/>
            </w:tabs>
            <w:rPr>
              <w:rFonts w:ascii="Calibri" w:eastAsiaTheme="minorEastAsia" w:hAnsi="Calibri" w:cs="Calibri"/>
              <w:i w:val="0"/>
              <w:iCs w:val="0"/>
              <w:noProof/>
              <w:kern w:val="2"/>
              <w:sz w:val="22"/>
              <w:szCs w:val="22"/>
              <w14:ligatures w14:val="standardContextual"/>
            </w:rPr>
          </w:pPr>
          <w:hyperlink w:anchor="_Toc220350666" w:history="1">
            <w:r w:rsidRPr="00E90620">
              <w:rPr>
                <w:rStyle w:val="Hyperlink"/>
                <w:rFonts w:ascii="Calibri" w:hAnsi="Calibri" w:cs="Calibri"/>
                <w:noProof/>
                <w:sz w:val="22"/>
                <w:szCs w:val="22"/>
              </w:rPr>
              <w:t>3.6. Analysing Research</w:t>
            </w:r>
            <w:r w:rsidRPr="00E90620">
              <w:rPr>
                <w:rFonts w:ascii="Calibri" w:hAnsi="Calibri" w:cs="Calibri"/>
                <w:noProof/>
                <w:webHidden/>
                <w:sz w:val="22"/>
                <w:szCs w:val="22"/>
              </w:rPr>
              <w:tab/>
            </w:r>
            <w:r w:rsidRPr="00E90620">
              <w:rPr>
                <w:rFonts w:ascii="Calibri" w:hAnsi="Calibri" w:cs="Calibri"/>
                <w:noProof/>
                <w:webHidden/>
                <w:sz w:val="22"/>
                <w:szCs w:val="22"/>
              </w:rPr>
              <w:fldChar w:fldCharType="begin"/>
            </w:r>
            <w:r w:rsidRPr="00E90620">
              <w:rPr>
                <w:rFonts w:ascii="Calibri" w:hAnsi="Calibri" w:cs="Calibri"/>
                <w:noProof/>
                <w:webHidden/>
                <w:sz w:val="22"/>
                <w:szCs w:val="22"/>
              </w:rPr>
              <w:instrText xml:space="preserve"> PAGEREF _Toc220350666 \h </w:instrText>
            </w:r>
            <w:r w:rsidRPr="00E90620">
              <w:rPr>
                <w:rFonts w:ascii="Calibri" w:hAnsi="Calibri" w:cs="Calibri"/>
                <w:noProof/>
                <w:webHidden/>
                <w:sz w:val="22"/>
                <w:szCs w:val="22"/>
              </w:rPr>
            </w:r>
            <w:r w:rsidRPr="00E90620">
              <w:rPr>
                <w:rFonts w:ascii="Calibri" w:hAnsi="Calibri" w:cs="Calibri"/>
                <w:noProof/>
                <w:webHidden/>
                <w:sz w:val="22"/>
                <w:szCs w:val="22"/>
              </w:rPr>
              <w:fldChar w:fldCharType="separate"/>
            </w:r>
            <w:r w:rsidR="00F757E5">
              <w:rPr>
                <w:rFonts w:ascii="Calibri" w:hAnsi="Calibri" w:cs="Calibri"/>
                <w:noProof/>
                <w:webHidden/>
                <w:sz w:val="22"/>
                <w:szCs w:val="22"/>
              </w:rPr>
              <w:t>23</w:t>
            </w:r>
            <w:r w:rsidRPr="00E90620">
              <w:rPr>
                <w:rFonts w:ascii="Calibri" w:hAnsi="Calibri" w:cs="Calibri"/>
                <w:noProof/>
                <w:webHidden/>
                <w:sz w:val="22"/>
                <w:szCs w:val="22"/>
              </w:rPr>
              <w:fldChar w:fldCharType="end"/>
            </w:r>
          </w:hyperlink>
        </w:p>
        <w:p w14:paraId="7EE0FC8F" w14:textId="197A1CE5" w:rsidR="00E90620" w:rsidRPr="00E90620" w:rsidRDefault="00E90620">
          <w:pPr>
            <w:pStyle w:val="TOC2"/>
            <w:tabs>
              <w:tab w:val="right" w:leader="dot" w:pos="9016"/>
            </w:tabs>
            <w:rPr>
              <w:rFonts w:ascii="Calibri" w:eastAsiaTheme="minorEastAsia" w:hAnsi="Calibri" w:cs="Calibri"/>
              <w:i w:val="0"/>
              <w:iCs w:val="0"/>
              <w:noProof/>
              <w:kern w:val="2"/>
              <w:sz w:val="22"/>
              <w:szCs w:val="22"/>
              <w14:ligatures w14:val="standardContextual"/>
            </w:rPr>
          </w:pPr>
          <w:hyperlink w:anchor="_Toc220350667" w:history="1">
            <w:r w:rsidRPr="00E90620">
              <w:rPr>
                <w:rStyle w:val="Hyperlink"/>
                <w:rFonts w:ascii="Calibri" w:hAnsi="Calibri" w:cs="Calibri"/>
                <w:noProof/>
                <w:sz w:val="22"/>
                <w:szCs w:val="22"/>
              </w:rPr>
              <w:t>3.7. Ethical Considerations</w:t>
            </w:r>
            <w:r w:rsidRPr="00E90620">
              <w:rPr>
                <w:rFonts w:ascii="Calibri" w:hAnsi="Calibri" w:cs="Calibri"/>
                <w:noProof/>
                <w:webHidden/>
                <w:sz w:val="22"/>
                <w:szCs w:val="22"/>
              </w:rPr>
              <w:tab/>
            </w:r>
            <w:r w:rsidRPr="00E90620">
              <w:rPr>
                <w:rFonts w:ascii="Calibri" w:hAnsi="Calibri" w:cs="Calibri"/>
                <w:noProof/>
                <w:webHidden/>
                <w:sz w:val="22"/>
                <w:szCs w:val="22"/>
              </w:rPr>
              <w:fldChar w:fldCharType="begin"/>
            </w:r>
            <w:r w:rsidRPr="00E90620">
              <w:rPr>
                <w:rFonts w:ascii="Calibri" w:hAnsi="Calibri" w:cs="Calibri"/>
                <w:noProof/>
                <w:webHidden/>
                <w:sz w:val="22"/>
                <w:szCs w:val="22"/>
              </w:rPr>
              <w:instrText xml:space="preserve"> PAGEREF _Toc220350667 \h </w:instrText>
            </w:r>
            <w:r w:rsidRPr="00E90620">
              <w:rPr>
                <w:rFonts w:ascii="Calibri" w:hAnsi="Calibri" w:cs="Calibri"/>
                <w:noProof/>
                <w:webHidden/>
                <w:sz w:val="22"/>
                <w:szCs w:val="22"/>
              </w:rPr>
            </w:r>
            <w:r w:rsidRPr="00E90620">
              <w:rPr>
                <w:rFonts w:ascii="Calibri" w:hAnsi="Calibri" w:cs="Calibri"/>
                <w:noProof/>
                <w:webHidden/>
                <w:sz w:val="22"/>
                <w:szCs w:val="22"/>
              </w:rPr>
              <w:fldChar w:fldCharType="separate"/>
            </w:r>
            <w:r w:rsidR="00F757E5">
              <w:rPr>
                <w:rFonts w:ascii="Calibri" w:hAnsi="Calibri" w:cs="Calibri"/>
                <w:noProof/>
                <w:webHidden/>
                <w:sz w:val="22"/>
                <w:szCs w:val="22"/>
              </w:rPr>
              <w:t>24</w:t>
            </w:r>
            <w:r w:rsidRPr="00E90620">
              <w:rPr>
                <w:rFonts w:ascii="Calibri" w:hAnsi="Calibri" w:cs="Calibri"/>
                <w:noProof/>
                <w:webHidden/>
                <w:sz w:val="22"/>
                <w:szCs w:val="22"/>
              </w:rPr>
              <w:fldChar w:fldCharType="end"/>
            </w:r>
          </w:hyperlink>
        </w:p>
        <w:p w14:paraId="1845FA74" w14:textId="3536F44A" w:rsidR="00E90620" w:rsidRPr="00E90620" w:rsidRDefault="00E90620">
          <w:pPr>
            <w:pStyle w:val="TOC2"/>
            <w:tabs>
              <w:tab w:val="right" w:leader="dot" w:pos="9016"/>
            </w:tabs>
            <w:rPr>
              <w:rFonts w:ascii="Calibri" w:eastAsiaTheme="minorEastAsia" w:hAnsi="Calibri" w:cs="Calibri"/>
              <w:i w:val="0"/>
              <w:iCs w:val="0"/>
              <w:noProof/>
              <w:kern w:val="2"/>
              <w:sz w:val="22"/>
              <w:szCs w:val="22"/>
              <w14:ligatures w14:val="standardContextual"/>
            </w:rPr>
          </w:pPr>
          <w:hyperlink w:anchor="_Toc220350668" w:history="1">
            <w:r w:rsidRPr="00E90620">
              <w:rPr>
                <w:rStyle w:val="Hyperlink"/>
                <w:rFonts w:ascii="Calibri" w:hAnsi="Calibri" w:cs="Calibri"/>
                <w:noProof/>
                <w:sz w:val="22"/>
                <w:szCs w:val="22"/>
              </w:rPr>
              <w:t>3.8. Chapter Conclusion</w:t>
            </w:r>
            <w:r w:rsidRPr="00E90620">
              <w:rPr>
                <w:rFonts w:ascii="Calibri" w:hAnsi="Calibri" w:cs="Calibri"/>
                <w:noProof/>
                <w:webHidden/>
                <w:sz w:val="22"/>
                <w:szCs w:val="22"/>
              </w:rPr>
              <w:tab/>
            </w:r>
            <w:r w:rsidRPr="00E90620">
              <w:rPr>
                <w:rFonts w:ascii="Calibri" w:hAnsi="Calibri" w:cs="Calibri"/>
                <w:noProof/>
                <w:webHidden/>
                <w:sz w:val="22"/>
                <w:szCs w:val="22"/>
              </w:rPr>
              <w:fldChar w:fldCharType="begin"/>
            </w:r>
            <w:r w:rsidRPr="00E90620">
              <w:rPr>
                <w:rFonts w:ascii="Calibri" w:hAnsi="Calibri" w:cs="Calibri"/>
                <w:noProof/>
                <w:webHidden/>
                <w:sz w:val="22"/>
                <w:szCs w:val="22"/>
              </w:rPr>
              <w:instrText xml:space="preserve"> PAGEREF _Toc220350668 \h </w:instrText>
            </w:r>
            <w:r w:rsidRPr="00E90620">
              <w:rPr>
                <w:rFonts w:ascii="Calibri" w:hAnsi="Calibri" w:cs="Calibri"/>
                <w:noProof/>
                <w:webHidden/>
                <w:sz w:val="22"/>
                <w:szCs w:val="22"/>
              </w:rPr>
            </w:r>
            <w:r w:rsidRPr="00E90620">
              <w:rPr>
                <w:rFonts w:ascii="Calibri" w:hAnsi="Calibri" w:cs="Calibri"/>
                <w:noProof/>
                <w:webHidden/>
                <w:sz w:val="22"/>
                <w:szCs w:val="22"/>
              </w:rPr>
              <w:fldChar w:fldCharType="separate"/>
            </w:r>
            <w:r w:rsidR="00F757E5">
              <w:rPr>
                <w:rFonts w:ascii="Calibri" w:hAnsi="Calibri" w:cs="Calibri"/>
                <w:noProof/>
                <w:webHidden/>
                <w:sz w:val="22"/>
                <w:szCs w:val="22"/>
              </w:rPr>
              <w:t>24</w:t>
            </w:r>
            <w:r w:rsidRPr="00E90620">
              <w:rPr>
                <w:rFonts w:ascii="Calibri" w:hAnsi="Calibri" w:cs="Calibri"/>
                <w:noProof/>
                <w:webHidden/>
                <w:sz w:val="22"/>
                <w:szCs w:val="22"/>
              </w:rPr>
              <w:fldChar w:fldCharType="end"/>
            </w:r>
          </w:hyperlink>
        </w:p>
        <w:p w14:paraId="4FA5FB66" w14:textId="138078DD" w:rsidR="00E90620" w:rsidRPr="00E90620" w:rsidRDefault="00E90620">
          <w:pPr>
            <w:pStyle w:val="TOC1"/>
            <w:tabs>
              <w:tab w:val="right" w:leader="dot" w:pos="9016"/>
            </w:tabs>
            <w:rPr>
              <w:rFonts w:ascii="Calibri" w:eastAsiaTheme="minorEastAsia" w:hAnsi="Calibri" w:cs="Calibri"/>
              <w:b w:val="0"/>
              <w:bCs w:val="0"/>
              <w:noProof/>
              <w:kern w:val="2"/>
              <w:sz w:val="22"/>
              <w:szCs w:val="22"/>
              <w14:ligatures w14:val="standardContextual"/>
            </w:rPr>
          </w:pPr>
          <w:hyperlink w:anchor="_Toc220350669" w:history="1">
            <w:r w:rsidRPr="00E90620">
              <w:rPr>
                <w:rStyle w:val="Hyperlink"/>
                <w:rFonts w:ascii="Calibri" w:hAnsi="Calibri" w:cs="Calibri"/>
                <w:noProof/>
                <w:sz w:val="22"/>
                <w:szCs w:val="22"/>
              </w:rPr>
              <w:t>CHAPTER 4 – Findings and Discussion</w:t>
            </w:r>
            <w:r w:rsidRPr="00E90620">
              <w:rPr>
                <w:rFonts w:ascii="Calibri" w:hAnsi="Calibri" w:cs="Calibri"/>
                <w:noProof/>
                <w:webHidden/>
                <w:sz w:val="22"/>
                <w:szCs w:val="22"/>
              </w:rPr>
              <w:tab/>
            </w:r>
            <w:r w:rsidRPr="00E90620">
              <w:rPr>
                <w:rFonts w:ascii="Calibri" w:hAnsi="Calibri" w:cs="Calibri"/>
                <w:noProof/>
                <w:webHidden/>
                <w:sz w:val="22"/>
                <w:szCs w:val="22"/>
              </w:rPr>
              <w:fldChar w:fldCharType="begin"/>
            </w:r>
            <w:r w:rsidRPr="00E90620">
              <w:rPr>
                <w:rFonts w:ascii="Calibri" w:hAnsi="Calibri" w:cs="Calibri"/>
                <w:noProof/>
                <w:webHidden/>
                <w:sz w:val="22"/>
                <w:szCs w:val="22"/>
              </w:rPr>
              <w:instrText xml:space="preserve"> PAGEREF _Toc220350669 \h </w:instrText>
            </w:r>
            <w:r w:rsidRPr="00E90620">
              <w:rPr>
                <w:rFonts w:ascii="Calibri" w:hAnsi="Calibri" w:cs="Calibri"/>
                <w:noProof/>
                <w:webHidden/>
                <w:sz w:val="22"/>
                <w:szCs w:val="22"/>
              </w:rPr>
            </w:r>
            <w:r w:rsidRPr="00E90620">
              <w:rPr>
                <w:rFonts w:ascii="Calibri" w:hAnsi="Calibri" w:cs="Calibri"/>
                <w:noProof/>
                <w:webHidden/>
                <w:sz w:val="22"/>
                <w:szCs w:val="22"/>
              </w:rPr>
              <w:fldChar w:fldCharType="separate"/>
            </w:r>
            <w:r w:rsidR="00F757E5">
              <w:rPr>
                <w:rFonts w:ascii="Calibri" w:hAnsi="Calibri" w:cs="Calibri"/>
                <w:noProof/>
                <w:webHidden/>
                <w:sz w:val="22"/>
                <w:szCs w:val="22"/>
              </w:rPr>
              <w:t>25</w:t>
            </w:r>
            <w:r w:rsidRPr="00E90620">
              <w:rPr>
                <w:rFonts w:ascii="Calibri" w:hAnsi="Calibri" w:cs="Calibri"/>
                <w:noProof/>
                <w:webHidden/>
                <w:sz w:val="22"/>
                <w:szCs w:val="22"/>
              </w:rPr>
              <w:fldChar w:fldCharType="end"/>
            </w:r>
          </w:hyperlink>
        </w:p>
        <w:p w14:paraId="2DAA47EE" w14:textId="2FFB99EC" w:rsidR="00E90620" w:rsidRPr="00E90620" w:rsidRDefault="00E90620">
          <w:pPr>
            <w:pStyle w:val="TOC2"/>
            <w:tabs>
              <w:tab w:val="right" w:leader="dot" w:pos="9016"/>
            </w:tabs>
            <w:rPr>
              <w:rFonts w:ascii="Calibri" w:eastAsiaTheme="minorEastAsia" w:hAnsi="Calibri" w:cs="Calibri"/>
              <w:i w:val="0"/>
              <w:iCs w:val="0"/>
              <w:noProof/>
              <w:kern w:val="2"/>
              <w:sz w:val="22"/>
              <w:szCs w:val="22"/>
              <w14:ligatures w14:val="standardContextual"/>
            </w:rPr>
          </w:pPr>
          <w:hyperlink w:anchor="_Toc220350670" w:history="1">
            <w:r w:rsidRPr="00E90620">
              <w:rPr>
                <w:rStyle w:val="Hyperlink"/>
                <w:rFonts w:ascii="Calibri" w:hAnsi="Calibri" w:cs="Calibri"/>
                <w:noProof/>
                <w:sz w:val="22"/>
                <w:szCs w:val="22"/>
              </w:rPr>
              <w:t>4.1. Introduction</w:t>
            </w:r>
            <w:r w:rsidRPr="00E90620">
              <w:rPr>
                <w:rFonts w:ascii="Calibri" w:hAnsi="Calibri" w:cs="Calibri"/>
                <w:noProof/>
                <w:webHidden/>
                <w:sz w:val="22"/>
                <w:szCs w:val="22"/>
              </w:rPr>
              <w:tab/>
            </w:r>
            <w:r w:rsidRPr="00E90620">
              <w:rPr>
                <w:rFonts w:ascii="Calibri" w:hAnsi="Calibri" w:cs="Calibri"/>
                <w:noProof/>
                <w:webHidden/>
                <w:sz w:val="22"/>
                <w:szCs w:val="22"/>
              </w:rPr>
              <w:fldChar w:fldCharType="begin"/>
            </w:r>
            <w:r w:rsidRPr="00E90620">
              <w:rPr>
                <w:rFonts w:ascii="Calibri" w:hAnsi="Calibri" w:cs="Calibri"/>
                <w:noProof/>
                <w:webHidden/>
                <w:sz w:val="22"/>
                <w:szCs w:val="22"/>
              </w:rPr>
              <w:instrText xml:space="preserve"> PAGEREF _Toc220350670 \h </w:instrText>
            </w:r>
            <w:r w:rsidRPr="00E90620">
              <w:rPr>
                <w:rFonts w:ascii="Calibri" w:hAnsi="Calibri" w:cs="Calibri"/>
                <w:noProof/>
                <w:webHidden/>
                <w:sz w:val="22"/>
                <w:szCs w:val="22"/>
              </w:rPr>
            </w:r>
            <w:r w:rsidRPr="00E90620">
              <w:rPr>
                <w:rFonts w:ascii="Calibri" w:hAnsi="Calibri" w:cs="Calibri"/>
                <w:noProof/>
                <w:webHidden/>
                <w:sz w:val="22"/>
                <w:szCs w:val="22"/>
              </w:rPr>
              <w:fldChar w:fldCharType="separate"/>
            </w:r>
            <w:r w:rsidR="00F757E5">
              <w:rPr>
                <w:rFonts w:ascii="Calibri" w:hAnsi="Calibri" w:cs="Calibri"/>
                <w:noProof/>
                <w:webHidden/>
                <w:sz w:val="22"/>
                <w:szCs w:val="22"/>
              </w:rPr>
              <w:t>25</w:t>
            </w:r>
            <w:r w:rsidRPr="00E90620">
              <w:rPr>
                <w:rFonts w:ascii="Calibri" w:hAnsi="Calibri" w:cs="Calibri"/>
                <w:noProof/>
                <w:webHidden/>
                <w:sz w:val="22"/>
                <w:szCs w:val="22"/>
              </w:rPr>
              <w:fldChar w:fldCharType="end"/>
            </w:r>
          </w:hyperlink>
        </w:p>
        <w:p w14:paraId="7896410F" w14:textId="744CFE2C" w:rsidR="00E90620" w:rsidRPr="00E90620" w:rsidRDefault="00E90620">
          <w:pPr>
            <w:pStyle w:val="TOC2"/>
            <w:tabs>
              <w:tab w:val="right" w:leader="dot" w:pos="9016"/>
            </w:tabs>
            <w:rPr>
              <w:rFonts w:ascii="Calibri" w:eastAsiaTheme="minorEastAsia" w:hAnsi="Calibri" w:cs="Calibri"/>
              <w:i w:val="0"/>
              <w:iCs w:val="0"/>
              <w:noProof/>
              <w:kern w:val="2"/>
              <w:sz w:val="22"/>
              <w:szCs w:val="22"/>
              <w14:ligatures w14:val="standardContextual"/>
            </w:rPr>
          </w:pPr>
          <w:hyperlink w:anchor="_Toc220350671" w:history="1">
            <w:r w:rsidRPr="00E90620">
              <w:rPr>
                <w:rStyle w:val="Hyperlink"/>
                <w:rFonts w:ascii="Calibri" w:hAnsi="Calibri" w:cs="Calibri"/>
                <w:noProof/>
                <w:sz w:val="22"/>
                <w:szCs w:val="22"/>
              </w:rPr>
              <w:t>4.2 Thematic Analysis</w:t>
            </w:r>
            <w:r w:rsidRPr="00E90620">
              <w:rPr>
                <w:rFonts w:ascii="Calibri" w:hAnsi="Calibri" w:cs="Calibri"/>
                <w:noProof/>
                <w:webHidden/>
                <w:sz w:val="22"/>
                <w:szCs w:val="22"/>
              </w:rPr>
              <w:tab/>
            </w:r>
            <w:r w:rsidRPr="00E90620">
              <w:rPr>
                <w:rFonts w:ascii="Calibri" w:hAnsi="Calibri" w:cs="Calibri"/>
                <w:noProof/>
                <w:webHidden/>
                <w:sz w:val="22"/>
                <w:szCs w:val="22"/>
              </w:rPr>
              <w:fldChar w:fldCharType="begin"/>
            </w:r>
            <w:r w:rsidRPr="00E90620">
              <w:rPr>
                <w:rFonts w:ascii="Calibri" w:hAnsi="Calibri" w:cs="Calibri"/>
                <w:noProof/>
                <w:webHidden/>
                <w:sz w:val="22"/>
                <w:szCs w:val="22"/>
              </w:rPr>
              <w:instrText xml:space="preserve"> PAGEREF _Toc220350671 \h </w:instrText>
            </w:r>
            <w:r w:rsidRPr="00E90620">
              <w:rPr>
                <w:rFonts w:ascii="Calibri" w:hAnsi="Calibri" w:cs="Calibri"/>
                <w:noProof/>
                <w:webHidden/>
                <w:sz w:val="22"/>
                <w:szCs w:val="22"/>
              </w:rPr>
            </w:r>
            <w:r w:rsidRPr="00E90620">
              <w:rPr>
                <w:rFonts w:ascii="Calibri" w:hAnsi="Calibri" w:cs="Calibri"/>
                <w:noProof/>
                <w:webHidden/>
                <w:sz w:val="22"/>
                <w:szCs w:val="22"/>
              </w:rPr>
              <w:fldChar w:fldCharType="separate"/>
            </w:r>
            <w:r w:rsidR="00F757E5">
              <w:rPr>
                <w:rFonts w:ascii="Calibri" w:hAnsi="Calibri" w:cs="Calibri"/>
                <w:noProof/>
                <w:webHidden/>
                <w:sz w:val="22"/>
                <w:szCs w:val="22"/>
              </w:rPr>
              <w:t>25</w:t>
            </w:r>
            <w:r w:rsidRPr="00E90620">
              <w:rPr>
                <w:rFonts w:ascii="Calibri" w:hAnsi="Calibri" w:cs="Calibri"/>
                <w:noProof/>
                <w:webHidden/>
                <w:sz w:val="22"/>
                <w:szCs w:val="22"/>
              </w:rPr>
              <w:fldChar w:fldCharType="end"/>
            </w:r>
          </w:hyperlink>
        </w:p>
        <w:p w14:paraId="374AE738" w14:textId="75E8693A" w:rsidR="00E90620" w:rsidRPr="00E90620" w:rsidRDefault="00E90620">
          <w:pPr>
            <w:pStyle w:val="TOC2"/>
            <w:tabs>
              <w:tab w:val="right" w:leader="dot" w:pos="9016"/>
            </w:tabs>
            <w:rPr>
              <w:rFonts w:ascii="Calibri" w:eastAsiaTheme="minorEastAsia" w:hAnsi="Calibri" w:cs="Calibri"/>
              <w:i w:val="0"/>
              <w:iCs w:val="0"/>
              <w:noProof/>
              <w:kern w:val="2"/>
              <w:sz w:val="22"/>
              <w:szCs w:val="22"/>
              <w14:ligatures w14:val="standardContextual"/>
            </w:rPr>
          </w:pPr>
          <w:hyperlink w:anchor="_Toc220350672" w:history="1">
            <w:r w:rsidRPr="00E90620">
              <w:rPr>
                <w:rStyle w:val="Hyperlink"/>
                <w:rFonts w:ascii="Calibri" w:hAnsi="Calibri" w:cs="Calibri"/>
                <w:noProof/>
                <w:sz w:val="22"/>
                <w:szCs w:val="22"/>
              </w:rPr>
              <w:t>4.3 Theme 1: Infrastructure Readiness and Interoperable Systems Determine Sustainable Rural Telehealth Outcomes</w:t>
            </w:r>
            <w:r w:rsidRPr="00E90620">
              <w:rPr>
                <w:rFonts w:ascii="Calibri" w:hAnsi="Calibri" w:cs="Calibri"/>
                <w:noProof/>
                <w:webHidden/>
                <w:sz w:val="22"/>
                <w:szCs w:val="22"/>
              </w:rPr>
              <w:tab/>
            </w:r>
            <w:r w:rsidRPr="00E90620">
              <w:rPr>
                <w:rFonts w:ascii="Calibri" w:hAnsi="Calibri" w:cs="Calibri"/>
                <w:noProof/>
                <w:webHidden/>
                <w:sz w:val="22"/>
                <w:szCs w:val="22"/>
              </w:rPr>
              <w:fldChar w:fldCharType="begin"/>
            </w:r>
            <w:r w:rsidRPr="00E90620">
              <w:rPr>
                <w:rFonts w:ascii="Calibri" w:hAnsi="Calibri" w:cs="Calibri"/>
                <w:noProof/>
                <w:webHidden/>
                <w:sz w:val="22"/>
                <w:szCs w:val="22"/>
              </w:rPr>
              <w:instrText xml:space="preserve"> PAGEREF _Toc220350672 \h </w:instrText>
            </w:r>
            <w:r w:rsidRPr="00E90620">
              <w:rPr>
                <w:rFonts w:ascii="Calibri" w:hAnsi="Calibri" w:cs="Calibri"/>
                <w:noProof/>
                <w:webHidden/>
                <w:sz w:val="22"/>
                <w:szCs w:val="22"/>
              </w:rPr>
            </w:r>
            <w:r w:rsidRPr="00E90620">
              <w:rPr>
                <w:rFonts w:ascii="Calibri" w:hAnsi="Calibri" w:cs="Calibri"/>
                <w:noProof/>
                <w:webHidden/>
                <w:sz w:val="22"/>
                <w:szCs w:val="22"/>
              </w:rPr>
              <w:fldChar w:fldCharType="separate"/>
            </w:r>
            <w:r w:rsidR="00F757E5">
              <w:rPr>
                <w:rFonts w:ascii="Calibri" w:hAnsi="Calibri" w:cs="Calibri"/>
                <w:noProof/>
                <w:webHidden/>
                <w:sz w:val="22"/>
                <w:szCs w:val="22"/>
              </w:rPr>
              <w:t>26</w:t>
            </w:r>
            <w:r w:rsidRPr="00E90620">
              <w:rPr>
                <w:rFonts w:ascii="Calibri" w:hAnsi="Calibri" w:cs="Calibri"/>
                <w:noProof/>
                <w:webHidden/>
                <w:sz w:val="22"/>
                <w:szCs w:val="22"/>
              </w:rPr>
              <w:fldChar w:fldCharType="end"/>
            </w:r>
          </w:hyperlink>
        </w:p>
        <w:p w14:paraId="4F95121B" w14:textId="7C4661AC" w:rsidR="00E90620" w:rsidRPr="00E90620" w:rsidRDefault="00E90620">
          <w:pPr>
            <w:pStyle w:val="TOC2"/>
            <w:tabs>
              <w:tab w:val="right" w:leader="dot" w:pos="9016"/>
            </w:tabs>
            <w:rPr>
              <w:rFonts w:ascii="Calibri" w:eastAsiaTheme="minorEastAsia" w:hAnsi="Calibri" w:cs="Calibri"/>
              <w:i w:val="0"/>
              <w:iCs w:val="0"/>
              <w:noProof/>
              <w:kern w:val="2"/>
              <w:sz w:val="22"/>
              <w:szCs w:val="22"/>
              <w14:ligatures w14:val="standardContextual"/>
            </w:rPr>
          </w:pPr>
          <w:hyperlink w:anchor="_Toc220350673" w:history="1">
            <w:r w:rsidRPr="00E90620">
              <w:rPr>
                <w:rStyle w:val="Hyperlink"/>
                <w:rFonts w:ascii="Calibri" w:hAnsi="Calibri" w:cs="Calibri"/>
                <w:noProof/>
                <w:sz w:val="22"/>
                <w:szCs w:val="22"/>
              </w:rPr>
              <w:t>4.4 Theme 2: Digital Literacy, Trust, and Cultural Acceptability Shape Equitable Telemedicine Uptake</w:t>
            </w:r>
            <w:r w:rsidRPr="00E90620">
              <w:rPr>
                <w:rFonts w:ascii="Calibri" w:hAnsi="Calibri" w:cs="Calibri"/>
                <w:noProof/>
                <w:webHidden/>
                <w:sz w:val="22"/>
                <w:szCs w:val="22"/>
              </w:rPr>
              <w:tab/>
            </w:r>
            <w:r w:rsidRPr="00E90620">
              <w:rPr>
                <w:rFonts w:ascii="Calibri" w:hAnsi="Calibri" w:cs="Calibri"/>
                <w:noProof/>
                <w:webHidden/>
                <w:sz w:val="22"/>
                <w:szCs w:val="22"/>
              </w:rPr>
              <w:fldChar w:fldCharType="begin"/>
            </w:r>
            <w:r w:rsidRPr="00E90620">
              <w:rPr>
                <w:rFonts w:ascii="Calibri" w:hAnsi="Calibri" w:cs="Calibri"/>
                <w:noProof/>
                <w:webHidden/>
                <w:sz w:val="22"/>
                <w:szCs w:val="22"/>
              </w:rPr>
              <w:instrText xml:space="preserve"> PAGEREF _Toc220350673 \h </w:instrText>
            </w:r>
            <w:r w:rsidRPr="00E90620">
              <w:rPr>
                <w:rFonts w:ascii="Calibri" w:hAnsi="Calibri" w:cs="Calibri"/>
                <w:noProof/>
                <w:webHidden/>
                <w:sz w:val="22"/>
                <w:szCs w:val="22"/>
              </w:rPr>
            </w:r>
            <w:r w:rsidRPr="00E90620">
              <w:rPr>
                <w:rFonts w:ascii="Calibri" w:hAnsi="Calibri" w:cs="Calibri"/>
                <w:noProof/>
                <w:webHidden/>
                <w:sz w:val="22"/>
                <w:szCs w:val="22"/>
              </w:rPr>
              <w:fldChar w:fldCharType="separate"/>
            </w:r>
            <w:r w:rsidR="00F757E5">
              <w:rPr>
                <w:rFonts w:ascii="Calibri" w:hAnsi="Calibri" w:cs="Calibri"/>
                <w:noProof/>
                <w:webHidden/>
                <w:sz w:val="22"/>
                <w:szCs w:val="22"/>
              </w:rPr>
              <w:t>30</w:t>
            </w:r>
            <w:r w:rsidRPr="00E90620">
              <w:rPr>
                <w:rFonts w:ascii="Calibri" w:hAnsi="Calibri" w:cs="Calibri"/>
                <w:noProof/>
                <w:webHidden/>
                <w:sz w:val="22"/>
                <w:szCs w:val="22"/>
              </w:rPr>
              <w:fldChar w:fldCharType="end"/>
            </w:r>
          </w:hyperlink>
        </w:p>
        <w:p w14:paraId="24E46995" w14:textId="0F6CE88F" w:rsidR="00E90620" w:rsidRPr="00E90620" w:rsidRDefault="00E90620">
          <w:pPr>
            <w:pStyle w:val="TOC2"/>
            <w:tabs>
              <w:tab w:val="right" w:leader="dot" w:pos="9016"/>
            </w:tabs>
            <w:rPr>
              <w:rFonts w:ascii="Calibri" w:eastAsiaTheme="minorEastAsia" w:hAnsi="Calibri" w:cs="Calibri"/>
              <w:i w:val="0"/>
              <w:iCs w:val="0"/>
              <w:noProof/>
              <w:kern w:val="2"/>
              <w:sz w:val="22"/>
              <w:szCs w:val="22"/>
              <w14:ligatures w14:val="standardContextual"/>
            </w:rPr>
          </w:pPr>
          <w:hyperlink w:anchor="_Toc220350674" w:history="1">
            <w:r w:rsidRPr="00E90620">
              <w:rPr>
                <w:rStyle w:val="Hyperlink"/>
                <w:rFonts w:ascii="Calibri" w:hAnsi="Calibri" w:cs="Calibri"/>
                <w:noProof/>
                <w:sz w:val="22"/>
                <w:szCs w:val="22"/>
              </w:rPr>
              <w:t>4.5 Theme 3: Socioeconomic inequities and policy design drive who benefits from digital health</w:t>
            </w:r>
            <w:r w:rsidRPr="00E90620">
              <w:rPr>
                <w:rFonts w:ascii="Calibri" w:hAnsi="Calibri" w:cs="Calibri"/>
                <w:noProof/>
                <w:webHidden/>
                <w:sz w:val="22"/>
                <w:szCs w:val="22"/>
              </w:rPr>
              <w:tab/>
            </w:r>
            <w:r w:rsidRPr="00E90620">
              <w:rPr>
                <w:rFonts w:ascii="Calibri" w:hAnsi="Calibri" w:cs="Calibri"/>
                <w:noProof/>
                <w:webHidden/>
                <w:sz w:val="22"/>
                <w:szCs w:val="22"/>
              </w:rPr>
              <w:fldChar w:fldCharType="begin"/>
            </w:r>
            <w:r w:rsidRPr="00E90620">
              <w:rPr>
                <w:rFonts w:ascii="Calibri" w:hAnsi="Calibri" w:cs="Calibri"/>
                <w:noProof/>
                <w:webHidden/>
                <w:sz w:val="22"/>
                <w:szCs w:val="22"/>
              </w:rPr>
              <w:instrText xml:space="preserve"> PAGEREF _Toc220350674 \h </w:instrText>
            </w:r>
            <w:r w:rsidRPr="00E90620">
              <w:rPr>
                <w:rFonts w:ascii="Calibri" w:hAnsi="Calibri" w:cs="Calibri"/>
                <w:noProof/>
                <w:webHidden/>
                <w:sz w:val="22"/>
                <w:szCs w:val="22"/>
              </w:rPr>
            </w:r>
            <w:r w:rsidRPr="00E90620">
              <w:rPr>
                <w:rFonts w:ascii="Calibri" w:hAnsi="Calibri" w:cs="Calibri"/>
                <w:noProof/>
                <w:webHidden/>
                <w:sz w:val="22"/>
                <w:szCs w:val="22"/>
              </w:rPr>
              <w:fldChar w:fldCharType="separate"/>
            </w:r>
            <w:r w:rsidR="00F757E5">
              <w:rPr>
                <w:rFonts w:ascii="Calibri" w:hAnsi="Calibri" w:cs="Calibri"/>
                <w:noProof/>
                <w:webHidden/>
                <w:sz w:val="22"/>
                <w:szCs w:val="22"/>
              </w:rPr>
              <w:t>33</w:t>
            </w:r>
            <w:r w:rsidRPr="00E90620">
              <w:rPr>
                <w:rFonts w:ascii="Calibri" w:hAnsi="Calibri" w:cs="Calibri"/>
                <w:noProof/>
                <w:webHidden/>
                <w:sz w:val="22"/>
                <w:szCs w:val="22"/>
              </w:rPr>
              <w:fldChar w:fldCharType="end"/>
            </w:r>
          </w:hyperlink>
        </w:p>
        <w:p w14:paraId="69B32F73" w14:textId="5CA3EEB1" w:rsidR="00E90620" w:rsidRPr="00E90620" w:rsidRDefault="00E90620">
          <w:pPr>
            <w:pStyle w:val="TOC2"/>
            <w:tabs>
              <w:tab w:val="right" w:leader="dot" w:pos="9016"/>
            </w:tabs>
            <w:rPr>
              <w:rFonts w:ascii="Calibri" w:eastAsiaTheme="minorEastAsia" w:hAnsi="Calibri" w:cs="Calibri"/>
              <w:i w:val="0"/>
              <w:iCs w:val="0"/>
              <w:noProof/>
              <w:kern w:val="2"/>
              <w:sz w:val="22"/>
              <w:szCs w:val="22"/>
              <w14:ligatures w14:val="standardContextual"/>
            </w:rPr>
          </w:pPr>
          <w:hyperlink w:anchor="_Toc220350675" w:history="1">
            <w:r w:rsidRPr="00E90620">
              <w:rPr>
                <w:rStyle w:val="Hyperlink"/>
                <w:rFonts w:ascii="Calibri" w:hAnsi="Calibri" w:cs="Calibri"/>
                <w:noProof/>
                <w:sz w:val="22"/>
                <w:szCs w:val="22"/>
              </w:rPr>
              <w:t>4.6 Chapter Conclusion</w:t>
            </w:r>
            <w:r w:rsidRPr="00E90620">
              <w:rPr>
                <w:rFonts w:ascii="Calibri" w:hAnsi="Calibri" w:cs="Calibri"/>
                <w:noProof/>
                <w:webHidden/>
                <w:sz w:val="22"/>
                <w:szCs w:val="22"/>
              </w:rPr>
              <w:tab/>
            </w:r>
            <w:r w:rsidRPr="00E90620">
              <w:rPr>
                <w:rFonts w:ascii="Calibri" w:hAnsi="Calibri" w:cs="Calibri"/>
                <w:noProof/>
                <w:webHidden/>
                <w:sz w:val="22"/>
                <w:szCs w:val="22"/>
              </w:rPr>
              <w:fldChar w:fldCharType="begin"/>
            </w:r>
            <w:r w:rsidRPr="00E90620">
              <w:rPr>
                <w:rFonts w:ascii="Calibri" w:hAnsi="Calibri" w:cs="Calibri"/>
                <w:noProof/>
                <w:webHidden/>
                <w:sz w:val="22"/>
                <w:szCs w:val="22"/>
              </w:rPr>
              <w:instrText xml:space="preserve"> PAGEREF _Toc220350675 \h </w:instrText>
            </w:r>
            <w:r w:rsidRPr="00E90620">
              <w:rPr>
                <w:rFonts w:ascii="Calibri" w:hAnsi="Calibri" w:cs="Calibri"/>
                <w:noProof/>
                <w:webHidden/>
                <w:sz w:val="22"/>
                <w:szCs w:val="22"/>
              </w:rPr>
            </w:r>
            <w:r w:rsidRPr="00E90620">
              <w:rPr>
                <w:rFonts w:ascii="Calibri" w:hAnsi="Calibri" w:cs="Calibri"/>
                <w:noProof/>
                <w:webHidden/>
                <w:sz w:val="22"/>
                <w:szCs w:val="22"/>
              </w:rPr>
              <w:fldChar w:fldCharType="separate"/>
            </w:r>
            <w:r w:rsidR="00F757E5">
              <w:rPr>
                <w:rFonts w:ascii="Calibri" w:hAnsi="Calibri" w:cs="Calibri"/>
                <w:noProof/>
                <w:webHidden/>
                <w:sz w:val="22"/>
                <w:szCs w:val="22"/>
              </w:rPr>
              <w:t>37</w:t>
            </w:r>
            <w:r w:rsidRPr="00E90620">
              <w:rPr>
                <w:rFonts w:ascii="Calibri" w:hAnsi="Calibri" w:cs="Calibri"/>
                <w:noProof/>
                <w:webHidden/>
                <w:sz w:val="22"/>
                <w:szCs w:val="22"/>
              </w:rPr>
              <w:fldChar w:fldCharType="end"/>
            </w:r>
          </w:hyperlink>
        </w:p>
        <w:p w14:paraId="1A304312" w14:textId="56B4A103" w:rsidR="00E90620" w:rsidRPr="00E90620" w:rsidRDefault="00E90620">
          <w:pPr>
            <w:pStyle w:val="TOC1"/>
            <w:tabs>
              <w:tab w:val="right" w:leader="dot" w:pos="9016"/>
            </w:tabs>
            <w:rPr>
              <w:rFonts w:ascii="Calibri" w:eastAsiaTheme="minorEastAsia" w:hAnsi="Calibri" w:cs="Calibri"/>
              <w:b w:val="0"/>
              <w:bCs w:val="0"/>
              <w:noProof/>
              <w:kern w:val="2"/>
              <w:sz w:val="22"/>
              <w:szCs w:val="22"/>
              <w14:ligatures w14:val="standardContextual"/>
            </w:rPr>
          </w:pPr>
          <w:hyperlink w:anchor="_Toc220350676" w:history="1">
            <w:r w:rsidRPr="00E90620">
              <w:rPr>
                <w:rStyle w:val="Hyperlink"/>
                <w:rFonts w:ascii="Calibri" w:hAnsi="Calibri" w:cs="Calibri"/>
                <w:noProof/>
                <w:sz w:val="22"/>
                <w:szCs w:val="22"/>
              </w:rPr>
              <w:t>CHAPTER 5 – Conclusion and Recommendations</w:t>
            </w:r>
            <w:r w:rsidRPr="00E90620">
              <w:rPr>
                <w:rFonts w:ascii="Calibri" w:hAnsi="Calibri" w:cs="Calibri"/>
                <w:noProof/>
                <w:webHidden/>
                <w:sz w:val="22"/>
                <w:szCs w:val="22"/>
              </w:rPr>
              <w:tab/>
            </w:r>
            <w:r w:rsidRPr="00E90620">
              <w:rPr>
                <w:rFonts w:ascii="Calibri" w:hAnsi="Calibri" w:cs="Calibri"/>
                <w:noProof/>
                <w:webHidden/>
                <w:sz w:val="22"/>
                <w:szCs w:val="22"/>
              </w:rPr>
              <w:fldChar w:fldCharType="begin"/>
            </w:r>
            <w:r w:rsidRPr="00E90620">
              <w:rPr>
                <w:rFonts w:ascii="Calibri" w:hAnsi="Calibri" w:cs="Calibri"/>
                <w:noProof/>
                <w:webHidden/>
                <w:sz w:val="22"/>
                <w:szCs w:val="22"/>
              </w:rPr>
              <w:instrText xml:space="preserve"> PAGEREF _Toc220350676 \h </w:instrText>
            </w:r>
            <w:r w:rsidRPr="00E90620">
              <w:rPr>
                <w:rFonts w:ascii="Calibri" w:hAnsi="Calibri" w:cs="Calibri"/>
                <w:noProof/>
                <w:webHidden/>
                <w:sz w:val="22"/>
                <w:szCs w:val="22"/>
              </w:rPr>
            </w:r>
            <w:r w:rsidRPr="00E90620">
              <w:rPr>
                <w:rFonts w:ascii="Calibri" w:hAnsi="Calibri" w:cs="Calibri"/>
                <w:noProof/>
                <w:webHidden/>
                <w:sz w:val="22"/>
                <w:szCs w:val="22"/>
              </w:rPr>
              <w:fldChar w:fldCharType="separate"/>
            </w:r>
            <w:r w:rsidR="00F757E5">
              <w:rPr>
                <w:rFonts w:ascii="Calibri" w:hAnsi="Calibri" w:cs="Calibri"/>
                <w:noProof/>
                <w:webHidden/>
                <w:sz w:val="22"/>
                <w:szCs w:val="22"/>
              </w:rPr>
              <w:t>38</w:t>
            </w:r>
            <w:r w:rsidRPr="00E90620">
              <w:rPr>
                <w:rFonts w:ascii="Calibri" w:hAnsi="Calibri" w:cs="Calibri"/>
                <w:noProof/>
                <w:webHidden/>
                <w:sz w:val="22"/>
                <w:szCs w:val="22"/>
              </w:rPr>
              <w:fldChar w:fldCharType="end"/>
            </w:r>
          </w:hyperlink>
        </w:p>
        <w:p w14:paraId="4889B96B" w14:textId="399A81D2" w:rsidR="00E90620" w:rsidRPr="00E90620" w:rsidRDefault="00E90620">
          <w:pPr>
            <w:pStyle w:val="TOC2"/>
            <w:tabs>
              <w:tab w:val="right" w:leader="dot" w:pos="9016"/>
            </w:tabs>
            <w:rPr>
              <w:rFonts w:ascii="Calibri" w:eastAsiaTheme="minorEastAsia" w:hAnsi="Calibri" w:cs="Calibri"/>
              <w:i w:val="0"/>
              <w:iCs w:val="0"/>
              <w:noProof/>
              <w:kern w:val="2"/>
              <w:sz w:val="22"/>
              <w:szCs w:val="22"/>
              <w14:ligatures w14:val="standardContextual"/>
            </w:rPr>
          </w:pPr>
          <w:hyperlink w:anchor="_Toc220350677" w:history="1">
            <w:r w:rsidRPr="00E90620">
              <w:rPr>
                <w:rStyle w:val="Hyperlink"/>
                <w:rFonts w:ascii="Calibri" w:hAnsi="Calibri" w:cs="Calibri"/>
                <w:noProof/>
                <w:sz w:val="22"/>
                <w:szCs w:val="22"/>
              </w:rPr>
              <w:t>5.1 Overall Conclusion</w:t>
            </w:r>
            <w:r w:rsidRPr="00E90620">
              <w:rPr>
                <w:rFonts w:ascii="Calibri" w:hAnsi="Calibri" w:cs="Calibri"/>
                <w:noProof/>
                <w:webHidden/>
                <w:sz w:val="22"/>
                <w:szCs w:val="22"/>
              </w:rPr>
              <w:tab/>
            </w:r>
            <w:r w:rsidRPr="00E90620">
              <w:rPr>
                <w:rFonts w:ascii="Calibri" w:hAnsi="Calibri" w:cs="Calibri"/>
                <w:noProof/>
                <w:webHidden/>
                <w:sz w:val="22"/>
                <w:szCs w:val="22"/>
              </w:rPr>
              <w:fldChar w:fldCharType="begin"/>
            </w:r>
            <w:r w:rsidRPr="00E90620">
              <w:rPr>
                <w:rFonts w:ascii="Calibri" w:hAnsi="Calibri" w:cs="Calibri"/>
                <w:noProof/>
                <w:webHidden/>
                <w:sz w:val="22"/>
                <w:szCs w:val="22"/>
              </w:rPr>
              <w:instrText xml:space="preserve"> PAGEREF _Toc220350677 \h </w:instrText>
            </w:r>
            <w:r w:rsidRPr="00E90620">
              <w:rPr>
                <w:rFonts w:ascii="Calibri" w:hAnsi="Calibri" w:cs="Calibri"/>
                <w:noProof/>
                <w:webHidden/>
                <w:sz w:val="22"/>
                <w:szCs w:val="22"/>
              </w:rPr>
            </w:r>
            <w:r w:rsidRPr="00E90620">
              <w:rPr>
                <w:rFonts w:ascii="Calibri" w:hAnsi="Calibri" w:cs="Calibri"/>
                <w:noProof/>
                <w:webHidden/>
                <w:sz w:val="22"/>
                <w:szCs w:val="22"/>
              </w:rPr>
              <w:fldChar w:fldCharType="separate"/>
            </w:r>
            <w:r w:rsidR="00F757E5">
              <w:rPr>
                <w:rFonts w:ascii="Calibri" w:hAnsi="Calibri" w:cs="Calibri"/>
                <w:noProof/>
                <w:webHidden/>
                <w:sz w:val="22"/>
                <w:szCs w:val="22"/>
              </w:rPr>
              <w:t>38</w:t>
            </w:r>
            <w:r w:rsidRPr="00E90620">
              <w:rPr>
                <w:rFonts w:ascii="Calibri" w:hAnsi="Calibri" w:cs="Calibri"/>
                <w:noProof/>
                <w:webHidden/>
                <w:sz w:val="22"/>
                <w:szCs w:val="22"/>
              </w:rPr>
              <w:fldChar w:fldCharType="end"/>
            </w:r>
          </w:hyperlink>
        </w:p>
        <w:p w14:paraId="669B1A55" w14:textId="7B28EDA8" w:rsidR="00E90620" w:rsidRPr="00E90620" w:rsidRDefault="00E90620">
          <w:pPr>
            <w:pStyle w:val="TOC2"/>
            <w:tabs>
              <w:tab w:val="right" w:leader="dot" w:pos="9016"/>
            </w:tabs>
            <w:rPr>
              <w:rFonts w:ascii="Calibri" w:eastAsiaTheme="minorEastAsia" w:hAnsi="Calibri" w:cs="Calibri"/>
              <w:i w:val="0"/>
              <w:iCs w:val="0"/>
              <w:noProof/>
              <w:kern w:val="2"/>
              <w:sz w:val="22"/>
              <w:szCs w:val="22"/>
              <w14:ligatures w14:val="standardContextual"/>
            </w:rPr>
          </w:pPr>
          <w:hyperlink w:anchor="_Toc220350678" w:history="1">
            <w:r w:rsidRPr="00E90620">
              <w:rPr>
                <w:rStyle w:val="Hyperlink"/>
                <w:rFonts w:ascii="Calibri" w:hAnsi="Calibri" w:cs="Calibri"/>
                <w:noProof/>
                <w:sz w:val="22"/>
                <w:szCs w:val="22"/>
              </w:rPr>
              <w:t>5.2 Recommendations</w:t>
            </w:r>
            <w:r w:rsidRPr="00E90620">
              <w:rPr>
                <w:rFonts w:ascii="Calibri" w:hAnsi="Calibri" w:cs="Calibri"/>
                <w:noProof/>
                <w:webHidden/>
                <w:sz w:val="22"/>
                <w:szCs w:val="22"/>
              </w:rPr>
              <w:tab/>
            </w:r>
            <w:r w:rsidRPr="00E90620">
              <w:rPr>
                <w:rFonts w:ascii="Calibri" w:hAnsi="Calibri" w:cs="Calibri"/>
                <w:noProof/>
                <w:webHidden/>
                <w:sz w:val="22"/>
                <w:szCs w:val="22"/>
              </w:rPr>
              <w:fldChar w:fldCharType="begin"/>
            </w:r>
            <w:r w:rsidRPr="00E90620">
              <w:rPr>
                <w:rFonts w:ascii="Calibri" w:hAnsi="Calibri" w:cs="Calibri"/>
                <w:noProof/>
                <w:webHidden/>
                <w:sz w:val="22"/>
                <w:szCs w:val="22"/>
              </w:rPr>
              <w:instrText xml:space="preserve"> PAGEREF _Toc220350678 \h </w:instrText>
            </w:r>
            <w:r w:rsidRPr="00E90620">
              <w:rPr>
                <w:rFonts w:ascii="Calibri" w:hAnsi="Calibri" w:cs="Calibri"/>
                <w:noProof/>
                <w:webHidden/>
                <w:sz w:val="22"/>
                <w:szCs w:val="22"/>
              </w:rPr>
            </w:r>
            <w:r w:rsidRPr="00E90620">
              <w:rPr>
                <w:rFonts w:ascii="Calibri" w:hAnsi="Calibri" w:cs="Calibri"/>
                <w:noProof/>
                <w:webHidden/>
                <w:sz w:val="22"/>
                <w:szCs w:val="22"/>
              </w:rPr>
              <w:fldChar w:fldCharType="separate"/>
            </w:r>
            <w:r w:rsidR="00F757E5">
              <w:rPr>
                <w:rFonts w:ascii="Calibri" w:hAnsi="Calibri" w:cs="Calibri"/>
                <w:noProof/>
                <w:webHidden/>
                <w:sz w:val="22"/>
                <w:szCs w:val="22"/>
              </w:rPr>
              <w:t>38</w:t>
            </w:r>
            <w:r w:rsidRPr="00E90620">
              <w:rPr>
                <w:rFonts w:ascii="Calibri" w:hAnsi="Calibri" w:cs="Calibri"/>
                <w:noProof/>
                <w:webHidden/>
                <w:sz w:val="22"/>
                <w:szCs w:val="22"/>
              </w:rPr>
              <w:fldChar w:fldCharType="end"/>
            </w:r>
          </w:hyperlink>
        </w:p>
        <w:p w14:paraId="674E0E43" w14:textId="74E6D656" w:rsidR="00E90620" w:rsidRPr="00E90620" w:rsidRDefault="00E90620">
          <w:pPr>
            <w:pStyle w:val="TOC3"/>
            <w:tabs>
              <w:tab w:val="right" w:leader="dot" w:pos="9016"/>
            </w:tabs>
            <w:rPr>
              <w:rFonts w:ascii="Calibri" w:eastAsiaTheme="minorEastAsia" w:hAnsi="Calibri" w:cs="Calibri"/>
              <w:noProof/>
              <w:kern w:val="2"/>
              <w:sz w:val="22"/>
              <w:szCs w:val="22"/>
              <w14:ligatures w14:val="standardContextual"/>
            </w:rPr>
          </w:pPr>
          <w:hyperlink w:anchor="_Toc220350679" w:history="1">
            <w:r w:rsidRPr="00E90620">
              <w:rPr>
                <w:rStyle w:val="Hyperlink"/>
                <w:rFonts w:ascii="Calibri" w:hAnsi="Calibri" w:cs="Calibri"/>
                <w:noProof/>
                <w:sz w:val="22"/>
                <w:szCs w:val="22"/>
              </w:rPr>
              <w:t>5.2.1 Embedding Equity in the Design and Evaluation of Rural Telehealth Services</w:t>
            </w:r>
            <w:r w:rsidRPr="00E90620">
              <w:rPr>
                <w:rFonts w:ascii="Calibri" w:hAnsi="Calibri" w:cs="Calibri"/>
                <w:noProof/>
                <w:webHidden/>
                <w:sz w:val="22"/>
                <w:szCs w:val="22"/>
              </w:rPr>
              <w:tab/>
            </w:r>
            <w:r w:rsidRPr="00E90620">
              <w:rPr>
                <w:rFonts w:ascii="Calibri" w:hAnsi="Calibri" w:cs="Calibri"/>
                <w:noProof/>
                <w:webHidden/>
                <w:sz w:val="22"/>
                <w:szCs w:val="22"/>
              </w:rPr>
              <w:fldChar w:fldCharType="begin"/>
            </w:r>
            <w:r w:rsidRPr="00E90620">
              <w:rPr>
                <w:rFonts w:ascii="Calibri" w:hAnsi="Calibri" w:cs="Calibri"/>
                <w:noProof/>
                <w:webHidden/>
                <w:sz w:val="22"/>
                <w:szCs w:val="22"/>
              </w:rPr>
              <w:instrText xml:space="preserve"> PAGEREF _Toc220350679 \h </w:instrText>
            </w:r>
            <w:r w:rsidRPr="00E90620">
              <w:rPr>
                <w:rFonts w:ascii="Calibri" w:hAnsi="Calibri" w:cs="Calibri"/>
                <w:noProof/>
                <w:webHidden/>
                <w:sz w:val="22"/>
                <w:szCs w:val="22"/>
              </w:rPr>
            </w:r>
            <w:r w:rsidRPr="00E90620">
              <w:rPr>
                <w:rFonts w:ascii="Calibri" w:hAnsi="Calibri" w:cs="Calibri"/>
                <w:noProof/>
                <w:webHidden/>
                <w:sz w:val="22"/>
                <w:szCs w:val="22"/>
              </w:rPr>
              <w:fldChar w:fldCharType="separate"/>
            </w:r>
            <w:r w:rsidR="00F757E5">
              <w:rPr>
                <w:rFonts w:ascii="Calibri" w:hAnsi="Calibri" w:cs="Calibri"/>
                <w:noProof/>
                <w:webHidden/>
                <w:sz w:val="22"/>
                <w:szCs w:val="22"/>
              </w:rPr>
              <w:t>38</w:t>
            </w:r>
            <w:r w:rsidRPr="00E90620">
              <w:rPr>
                <w:rFonts w:ascii="Calibri" w:hAnsi="Calibri" w:cs="Calibri"/>
                <w:noProof/>
                <w:webHidden/>
                <w:sz w:val="22"/>
                <w:szCs w:val="22"/>
              </w:rPr>
              <w:fldChar w:fldCharType="end"/>
            </w:r>
          </w:hyperlink>
        </w:p>
        <w:p w14:paraId="388602F2" w14:textId="233498AA" w:rsidR="00E90620" w:rsidRPr="00E90620" w:rsidRDefault="00E90620">
          <w:pPr>
            <w:pStyle w:val="TOC3"/>
            <w:tabs>
              <w:tab w:val="right" w:leader="dot" w:pos="9016"/>
            </w:tabs>
            <w:rPr>
              <w:rFonts w:ascii="Calibri" w:eastAsiaTheme="minorEastAsia" w:hAnsi="Calibri" w:cs="Calibri"/>
              <w:noProof/>
              <w:kern w:val="2"/>
              <w:sz w:val="22"/>
              <w:szCs w:val="22"/>
              <w14:ligatures w14:val="standardContextual"/>
            </w:rPr>
          </w:pPr>
          <w:hyperlink w:anchor="_Toc220350680" w:history="1">
            <w:r w:rsidRPr="00E90620">
              <w:rPr>
                <w:rStyle w:val="Hyperlink"/>
                <w:rFonts w:ascii="Calibri" w:hAnsi="Calibri" w:cs="Calibri"/>
                <w:noProof/>
                <w:sz w:val="22"/>
                <w:szCs w:val="22"/>
              </w:rPr>
              <w:t>5.2.2. Strengthening Digital Infrastructure and System Integration for Rural Health Delivery</w:t>
            </w:r>
            <w:r w:rsidRPr="00E90620">
              <w:rPr>
                <w:rFonts w:ascii="Calibri" w:hAnsi="Calibri" w:cs="Calibri"/>
                <w:noProof/>
                <w:webHidden/>
                <w:sz w:val="22"/>
                <w:szCs w:val="22"/>
              </w:rPr>
              <w:tab/>
            </w:r>
            <w:r w:rsidRPr="00E90620">
              <w:rPr>
                <w:rFonts w:ascii="Calibri" w:hAnsi="Calibri" w:cs="Calibri"/>
                <w:noProof/>
                <w:webHidden/>
                <w:sz w:val="22"/>
                <w:szCs w:val="22"/>
              </w:rPr>
              <w:fldChar w:fldCharType="begin"/>
            </w:r>
            <w:r w:rsidRPr="00E90620">
              <w:rPr>
                <w:rFonts w:ascii="Calibri" w:hAnsi="Calibri" w:cs="Calibri"/>
                <w:noProof/>
                <w:webHidden/>
                <w:sz w:val="22"/>
                <w:szCs w:val="22"/>
              </w:rPr>
              <w:instrText xml:space="preserve"> PAGEREF _Toc220350680 \h </w:instrText>
            </w:r>
            <w:r w:rsidRPr="00E90620">
              <w:rPr>
                <w:rFonts w:ascii="Calibri" w:hAnsi="Calibri" w:cs="Calibri"/>
                <w:noProof/>
                <w:webHidden/>
                <w:sz w:val="22"/>
                <w:szCs w:val="22"/>
              </w:rPr>
            </w:r>
            <w:r w:rsidRPr="00E90620">
              <w:rPr>
                <w:rFonts w:ascii="Calibri" w:hAnsi="Calibri" w:cs="Calibri"/>
                <w:noProof/>
                <w:webHidden/>
                <w:sz w:val="22"/>
                <w:szCs w:val="22"/>
              </w:rPr>
              <w:fldChar w:fldCharType="separate"/>
            </w:r>
            <w:r w:rsidR="00F757E5">
              <w:rPr>
                <w:rFonts w:ascii="Calibri" w:hAnsi="Calibri" w:cs="Calibri"/>
                <w:noProof/>
                <w:webHidden/>
                <w:sz w:val="22"/>
                <w:szCs w:val="22"/>
              </w:rPr>
              <w:t>39</w:t>
            </w:r>
            <w:r w:rsidRPr="00E90620">
              <w:rPr>
                <w:rFonts w:ascii="Calibri" w:hAnsi="Calibri" w:cs="Calibri"/>
                <w:noProof/>
                <w:webHidden/>
                <w:sz w:val="22"/>
                <w:szCs w:val="22"/>
              </w:rPr>
              <w:fldChar w:fldCharType="end"/>
            </w:r>
          </w:hyperlink>
        </w:p>
        <w:p w14:paraId="082BD941" w14:textId="58D7D773" w:rsidR="00E90620" w:rsidRPr="00E90620" w:rsidRDefault="00E90620">
          <w:pPr>
            <w:pStyle w:val="TOC3"/>
            <w:tabs>
              <w:tab w:val="right" w:leader="dot" w:pos="9016"/>
            </w:tabs>
            <w:rPr>
              <w:rFonts w:ascii="Calibri" w:eastAsiaTheme="minorEastAsia" w:hAnsi="Calibri" w:cs="Calibri"/>
              <w:noProof/>
              <w:kern w:val="2"/>
              <w:sz w:val="22"/>
              <w:szCs w:val="22"/>
              <w14:ligatures w14:val="standardContextual"/>
            </w:rPr>
          </w:pPr>
          <w:hyperlink w:anchor="_Toc220350681" w:history="1">
            <w:r w:rsidRPr="00E90620">
              <w:rPr>
                <w:rStyle w:val="Hyperlink"/>
                <w:rFonts w:ascii="Calibri" w:hAnsi="Calibri" w:cs="Calibri"/>
                <w:noProof/>
                <w:sz w:val="22"/>
                <w:szCs w:val="22"/>
              </w:rPr>
              <w:t>5.2.3. Building Digital Capability, Trust, and Culturally Responsive Telehealth Care</w:t>
            </w:r>
            <w:r w:rsidRPr="00E90620">
              <w:rPr>
                <w:rFonts w:ascii="Calibri" w:hAnsi="Calibri" w:cs="Calibri"/>
                <w:noProof/>
                <w:webHidden/>
                <w:sz w:val="22"/>
                <w:szCs w:val="22"/>
              </w:rPr>
              <w:tab/>
            </w:r>
            <w:r w:rsidRPr="00E90620">
              <w:rPr>
                <w:rFonts w:ascii="Calibri" w:hAnsi="Calibri" w:cs="Calibri"/>
                <w:noProof/>
                <w:webHidden/>
                <w:sz w:val="22"/>
                <w:szCs w:val="22"/>
              </w:rPr>
              <w:fldChar w:fldCharType="begin"/>
            </w:r>
            <w:r w:rsidRPr="00E90620">
              <w:rPr>
                <w:rFonts w:ascii="Calibri" w:hAnsi="Calibri" w:cs="Calibri"/>
                <w:noProof/>
                <w:webHidden/>
                <w:sz w:val="22"/>
                <w:szCs w:val="22"/>
              </w:rPr>
              <w:instrText xml:space="preserve"> PAGEREF _Toc220350681 \h </w:instrText>
            </w:r>
            <w:r w:rsidRPr="00E90620">
              <w:rPr>
                <w:rFonts w:ascii="Calibri" w:hAnsi="Calibri" w:cs="Calibri"/>
                <w:noProof/>
                <w:webHidden/>
                <w:sz w:val="22"/>
                <w:szCs w:val="22"/>
              </w:rPr>
            </w:r>
            <w:r w:rsidRPr="00E90620">
              <w:rPr>
                <w:rFonts w:ascii="Calibri" w:hAnsi="Calibri" w:cs="Calibri"/>
                <w:noProof/>
                <w:webHidden/>
                <w:sz w:val="22"/>
                <w:szCs w:val="22"/>
              </w:rPr>
              <w:fldChar w:fldCharType="separate"/>
            </w:r>
            <w:r w:rsidR="00F757E5">
              <w:rPr>
                <w:rFonts w:ascii="Calibri" w:hAnsi="Calibri" w:cs="Calibri"/>
                <w:noProof/>
                <w:webHidden/>
                <w:sz w:val="22"/>
                <w:szCs w:val="22"/>
              </w:rPr>
              <w:t>39</w:t>
            </w:r>
            <w:r w:rsidRPr="00E90620">
              <w:rPr>
                <w:rFonts w:ascii="Calibri" w:hAnsi="Calibri" w:cs="Calibri"/>
                <w:noProof/>
                <w:webHidden/>
                <w:sz w:val="22"/>
                <w:szCs w:val="22"/>
              </w:rPr>
              <w:fldChar w:fldCharType="end"/>
            </w:r>
          </w:hyperlink>
        </w:p>
        <w:p w14:paraId="153A5634" w14:textId="485E5D6F" w:rsidR="00E90620" w:rsidRPr="00E90620" w:rsidRDefault="00E90620">
          <w:pPr>
            <w:pStyle w:val="TOC1"/>
            <w:tabs>
              <w:tab w:val="right" w:leader="dot" w:pos="9016"/>
            </w:tabs>
            <w:rPr>
              <w:rFonts w:ascii="Calibri" w:eastAsiaTheme="minorEastAsia" w:hAnsi="Calibri" w:cs="Calibri"/>
              <w:b w:val="0"/>
              <w:bCs w:val="0"/>
              <w:noProof/>
              <w:kern w:val="2"/>
              <w:sz w:val="22"/>
              <w:szCs w:val="22"/>
              <w14:ligatures w14:val="standardContextual"/>
            </w:rPr>
          </w:pPr>
          <w:hyperlink w:anchor="_Toc220350682" w:history="1">
            <w:r w:rsidRPr="00E90620">
              <w:rPr>
                <w:rStyle w:val="Hyperlink"/>
                <w:rFonts w:ascii="Calibri" w:hAnsi="Calibri" w:cs="Calibri"/>
                <w:noProof/>
                <w:sz w:val="22"/>
                <w:szCs w:val="22"/>
              </w:rPr>
              <w:t>References</w:t>
            </w:r>
            <w:r w:rsidRPr="00E90620">
              <w:rPr>
                <w:rFonts w:ascii="Calibri" w:hAnsi="Calibri" w:cs="Calibri"/>
                <w:noProof/>
                <w:webHidden/>
                <w:sz w:val="22"/>
                <w:szCs w:val="22"/>
              </w:rPr>
              <w:tab/>
            </w:r>
            <w:r w:rsidRPr="00E90620">
              <w:rPr>
                <w:rFonts w:ascii="Calibri" w:hAnsi="Calibri" w:cs="Calibri"/>
                <w:noProof/>
                <w:webHidden/>
                <w:sz w:val="22"/>
                <w:szCs w:val="22"/>
              </w:rPr>
              <w:fldChar w:fldCharType="begin"/>
            </w:r>
            <w:r w:rsidRPr="00E90620">
              <w:rPr>
                <w:rFonts w:ascii="Calibri" w:hAnsi="Calibri" w:cs="Calibri"/>
                <w:noProof/>
                <w:webHidden/>
                <w:sz w:val="22"/>
                <w:szCs w:val="22"/>
              </w:rPr>
              <w:instrText xml:space="preserve"> PAGEREF _Toc220350682 \h </w:instrText>
            </w:r>
            <w:r w:rsidRPr="00E90620">
              <w:rPr>
                <w:rFonts w:ascii="Calibri" w:hAnsi="Calibri" w:cs="Calibri"/>
                <w:noProof/>
                <w:webHidden/>
                <w:sz w:val="22"/>
                <w:szCs w:val="22"/>
              </w:rPr>
            </w:r>
            <w:r w:rsidRPr="00E90620">
              <w:rPr>
                <w:rFonts w:ascii="Calibri" w:hAnsi="Calibri" w:cs="Calibri"/>
                <w:noProof/>
                <w:webHidden/>
                <w:sz w:val="22"/>
                <w:szCs w:val="22"/>
              </w:rPr>
              <w:fldChar w:fldCharType="separate"/>
            </w:r>
            <w:r w:rsidR="00F757E5">
              <w:rPr>
                <w:rFonts w:ascii="Calibri" w:hAnsi="Calibri" w:cs="Calibri"/>
                <w:noProof/>
                <w:webHidden/>
                <w:sz w:val="22"/>
                <w:szCs w:val="22"/>
              </w:rPr>
              <w:t>41</w:t>
            </w:r>
            <w:r w:rsidRPr="00E90620">
              <w:rPr>
                <w:rFonts w:ascii="Calibri" w:hAnsi="Calibri" w:cs="Calibri"/>
                <w:noProof/>
                <w:webHidden/>
                <w:sz w:val="22"/>
                <w:szCs w:val="22"/>
              </w:rPr>
              <w:fldChar w:fldCharType="end"/>
            </w:r>
          </w:hyperlink>
        </w:p>
        <w:p w14:paraId="7A09B638" w14:textId="6BB95607" w:rsidR="00E90620" w:rsidRPr="00E90620" w:rsidRDefault="00E90620">
          <w:pPr>
            <w:pStyle w:val="TOC1"/>
            <w:tabs>
              <w:tab w:val="right" w:leader="dot" w:pos="9016"/>
            </w:tabs>
            <w:rPr>
              <w:rFonts w:ascii="Calibri" w:eastAsiaTheme="minorEastAsia" w:hAnsi="Calibri" w:cs="Calibri"/>
              <w:b w:val="0"/>
              <w:bCs w:val="0"/>
              <w:noProof/>
              <w:kern w:val="2"/>
              <w:sz w:val="22"/>
              <w:szCs w:val="22"/>
              <w14:ligatures w14:val="standardContextual"/>
            </w:rPr>
          </w:pPr>
          <w:hyperlink w:anchor="_Toc220350683" w:history="1">
            <w:r w:rsidRPr="00E90620">
              <w:rPr>
                <w:rStyle w:val="Hyperlink"/>
                <w:rFonts w:ascii="Calibri" w:hAnsi="Calibri" w:cs="Calibri"/>
                <w:noProof/>
                <w:sz w:val="22"/>
                <w:szCs w:val="22"/>
              </w:rPr>
              <w:t>Appendices</w:t>
            </w:r>
            <w:r w:rsidRPr="00E90620">
              <w:rPr>
                <w:rFonts w:ascii="Calibri" w:hAnsi="Calibri" w:cs="Calibri"/>
                <w:noProof/>
                <w:webHidden/>
                <w:sz w:val="22"/>
                <w:szCs w:val="22"/>
              </w:rPr>
              <w:tab/>
            </w:r>
            <w:r w:rsidRPr="00E90620">
              <w:rPr>
                <w:rFonts w:ascii="Calibri" w:hAnsi="Calibri" w:cs="Calibri"/>
                <w:noProof/>
                <w:webHidden/>
                <w:sz w:val="22"/>
                <w:szCs w:val="22"/>
              </w:rPr>
              <w:fldChar w:fldCharType="begin"/>
            </w:r>
            <w:r w:rsidRPr="00E90620">
              <w:rPr>
                <w:rFonts w:ascii="Calibri" w:hAnsi="Calibri" w:cs="Calibri"/>
                <w:noProof/>
                <w:webHidden/>
                <w:sz w:val="22"/>
                <w:szCs w:val="22"/>
              </w:rPr>
              <w:instrText xml:space="preserve"> PAGEREF _Toc220350683 \h </w:instrText>
            </w:r>
            <w:r w:rsidRPr="00E90620">
              <w:rPr>
                <w:rFonts w:ascii="Calibri" w:hAnsi="Calibri" w:cs="Calibri"/>
                <w:noProof/>
                <w:webHidden/>
                <w:sz w:val="22"/>
                <w:szCs w:val="22"/>
              </w:rPr>
            </w:r>
            <w:r w:rsidRPr="00E90620">
              <w:rPr>
                <w:rFonts w:ascii="Calibri" w:hAnsi="Calibri" w:cs="Calibri"/>
                <w:noProof/>
                <w:webHidden/>
                <w:sz w:val="22"/>
                <w:szCs w:val="22"/>
              </w:rPr>
              <w:fldChar w:fldCharType="separate"/>
            </w:r>
            <w:r w:rsidR="00F757E5">
              <w:rPr>
                <w:rFonts w:ascii="Calibri" w:hAnsi="Calibri" w:cs="Calibri"/>
                <w:noProof/>
                <w:webHidden/>
                <w:sz w:val="22"/>
                <w:szCs w:val="22"/>
              </w:rPr>
              <w:t>49</w:t>
            </w:r>
            <w:r w:rsidRPr="00E90620">
              <w:rPr>
                <w:rFonts w:ascii="Calibri" w:hAnsi="Calibri" w:cs="Calibri"/>
                <w:noProof/>
                <w:webHidden/>
                <w:sz w:val="22"/>
                <w:szCs w:val="22"/>
              </w:rPr>
              <w:fldChar w:fldCharType="end"/>
            </w:r>
          </w:hyperlink>
        </w:p>
        <w:p w14:paraId="61A07E6C" w14:textId="453E90B7" w:rsidR="00E90620" w:rsidRPr="00E90620" w:rsidRDefault="00E90620">
          <w:pPr>
            <w:pStyle w:val="TOC2"/>
            <w:tabs>
              <w:tab w:val="right" w:leader="dot" w:pos="9016"/>
            </w:tabs>
            <w:rPr>
              <w:rFonts w:ascii="Calibri" w:eastAsiaTheme="minorEastAsia" w:hAnsi="Calibri" w:cs="Calibri"/>
              <w:i w:val="0"/>
              <w:iCs w:val="0"/>
              <w:noProof/>
              <w:kern w:val="2"/>
              <w:sz w:val="22"/>
              <w:szCs w:val="22"/>
              <w14:ligatures w14:val="standardContextual"/>
            </w:rPr>
          </w:pPr>
          <w:hyperlink w:anchor="_Toc220350684" w:history="1">
            <w:r w:rsidRPr="00E90620">
              <w:rPr>
                <w:rStyle w:val="Hyperlink"/>
                <w:rFonts w:ascii="Calibri" w:hAnsi="Calibri" w:cs="Calibri"/>
                <w:noProof/>
                <w:sz w:val="22"/>
                <w:szCs w:val="22"/>
              </w:rPr>
              <w:t>Source Tracking Table</w:t>
            </w:r>
            <w:r w:rsidRPr="00E90620">
              <w:rPr>
                <w:rFonts w:ascii="Calibri" w:hAnsi="Calibri" w:cs="Calibri"/>
                <w:noProof/>
                <w:webHidden/>
                <w:sz w:val="22"/>
                <w:szCs w:val="22"/>
              </w:rPr>
              <w:tab/>
            </w:r>
            <w:r w:rsidRPr="00E90620">
              <w:rPr>
                <w:rFonts w:ascii="Calibri" w:hAnsi="Calibri" w:cs="Calibri"/>
                <w:noProof/>
                <w:webHidden/>
                <w:sz w:val="22"/>
                <w:szCs w:val="22"/>
              </w:rPr>
              <w:fldChar w:fldCharType="begin"/>
            </w:r>
            <w:r w:rsidRPr="00E90620">
              <w:rPr>
                <w:rFonts w:ascii="Calibri" w:hAnsi="Calibri" w:cs="Calibri"/>
                <w:noProof/>
                <w:webHidden/>
                <w:sz w:val="22"/>
                <w:szCs w:val="22"/>
              </w:rPr>
              <w:instrText xml:space="preserve"> PAGEREF _Toc220350684 \h </w:instrText>
            </w:r>
            <w:r w:rsidRPr="00E90620">
              <w:rPr>
                <w:rFonts w:ascii="Calibri" w:hAnsi="Calibri" w:cs="Calibri"/>
                <w:noProof/>
                <w:webHidden/>
                <w:sz w:val="22"/>
                <w:szCs w:val="22"/>
              </w:rPr>
            </w:r>
            <w:r w:rsidRPr="00E90620">
              <w:rPr>
                <w:rFonts w:ascii="Calibri" w:hAnsi="Calibri" w:cs="Calibri"/>
                <w:noProof/>
                <w:webHidden/>
                <w:sz w:val="22"/>
                <w:szCs w:val="22"/>
              </w:rPr>
              <w:fldChar w:fldCharType="separate"/>
            </w:r>
            <w:r w:rsidR="00F757E5">
              <w:rPr>
                <w:rFonts w:ascii="Calibri" w:hAnsi="Calibri" w:cs="Calibri"/>
                <w:noProof/>
                <w:webHidden/>
                <w:sz w:val="22"/>
                <w:szCs w:val="22"/>
              </w:rPr>
              <w:t>49</w:t>
            </w:r>
            <w:r w:rsidRPr="00E90620">
              <w:rPr>
                <w:rFonts w:ascii="Calibri" w:hAnsi="Calibri" w:cs="Calibri"/>
                <w:noProof/>
                <w:webHidden/>
                <w:sz w:val="22"/>
                <w:szCs w:val="22"/>
              </w:rPr>
              <w:fldChar w:fldCharType="end"/>
            </w:r>
          </w:hyperlink>
        </w:p>
        <w:p w14:paraId="651EEDA4" w14:textId="33A47174" w:rsidR="00E90620" w:rsidRPr="00E90620" w:rsidRDefault="00E90620">
          <w:pPr>
            <w:pStyle w:val="TOC2"/>
            <w:tabs>
              <w:tab w:val="right" w:leader="dot" w:pos="9016"/>
            </w:tabs>
            <w:rPr>
              <w:rFonts w:ascii="Calibri" w:eastAsiaTheme="minorEastAsia" w:hAnsi="Calibri" w:cs="Calibri"/>
              <w:i w:val="0"/>
              <w:iCs w:val="0"/>
              <w:noProof/>
              <w:kern w:val="2"/>
              <w:sz w:val="22"/>
              <w:szCs w:val="22"/>
              <w14:ligatures w14:val="standardContextual"/>
            </w:rPr>
          </w:pPr>
          <w:hyperlink w:anchor="_Toc220350685" w:history="1">
            <w:r w:rsidRPr="00E90620">
              <w:rPr>
                <w:rStyle w:val="Hyperlink"/>
                <w:rFonts w:ascii="Calibri" w:hAnsi="Calibri" w:cs="Calibri"/>
                <w:noProof/>
                <w:sz w:val="22"/>
                <w:szCs w:val="22"/>
              </w:rPr>
              <w:t>Studies Finalised for Analysis</w:t>
            </w:r>
            <w:r w:rsidRPr="00E90620">
              <w:rPr>
                <w:rFonts w:ascii="Calibri" w:hAnsi="Calibri" w:cs="Calibri"/>
                <w:noProof/>
                <w:webHidden/>
                <w:sz w:val="22"/>
                <w:szCs w:val="22"/>
              </w:rPr>
              <w:tab/>
            </w:r>
            <w:r w:rsidRPr="00E90620">
              <w:rPr>
                <w:rFonts w:ascii="Calibri" w:hAnsi="Calibri" w:cs="Calibri"/>
                <w:noProof/>
                <w:webHidden/>
                <w:sz w:val="22"/>
                <w:szCs w:val="22"/>
              </w:rPr>
              <w:fldChar w:fldCharType="begin"/>
            </w:r>
            <w:r w:rsidRPr="00E90620">
              <w:rPr>
                <w:rFonts w:ascii="Calibri" w:hAnsi="Calibri" w:cs="Calibri"/>
                <w:noProof/>
                <w:webHidden/>
                <w:sz w:val="22"/>
                <w:szCs w:val="22"/>
              </w:rPr>
              <w:instrText xml:space="preserve"> PAGEREF _Toc220350685 \h </w:instrText>
            </w:r>
            <w:r w:rsidRPr="00E90620">
              <w:rPr>
                <w:rFonts w:ascii="Calibri" w:hAnsi="Calibri" w:cs="Calibri"/>
                <w:noProof/>
                <w:webHidden/>
                <w:sz w:val="22"/>
                <w:szCs w:val="22"/>
              </w:rPr>
            </w:r>
            <w:r w:rsidRPr="00E90620">
              <w:rPr>
                <w:rFonts w:ascii="Calibri" w:hAnsi="Calibri" w:cs="Calibri"/>
                <w:noProof/>
                <w:webHidden/>
                <w:sz w:val="22"/>
                <w:szCs w:val="22"/>
              </w:rPr>
              <w:fldChar w:fldCharType="separate"/>
            </w:r>
            <w:r w:rsidR="00F757E5">
              <w:rPr>
                <w:rFonts w:ascii="Calibri" w:hAnsi="Calibri" w:cs="Calibri"/>
                <w:noProof/>
                <w:webHidden/>
                <w:sz w:val="22"/>
                <w:szCs w:val="22"/>
              </w:rPr>
              <w:t>52</w:t>
            </w:r>
            <w:r w:rsidRPr="00E90620">
              <w:rPr>
                <w:rFonts w:ascii="Calibri" w:hAnsi="Calibri" w:cs="Calibri"/>
                <w:noProof/>
                <w:webHidden/>
                <w:sz w:val="22"/>
                <w:szCs w:val="22"/>
              </w:rPr>
              <w:fldChar w:fldCharType="end"/>
            </w:r>
          </w:hyperlink>
        </w:p>
        <w:p w14:paraId="5E57856C" w14:textId="6E8FA8CF" w:rsidR="00FD3C99" w:rsidRDefault="00FD3C99">
          <w:r w:rsidRPr="00E90620">
            <w:rPr>
              <w:rFonts w:cs="Calibri"/>
              <w:b/>
              <w:bCs/>
              <w:noProof/>
              <w:szCs w:val="22"/>
            </w:rPr>
            <w:fldChar w:fldCharType="end"/>
          </w:r>
        </w:p>
      </w:sdtContent>
    </w:sdt>
    <w:p w14:paraId="494E942F" w14:textId="77777777" w:rsidR="00FD3C99" w:rsidRDefault="00FD3C99" w:rsidP="00006876">
      <w:pPr>
        <w:spacing w:before="240"/>
        <w:jc w:val="both"/>
        <w:rPr>
          <w:rFonts w:cs="Calibri"/>
          <w:szCs w:val="22"/>
          <w:lang w:val="en-GB"/>
        </w:rPr>
      </w:pPr>
    </w:p>
    <w:p w14:paraId="5F83C4F0" w14:textId="77777777" w:rsidR="00CC4B64" w:rsidRDefault="00CC4B64" w:rsidP="00006876">
      <w:pPr>
        <w:spacing w:before="240"/>
        <w:jc w:val="both"/>
        <w:rPr>
          <w:rFonts w:cs="Calibri"/>
          <w:szCs w:val="22"/>
          <w:lang w:val="en-GB"/>
        </w:rPr>
      </w:pPr>
    </w:p>
    <w:p w14:paraId="5FF3CC75" w14:textId="77777777" w:rsidR="00CC4B64" w:rsidRDefault="00CC4B64" w:rsidP="00006876">
      <w:pPr>
        <w:spacing w:before="240"/>
        <w:jc w:val="both"/>
        <w:rPr>
          <w:rFonts w:cs="Calibri"/>
          <w:szCs w:val="22"/>
          <w:lang w:val="en-GB"/>
        </w:rPr>
      </w:pPr>
    </w:p>
    <w:p w14:paraId="5D089CED" w14:textId="77777777" w:rsidR="00CC4B64" w:rsidRDefault="00CC4B64" w:rsidP="00006876">
      <w:pPr>
        <w:spacing w:before="240"/>
        <w:jc w:val="both"/>
        <w:rPr>
          <w:rFonts w:cs="Calibri"/>
          <w:szCs w:val="22"/>
          <w:lang w:val="en-GB"/>
        </w:rPr>
      </w:pPr>
    </w:p>
    <w:p w14:paraId="78D49C68" w14:textId="77777777" w:rsidR="00CC4B64" w:rsidRDefault="00CC4B64" w:rsidP="00006876">
      <w:pPr>
        <w:spacing w:before="240"/>
        <w:jc w:val="both"/>
        <w:rPr>
          <w:rFonts w:cs="Calibri"/>
          <w:szCs w:val="22"/>
          <w:lang w:val="en-GB"/>
        </w:rPr>
      </w:pPr>
    </w:p>
    <w:p w14:paraId="1C39ADE2" w14:textId="77777777" w:rsidR="00CC4B64" w:rsidRDefault="00CC4B64" w:rsidP="00006876">
      <w:pPr>
        <w:spacing w:before="240"/>
        <w:jc w:val="both"/>
        <w:rPr>
          <w:rFonts w:cs="Calibri"/>
          <w:szCs w:val="22"/>
          <w:lang w:val="en-GB"/>
        </w:rPr>
      </w:pPr>
    </w:p>
    <w:p w14:paraId="43330780" w14:textId="77777777" w:rsidR="00CC4B64" w:rsidRDefault="00CC4B64" w:rsidP="00006876">
      <w:pPr>
        <w:spacing w:before="240"/>
        <w:jc w:val="both"/>
        <w:rPr>
          <w:rFonts w:cs="Calibri"/>
          <w:szCs w:val="22"/>
          <w:lang w:val="en-GB"/>
        </w:rPr>
      </w:pPr>
    </w:p>
    <w:p w14:paraId="20821E3A" w14:textId="77777777" w:rsidR="00CC4B64" w:rsidRDefault="00CC4B64" w:rsidP="00006876">
      <w:pPr>
        <w:spacing w:before="240"/>
        <w:jc w:val="both"/>
        <w:rPr>
          <w:rFonts w:cs="Calibri"/>
          <w:szCs w:val="22"/>
          <w:lang w:val="en-GB"/>
        </w:rPr>
      </w:pPr>
    </w:p>
    <w:p w14:paraId="47F728FD" w14:textId="399E2C10" w:rsidR="00CC4B64" w:rsidRDefault="00CC4B64" w:rsidP="00006876">
      <w:pPr>
        <w:spacing w:before="240"/>
        <w:jc w:val="both"/>
        <w:rPr>
          <w:rFonts w:cs="Calibri"/>
          <w:b/>
          <w:bCs/>
          <w:szCs w:val="22"/>
          <w:lang w:val="en-GB"/>
        </w:rPr>
      </w:pPr>
      <w:r>
        <w:rPr>
          <w:rFonts w:cs="Calibri"/>
          <w:b/>
          <w:bCs/>
          <w:szCs w:val="22"/>
          <w:lang w:val="en-GB"/>
        </w:rPr>
        <w:lastRenderedPageBreak/>
        <w:t>List of Figures</w:t>
      </w:r>
    </w:p>
    <w:p w14:paraId="20434443" w14:textId="0E6292A9" w:rsidR="005267D2" w:rsidRDefault="005267D2">
      <w:pPr>
        <w:pStyle w:val="TableofFigures"/>
        <w:tabs>
          <w:tab w:val="right" w:leader="dot" w:pos="9016"/>
        </w:tabs>
        <w:rPr>
          <w:rFonts w:asciiTheme="minorHAnsi" w:eastAsiaTheme="minorEastAsia" w:hAnsiTheme="minorHAnsi" w:cstheme="minorBidi"/>
          <w:noProof/>
          <w:kern w:val="2"/>
          <w:sz w:val="24"/>
          <w14:ligatures w14:val="standardContextual"/>
        </w:rPr>
      </w:pPr>
      <w:r>
        <w:rPr>
          <w:rFonts w:cs="Calibri"/>
          <w:b/>
          <w:bCs/>
          <w:szCs w:val="22"/>
          <w:lang w:val="en-GB"/>
        </w:rPr>
        <w:fldChar w:fldCharType="begin"/>
      </w:r>
      <w:r>
        <w:rPr>
          <w:rFonts w:cs="Calibri"/>
          <w:b/>
          <w:bCs/>
          <w:szCs w:val="22"/>
          <w:lang w:val="en-GB"/>
        </w:rPr>
        <w:instrText xml:space="preserve"> TOC \h \z \c "Figure" </w:instrText>
      </w:r>
      <w:r>
        <w:rPr>
          <w:rFonts w:cs="Calibri"/>
          <w:b/>
          <w:bCs/>
          <w:szCs w:val="22"/>
          <w:lang w:val="en-GB"/>
        </w:rPr>
        <w:fldChar w:fldCharType="separate"/>
      </w:r>
      <w:hyperlink w:anchor="_Toc219414093" w:history="1">
        <w:r w:rsidRPr="000B164A">
          <w:rPr>
            <w:rStyle w:val="Hyperlink"/>
            <w:rFonts w:eastAsiaTheme="majorEastAsia"/>
            <w:noProof/>
          </w:rPr>
          <w:t>Figure 1</w:t>
        </w:r>
        <w:r w:rsidRPr="000B164A">
          <w:rPr>
            <w:rStyle w:val="Hyperlink"/>
            <w:rFonts w:eastAsiaTheme="majorEastAsia"/>
            <w:noProof/>
            <w:lang w:val="en-GB"/>
          </w:rPr>
          <w:t xml:space="preserve">: Interconnection of Telemedicine and Digital Health </w:t>
        </w:r>
        <w:r w:rsidRPr="000B164A">
          <w:rPr>
            <w:rStyle w:val="Hyperlink"/>
            <w:rFonts w:eastAsiaTheme="majorEastAsia" w:cs="Calibri"/>
            <w:noProof/>
          </w:rPr>
          <w:t>(Milaster, 2016)</w:t>
        </w:r>
        <w:r>
          <w:rPr>
            <w:noProof/>
            <w:webHidden/>
          </w:rPr>
          <w:tab/>
        </w:r>
        <w:r>
          <w:rPr>
            <w:noProof/>
            <w:webHidden/>
          </w:rPr>
          <w:fldChar w:fldCharType="begin"/>
        </w:r>
        <w:r>
          <w:rPr>
            <w:noProof/>
            <w:webHidden/>
          </w:rPr>
          <w:instrText xml:space="preserve"> PAGEREF _Toc219414093 \h </w:instrText>
        </w:r>
        <w:r>
          <w:rPr>
            <w:noProof/>
            <w:webHidden/>
          </w:rPr>
        </w:r>
        <w:r>
          <w:rPr>
            <w:noProof/>
            <w:webHidden/>
          </w:rPr>
          <w:fldChar w:fldCharType="separate"/>
        </w:r>
        <w:r w:rsidR="00604669">
          <w:rPr>
            <w:noProof/>
            <w:webHidden/>
          </w:rPr>
          <w:t>6</w:t>
        </w:r>
        <w:r>
          <w:rPr>
            <w:noProof/>
            <w:webHidden/>
          </w:rPr>
          <w:fldChar w:fldCharType="end"/>
        </w:r>
      </w:hyperlink>
    </w:p>
    <w:p w14:paraId="4F9E83DF" w14:textId="1B7E7348" w:rsidR="005267D2" w:rsidRDefault="005267D2">
      <w:pPr>
        <w:pStyle w:val="TableofFigures"/>
        <w:tabs>
          <w:tab w:val="right" w:leader="dot" w:pos="9016"/>
        </w:tabs>
        <w:rPr>
          <w:rFonts w:asciiTheme="minorHAnsi" w:eastAsiaTheme="minorEastAsia" w:hAnsiTheme="minorHAnsi" w:cstheme="minorBidi"/>
          <w:noProof/>
          <w:kern w:val="2"/>
          <w:sz w:val="24"/>
          <w14:ligatures w14:val="standardContextual"/>
        </w:rPr>
      </w:pPr>
      <w:hyperlink w:anchor="_Toc219414094" w:history="1">
        <w:r w:rsidRPr="000B164A">
          <w:rPr>
            <w:rStyle w:val="Hyperlink"/>
            <w:rFonts w:eastAsiaTheme="majorEastAsia"/>
            <w:noProof/>
          </w:rPr>
          <w:t>Figure 2</w:t>
        </w:r>
        <w:r w:rsidRPr="000B164A">
          <w:rPr>
            <w:rStyle w:val="Hyperlink"/>
            <w:rFonts w:eastAsiaTheme="majorEastAsia"/>
            <w:noProof/>
            <w:lang w:val="en-GB"/>
          </w:rPr>
          <w:t xml:space="preserve">: Diffusion of Innovation theory </w:t>
        </w:r>
        <w:r w:rsidRPr="000B164A">
          <w:rPr>
            <w:rStyle w:val="Hyperlink"/>
            <w:rFonts w:eastAsiaTheme="majorEastAsia" w:cs="Calibri"/>
            <w:noProof/>
          </w:rPr>
          <w:t>(Kaminski, 2011)</w:t>
        </w:r>
        <w:r>
          <w:rPr>
            <w:noProof/>
            <w:webHidden/>
          </w:rPr>
          <w:tab/>
        </w:r>
        <w:r>
          <w:rPr>
            <w:noProof/>
            <w:webHidden/>
          </w:rPr>
          <w:fldChar w:fldCharType="begin"/>
        </w:r>
        <w:r>
          <w:rPr>
            <w:noProof/>
            <w:webHidden/>
          </w:rPr>
          <w:instrText xml:space="preserve"> PAGEREF _Toc219414094 \h </w:instrText>
        </w:r>
        <w:r>
          <w:rPr>
            <w:noProof/>
            <w:webHidden/>
          </w:rPr>
        </w:r>
        <w:r>
          <w:rPr>
            <w:noProof/>
            <w:webHidden/>
          </w:rPr>
          <w:fldChar w:fldCharType="separate"/>
        </w:r>
        <w:r w:rsidR="00604669">
          <w:rPr>
            <w:noProof/>
            <w:webHidden/>
          </w:rPr>
          <w:t>12</w:t>
        </w:r>
        <w:r>
          <w:rPr>
            <w:noProof/>
            <w:webHidden/>
          </w:rPr>
          <w:fldChar w:fldCharType="end"/>
        </w:r>
      </w:hyperlink>
    </w:p>
    <w:p w14:paraId="0F35F16F" w14:textId="301CAD7D" w:rsidR="005267D2" w:rsidRDefault="005267D2">
      <w:pPr>
        <w:pStyle w:val="TableofFigures"/>
        <w:tabs>
          <w:tab w:val="right" w:leader="dot" w:pos="9016"/>
        </w:tabs>
        <w:rPr>
          <w:rFonts w:asciiTheme="minorHAnsi" w:eastAsiaTheme="minorEastAsia" w:hAnsiTheme="minorHAnsi" w:cstheme="minorBidi"/>
          <w:noProof/>
          <w:kern w:val="2"/>
          <w:sz w:val="24"/>
          <w14:ligatures w14:val="standardContextual"/>
        </w:rPr>
      </w:pPr>
      <w:hyperlink w:anchor="_Toc219414095" w:history="1">
        <w:r w:rsidRPr="000B164A">
          <w:rPr>
            <w:rStyle w:val="Hyperlink"/>
            <w:rFonts w:eastAsiaTheme="majorEastAsia"/>
            <w:noProof/>
          </w:rPr>
          <w:t>Figure 3</w:t>
        </w:r>
        <w:r w:rsidRPr="000B164A">
          <w:rPr>
            <w:rStyle w:val="Hyperlink"/>
            <w:rFonts w:eastAsiaTheme="majorEastAsia"/>
            <w:noProof/>
            <w:lang w:val="en-GB"/>
          </w:rPr>
          <w:t xml:space="preserve">: Technology Acceptance Model </w:t>
        </w:r>
        <w:r w:rsidRPr="000B164A">
          <w:rPr>
            <w:rStyle w:val="Hyperlink"/>
            <w:rFonts w:eastAsiaTheme="majorEastAsia" w:cs="Calibri"/>
            <w:noProof/>
          </w:rPr>
          <w:t>(Miller and Khera, 2010)</w:t>
        </w:r>
        <w:r>
          <w:rPr>
            <w:noProof/>
            <w:webHidden/>
          </w:rPr>
          <w:tab/>
        </w:r>
        <w:r>
          <w:rPr>
            <w:noProof/>
            <w:webHidden/>
          </w:rPr>
          <w:fldChar w:fldCharType="begin"/>
        </w:r>
        <w:r>
          <w:rPr>
            <w:noProof/>
            <w:webHidden/>
          </w:rPr>
          <w:instrText xml:space="preserve"> PAGEREF _Toc219414095 \h </w:instrText>
        </w:r>
        <w:r>
          <w:rPr>
            <w:noProof/>
            <w:webHidden/>
          </w:rPr>
        </w:r>
        <w:r>
          <w:rPr>
            <w:noProof/>
            <w:webHidden/>
          </w:rPr>
          <w:fldChar w:fldCharType="separate"/>
        </w:r>
        <w:r w:rsidR="00604669">
          <w:rPr>
            <w:noProof/>
            <w:webHidden/>
          </w:rPr>
          <w:t>13</w:t>
        </w:r>
        <w:r>
          <w:rPr>
            <w:noProof/>
            <w:webHidden/>
          </w:rPr>
          <w:fldChar w:fldCharType="end"/>
        </w:r>
      </w:hyperlink>
    </w:p>
    <w:p w14:paraId="237BE6A0" w14:textId="265B536E" w:rsidR="005267D2" w:rsidRDefault="005267D2">
      <w:pPr>
        <w:pStyle w:val="TableofFigures"/>
        <w:tabs>
          <w:tab w:val="right" w:leader="dot" w:pos="9016"/>
        </w:tabs>
        <w:rPr>
          <w:rFonts w:asciiTheme="minorHAnsi" w:eastAsiaTheme="minorEastAsia" w:hAnsiTheme="minorHAnsi" w:cstheme="minorBidi"/>
          <w:noProof/>
          <w:kern w:val="2"/>
          <w:sz w:val="24"/>
          <w14:ligatures w14:val="standardContextual"/>
        </w:rPr>
      </w:pPr>
      <w:hyperlink w:anchor="_Toc219414096" w:history="1">
        <w:r w:rsidRPr="000B164A">
          <w:rPr>
            <w:rStyle w:val="Hyperlink"/>
            <w:rFonts w:eastAsiaTheme="majorEastAsia"/>
            <w:noProof/>
          </w:rPr>
          <w:t>Figure 4</w:t>
        </w:r>
        <w:r w:rsidRPr="000B164A">
          <w:rPr>
            <w:rStyle w:val="Hyperlink"/>
            <w:rFonts w:eastAsiaTheme="majorEastAsia"/>
            <w:noProof/>
            <w:lang w:val="en-GB"/>
          </w:rPr>
          <w:t xml:space="preserve">: CRAAP Test </w:t>
        </w:r>
        <w:r w:rsidRPr="000B164A">
          <w:rPr>
            <w:rStyle w:val="Hyperlink"/>
            <w:rFonts w:eastAsiaTheme="majorEastAsia" w:cs="Calibri"/>
            <w:noProof/>
          </w:rPr>
          <w:t>(Meloche et al., 2020)</w:t>
        </w:r>
        <w:r>
          <w:rPr>
            <w:noProof/>
            <w:webHidden/>
          </w:rPr>
          <w:tab/>
        </w:r>
        <w:r>
          <w:rPr>
            <w:noProof/>
            <w:webHidden/>
          </w:rPr>
          <w:fldChar w:fldCharType="begin"/>
        </w:r>
        <w:r>
          <w:rPr>
            <w:noProof/>
            <w:webHidden/>
          </w:rPr>
          <w:instrText xml:space="preserve"> PAGEREF _Toc219414096 \h </w:instrText>
        </w:r>
        <w:r>
          <w:rPr>
            <w:noProof/>
            <w:webHidden/>
          </w:rPr>
        </w:r>
        <w:r>
          <w:rPr>
            <w:noProof/>
            <w:webHidden/>
          </w:rPr>
          <w:fldChar w:fldCharType="separate"/>
        </w:r>
        <w:r w:rsidR="00604669">
          <w:rPr>
            <w:noProof/>
            <w:webHidden/>
          </w:rPr>
          <w:t>20</w:t>
        </w:r>
        <w:r>
          <w:rPr>
            <w:noProof/>
            <w:webHidden/>
          </w:rPr>
          <w:fldChar w:fldCharType="end"/>
        </w:r>
      </w:hyperlink>
    </w:p>
    <w:p w14:paraId="634B3D8C" w14:textId="44223087" w:rsidR="005267D2" w:rsidRDefault="005267D2">
      <w:pPr>
        <w:pStyle w:val="TableofFigures"/>
        <w:tabs>
          <w:tab w:val="right" w:leader="dot" w:pos="9016"/>
        </w:tabs>
        <w:rPr>
          <w:rFonts w:asciiTheme="minorHAnsi" w:eastAsiaTheme="minorEastAsia" w:hAnsiTheme="minorHAnsi" w:cstheme="minorBidi"/>
          <w:noProof/>
          <w:kern w:val="2"/>
          <w:sz w:val="24"/>
          <w14:ligatures w14:val="standardContextual"/>
        </w:rPr>
      </w:pPr>
      <w:hyperlink w:anchor="_Toc219414097" w:history="1">
        <w:r w:rsidRPr="000B164A">
          <w:rPr>
            <w:rStyle w:val="Hyperlink"/>
            <w:rFonts w:eastAsiaTheme="majorEastAsia"/>
            <w:noProof/>
          </w:rPr>
          <w:t>Figure 5</w:t>
        </w:r>
        <w:r w:rsidRPr="000B164A">
          <w:rPr>
            <w:rStyle w:val="Hyperlink"/>
            <w:rFonts w:eastAsiaTheme="majorEastAsia"/>
            <w:noProof/>
            <w:lang w:val="en-GB"/>
          </w:rPr>
          <w:t xml:space="preserve">: Steps of the Thematic Analysis </w:t>
        </w:r>
        <w:r w:rsidRPr="000B164A">
          <w:rPr>
            <w:rStyle w:val="Hyperlink"/>
            <w:rFonts w:eastAsiaTheme="majorEastAsia" w:cs="Calibri"/>
            <w:noProof/>
          </w:rPr>
          <w:t>(Ravensbergen et al., 2019)</w:t>
        </w:r>
        <w:r>
          <w:rPr>
            <w:noProof/>
            <w:webHidden/>
          </w:rPr>
          <w:tab/>
        </w:r>
        <w:r>
          <w:rPr>
            <w:noProof/>
            <w:webHidden/>
          </w:rPr>
          <w:fldChar w:fldCharType="begin"/>
        </w:r>
        <w:r>
          <w:rPr>
            <w:noProof/>
            <w:webHidden/>
          </w:rPr>
          <w:instrText xml:space="preserve"> PAGEREF _Toc219414097 \h </w:instrText>
        </w:r>
        <w:r>
          <w:rPr>
            <w:noProof/>
            <w:webHidden/>
          </w:rPr>
        </w:r>
        <w:r>
          <w:rPr>
            <w:noProof/>
            <w:webHidden/>
          </w:rPr>
          <w:fldChar w:fldCharType="separate"/>
        </w:r>
        <w:r w:rsidR="00604669">
          <w:rPr>
            <w:noProof/>
            <w:webHidden/>
          </w:rPr>
          <w:t>22</w:t>
        </w:r>
        <w:r>
          <w:rPr>
            <w:noProof/>
            <w:webHidden/>
          </w:rPr>
          <w:fldChar w:fldCharType="end"/>
        </w:r>
      </w:hyperlink>
    </w:p>
    <w:p w14:paraId="6BFA98F9" w14:textId="71B32679" w:rsidR="00CC4B64" w:rsidRDefault="005267D2" w:rsidP="005267D2">
      <w:pPr>
        <w:spacing w:before="240"/>
        <w:jc w:val="both"/>
        <w:rPr>
          <w:rFonts w:cs="Calibri"/>
          <w:b/>
          <w:bCs/>
          <w:szCs w:val="22"/>
          <w:lang w:val="en-GB"/>
        </w:rPr>
      </w:pPr>
      <w:r>
        <w:rPr>
          <w:rFonts w:cs="Calibri"/>
          <w:b/>
          <w:bCs/>
          <w:szCs w:val="22"/>
          <w:lang w:val="en-GB"/>
        </w:rPr>
        <w:fldChar w:fldCharType="end"/>
      </w:r>
    </w:p>
    <w:p w14:paraId="26C7E740" w14:textId="1953F98C" w:rsidR="00CC4B64" w:rsidRPr="00CC4B64" w:rsidRDefault="00CC4B64" w:rsidP="00006876">
      <w:pPr>
        <w:spacing w:before="240"/>
        <w:jc w:val="both"/>
        <w:rPr>
          <w:rFonts w:cs="Calibri"/>
          <w:b/>
          <w:bCs/>
          <w:szCs w:val="22"/>
          <w:lang w:val="en-GB"/>
        </w:rPr>
      </w:pPr>
      <w:r>
        <w:rPr>
          <w:rFonts w:cs="Calibri"/>
          <w:b/>
          <w:bCs/>
          <w:szCs w:val="22"/>
          <w:lang w:val="en-GB"/>
        </w:rPr>
        <w:t>List of Tables</w:t>
      </w:r>
    </w:p>
    <w:p w14:paraId="1C6D51E2" w14:textId="6AE2EA3D" w:rsidR="00BD5B75" w:rsidRDefault="00BD5B75">
      <w:pPr>
        <w:pStyle w:val="TableofFigures"/>
        <w:tabs>
          <w:tab w:val="right" w:leader="dot" w:pos="9016"/>
        </w:tabs>
        <w:rPr>
          <w:noProof/>
        </w:rPr>
      </w:pPr>
      <w:r>
        <w:rPr>
          <w:rFonts w:cs="Calibri"/>
          <w:szCs w:val="22"/>
          <w:lang w:val="en-GB"/>
        </w:rPr>
        <w:fldChar w:fldCharType="begin"/>
      </w:r>
      <w:r>
        <w:rPr>
          <w:rFonts w:cs="Calibri"/>
          <w:szCs w:val="22"/>
          <w:lang w:val="en-GB"/>
        </w:rPr>
        <w:instrText xml:space="preserve"> TOC \h \z \c "Table" </w:instrText>
      </w:r>
      <w:r>
        <w:rPr>
          <w:rFonts w:cs="Calibri"/>
          <w:szCs w:val="22"/>
          <w:lang w:val="en-GB"/>
        </w:rPr>
        <w:fldChar w:fldCharType="separate"/>
      </w:r>
      <w:hyperlink w:anchor="_Toc219413623" w:history="1">
        <w:r w:rsidRPr="00A17347">
          <w:rPr>
            <w:rStyle w:val="Hyperlink"/>
            <w:rFonts w:eastAsiaTheme="majorEastAsia"/>
            <w:noProof/>
          </w:rPr>
          <w:t>Table 1</w:t>
        </w:r>
        <w:r w:rsidRPr="00A17347">
          <w:rPr>
            <w:rStyle w:val="Hyperlink"/>
            <w:rFonts w:eastAsiaTheme="majorEastAsia"/>
            <w:noProof/>
            <w:lang w:val="en-GB"/>
          </w:rPr>
          <w:t>:</w:t>
        </w:r>
        <w:r w:rsidRPr="00A17347">
          <w:rPr>
            <w:rStyle w:val="Hyperlink"/>
            <w:rFonts w:eastAsiaTheme="majorEastAsia"/>
            <w:noProof/>
          </w:rPr>
          <w:t xml:space="preserve"> Historical timeline (telemedicine to digital health) </w:t>
        </w:r>
        <w:r w:rsidRPr="00A17347">
          <w:rPr>
            <w:rStyle w:val="Hyperlink"/>
            <w:rFonts w:ascii="Arial" w:eastAsiaTheme="majorEastAsia" w:hAnsi="Arial" w:cs="Arial"/>
            <w:noProof/>
          </w:rPr>
          <w:t xml:space="preserve">(Chandramohan et al., 2023; Havelikar </w:t>
        </w:r>
        <w:r w:rsidRPr="005267D2">
          <w:rPr>
            <w:rStyle w:val="Hyperlink"/>
            <w:rFonts w:eastAsiaTheme="majorEastAsia" w:cs="Calibri"/>
            <w:noProof/>
          </w:rPr>
          <w:t>et al., 2025; Omboni et al., 2022)</w:t>
        </w:r>
        <w:r w:rsidRPr="005267D2">
          <w:rPr>
            <w:rFonts w:cs="Calibri"/>
            <w:noProof/>
            <w:webHidden/>
          </w:rPr>
          <w:tab/>
        </w:r>
        <w:r w:rsidRPr="005267D2">
          <w:rPr>
            <w:rFonts w:cs="Calibri"/>
            <w:noProof/>
            <w:webHidden/>
          </w:rPr>
          <w:fldChar w:fldCharType="begin"/>
        </w:r>
        <w:r w:rsidRPr="005267D2">
          <w:rPr>
            <w:rFonts w:cs="Calibri"/>
            <w:noProof/>
            <w:webHidden/>
          </w:rPr>
          <w:instrText xml:space="preserve"> PAGEREF _Toc219413623 \h </w:instrText>
        </w:r>
        <w:r w:rsidRPr="005267D2">
          <w:rPr>
            <w:rFonts w:cs="Calibri"/>
            <w:noProof/>
            <w:webHidden/>
          </w:rPr>
        </w:r>
        <w:r w:rsidRPr="005267D2">
          <w:rPr>
            <w:rFonts w:cs="Calibri"/>
            <w:noProof/>
            <w:webHidden/>
          </w:rPr>
          <w:fldChar w:fldCharType="separate"/>
        </w:r>
        <w:r w:rsidR="00604669">
          <w:rPr>
            <w:rFonts w:cs="Calibri"/>
            <w:noProof/>
            <w:webHidden/>
          </w:rPr>
          <w:t>11</w:t>
        </w:r>
        <w:r w:rsidRPr="005267D2">
          <w:rPr>
            <w:rFonts w:cs="Calibri"/>
            <w:noProof/>
            <w:webHidden/>
          </w:rPr>
          <w:fldChar w:fldCharType="end"/>
        </w:r>
      </w:hyperlink>
    </w:p>
    <w:p w14:paraId="28EB070C" w14:textId="40BAB9F3" w:rsidR="00BD5B75" w:rsidRDefault="00BD5B75">
      <w:pPr>
        <w:pStyle w:val="TableofFigures"/>
        <w:tabs>
          <w:tab w:val="right" w:leader="dot" w:pos="9016"/>
        </w:tabs>
        <w:rPr>
          <w:noProof/>
        </w:rPr>
      </w:pPr>
      <w:hyperlink w:anchor="_Toc219413624" w:history="1">
        <w:r w:rsidRPr="00A17347">
          <w:rPr>
            <w:rStyle w:val="Hyperlink"/>
            <w:rFonts w:eastAsiaTheme="majorEastAsia"/>
            <w:noProof/>
          </w:rPr>
          <w:t>Table 2</w:t>
        </w:r>
        <w:r w:rsidRPr="00A17347">
          <w:rPr>
            <w:rStyle w:val="Hyperlink"/>
            <w:rFonts w:eastAsiaTheme="majorEastAsia"/>
            <w:noProof/>
            <w:lang w:val="en-GB"/>
          </w:rPr>
          <w:t xml:space="preserve">: Comparison of Theories </w:t>
        </w:r>
        <w:r w:rsidRPr="00A17347">
          <w:rPr>
            <w:rStyle w:val="Hyperlink"/>
            <w:rFonts w:eastAsiaTheme="majorEastAsia"/>
            <w:noProof/>
          </w:rPr>
          <w:t>(Maita et al., 2024; Wang et al., 2025; Zhang et al., 2015)</w:t>
        </w:r>
        <w:r>
          <w:rPr>
            <w:noProof/>
            <w:webHidden/>
          </w:rPr>
          <w:tab/>
        </w:r>
        <w:r>
          <w:rPr>
            <w:noProof/>
            <w:webHidden/>
          </w:rPr>
          <w:fldChar w:fldCharType="begin"/>
        </w:r>
        <w:r>
          <w:rPr>
            <w:noProof/>
            <w:webHidden/>
          </w:rPr>
          <w:instrText xml:space="preserve"> PAGEREF _Toc219413624 \h </w:instrText>
        </w:r>
        <w:r>
          <w:rPr>
            <w:noProof/>
            <w:webHidden/>
          </w:rPr>
        </w:r>
        <w:r>
          <w:rPr>
            <w:noProof/>
            <w:webHidden/>
          </w:rPr>
          <w:fldChar w:fldCharType="separate"/>
        </w:r>
        <w:r w:rsidR="00604669">
          <w:rPr>
            <w:noProof/>
            <w:webHidden/>
          </w:rPr>
          <w:t>13</w:t>
        </w:r>
        <w:r>
          <w:rPr>
            <w:noProof/>
            <w:webHidden/>
          </w:rPr>
          <w:fldChar w:fldCharType="end"/>
        </w:r>
      </w:hyperlink>
    </w:p>
    <w:p w14:paraId="5B7A16D3" w14:textId="02924ACE" w:rsidR="00BD5B75" w:rsidRDefault="00BD5B75">
      <w:pPr>
        <w:pStyle w:val="TableofFigures"/>
        <w:tabs>
          <w:tab w:val="right" w:leader="dot" w:pos="9016"/>
        </w:tabs>
        <w:rPr>
          <w:noProof/>
        </w:rPr>
      </w:pPr>
      <w:hyperlink w:anchor="_Toc219413625" w:history="1">
        <w:r w:rsidRPr="00A17347">
          <w:rPr>
            <w:rStyle w:val="Hyperlink"/>
            <w:rFonts w:eastAsiaTheme="majorEastAsia"/>
            <w:noProof/>
          </w:rPr>
          <w:t>Table 3</w:t>
        </w:r>
        <w:r w:rsidRPr="00A17347">
          <w:rPr>
            <w:rStyle w:val="Hyperlink"/>
            <w:rFonts w:eastAsiaTheme="majorEastAsia"/>
            <w:noProof/>
            <w:lang w:val="en-GB"/>
          </w:rPr>
          <w:t>:</w:t>
        </w:r>
        <w:r w:rsidRPr="00A17347">
          <w:rPr>
            <w:rStyle w:val="Hyperlink"/>
            <w:rFonts w:eastAsiaTheme="majorEastAsia"/>
            <w:b/>
            <w:bCs/>
            <w:noProof/>
          </w:rPr>
          <w:t xml:space="preserve"> </w:t>
        </w:r>
        <w:r w:rsidRPr="00A17347">
          <w:rPr>
            <w:rStyle w:val="Hyperlink"/>
            <w:rFonts w:eastAsiaTheme="majorEastAsia"/>
            <w:noProof/>
          </w:rPr>
          <w:t>Keyword and Search String</w:t>
        </w:r>
        <w:r>
          <w:rPr>
            <w:noProof/>
            <w:webHidden/>
          </w:rPr>
          <w:tab/>
        </w:r>
        <w:r>
          <w:rPr>
            <w:noProof/>
            <w:webHidden/>
          </w:rPr>
          <w:fldChar w:fldCharType="begin"/>
        </w:r>
        <w:r>
          <w:rPr>
            <w:noProof/>
            <w:webHidden/>
          </w:rPr>
          <w:instrText xml:space="preserve"> PAGEREF _Toc219413625 \h </w:instrText>
        </w:r>
        <w:r>
          <w:rPr>
            <w:noProof/>
            <w:webHidden/>
          </w:rPr>
        </w:r>
        <w:r>
          <w:rPr>
            <w:noProof/>
            <w:webHidden/>
          </w:rPr>
          <w:fldChar w:fldCharType="separate"/>
        </w:r>
        <w:r w:rsidR="00604669">
          <w:rPr>
            <w:noProof/>
            <w:webHidden/>
          </w:rPr>
          <w:t>18</w:t>
        </w:r>
        <w:r>
          <w:rPr>
            <w:noProof/>
            <w:webHidden/>
          </w:rPr>
          <w:fldChar w:fldCharType="end"/>
        </w:r>
      </w:hyperlink>
    </w:p>
    <w:p w14:paraId="75CA70B8" w14:textId="2BA9E32A" w:rsidR="00BD5B75" w:rsidRDefault="00BD5B75">
      <w:pPr>
        <w:pStyle w:val="TableofFigures"/>
        <w:tabs>
          <w:tab w:val="right" w:leader="dot" w:pos="9016"/>
        </w:tabs>
        <w:rPr>
          <w:noProof/>
        </w:rPr>
      </w:pPr>
      <w:hyperlink w:anchor="_Toc219413626" w:history="1">
        <w:r w:rsidRPr="00A17347">
          <w:rPr>
            <w:rStyle w:val="Hyperlink"/>
            <w:rFonts w:eastAsiaTheme="majorEastAsia"/>
            <w:noProof/>
          </w:rPr>
          <w:t>Table 4</w:t>
        </w:r>
        <w:r w:rsidRPr="00A17347">
          <w:rPr>
            <w:rStyle w:val="Hyperlink"/>
            <w:rFonts w:eastAsiaTheme="majorEastAsia"/>
            <w:noProof/>
            <w:lang w:val="en-GB"/>
          </w:rPr>
          <w:t>: Boolean and Search Strings</w:t>
        </w:r>
        <w:r>
          <w:rPr>
            <w:noProof/>
            <w:webHidden/>
          </w:rPr>
          <w:tab/>
        </w:r>
        <w:r>
          <w:rPr>
            <w:noProof/>
            <w:webHidden/>
          </w:rPr>
          <w:fldChar w:fldCharType="begin"/>
        </w:r>
        <w:r>
          <w:rPr>
            <w:noProof/>
            <w:webHidden/>
          </w:rPr>
          <w:instrText xml:space="preserve"> PAGEREF _Toc219413626 \h </w:instrText>
        </w:r>
        <w:r>
          <w:rPr>
            <w:noProof/>
            <w:webHidden/>
          </w:rPr>
        </w:r>
        <w:r>
          <w:rPr>
            <w:noProof/>
            <w:webHidden/>
          </w:rPr>
          <w:fldChar w:fldCharType="separate"/>
        </w:r>
        <w:r w:rsidR="00604669">
          <w:rPr>
            <w:noProof/>
            <w:webHidden/>
          </w:rPr>
          <w:t>19</w:t>
        </w:r>
        <w:r>
          <w:rPr>
            <w:noProof/>
            <w:webHidden/>
          </w:rPr>
          <w:fldChar w:fldCharType="end"/>
        </w:r>
      </w:hyperlink>
    </w:p>
    <w:p w14:paraId="72533B67" w14:textId="5610AFB5" w:rsidR="00BD5B75" w:rsidRDefault="00BD5B75">
      <w:pPr>
        <w:pStyle w:val="TableofFigures"/>
        <w:tabs>
          <w:tab w:val="right" w:leader="dot" w:pos="9016"/>
        </w:tabs>
        <w:rPr>
          <w:noProof/>
        </w:rPr>
      </w:pPr>
      <w:hyperlink w:anchor="_Toc219413627" w:history="1">
        <w:r w:rsidRPr="00A17347">
          <w:rPr>
            <w:rStyle w:val="Hyperlink"/>
            <w:rFonts w:eastAsiaTheme="majorEastAsia"/>
            <w:noProof/>
          </w:rPr>
          <w:t>Table 5</w:t>
        </w:r>
        <w:r w:rsidRPr="00A17347">
          <w:rPr>
            <w:rStyle w:val="Hyperlink"/>
            <w:rFonts w:eastAsiaTheme="majorEastAsia"/>
            <w:noProof/>
            <w:lang w:val="en-GB"/>
          </w:rPr>
          <w:t>: Inclusion and Exclusion Criteria</w:t>
        </w:r>
        <w:r>
          <w:rPr>
            <w:noProof/>
            <w:webHidden/>
          </w:rPr>
          <w:tab/>
        </w:r>
        <w:r>
          <w:rPr>
            <w:noProof/>
            <w:webHidden/>
          </w:rPr>
          <w:fldChar w:fldCharType="begin"/>
        </w:r>
        <w:r>
          <w:rPr>
            <w:noProof/>
            <w:webHidden/>
          </w:rPr>
          <w:instrText xml:space="preserve"> PAGEREF _Toc219413627 \h </w:instrText>
        </w:r>
        <w:r>
          <w:rPr>
            <w:noProof/>
            <w:webHidden/>
          </w:rPr>
        </w:r>
        <w:r>
          <w:rPr>
            <w:noProof/>
            <w:webHidden/>
          </w:rPr>
          <w:fldChar w:fldCharType="separate"/>
        </w:r>
        <w:r w:rsidR="00604669">
          <w:rPr>
            <w:noProof/>
            <w:webHidden/>
          </w:rPr>
          <w:t>20</w:t>
        </w:r>
        <w:r>
          <w:rPr>
            <w:noProof/>
            <w:webHidden/>
          </w:rPr>
          <w:fldChar w:fldCharType="end"/>
        </w:r>
      </w:hyperlink>
    </w:p>
    <w:p w14:paraId="7E1AC24B" w14:textId="5EB76032" w:rsidR="00BD5B75" w:rsidRDefault="00BD5B75">
      <w:pPr>
        <w:pStyle w:val="TableofFigures"/>
        <w:tabs>
          <w:tab w:val="right" w:leader="dot" w:pos="9016"/>
        </w:tabs>
        <w:rPr>
          <w:noProof/>
        </w:rPr>
      </w:pPr>
      <w:hyperlink w:anchor="_Toc219413628" w:history="1">
        <w:r w:rsidRPr="00A17347">
          <w:rPr>
            <w:rStyle w:val="Hyperlink"/>
            <w:rFonts w:eastAsiaTheme="majorEastAsia"/>
            <w:noProof/>
          </w:rPr>
          <w:t>Table 6</w:t>
        </w:r>
        <w:r w:rsidRPr="00A17347">
          <w:rPr>
            <w:rStyle w:val="Hyperlink"/>
            <w:rFonts w:eastAsiaTheme="majorEastAsia"/>
            <w:noProof/>
            <w:lang w:val="en-GB"/>
          </w:rPr>
          <w:t xml:space="preserve">: </w:t>
        </w:r>
        <w:r w:rsidRPr="00A17347">
          <w:rPr>
            <w:rStyle w:val="Hyperlink"/>
            <w:rFonts w:eastAsiaTheme="majorEastAsia"/>
            <w:noProof/>
          </w:rPr>
          <w:t>Coding structure and theme development derived through inductive thematic analysis</w:t>
        </w:r>
        <w:r>
          <w:rPr>
            <w:noProof/>
            <w:webHidden/>
          </w:rPr>
          <w:tab/>
        </w:r>
        <w:r>
          <w:rPr>
            <w:noProof/>
            <w:webHidden/>
          </w:rPr>
          <w:fldChar w:fldCharType="begin"/>
        </w:r>
        <w:r>
          <w:rPr>
            <w:noProof/>
            <w:webHidden/>
          </w:rPr>
          <w:instrText xml:space="preserve"> PAGEREF _Toc219413628 \h </w:instrText>
        </w:r>
        <w:r>
          <w:rPr>
            <w:noProof/>
            <w:webHidden/>
          </w:rPr>
        </w:r>
        <w:r>
          <w:rPr>
            <w:noProof/>
            <w:webHidden/>
          </w:rPr>
          <w:fldChar w:fldCharType="separate"/>
        </w:r>
        <w:r w:rsidR="00604669">
          <w:rPr>
            <w:noProof/>
            <w:webHidden/>
          </w:rPr>
          <w:t>23</w:t>
        </w:r>
        <w:r>
          <w:rPr>
            <w:noProof/>
            <w:webHidden/>
          </w:rPr>
          <w:fldChar w:fldCharType="end"/>
        </w:r>
      </w:hyperlink>
    </w:p>
    <w:p w14:paraId="639CBC64" w14:textId="5AF5DB03" w:rsidR="00BD5B75" w:rsidRDefault="00BD5B75">
      <w:pPr>
        <w:pStyle w:val="TableofFigures"/>
        <w:tabs>
          <w:tab w:val="right" w:leader="dot" w:pos="9016"/>
        </w:tabs>
        <w:rPr>
          <w:noProof/>
        </w:rPr>
      </w:pPr>
      <w:hyperlink w:anchor="_Toc219413629" w:history="1">
        <w:r w:rsidRPr="00A17347">
          <w:rPr>
            <w:rStyle w:val="Hyperlink"/>
            <w:rFonts w:eastAsiaTheme="majorEastAsia"/>
            <w:noProof/>
          </w:rPr>
          <w:t>Table 7</w:t>
        </w:r>
        <w:r w:rsidRPr="00A17347">
          <w:rPr>
            <w:rStyle w:val="Hyperlink"/>
            <w:rFonts w:eastAsiaTheme="majorEastAsia"/>
            <w:noProof/>
            <w:lang w:val="en-GB"/>
          </w:rPr>
          <w:t xml:space="preserve">: Telehealth pathway from inputs to SDG outcomes </w:t>
        </w:r>
        <w:r w:rsidRPr="00A17347">
          <w:rPr>
            <w:rStyle w:val="Hyperlink"/>
            <w:rFonts w:eastAsiaTheme="majorEastAsia" w:cs="Calibri"/>
            <w:noProof/>
          </w:rPr>
          <w:t>(Chen, Amaize and Barath, 2020; United Nations, 2015)</w:t>
        </w:r>
        <w:r>
          <w:rPr>
            <w:noProof/>
            <w:webHidden/>
          </w:rPr>
          <w:tab/>
        </w:r>
        <w:r>
          <w:rPr>
            <w:noProof/>
            <w:webHidden/>
          </w:rPr>
          <w:fldChar w:fldCharType="begin"/>
        </w:r>
        <w:r>
          <w:rPr>
            <w:noProof/>
            <w:webHidden/>
          </w:rPr>
          <w:instrText xml:space="preserve"> PAGEREF _Toc219413629 \h </w:instrText>
        </w:r>
        <w:r>
          <w:rPr>
            <w:noProof/>
            <w:webHidden/>
          </w:rPr>
        </w:r>
        <w:r>
          <w:rPr>
            <w:noProof/>
            <w:webHidden/>
          </w:rPr>
          <w:fldChar w:fldCharType="separate"/>
        </w:r>
        <w:r w:rsidR="00604669">
          <w:rPr>
            <w:noProof/>
            <w:webHidden/>
          </w:rPr>
          <w:t>26</w:t>
        </w:r>
        <w:r>
          <w:rPr>
            <w:noProof/>
            <w:webHidden/>
          </w:rPr>
          <w:fldChar w:fldCharType="end"/>
        </w:r>
      </w:hyperlink>
    </w:p>
    <w:p w14:paraId="0EF43FFE" w14:textId="3AB48EC1" w:rsidR="00BD5B75" w:rsidRDefault="00BD5B75">
      <w:pPr>
        <w:pStyle w:val="TableofFigures"/>
        <w:tabs>
          <w:tab w:val="right" w:leader="dot" w:pos="9016"/>
        </w:tabs>
        <w:rPr>
          <w:noProof/>
        </w:rPr>
      </w:pPr>
      <w:hyperlink w:anchor="_Toc219413630" w:history="1">
        <w:r w:rsidRPr="00A17347">
          <w:rPr>
            <w:rStyle w:val="Hyperlink"/>
            <w:rFonts w:eastAsiaTheme="majorEastAsia"/>
            <w:noProof/>
          </w:rPr>
          <w:t>Table 8</w:t>
        </w:r>
        <w:r w:rsidRPr="00A17347">
          <w:rPr>
            <w:rStyle w:val="Hyperlink"/>
            <w:rFonts w:eastAsiaTheme="majorEastAsia"/>
            <w:noProof/>
            <w:lang w:val="en-GB"/>
          </w:rPr>
          <w:t xml:space="preserve">: Conditions under which telemedicine advances SDGs or widens gaps </w:t>
        </w:r>
        <w:r w:rsidRPr="00A17347">
          <w:rPr>
            <w:rStyle w:val="Hyperlink"/>
            <w:rFonts w:eastAsiaTheme="majorEastAsia" w:cs="Calibri"/>
            <w:noProof/>
          </w:rPr>
          <w:t>(Bukhari et al., 2021)</w:t>
        </w:r>
        <w:r>
          <w:rPr>
            <w:noProof/>
            <w:webHidden/>
          </w:rPr>
          <w:tab/>
        </w:r>
        <w:r>
          <w:rPr>
            <w:noProof/>
            <w:webHidden/>
          </w:rPr>
          <w:fldChar w:fldCharType="begin"/>
        </w:r>
        <w:r>
          <w:rPr>
            <w:noProof/>
            <w:webHidden/>
          </w:rPr>
          <w:instrText xml:space="preserve"> PAGEREF _Toc219413630 \h </w:instrText>
        </w:r>
        <w:r>
          <w:rPr>
            <w:noProof/>
            <w:webHidden/>
          </w:rPr>
        </w:r>
        <w:r>
          <w:rPr>
            <w:noProof/>
            <w:webHidden/>
          </w:rPr>
          <w:fldChar w:fldCharType="separate"/>
        </w:r>
        <w:r w:rsidR="00604669">
          <w:rPr>
            <w:noProof/>
            <w:webHidden/>
          </w:rPr>
          <w:t>32</w:t>
        </w:r>
        <w:r>
          <w:rPr>
            <w:noProof/>
            <w:webHidden/>
          </w:rPr>
          <w:fldChar w:fldCharType="end"/>
        </w:r>
      </w:hyperlink>
    </w:p>
    <w:p w14:paraId="3D71037E" w14:textId="4B47A9D2" w:rsidR="00CC4B64" w:rsidRDefault="00BD5B75" w:rsidP="00006876">
      <w:pPr>
        <w:spacing w:before="240"/>
        <w:jc w:val="both"/>
        <w:rPr>
          <w:rFonts w:cs="Calibri"/>
          <w:szCs w:val="22"/>
          <w:lang w:val="en-GB"/>
        </w:rPr>
      </w:pPr>
      <w:r>
        <w:rPr>
          <w:rFonts w:cs="Calibri"/>
          <w:szCs w:val="22"/>
          <w:lang w:val="en-GB"/>
        </w:rPr>
        <w:fldChar w:fldCharType="end"/>
      </w:r>
    </w:p>
    <w:p w14:paraId="471E3B1F" w14:textId="77777777" w:rsidR="00CC4B64" w:rsidRDefault="00CC4B64" w:rsidP="00006876">
      <w:pPr>
        <w:spacing w:before="240"/>
        <w:jc w:val="both"/>
        <w:rPr>
          <w:rFonts w:cs="Calibri"/>
          <w:szCs w:val="22"/>
          <w:lang w:val="en-GB"/>
        </w:rPr>
      </w:pPr>
    </w:p>
    <w:p w14:paraId="4A8BCCE4" w14:textId="77777777" w:rsidR="00CC4B64" w:rsidRDefault="00CC4B64" w:rsidP="00006876">
      <w:pPr>
        <w:spacing w:before="240"/>
        <w:jc w:val="both"/>
        <w:rPr>
          <w:rFonts w:cs="Calibri"/>
          <w:szCs w:val="22"/>
          <w:lang w:val="en-GB"/>
        </w:rPr>
      </w:pPr>
    </w:p>
    <w:p w14:paraId="5C649785" w14:textId="77777777" w:rsidR="00CC4B64" w:rsidRDefault="00CC4B64" w:rsidP="00006876">
      <w:pPr>
        <w:spacing w:before="240"/>
        <w:jc w:val="both"/>
        <w:rPr>
          <w:rFonts w:cs="Calibri"/>
          <w:szCs w:val="22"/>
          <w:lang w:val="en-GB"/>
        </w:rPr>
      </w:pPr>
    </w:p>
    <w:p w14:paraId="76283205" w14:textId="77777777" w:rsidR="005267D2" w:rsidRDefault="005267D2" w:rsidP="00006876">
      <w:pPr>
        <w:spacing w:before="240"/>
        <w:jc w:val="both"/>
        <w:rPr>
          <w:rFonts w:cs="Calibri"/>
          <w:szCs w:val="22"/>
          <w:lang w:val="en-GB"/>
        </w:rPr>
      </w:pPr>
    </w:p>
    <w:p w14:paraId="37DAD7FD" w14:textId="77777777" w:rsidR="005267D2" w:rsidRDefault="005267D2" w:rsidP="00006876">
      <w:pPr>
        <w:spacing w:before="240"/>
        <w:jc w:val="both"/>
        <w:rPr>
          <w:rFonts w:cs="Calibri"/>
          <w:szCs w:val="22"/>
          <w:lang w:val="en-GB"/>
        </w:rPr>
      </w:pPr>
    </w:p>
    <w:p w14:paraId="51EEDF49" w14:textId="77777777" w:rsidR="00CC4B64" w:rsidRPr="004C33C2" w:rsidRDefault="00CC4B64" w:rsidP="00006876">
      <w:pPr>
        <w:spacing w:before="240"/>
        <w:jc w:val="both"/>
        <w:rPr>
          <w:rFonts w:cs="Calibri"/>
          <w:szCs w:val="22"/>
          <w:lang w:val="en-GB"/>
        </w:rPr>
      </w:pPr>
    </w:p>
    <w:p w14:paraId="4F64AADD" w14:textId="77777777" w:rsidR="00B86E38" w:rsidRPr="004C33C2" w:rsidRDefault="00B86E38" w:rsidP="00006876">
      <w:pPr>
        <w:pStyle w:val="Heading1"/>
        <w:spacing w:before="240"/>
        <w:jc w:val="both"/>
        <w:rPr>
          <w:rFonts w:eastAsia="Times New Roman"/>
          <w:lang w:eastAsia="en-GB"/>
        </w:rPr>
      </w:pPr>
      <w:bookmarkStart w:id="0" w:name="_Toc220350647"/>
      <w:r w:rsidRPr="004C33C2">
        <w:rPr>
          <w:rFonts w:eastAsia="Times New Roman"/>
          <w:lang w:eastAsia="en-GB"/>
        </w:rPr>
        <w:lastRenderedPageBreak/>
        <w:t>CHAPTER 1: Introduction</w:t>
      </w:r>
      <w:bookmarkEnd w:id="0"/>
    </w:p>
    <w:p w14:paraId="63FBBA6C" w14:textId="77777777" w:rsidR="00B86E38" w:rsidRPr="004C33C2" w:rsidRDefault="00B86E38" w:rsidP="00006876">
      <w:pPr>
        <w:pStyle w:val="Heading2"/>
        <w:spacing w:before="240"/>
        <w:jc w:val="both"/>
        <w:rPr>
          <w:rFonts w:eastAsia="Times New Roman"/>
          <w:lang w:eastAsia="en-GB"/>
        </w:rPr>
      </w:pPr>
      <w:bookmarkStart w:id="1" w:name="_Toc220350648"/>
      <w:r w:rsidRPr="004C33C2">
        <w:rPr>
          <w:rFonts w:eastAsia="Times New Roman"/>
          <w:lang w:eastAsia="en-GB"/>
        </w:rPr>
        <w:t>1.1 Introduction</w:t>
      </w:r>
      <w:bookmarkEnd w:id="1"/>
    </w:p>
    <w:p w14:paraId="6F779559" w14:textId="77777777" w:rsidR="004C46A0" w:rsidRDefault="004C46A0" w:rsidP="00BD5B75">
      <w:pPr>
        <w:spacing w:before="240"/>
        <w:jc w:val="both"/>
        <w:rPr>
          <w:rFonts w:cs="Calibri"/>
        </w:rPr>
      </w:pPr>
      <w:r w:rsidRPr="004C46A0">
        <w:rPr>
          <w:rFonts w:cs="Calibri"/>
        </w:rPr>
        <w:t>Telemedicine and broader digital health are advertised as a means of reinforcing health systems and lowering historic disparities in care access. Video consultations, remote monitoring, e-prescriptions and mobile health (mHealth) solutions are offered in rural communities as distance, workforce shortages and poor infrastructure solutions (Haleem et al., 2021). Nevertheless, critical work demonstrates that digital health can reproduce or expand current divides in the case of unequal connectivity, affordability and digital skills. Rural families might not have consistent power, Wi-Fi or areas they can consult privately and, thus, marginalised people can gain the least (Park, Freeman and Middleton, 2019).</w:t>
      </w:r>
    </w:p>
    <w:p w14:paraId="0AA38A19" w14:textId="0F26DF3A" w:rsidR="00BD5B75" w:rsidRDefault="003E255C" w:rsidP="00BD5B75">
      <w:pPr>
        <w:spacing w:before="240"/>
        <w:jc w:val="both"/>
        <w:rPr>
          <w:rFonts w:cs="Calibri"/>
        </w:rPr>
      </w:pPr>
      <w:r w:rsidRPr="003E255C">
        <w:rPr>
          <w:rFonts w:cs="Calibri"/>
        </w:rPr>
        <w:t>Digital innovation is a priority area in global policy agendas, including the Sustainable Development Goals (SDGs) through which digital innovation is viewed as the key to better health and less inequality. SDG 3 and SDG 9 are interested in resilient infrastructure and innovation, SDG 10 in reduced inequalities, which implies that telemedicine and digital health are at the overlap, but the actual contribution to rural settings is scattered, context-dependent, and excessively optimistic (Merrell and Doarn, 2016). The diagram demonstrates the relationship between telemedicine and digital health</w:t>
      </w:r>
      <w:r w:rsidR="00BD5B75">
        <w:rPr>
          <w:rFonts w:cs="Calibri"/>
        </w:rPr>
        <w:t>.</w:t>
      </w:r>
    </w:p>
    <w:p w14:paraId="2A53C907" w14:textId="77777777" w:rsidR="00BD5B75" w:rsidRDefault="00BD5B75" w:rsidP="005664AF">
      <w:pPr>
        <w:keepNext/>
        <w:spacing w:before="240"/>
        <w:jc w:val="center"/>
      </w:pPr>
      <w:r>
        <w:fldChar w:fldCharType="begin"/>
      </w:r>
      <w:r>
        <w:instrText xml:space="preserve"> INCLUDEPICTURE "https://media.licdn.com/dms/image/v2/C5112AQGee9fHij5RZA/article-cover_image-shrink_600_2000/article-cover_image-shrink_600_2000/0/1520105370683?e=2147483647&amp;v=beta&amp;t=CkM-EQ5SK9gxrvGAgkIXzFuMQkiYWfeREgHSsHlTpQQ" \* MERGEFORMATINET </w:instrText>
      </w:r>
      <w:r>
        <w:fldChar w:fldCharType="separate"/>
      </w:r>
      <w:r>
        <w:rPr>
          <w:noProof/>
        </w:rPr>
        <w:drawing>
          <wp:inline distT="0" distB="0" distL="0" distR="0" wp14:anchorId="400462F0" wp14:editId="5BE99CA6">
            <wp:extent cx="5031855" cy="2874948"/>
            <wp:effectExtent l="0" t="0" r="0" b="0"/>
            <wp:docPr id="22034440" name="Picture 1" descr="Telemedicine, Telehealth, Connected Health, and Digital Health 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lemedicine, Telehealth, Connected Health, and Digital Health Defin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44350" cy="2882087"/>
                    </a:xfrm>
                    <a:prstGeom prst="rect">
                      <a:avLst/>
                    </a:prstGeom>
                    <a:noFill/>
                    <a:ln>
                      <a:noFill/>
                    </a:ln>
                  </pic:spPr>
                </pic:pic>
              </a:graphicData>
            </a:graphic>
          </wp:inline>
        </w:drawing>
      </w:r>
      <w:r>
        <w:fldChar w:fldCharType="end"/>
      </w:r>
    </w:p>
    <w:p w14:paraId="43096848" w14:textId="78492FD3" w:rsidR="00BD5B75" w:rsidRPr="00370EE0" w:rsidRDefault="00BD5B75" w:rsidP="005664AF">
      <w:pPr>
        <w:pStyle w:val="Caption"/>
        <w:jc w:val="center"/>
        <w:rPr>
          <w:rFonts w:cs="Calibri"/>
        </w:rPr>
      </w:pPr>
      <w:bookmarkStart w:id="2" w:name="_Toc219414093"/>
      <w:r w:rsidRPr="00370EE0">
        <w:t xml:space="preserve">Figure </w:t>
      </w:r>
      <w:fldSimple w:instr=" SEQ Figure \* ARABIC ">
        <w:r w:rsidR="003F4B75">
          <w:rPr>
            <w:noProof/>
          </w:rPr>
          <w:t>1</w:t>
        </w:r>
      </w:fldSimple>
      <w:r w:rsidRPr="00370EE0">
        <w:rPr>
          <w:lang w:val="en-GB"/>
        </w:rPr>
        <w:t xml:space="preserve">: Interconnection of Telemedicine and Digital Health </w:t>
      </w:r>
      <w:r w:rsidRPr="00370EE0">
        <w:rPr>
          <w:rFonts w:cs="Calibri"/>
        </w:rPr>
        <w:t>(Milaster, 2016)</w:t>
      </w:r>
      <w:bookmarkEnd w:id="2"/>
    </w:p>
    <w:p w14:paraId="773D804C" w14:textId="109758E6" w:rsidR="00B86E38" w:rsidRPr="004C33C2" w:rsidRDefault="00B86E38" w:rsidP="00006876">
      <w:pPr>
        <w:spacing w:before="240"/>
        <w:jc w:val="both"/>
        <w:rPr>
          <w:rFonts w:cs="Calibri"/>
        </w:rPr>
      </w:pPr>
      <w:r w:rsidRPr="004C33C2">
        <w:rPr>
          <w:rFonts w:cs="Calibri"/>
        </w:rPr>
        <w:t xml:space="preserve">This dissertation critically examines how telemedicine and digital-health interventions contribute to SDG-related outcomes in rural communities using secondary data. Rather than assuming that digital equals progress, it asks under what conditions telehealth improves access, quality and equity, and </w:t>
      </w:r>
      <w:r w:rsidRPr="004C33C2">
        <w:rPr>
          <w:rFonts w:cs="Calibri"/>
        </w:rPr>
        <w:lastRenderedPageBreak/>
        <w:t>when it risks widening gaps. The study aims to generate nuanced, evidence-based recommendations for healthcare providers, policymakers and community organisations.</w:t>
      </w:r>
    </w:p>
    <w:p w14:paraId="0D6FD042" w14:textId="77777777" w:rsidR="00B86E38" w:rsidRPr="004C33C2" w:rsidRDefault="00B86E38" w:rsidP="00006876">
      <w:pPr>
        <w:pStyle w:val="Heading2"/>
        <w:spacing w:before="240"/>
        <w:jc w:val="both"/>
        <w:rPr>
          <w:rFonts w:eastAsia="Times New Roman"/>
          <w:lang w:eastAsia="en-GB"/>
        </w:rPr>
      </w:pPr>
      <w:bookmarkStart w:id="3" w:name="_Toc220350649"/>
      <w:r w:rsidRPr="004C33C2">
        <w:rPr>
          <w:rFonts w:eastAsia="Times New Roman"/>
          <w:lang w:eastAsia="en-GB"/>
        </w:rPr>
        <w:t>1.2 Definitions and Terminology</w:t>
      </w:r>
      <w:bookmarkEnd w:id="3"/>
    </w:p>
    <w:p w14:paraId="159535FE" w14:textId="77777777" w:rsidR="00B86E38" w:rsidRPr="004C33C2" w:rsidRDefault="00B86E38" w:rsidP="00006876">
      <w:pPr>
        <w:spacing w:before="240" w:after="100" w:afterAutospacing="1"/>
        <w:jc w:val="both"/>
        <w:rPr>
          <w:rFonts w:cs="Calibri"/>
          <w:szCs w:val="22"/>
        </w:rPr>
      </w:pPr>
      <w:r w:rsidRPr="004C33C2">
        <w:rPr>
          <w:rFonts w:cs="Calibri"/>
          <w:szCs w:val="22"/>
        </w:rPr>
        <w:t>This dissertation uses several technical terms that are defined here to ensure clarity and consistency.</w:t>
      </w:r>
    </w:p>
    <w:p w14:paraId="184505BA" w14:textId="79B78424" w:rsidR="00B86E38" w:rsidRPr="004C33C2" w:rsidRDefault="00B86E38" w:rsidP="00006876">
      <w:pPr>
        <w:spacing w:before="240" w:after="100" w:afterAutospacing="1"/>
        <w:jc w:val="both"/>
        <w:rPr>
          <w:rFonts w:cs="Calibri"/>
          <w:szCs w:val="22"/>
        </w:rPr>
      </w:pPr>
      <w:r w:rsidRPr="004C33C2">
        <w:rPr>
          <w:rFonts w:cs="Calibri"/>
          <w:b/>
          <w:bCs/>
          <w:szCs w:val="22"/>
        </w:rPr>
        <w:t>Telemedicine:</w:t>
      </w:r>
      <w:r w:rsidR="00673E51">
        <w:rPr>
          <w:rFonts w:cs="Calibri"/>
          <w:szCs w:val="22"/>
        </w:rPr>
        <w:t xml:space="preserve"> </w:t>
      </w:r>
      <w:r w:rsidR="001C7D06" w:rsidRPr="00503651">
        <w:rPr>
          <w:rFonts w:cs="Calibri"/>
          <w:szCs w:val="22"/>
        </w:rPr>
        <w:t xml:space="preserve">Provision </w:t>
      </w:r>
      <w:r w:rsidR="00503651" w:rsidRPr="00503651">
        <w:rPr>
          <w:rFonts w:cs="Calibri"/>
          <w:szCs w:val="22"/>
        </w:rPr>
        <w:t>of clinical services remotely, through information and communication technologies, such as in video or phone consultations, remote diagnostics and tele-referrals. It is centered on patient-health professional clinical interaction</w:t>
      </w:r>
      <w:r w:rsidR="00503651">
        <w:rPr>
          <w:rFonts w:cs="Calibri"/>
          <w:szCs w:val="22"/>
        </w:rPr>
        <w:t xml:space="preserve"> </w:t>
      </w:r>
      <w:r w:rsidR="00E030E2" w:rsidRPr="004C33C2">
        <w:rPr>
          <w:rFonts w:cs="Calibri"/>
          <w:szCs w:val="22"/>
        </w:rPr>
        <w:t xml:space="preserve">(Haleem </w:t>
      </w:r>
      <w:r w:rsidR="00E030E2" w:rsidRPr="004C33C2">
        <w:rPr>
          <w:rFonts w:cs="Calibri"/>
          <w:i/>
          <w:iCs/>
          <w:szCs w:val="22"/>
        </w:rPr>
        <w:t>et al.</w:t>
      </w:r>
      <w:r w:rsidR="00E030E2" w:rsidRPr="004C33C2">
        <w:rPr>
          <w:rFonts w:cs="Calibri"/>
          <w:szCs w:val="22"/>
        </w:rPr>
        <w:t>, 2021)</w:t>
      </w:r>
      <w:r w:rsidRPr="004C33C2">
        <w:rPr>
          <w:rFonts w:cs="Calibri"/>
          <w:szCs w:val="22"/>
        </w:rPr>
        <w:t>.</w:t>
      </w:r>
    </w:p>
    <w:p w14:paraId="2AF969BE" w14:textId="248381C5" w:rsidR="00B86E38" w:rsidRPr="004C33C2" w:rsidRDefault="00B86E38" w:rsidP="00006876">
      <w:pPr>
        <w:spacing w:before="240" w:after="100" w:afterAutospacing="1"/>
        <w:jc w:val="both"/>
        <w:rPr>
          <w:rFonts w:cs="Calibri"/>
          <w:szCs w:val="22"/>
        </w:rPr>
      </w:pPr>
      <w:r w:rsidRPr="004C33C2">
        <w:rPr>
          <w:rFonts w:cs="Calibri"/>
          <w:b/>
          <w:bCs/>
          <w:szCs w:val="22"/>
        </w:rPr>
        <w:t>Digital health:</w:t>
      </w:r>
      <w:r w:rsidRPr="004C33C2">
        <w:rPr>
          <w:rFonts w:cs="Calibri"/>
          <w:szCs w:val="22"/>
        </w:rPr>
        <w:t xml:space="preserve"> </w:t>
      </w:r>
      <w:r w:rsidR="001C7D06" w:rsidRPr="002D5F05">
        <w:rPr>
          <w:rFonts w:cs="Calibri"/>
          <w:szCs w:val="22"/>
        </w:rPr>
        <w:t xml:space="preserve">A </w:t>
      </w:r>
      <w:r w:rsidR="002D5F05" w:rsidRPr="002D5F05">
        <w:rPr>
          <w:rFonts w:cs="Calibri"/>
          <w:szCs w:val="22"/>
        </w:rPr>
        <w:t>wider umbrella description that encompasses telemedicine, but also mHealth applications, electronic medical records, remote monitoring machines, decision-support systems and data-supply-chain applications. It includes digital technologies to facilitate health promotion, prevention, treatment and system management</w:t>
      </w:r>
      <w:r w:rsidR="002D5F05">
        <w:rPr>
          <w:rFonts w:cs="Calibri"/>
          <w:szCs w:val="22"/>
        </w:rPr>
        <w:t xml:space="preserve"> </w:t>
      </w:r>
      <w:r w:rsidR="00E030E2" w:rsidRPr="004C33C2">
        <w:rPr>
          <w:rFonts w:cs="Calibri"/>
          <w:szCs w:val="22"/>
        </w:rPr>
        <w:t xml:space="preserve">(Ahmed </w:t>
      </w:r>
      <w:r w:rsidR="00E030E2" w:rsidRPr="004C33C2">
        <w:rPr>
          <w:rFonts w:cs="Calibri"/>
          <w:i/>
          <w:iCs/>
          <w:szCs w:val="22"/>
        </w:rPr>
        <w:t>et al.</w:t>
      </w:r>
      <w:r w:rsidR="00E030E2" w:rsidRPr="004C33C2">
        <w:rPr>
          <w:rFonts w:cs="Calibri"/>
          <w:szCs w:val="22"/>
        </w:rPr>
        <w:t>, 2025)</w:t>
      </w:r>
      <w:r w:rsidRPr="004C33C2">
        <w:rPr>
          <w:rFonts w:cs="Calibri"/>
          <w:szCs w:val="22"/>
        </w:rPr>
        <w:t>.</w:t>
      </w:r>
    </w:p>
    <w:p w14:paraId="3D5A6834" w14:textId="43A258C1" w:rsidR="00B86E38" w:rsidRPr="004C33C2" w:rsidRDefault="00B86E38" w:rsidP="00006876">
      <w:pPr>
        <w:spacing w:before="240" w:after="100" w:afterAutospacing="1"/>
        <w:jc w:val="both"/>
        <w:rPr>
          <w:rFonts w:cs="Calibri"/>
          <w:szCs w:val="22"/>
        </w:rPr>
      </w:pPr>
      <w:r w:rsidRPr="004C33C2">
        <w:rPr>
          <w:rFonts w:cs="Calibri"/>
          <w:b/>
          <w:bCs/>
          <w:szCs w:val="22"/>
        </w:rPr>
        <w:t>Rural communities:</w:t>
      </w:r>
      <w:r w:rsidRPr="004C33C2">
        <w:rPr>
          <w:rFonts w:cs="Calibri"/>
          <w:szCs w:val="22"/>
        </w:rPr>
        <w:t xml:space="preserve"> </w:t>
      </w:r>
      <w:r w:rsidR="001C7D06" w:rsidRPr="00D06F35">
        <w:rPr>
          <w:rFonts w:cs="Calibri"/>
          <w:szCs w:val="22"/>
        </w:rPr>
        <w:t xml:space="preserve">Populations </w:t>
      </w:r>
      <w:r w:rsidR="00D06F35" w:rsidRPr="00D06F35">
        <w:rPr>
          <w:rFonts w:cs="Calibri"/>
          <w:szCs w:val="22"/>
        </w:rPr>
        <w:t>in geographically isolated or sparsely populated regions with little access to secondary and tertiary health services and frequently poor transport infrastructure. The term is critically employed, with the understanding that rural encompasses various contexts as opposed to a homogenous one</w:t>
      </w:r>
      <w:r w:rsidR="001C7D06">
        <w:rPr>
          <w:rFonts w:cs="Calibri"/>
          <w:szCs w:val="22"/>
        </w:rPr>
        <w:t xml:space="preserve"> </w:t>
      </w:r>
      <w:r w:rsidR="00421F54" w:rsidRPr="004C33C2">
        <w:rPr>
          <w:rFonts w:cs="Calibri"/>
          <w:szCs w:val="22"/>
        </w:rPr>
        <w:t>(Gizaw, Astale and Kassie, 2022)</w:t>
      </w:r>
      <w:r w:rsidRPr="004C33C2">
        <w:rPr>
          <w:rFonts w:cs="Calibri"/>
          <w:szCs w:val="22"/>
        </w:rPr>
        <w:t>.</w:t>
      </w:r>
    </w:p>
    <w:p w14:paraId="505C65FC" w14:textId="4F2778C6" w:rsidR="00B86E38" w:rsidRPr="004C33C2" w:rsidRDefault="00B86E38" w:rsidP="00006876">
      <w:pPr>
        <w:spacing w:before="240" w:after="100" w:afterAutospacing="1"/>
        <w:jc w:val="both"/>
        <w:rPr>
          <w:rFonts w:cs="Calibri"/>
          <w:szCs w:val="22"/>
        </w:rPr>
      </w:pPr>
      <w:r w:rsidRPr="004C33C2">
        <w:rPr>
          <w:rFonts w:cs="Calibri"/>
          <w:b/>
          <w:bCs/>
          <w:szCs w:val="22"/>
        </w:rPr>
        <w:t>Sustainable Development Goals (SDGs):</w:t>
      </w:r>
      <w:r w:rsidRPr="004C33C2">
        <w:rPr>
          <w:rFonts w:cs="Calibri"/>
          <w:szCs w:val="22"/>
        </w:rPr>
        <w:t xml:space="preserve"> the United Nations framework of 17 goals adopted in 2015 to guide social, economic and environmental development. This study focuses on SDG 3 (health), SDG 9 (industry, innovation and infrastructure) and SDG 10 (reduced inequalities)</w:t>
      </w:r>
      <w:r w:rsidR="00390182" w:rsidRPr="004C33C2">
        <w:rPr>
          <w:rFonts w:cs="Calibri"/>
          <w:szCs w:val="22"/>
        </w:rPr>
        <w:t xml:space="preserve"> (United Nations, 2015)</w:t>
      </w:r>
      <w:r w:rsidRPr="004C33C2">
        <w:rPr>
          <w:rFonts w:cs="Calibri"/>
          <w:szCs w:val="22"/>
        </w:rPr>
        <w:t>.</w:t>
      </w:r>
    </w:p>
    <w:p w14:paraId="03C15F40" w14:textId="77777777" w:rsidR="00B86E38" w:rsidRPr="004C33C2" w:rsidRDefault="00B86E38" w:rsidP="00006876">
      <w:pPr>
        <w:spacing w:before="240" w:after="100" w:afterAutospacing="1"/>
        <w:jc w:val="both"/>
        <w:rPr>
          <w:rFonts w:cs="Calibri"/>
          <w:szCs w:val="22"/>
        </w:rPr>
      </w:pPr>
      <w:r w:rsidRPr="004C33C2">
        <w:rPr>
          <w:rFonts w:cs="Calibri"/>
          <w:szCs w:val="22"/>
        </w:rPr>
        <w:t>Acronyms used in this dissertation include:</w:t>
      </w:r>
    </w:p>
    <w:p w14:paraId="6970BE2D" w14:textId="77777777" w:rsidR="006662CB" w:rsidRPr="004C33C2" w:rsidRDefault="00B86E38" w:rsidP="00006876">
      <w:pPr>
        <w:spacing w:before="240" w:after="100" w:afterAutospacing="1"/>
        <w:jc w:val="both"/>
        <w:rPr>
          <w:rFonts w:cs="Calibri"/>
          <w:szCs w:val="22"/>
        </w:rPr>
      </w:pPr>
      <w:r w:rsidRPr="004C33C2">
        <w:rPr>
          <w:rFonts w:cs="Calibri"/>
          <w:szCs w:val="22"/>
        </w:rPr>
        <w:t>• ICT – Information and Communication Technologies</w:t>
      </w:r>
    </w:p>
    <w:p w14:paraId="2B47B089" w14:textId="77777777" w:rsidR="006662CB" w:rsidRPr="004C33C2" w:rsidRDefault="00B86E38" w:rsidP="00006876">
      <w:pPr>
        <w:spacing w:before="240" w:after="100" w:afterAutospacing="1"/>
        <w:jc w:val="both"/>
        <w:rPr>
          <w:rFonts w:cs="Calibri"/>
          <w:szCs w:val="22"/>
        </w:rPr>
      </w:pPr>
      <w:r w:rsidRPr="004C33C2">
        <w:rPr>
          <w:rFonts w:cs="Calibri"/>
          <w:szCs w:val="22"/>
        </w:rPr>
        <w:t>• mHealth – Mobile Health</w:t>
      </w:r>
    </w:p>
    <w:p w14:paraId="2B36673A" w14:textId="77777777" w:rsidR="006662CB" w:rsidRPr="004C33C2" w:rsidRDefault="00B86E38" w:rsidP="00006876">
      <w:pPr>
        <w:spacing w:before="240" w:after="100" w:afterAutospacing="1"/>
        <w:jc w:val="both"/>
        <w:rPr>
          <w:rFonts w:cs="Calibri"/>
          <w:szCs w:val="22"/>
        </w:rPr>
      </w:pPr>
      <w:r w:rsidRPr="004C33C2">
        <w:rPr>
          <w:rFonts w:cs="Calibri"/>
          <w:szCs w:val="22"/>
        </w:rPr>
        <w:t>• LMICs – Low- and Middle-Income Countries</w:t>
      </w:r>
    </w:p>
    <w:p w14:paraId="4889CE93" w14:textId="77777777" w:rsidR="006662CB" w:rsidRPr="004C33C2" w:rsidRDefault="00B86E38" w:rsidP="00006876">
      <w:pPr>
        <w:spacing w:before="240" w:after="100" w:afterAutospacing="1"/>
        <w:jc w:val="both"/>
        <w:rPr>
          <w:rFonts w:cs="Calibri"/>
          <w:szCs w:val="22"/>
        </w:rPr>
      </w:pPr>
      <w:r w:rsidRPr="004C33C2">
        <w:rPr>
          <w:rFonts w:cs="Calibri"/>
          <w:szCs w:val="22"/>
        </w:rPr>
        <w:t>• SDGs – Sustainable Development Goals</w:t>
      </w:r>
    </w:p>
    <w:p w14:paraId="2C6FC08A" w14:textId="69C6C5C6" w:rsidR="00B86E38" w:rsidRPr="004C33C2" w:rsidRDefault="00B86E38" w:rsidP="00006876">
      <w:pPr>
        <w:spacing w:before="240" w:after="100" w:afterAutospacing="1"/>
        <w:jc w:val="both"/>
        <w:rPr>
          <w:rFonts w:cs="Calibri"/>
          <w:szCs w:val="22"/>
        </w:rPr>
      </w:pPr>
      <w:r w:rsidRPr="004C33C2">
        <w:rPr>
          <w:rFonts w:cs="Calibri"/>
          <w:szCs w:val="22"/>
        </w:rPr>
        <w:t>• EHR – Electronic Health Record</w:t>
      </w:r>
    </w:p>
    <w:p w14:paraId="10EC6C8D" w14:textId="77777777" w:rsidR="00B86E38" w:rsidRPr="004C33C2" w:rsidRDefault="00B86E38" w:rsidP="00006876">
      <w:pPr>
        <w:pStyle w:val="Heading2"/>
        <w:spacing w:before="240"/>
        <w:jc w:val="both"/>
        <w:rPr>
          <w:rFonts w:eastAsia="Times New Roman"/>
          <w:lang w:eastAsia="en-GB"/>
        </w:rPr>
      </w:pPr>
      <w:bookmarkStart w:id="4" w:name="_Toc220350650"/>
      <w:r w:rsidRPr="004C33C2">
        <w:rPr>
          <w:rFonts w:eastAsia="Times New Roman"/>
          <w:lang w:eastAsia="en-GB"/>
        </w:rPr>
        <w:lastRenderedPageBreak/>
        <w:t>1.3 Rationale for Research</w:t>
      </w:r>
      <w:bookmarkEnd w:id="4"/>
    </w:p>
    <w:p w14:paraId="2A6B5B11" w14:textId="77777777" w:rsidR="00673E51" w:rsidRPr="00673E51" w:rsidRDefault="00673E51" w:rsidP="00673E51">
      <w:pPr>
        <w:spacing w:before="240" w:after="100" w:afterAutospacing="1"/>
        <w:rPr>
          <w:rFonts w:cs="Calibri"/>
          <w:szCs w:val="22"/>
        </w:rPr>
      </w:pPr>
      <w:r w:rsidRPr="00673E51">
        <w:rPr>
          <w:rFonts w:cs="Calibri"/>
          <w:szCs w:val="22"/>
        </w:rPr>
        <w:t>Structural disadvantage has long influenced rural health, but in digital-health discussions technology is discussed as a technological panacea. Most approaches presuppose that the advantages will arise after the telehealth platforms have been rolled out (Maita et al., 2024). But, current sources (Park, Freeman and Middleton, 2019; Woods et al., 2024) identify inconsistent implementation, small-scale pilot and minimal scrutiny of long-term results. The evidence is distributed in clinical specialties, countries and project types, and therefore, decision-makers find it challenging to decide what is applicable in their rural settings.</w:t>
      </w:r>
    </w:p>
    <w:p w14:paraId="0E31B4E1" w14:textId="77777777" w:rsidR="00673E51" w:rsidRDefault="00673E51" w:rsidP="00673E51">
      <w:pPr>
        <w:spacing w:before="240" w:after="100" w:afterAutospacing="1"/>
        <w:jc w:val="both"/>
        <w:rPr>
          <w:rFonts w:cs="Calibri"/>
          <w:szCs w:val="22"/>
        </w:rPr>
      </w:pPr>
      <w:r w:rsidRPr="00673E51">
        <w:rPr>
          <w:rFonts w:cs="Calibri"/>
          <w:szCs w:val="22"/>
        </w:rPr>
        <w:t>The second problem is that SDG language is common in policy documents, and SDG-related outcomes are not measured explicitly. Projects purport to deliver to SDG 3, 9 or 10, but are not often clear about how access, quality, equity or infrastructure have been evaluated, or on whom. It refers to equity dimensions (gender, disability, caste or indigeneity) but is not examined systematically (Mohd, Rais and Syed, 2024).</w:t>
      </w:r>
    </w:p>
    <w:p w14:paraId="60908734" w14:textId="7A636AC6" w:rsidR="00C43894" w:rsidRDefault="00C43894" w:rsidP="00673E51">
      <w:pPr>
        <w:spacing w:before="240" w:after="100" w:afterAutospacing="1"/>
        <w:jc w:val="both"/>
        <w:rPr>
          <w:rFonts w:cs="Calibri"/>
          <w:szCs w:val="22"/>
        </w:rPr>
      </w:pPr>
      <w:r w:rsidRPr="00C43894">
        <w:rPr>
          <w:rFonts w:cs="Calibri"/>
          <w:szCs w:val="22"/>
        </w:rPr>
        <w:t>The other gap that stands out is that very little consideration is given to how the digital health programmes are actually implemented and their subsequent impact. Numerous articles comment on the technology or the clinical outcomes obtained, but with less emphasis on the training of the staff, payment solutions, data management, and community engagement (Tan et al., 2022; Woods et al., 2024). The significance of these factors is that they affect the acceptance of digital health services, the level of trust, and long-term retention. Consequently, both advantages and the issues of telemedicine in the rural setting required a critical review. The dissertation will fill this gap by examining outcomes, barriers, enabling factors and lessons on fairer digital health strategies.</w:t>
      </w:r>
    </w:p>
    <w:p w14:paraId="283DA4D3" w14:textId="77777777" w:rsidR="00B86E38" w:rsidRPr="004C33C2" w:rsidRDefault="00B86E38" w:rsidP="00006876">
      <w:pPr>
        <w:pStyle w:val="Heading2"/>
        <w:spacing w:before="240"/>
        <w:jc w:val="both"/>
        <w:rPr>
          <w:rFonts w:eastAsia="Times New Roman"/>
          <w:lang w:eastAsia="en-GB"/>
        </w:rPr>
      </w:pPr>
      <w:bookmarkStart w:id="5" w:name="_Toc220350651"/>
      <w:r w:rsidRPr="004C33C2">
        <w:rPr>
          <w:rFonts w:eastAsia="Times New Roman"/>
          <w:lang w:eastAsia="en-GB"/>
        </w:rPr>
        <w:t>1.4 Aim and Objectives</w:t>
      </w:r>
      <w:bookmarkEnd w:id="5"/>
    </w:p>
    <w:p w14:paraId="5FE9090C" w14:textId="77777777" w:rsidR="00B86E38" w:rsidRPr="004C33C2" w:rsidRDefault="00B86E38" w:rsidP="00006876">
      <w:pPr>
        <w:spacing w:before="240" w:after="100" w:afterAutospacing="1"/>
        <w:jc w:val="both"/>
        <w:rPr>
          <w:rFonts w:cs="Calibri"/>
          <w:szCs w:val="22"/>
        </w:rPr>
      </w:pPr>
      <w:r w:rsidRPr="004C33C2">
        <w:rPr>
          <w:rFonts w:cs="Calibri"/>
          <w:szCs w:val="22"/>
        </w:rPr>
        <w:t>The overall aim of this dissertation is to investigate how telemedicine and wider digital-health solutions advance Sustainable Development Goals in rural communities, and to develop actionable, equity-focused recommendations for future practice and policy.</w:t>
      </w:r>
    </w:p>
    <w:p w14:paraId="0A0CEC67" w14:textId="77777777" w:rsidR="00B86E38" w:rsidRPr="004C33C2" w:rsidRDefault="00B86E38" w:rsidP="00006876">
      <w:pPr>
        <w:spacing w:before="240" w:after="100" w:afterAutospacing="1"/>
        <w:jc w:val="both"/>
        <w:rPr>
          <w:rFonts w:cs="Calibri"/>
          <w:szCs w:val="22"/>
        </w:rPr>
      </w:pPr>
      <w:r w:rsidRPr="004C33C2">
        <w:rPr>
          <w:rFonts w:cs="Calibri"/>
          <w:szCs w:val="22"/>
        </w:rPr>
        <w:t>To achieve this aim, the study has the following objectives:</w:t>
      </w:r>
    </w:p>
    <w:p w14:paraId="2CD5D322" w14:textId="77777777" w:rsidR="00B86E38" w:rsidRPr="004C33C2" w:rsidRDefault="00B86E38" w:rsidP="00006876">
      <w:pPr>
        <w:numPr>
          <w:ilvl w:val="0"/>
          <w:numId w:val="1"/>
        </w:numPr>
        <w:spacing w:before="240" w:after="100" w:afterAutospacing="1"/>
        <w:jc w:val="both"/>
        <w:rPr>
          <w:rFonts w:cs="Calibri"/>
          <w:szCs w:val="22"/>
        </w:rPr>
      </w:pPr>
      <w:r w:rsidRPr="004C33C2">
        <w:rPr>
          <w:rFonts w:cs="Calibri"/>
          <w:b/>
          <w:bCs/>
          <w:szCs w:val="22"/>
        </w:rPr>
        <w:t>Objective 1:</w:t>
      </w:r>
      <w:r w:rsidRPr="004C33C2">
        <w:rPr>
          <w:rFonts w:cs="Calibri"/>
          <w:szCs w:val="22"/>
        </w:rPr>
        <w:t xml:space="preserve"> To define and examine telemedicine and digital-health concepts (platforms, services and infrastructure) and their prevalence and adoption in rural settings, as documented in research and official reports.</w:t>
      </w:r>
    </w:p>
    <w:p w14:paraId="22117D2B" w14:textId="77777777" w:rsidR="00B86E38" w:rsidRPr="004C33C2" w:rsidRDefault="00B86E38" w:rsidP="00006876">
      <w:pPr>
        <w:numPr>
          <w:ilvl w:val="0"/>
          <w:numId w:val="1"/>
        </w:numPr>
        <w:spacing w:before="240" w:after="100" w:afterAutospacing="1"/>
        <w:jc w:val="both"/>
        <w:rPr>
          <w:rFonts w:cs="Calibri"/>
          <w:szCs w:val="22"/>
        </w:rPr>
      </w:pPr>
      <w:r w:rsidRPr="004C33C2">
        <w:rPr>
          <w:rFonts w:cs="Calibri"/>
          <w:b/>
          <w:bCs/>
          <w:szCs w:val="22"/>
        </w:rPr>
        <w:lastRenderedPageBreak/>
        <w:t>Objective 2:</w:t>
      </w:r>
      <w:r w:rsidRPr="004C33C2">
        <w:rPr>
          <w:rFonts w:cs="Calibri"/>
          <w:szCs w:val="22"/>
        </w:rPr>
        <w:t xml:space="preserve"> To analyse impacts on outcomes aligned to SDG 3 (health), SDG 9 (infrastructure and innovation) and SDG 10 (reduced inequalities), including access, timeliness, quality, cost and user experience.</w:t>
      </w:r>
    </w:p>
    <w:p w14:paraId="13FBAED8" w14:textId="77777777" w:rsidR="00B86E38" w:rsidRPr="004C33C2" w:rsidRDefault="00B86E38" w:rsidP="00006876">
      <w:pPr>
        <w:numPr>
          <w:ilvl w:val="0"/>
          <w:numId w:val="1"/>
        </w:numPr>
        <w:spacing w:before="240" w:after="100" w:afterAutospacing="1"/>
        <w:jc w:val="both"/>
        <w:rPr>
          <w:rFonts w:cs="Calibri"/>
          <w:szCs w:val="22"/>
        </w:rPr>
      </w:pPr>
      <w:r w:rsidRPr="004C33C2">
        <w:rPr>
          <w:rFonts w:cs="Calibri"/>
          <w:b/>
          <w:bCs/>
          <w:szCs w:val="22"/>
        </w:rPr>
        <w:t>Objective 3:</w:t>
      </w:r>
      <w:r w:rsidRPr="004C33C2">
        <w:rPr>
          <w:rFonts w:cs="Calibri"/>
          <w:szCs w:val="22"/>
        </w:rPr>
        <w:t xml:space="preserve"> To evaluate the effectiveness of current interventions, implementation models and policy frameworks, such as reimbursement mechanisms, connectivity initiatives, workforce training and data-governance arrangements that enable or constrain rural digital health.</w:t>
      </w:r>
    </w:p>
    <w:p w14:paraId="7E1955B8" w14:textId="70BDBE19" w:rsidR="00B86E38" w:rsidRPr="004C33C2" w:rsidRDefault="00B86E38" w:rsidP="00006876">
      <w:pPr>
        <w:numPr>
          <w:ilvl w:val="0"/>
          <w:numId w:val="1"/>
        </w:numPr>
        <w:spacing w:before="240" w:after="100" w:afterAutospacing="1"/>
        <w:jc w:val="both"/>
        <w:rPr>
          <w:rFonts w:cs="Calibri"/>
          <w:szCs w:val="22"/>
        </w:rPr>
      </w:pPr>
      <w:r w:rsidRPr="004C33C2">
        <w:rPr>
          <w:rFonts w:cs="Calibri"/>
          <w:b/>
          <w:bCs/>
          <w:szCs w:val="22"/>
        </w:rPr>
        <w:t>Objective 4:</w:t>
      </w:r>
      <w:r w:rsidRPr="004C33C2">
        <w:rPr>
          <w:rFonts w:cs="Calibri"/>
          <w:szCs w:val="22"/>
        </w:rPr>
        <w:t xml:space="preserve"> To provide recommendations for healthcare systems, policymakers and community partners on how to scale ethical, inclusive and sustainable telehealth that improves rural health and narrows inequities.</w:t>
      </w:r>
    </w:p>
    <w:p w14:paraId="2CFA72B3" w14:textId="77777777" w:rsidR="00B86E38" w:rsidRPr="004C33C2" w:rsidRDefault="00B86E38" w:rsidP="00006876">
      <w:pPr>
        <w:pStyle w:val="Heading2"/>
        <w:spacing w:before="240"/>
        <w:jc w:val="both"/>
        <w:rPr>
          <w:rFonts w:eastAsia="Times New Roman"/>
          <w:lang w:eastAsia="en-GB"/>
        </w:rPr>
      </w:pPr>
      <w:bookmarkStart w:id="6" w:name="_Toc220350652"/>
      <w:r w:rsidRPr="004C33C2">
        <w:rPr>
          <w:rFonts w:eastAsia="Times New Roman"/>
          <w:lang w:eastAsia="en-GB"/>
        </w:rPr>
        <w:t>1.5 Conclusion</w:t>
      </w:r>
      <w:bookmarkEnd w:id="6"/>
    </w:p>
    <w:p w14:paraId="3EF251DE" w14:textId="77777777" w:rsidR="008975E4" w:rsidRPr="008975E4" w:rsidRDefault="00B86E38" w:rsidP="0011670A">
      <w:pPr>
        <w:spacing w:before="240" w:after="100" w:afterAutospacing="1"/>
        <w:jc w:val="both"/>
        <w:rPr>
          <w:rFonts w:cs="Calibri"/>
          <w:szCs w:val="22"/>
        </w:rPr>
      </w:pPr>
      <w:r w:rsidRPr="004C33C2">
        <w:rPr>
          <w:rFonts w:cs="Calibri"/>
          <w:szCs w:val="22"/>
        </w:rPr>
        <w:t xml:space="preserve">This chapter has introduced the topic of telemedicine and digital health in rural communities and located it within wider debates on the SDGs, equity and health-system strengthening. </w:t>
      </w:r>
      <w:r w:rsidR="008975E4" w:rsidRPr="008975E4">
        <w:rPr>
          <w:rFonts w:cs="Calibri"/>
          <w:szCs w:val="22"/>
        </w:rPr>
        <w:t>It has emphasized how digital technologies are not always positive and can contribute to the existing power disparity without being contextual and sensitive in their design and implementation. The chapter has identified the major definitions and acronyms, justified the choice to study rural settings and SDG-related outcomes, and outlined the general purpose of the study.</w:t>
      </w:r>
    </w:p>
    <w:p w14:paraId="5867D65C" w14:textId="713B7C0D" w:rsidR="00744D27" w:rsidRPr="004C33C2" w:rsidRDefault="008975E4" w:rsidP="008975E4">
      <w:pPr>
        <w:spacing w:before="240" w:after="100" w:afterAutospacing="1"/>
        <w:jc w:val="both"/>
        <w:rPr>
          <w:rFonts w:cs="Calibri"/>
          <w:szCs w:val="22"/>
          <w:lang w:val="en-GB"/>
        </w:rPr>
      </w:pPr>
      <w:r w:rsidRPr="008975E4">
        <w:rPr>
          <w:rFonts w:cs="Calibri"/>
          <w:szCs w:val="22"/>
        </w:rPr>
        <w:t>The following chapter will assess the literature on the current state of telemedicine, digital health, and rural health systems. It will review theoretical frameworks, empirical results and policy discussions, and will pinpoint the key themes and gaps that inform the design of the research and the subsequent detailed analysis.</w:t>
      </w:r>
    </w:p>
    <w:p w14:paraId="609724B5" w14:textId="77777777" w:rsidR="00B86E38" w:rsidRDefault="00B86E38" w:rsidP="00006876">
      <w:pPr>
        <w:spacing w:before="240"/>
        <w:jc w:val="both"/>
        <w:rPr>
          <w:rFonts w:cs="Calibri"/>
          <w:b/>
          <w:bCs/>
          <w:lang w:val="en-GB"/>
        </w:rPr>
      </w:pPr>
    </w:p>
    <w:p w14:paraId="2019E798" w14:textId="77777777" w:rsidR="0011670A" w:rsidRDefault="0011670A" w:rsidP="00006876">
      <w:pPr>
        <w:spacing w:before="240"/>
        <w:jc w:val="both"/>
        <w:rPr>
          <w:rFonts w:cs="Calibri"/>
          <w:b/>
          <w:bCs/>
          <w:lang w:val="en-GB"/>
        </w:rPr>
      </w:pPr>
    </w:p>
    <w:p w14:paraId="6B49C9D4" w14:textId="77777777" w:rsidR="0011670A" w:rsidRDefault="0011670A" w:rsidP="00006876">
      <w:pPr>
        <w:spacing w:before="240"/>
        <w:jc w:val="both"/>
        <w:rPr>
          <w:rFonts w:cs="Calibri"/>
          <w:b/>
          <w:bCs/>
          <w:lang w:val="en-GB"/>
        </w:rPr>
      </w:pPr>
    </w:p>
    <w:p w14:paraId="6F680E9C" w14:textId="77777777" w:rsidR="0011670A" w:rsidRDefault="0011670A" w:rsidP="00006876">
      <w:pPr>
        <w:spacing w:before="240"/>
        <w:jc w:val="both"/>
        <w:rPr>
          <w:rFonts w:cs="Calibri"/>
          <w:b/>
          <w:bCs/>
          <w:lang w:val="en-GB"/>
        </w:rPr>
      </w:pPr>
    </w:p>
    <w:p w14:paraId="7B9F2216" w14:textId="77777777" w:rsidR="0011670A" w:rsidRDefault="0011670A" w:rsidP="00006876">
      <w:pPr>
        <w:spacing w:before="240"/>
        <w:jc w:val="both"/>
        <w:rPr>
          <w:rFonts w:cs="Calibri"/>
          <w:b/>
          <w:bCs/>
          <w:lang w:val="en-GB"/>
        </w:rPr>
      </w:pPr>
    </w:p>
    <w:p w14:paraId="1CCCA582" w14:textId="77777777" w:rsidR="0011670A" w:rsidRPr="004C33C2" w:rsidRDefault="0011670A" w:rsidP="00006876">
      <w:pPr>
        <w:spacing w:before="240"/>
        <w:jc w:val="both"/>
        <w:rPr>
          <w:rFonts w:cs="Calibri"/>
          <w:b/>
          <w:bCs/>
          <w:lang w:val="en-GB"/>
        </w:rPr>
      </w:pPr>
    </w:p>
    <w:p w14:paraId="6BBDE2ED" w14:textId="0BF849B2" w:rsidR="00B86E38" w:rsidRPr="004C33C2" w:rsidRDefault="00A40E4C" w:rsidP="00006876">
      <w:pPr>
        <w:pStyle w:val="Heading1"/>
        <w:spacing w:before="240"/>
        <w:jc w:val="both"/>
        <w:rPr>
          <w:lang w:val="en-GB"/>
        </w:rPr>
      </w:pPr>
      <w:bookmarkStart w:id="7" w:name="_Toc220350653"/>
      <w:r w:rsidRPr="004C33C2">
        <w:rPr>
          <w:lang w:val="en-GB"/>
        </w:rPr>
        <w:lastRenderedPageBreak/>
        <w:t>CHAPTER 2 – Background Information and Analysis</w:t>
      </w:r>
      <w:bookmarkEnd w:id="7"/>
    </w:p>
    <w:p w14:paraId="7ED3D968" w14:textId="77777777" w:rsidR="00B86E38" w:rsidRPr="004C33C2" w:rsidRDefault="00B86E38" w:rsidP="00006876">
      <w:pPr>
        <w:pStyle w:val="Heading2"/>
        <w:spacing w:before="240"/>
        <w:jc w:val="both"/>
      </w:pPr>
      <w:bookmarkStart w:id="8" w:name="_Toc220350654"/>
      <w:r w:rsidRPr="004C33C2">
        <w:t>2.1 Introduction</w:t>
      </w:r>
      <w:bookmarkEnd w:id="8"/>
    </w:p>
    <w:p w14:paraId="0F59859E" w14:textId="6DFD8BA0" w:rsidR="00F744E2" w:rsidRPr="00F744E2" w:rsidRDefault="00F744E2" w:rsidP="00536EE7">
      <w:pPr>
        <w:pStyle w:val="NormalWeb"/>
        <w:spacing w:before="240"/>
        <w:jc w:val="both"/>
        <w:rPr>
          <w:rFonts w:cs="Calibri"/>
          <w:szCs w:val="22"/>
        </w:rPr>
      </w:pPr>
      <w:r w:rsidRPr="00F744E2">
        <w:rPr>
          <w:rFonts w:cs="Calibri"/>
          <w:szCs w:val="22"/>
        </w:rPr>
        <w:t xml:space="preserve">The chapter </w:t>
      </w:r>
      <w:r w:rsidR="00536EE7">
        <w:rPr>
          <w:rFonts w:cs="Calibri"/>
          <w:szCs w:val="22"/>
        </w:rPr>
        <w:t>gives the contaxt</w:t>
      </w:r>
      <w:r w:rsidRPr="00F744E2">
        <w:rPr>
          <w:rFonts w:cs="Calibri"/>
          <w:szCs w:val="22"/>
        </w:rPr>
        <w:t xml:space="preserve"> required to place telemedicine and digital health into broader discussions on rural health and the Sustainable Development Goals (SDGs). This is to transcend mere accounts of technologies and to analyze how past trajectories, theoretical contexts and policy landscapes determine what can be and what cannot be accomplished in rural communities through digital health.</w:t>
      </w:r>
    </w:p>
    <w:p w14:paraId="418C0122" w14:textId="3E16E4ED" w:rsidR="00125C44" w:rsidRPr="004C33C2" w:rsidRDefault="00F744E2" w:rsidP="00F744E2">
      <w:pPr>
        <w:pStyle w:val="NormalWeb"/>
        <w:spacing w:before="240" w:beforeAutospacing="0"/>
        <w:jc w:val="both"/>
        <w:rPr>
          <w:rFonts w:cs="Calibri"/>
          <w:szCs w:val="22"/>
        </w:rPr>
      </w:pPr>
      <w:r w:rsidRPr="00F744E2">
        <w:rPr>
          <w:rFonts w:cs="Calibri"/>
          <w:szCs w:val="22"/>
        </w:rPr>
        <w:t>The chapter begins by describing the historical evolution of telemedicine and digital health, where milestones and funding priorities and global agendas have focused on rural contexts. It subsequently presents major theories and concepts that aid in understanding why certain digital-health interventions are adopted, normalised or resisted and how digital infrastructures interact with existing inequalities. Lastly, the chapter presents the international and UK environment in which telemedicine policies and programmes are marketed. Thereby, it gives a general base to the methodology and findings chapters, where evidence will be discussed in greater detail</w:t>
      </w:r>
      <w:r w:rsidR="00B86E38" w:rsidRPr="004C33C2">
        <w:rPr>
          <w:rFonts w:cs="Calibri"/>
          <w:szCs w:val="22"/>
        </w:rPr>
        <w:t>.</w:t>
      </w:r>
    </w:p>
    <w:p w14:paraId="5F44FA6C" w14:textId="77777777" w:rsidR="00B86E38" w:rsidRDefault="00B86E38" w:rsidP="00006876">
      <w:pPr>
        <w:pStyle w:val="Heading2"/>
        <w:spacing w:before="240"/>
        <w:jc w:val="both"/>
      </w:pPr>
      <w:bookmarkStart w:id="9" w:name="_Toc220350655"/>
      <w:r w:rsidRPr="004C33C2">
        <w:t>2.2 Historical Background</w:t>
      </w:r>
      <w:bookmarkEnd w:id="9"/>
    </w:p>
    <w:p w14:paraId="33765940" w14:textId="51B89847" w:rsidR="005E3108" w:rsidRPr="005E3108" w:rsidRDefault="005E3108" w:rsidP="00006876">
      <w:pPr>
        <w:spacing w:before="240"/>
        <w:jc w:val="both"/>
      </w:pPr>
      <w:r w:rsidRPr="005E3108">
        <w:t>Telemedicine began in the mid-twentieth century when clinicians used telephones, radios, and early video links to reach remote patients, often in military or maritime contexts where specialist advice was critical. By the 1960s and 1970s, university and space-agency experiments demonstrated that distance need not prevent access to care, though such projects remained technical and small-scale, treating geography as the main barrier rather than social determinants of health (Anawade, Sharma and Gahane, 2024). From the 1990s, the rise of the internet and digital imaging expanded telemedicine into teleradiology and telepsychiatry, with high-income countries linking rural clinics to urban hospitals (Bashshur et al., 2016). Yet many programmes were short-lived, technology-led and poorly evaluated, leaving rural communities</w:t>
      </w:r>
      <w:r w:rsidR="00A60516">
        <w:t xml:space="preserve"> </w:t>
      </w:r>
      <w:r w:rsidRPr="005E3108">
        <w:t>especially those with weak infrastructure—underserved (Mars and Scott, 2010).</w:t>
      </w:r>
    </w:p>
    <w:p w14:paraId="4212CE52" w14:textId="50DB07C7" w:rsidR="001C3C13" w:rsidRDefault="005E3108" w:rsidP="001954F4">
      <w:pPr>
        <w:spacing w:before="240"/>
        <w:jc w:val="both"/>
      </w:pPr>
      <w:r w:rsidRPr="005E3108">
        <w:t>In the 2000s and 2010s, mobile phones transformed telemedicine into mHealth. Donors, governments and private firms promoted SMS reminders, mobile tools and patient portals to extend care in low-resource settings (Eze, Gleasure and Heavin, 2018). Global organisations such as WHO and the World Bank positioned digital health as a lever for SDG 3 (health), SDG 9 (infrastructure) and SDG 10 (inequality reduction), but many initiatives remained fragmented and lacked sustained population-</w:t>
      </w:r>
      <w:r w:rsidRPr="005E3108">
        <w:lastRenderedPageBreak/>
        <w:t xml:space="preserve">level impact (Havelikar et al., 2025). </w:t>
      </w:r>
      <w:r w:rsidR="001C3C13">
        <w:t>Professional associations made guidelines on safety and liability as well as technology companies set the infrastructure and data, usually prioriti</w:t>
      </w:r>
      <w:r w:rsidR="00E63185">
        <w:t>s</w:t>
      </w:r>
      <w:r w:rsidR="001C3C13">
        <w:t>ing market expansion. In response, community-based telehealth models with a focus on the local and cultural aspects were developed by NGOs and rural advocates (Chandramohan et al, 2023).</w:t>
      </w:r>
    </w:p>
    <w:p w14:paraId="2EB40A8C" w14:textId="782571BE" w:rsidR="001C3C13" w:rsidRDefault="001C3C13" w:rsidP="001C3C13">
      <w:pPr>
        <w:spacing w:before="240"/>
        <w:jc w:val="both"/>
      </w:pPr>
      <w:r>
        <w:t xml:space="preserve">The adoption of telemedicine by many countries around the world was accelerated due to the occurrence of the covid-19 pandemic that confirmed the possibility of rapid digital transformation but revealed some of the weaknesses in connectivity, literacy and governance (Omboni et al., 2022). </w:t>
      </w:r>
    </w:p>
    <w:p w14:paraId="7697ED87" w14:textId="442085A6" w:rsidR="00660767" w:rsidRDefault="00660767" w:rsidP="001C3C13">
      <w:pPr>
        <w:spacing w:before="240"/>
        <w:jc w:val="both"/>
        <w:rPr>
          <w:rFonts w:cs="Calibri"/>
          <w:szCs w:val="22"/>
        </w:rPr>
      </w:pPr>
      <w:r>
        <w:rPr>
          <w:rFonts w:cs="Calibri"/>
          <w:szCs w:val="22"/>
        </w:rPr>
        <w:t>Following table shows the historical background of telemedicine and digital health tools.</w:t>
      </w:r>
    </w:p>
    <w:p w14:paraId="2B405ECB" w14:textId="04EA1180" w:rsidR="00865B2F" w:rsidRPr="005664AF" w:rsidRDefault="00865B2F" w:rsidP="00006876">
      <w:pPr>
        <w:pStyle w:val="Caption"/>
        <w:keepNext/>
        <w:spacing w:before="240"/>
        <w:jc w:val="both"/>
        <w:rPr>
          <w:rFonts w:cs="Calibri"/>
        </w:rPr>
      </w:pPr>
      <w:bookmarkStart w:id="10" w:name="_Toc219413623"/>
      <w:r w:rsidRPr="005664AF">
        <w:rPr>
          <w:rFonts w:cs="Calibri"/>
        </w:rPr>
        <w:t xml:space="preserve">Table </w:t>
      </w:r>
      <w:r w:rsidR="0033535C" w:rsidRPr="005664AF">
        <w:rPr>
          <w:rFonts w:cs="Calibri"/>
        </w:rPr>
        <w:fldChar w:fldCharType="begin"/>
      </w:r>
      <w:r w:rsidR="0033535C" w:rsidRPr="005664AF">
        <w:rPr>
          <w:rFonts w:cs="Calibri"/>
        </w:rPr>
        <w:instrText xml:space="preserve"> SEQ Table \* ARABIC </w:instrText>
      </w:r>
      <w:r w:rsidR="0033535C" w:rsidRPr="005664AF">
        <w:rPr>
          <w:rFonts w:cs="Calibri"/>
        </w:rPr>
        <w:fldChar w:fldCharType="separate"/>
      </w:r>
      <w:r w:rsidR="00FD3C99" w:rsidRPr="005664AF">
        <w:rPr>
          <w:rFonts w:cs="Calibri"/>
          <w:noProof/>
        </w:rPr>
        <w:t>1</w:t>
      </w:r>
      <w:r w:rsidR="0033535C" w:rsidRPr="005664AF">
        <w:rPr>
          <w:rFonts w:cs="Calibri"/>
          <w:noProof/>
        </w:rPr>
        <w:fldChar w:fldCharType="end"/>
      </w:r>
      <w:r w:rsidRPr="005664AF">
        <w:rPr>
          <w:rFonts w:cs="Calibri"/>
          <w:lang w:val="en-GB"/>
        </w:rPr>
        <w:t>:</w:t>
      </w:r>
      <w:r w:rsidRPr="005664AF">
        <w:rPr>
          <w:rFonts w:cs="Calibri"/>
        </w:rPr>
        <w:t xml:space="preserve"> Historical timeline (telemedicine to digital health)</w:t>
      </w:r>
      <w:r w:rsidR="009B6888" w:rsidRPr="005664AF">
        <w:rPr>
          <w:rFonts w:cs="Calibri"/>
        </w:rPr>
        <w:t xml:space="preserve"> </w:t>
      </w:r>
      <w:r w:rsidR="00BA0049" w:rsidRPr="005664AF">
        <w:rPr>
          <w:rFonts w:cs="Calibri"/>
        </w:rPr>
        <w:t xml:space="preserve">(Chandramohan </w:t>
      </w:r>
      <w:r w:rsidR="00BA0049" w:rsidRPr="005664AF">
        <w:rPr>
          <w:rFonts w:cs="Calibri"/>
          <w:i w:val="0"/>
          <w:iCs w:val="0"/>
        </w:rPr>
        <w:t>et al.</w:t>
      </w:r>
      <w:r w:rsidR="00BA0049" w:rsidRPr="005664AF">
        <w:rPr>
          <w:rFonts w:cs="Calibri"/>
        </w:rPr>
        <w:t xml:space="preserve">, 2023; Havelikar </w:t>
      </w:r>
      <w:r w:rsidR="00BA0049" w:rsidRPr="005664AF">
        <w:rPr>
          <w:rFonts w:cs="Calibri"/>
          <w:i w:val="0"/>
          <w:iCs w:val="0"/>
        </w:rPr>
        <w:t>et al.</w:t>
      </w:r>
      <w:r w:rsidR="00BA0049" w:rsidRPr="005664AF">
        <w:rPr>
          <w:rFonts w:cs="Calibri"/>
        </w:rPr>
        <w:t xml:space="preserve">, 2025; Omboni </w:t>
      </w:r>
      <w:r w:rsidR="00BA0049" w:rsidRPr="005664AF">
        <w:rPr>
          <w:rFonts w:cs="Calibri"/>
          <w:i w:val="0"/>
          <w:iCs w:val="0"/>
        </w:rPr>
        <w:t>et al.</w:t>
      </w:r>
      <w:r w:rsidR="00BA0049" w:rsidRPr="005664AF">
        <w:rPr>
          <w:rFonts w:cs="Calibri"/>
        </w:rPr>
        <w:t>, 2022)</w:t>
      </w:r>
      <w:bookmarkEnd w:id="10"/>
    </w:p>
    <w:tbl>
      <w:tblPr>
        <w:tblStyle w:val="TableGrid"/>
        <w:tblW w:w="0" w:type="auto"/>
        <w:tblLook w:val="04A0" w:firstRow="1" w:lastRow="0" w:firstColumn="1" w:lastColumn="0" w:noHBand="0" w:noVBand="1"/>
      </w:tblPr>
      <w:tblGrid>
        <w:gridCol w:w="1043"/>
        <w:gridCol w:w="2017"/>
        <w:gridCol w:w="1928"/>
        <w:gridCol w:w="1936"/>
        <w:gridCol w:w="2092"/>
      </w:tblGrid>
      <w:tr w:rsidR="00660767" w:rsidRPr="00660767" w14:paraId="39F60361" w14:textId="77777777" w:rsidTr="00660767">
        <w:tc>
          <w:tcPr>
            <w:tcW w:w="0" w:type="auto"/>
            <w:hideMark/>
          </w:tcPr>
          <w:p w14:paraId="0F1CD5F1" w14:textId="77777777" w:rsidR="00660767" w:rsidRPr="00660767" w:rsidRDefault="00660767" w:rsidP="00006876">
            <w:pPr>
              <w:spacing w:before="240"/>
              <w:jc w:val="both"/>
              <w:rPr>
                <w:b/>
                <w:bCs/>
              </w:rPr>
            </w:pPr>
            <w:r w:rsidRPr="00660767">
              <w:rPr>
                <w:b/>
                <w:bCs/>
              </w:rPr>
              <w:t>Period</w:t>
            </w:r>
          </w:p>
        </w:tc>
        <w:tc>
          <w:tcPr>
            <w:tcW w:w="0" w:type="auto"/>
            <w:hideMark/>
          </w:tcPr>
          <w:p w14:paraId="60482DC1" w14:textId="77777777" w:rsidR="00660767" w:rsidRPr="00660767" w:rsidRDefault="00660767" w:rsidP="00006876">
            <w:pPr>
              <w:spacing w:before="240"/>
              <w:jc w:val="both"/>
              <w:rPr>
                <w:b/>
                <w:bCs/>
              </w:rPr>
            </w:pPr>
            <w:r w:rsidRPr="00660767">
              <w:rPr>
                <w:b/>
                <w:bCs/>
              </w:rPr>
              <w:t>Milestones</w:t>
            </w:r>
          </w:p>
        </w:tc>
        <w:tc>
          <w:tcPr>
            <w:tcW w:w="0" w:type="auto"/>
            <w:hideMark/>
          </w:tcPr>
          <w:p w14:paraId="4C102F96" w14:textId="77777777" w:rsidR="00660767" w:rsidRPr="00660767" w:rsidRDefault="00660767" w:rsidP="00006876">
            <w:pPr>
              <w:spacing w:before="240"/>
              <w:jc w:val="both"/>
              <w:rPr>
                <w:b/>
                <w:bCs/>
              </w:rPr>
            </w:pPr>
            <w:r w:rsidRPr="00660767">
              <w:rPr>
                <w:b/>
                <w:bCs/>
              </w:rPr>
              <w:t>Dominant tech</w:t>
            </w:r>
          </w:p>
        </w:tc>
        <w:tc>
          <w:tcPr>
            <w:tcW w:w="0" w:type="auto"/>
            <w:hideMark/>
          </w:tcPr>
          <w:p w14:paraId="23FE6B9B" w14:textId="77777777" w:rsidR="00660767" w:rsidRPr="00660767" w:rsidRDefault="00660767" w:rsidP="00006876">
            <w:pPr>
              <w:spacing w:before="240"/>
              <w:jc w:val="both"/>
              <w:rPr>
                <w:b/>
                <w:bCs/>
              </w:rPr>
            </w:pPr>
            <w:r w:rsidRPr="00660767">
              <w:rPr>
                <w:b/>
                <w:bCs/>
              </w:rPr>
              <w:t>Rural emphasis</w:t>
            </w:r>
          </w:p>
        </w:tc>
        <w:tc>
          <w:tcPr>
            <w:tcW w:w="0" w:type="auto"/>
            <w:hideMark/>
          </w:tcPr>
          <w:p w14:paraId="7272D22D" w14:textId="77777777" w:rsidR="00660767" w:rsidRPr="00660767" w:rsidRDefault="00660767" w:rsidP="00006876">
            <w:pPr>
              <w:spacing w:before="240"/>
              <w:jc w:val="both"/>
              <w:rPr>
                <w:b/>
                <w:bCs/>
              </w:rPr>
            </w:pPr>
            <w:r w:rsidRPr="00660767">
              <w:rPr>
                <w:b/>
                <w:bCs/>
              </w:rPr>
              <w:t>Recurring issues</w:t>
            </w:r>
          </w:p>
        </w:tc>
      </w:tr>
      <w:tr w:rsidR="00660767" w:rsidRPr="00660767" w14:paraId="5C75A35B" w14:textId="77777777" w:rsidTr="00660767">
        <w:tc>
          <w:tcPr>
            <w:tcW w:w="0" w:type="auto"/>
            <w:hideMark/>
          </w:tcPr>
          <w:p w14:paraId="2DEC83D2" w14:textId="77777777" w:rsidR="00660767" w:rsidRPr="00660767" w:rsidRDefault="00660767" w:rsidP="00006876">
            <w:pPr>
              <w:spacing w:before="240"/>
              <w:jc w:val="both"/>
            </w:pPr>
            <w:r w:rsidRPr="00660767">
              <w:t>1950s–1970s</w:t>
            </w:r>
          </w:p>
        </w:tc>
        <w:tc>
          <w:tcPr>
            <w:tcW w:w="0" w:type="auto"/>
            <w:hideMark/>
          </w:tcPr>
          <w:p w14:paraId="6589D220" w14:textId="77777777" w:rsidR="00660767" w:rsidRPr="00660767" w:rsidRDefault="00660767" w:rsidP="00006876">
            <w:pPr>
              <w:spacing w:before="240"/>
              <w:jc w:val="both"/>
            </w:pPr>
            <w:r w:rsidRPr="00660767">
              <w:t>Early teleconsults; remote monitoring</w:t>
            </w:r>
          </w:p>
        </w:tc>
        <w:tc>
          <w:tcPr>
            <w:tcW w:w="0" w:type="auto"/>
            <w:hideMark/>
          </w:tcPr>
          <w:p w14:paraId="734EF05C" w14:textId="77777777" w:rsidR="00660767" w:rsidRPr="00660767" w:rsidRDefault="00660767" w:rsidP="00006876">
            <w:pPr>
              <w:spacing w:before="240"/>
              <w:jc w:val="both"/>
            </w:pPr>
            <w:r w:rsidRPr="00660767">
              <w:t>Telephone; radio; early video</w:t>
            </w:r>
          </w:p>
        </w:tc>
        <w:tc>
          <w:tcPr>
            <w:tcW w:w="0" w:type="auto"/>
            <w:hideMark/>
          </w:tcPr>
          <w:p w14:paraId="3667F85A" w14:textId="77777777" w:rsidR="00660767" w:rsidRPr="00660767" w:rsidRDefault="00660767" w:rsidP="00006876">
            <w:pPr>
              <w:spacing w:before="240"/>
              <w:jc w:val="both"/>
            </w:pPr>
            <w:r w:rsidRPr="00660767">
              <w:t>Remote sites; ships; military</w:t>
            </w:r>
          </w:p>
        </w:tc>
        <w:tc>
          <w:tcPr>
            <w:tcW w:w="0" w:type="auto"/>
            <w:hideMark/>
          </w:tcPr>
          <w:p w14:paraId="4DAF62FF" w14:textId="77777777" w:rsidR="00660767" w:rsidRPr="00660767" w:rsidRDefault="00660767" w:rsidP="00006876">
            <w:pPr>
              <w:spacing w:before="240"/>
              <w:jc w:val="both"/>
            </w:pPr>
            <w:r w:rsidRPr="00660767">
              <w:t>High cost; limited scale</w:t>
            </w:r>
          </w:p>
        </w:tc>
      </w:tr>
      <w:tr w:rsidR="00660767" w:rsidRPr="00660767" w14:paraId="58C8E960" w14:textId="77777777" w:rsidTr="00660767">
        <w:tc>
          <w:tcPr>
            <w:tcW w:w="0" w:type="auto"/>
            <w:hideMark/>
          </w:tcPr>
          <w:p w14:paraId="2808C848" w14:textId="77777777" w:rsidR="00660767" w:rsidRPr="00660767" w:rsidRDefault="00660767" w:rsidP="00006876">
            <w:pPr>
              <w:spacing w:before="240"/>
              <w:jc w:val="both"/>
            </w:pPr>
            <w:r w:rsidRPr="00660767">
              <w:t>1990s</w:t>
            </w:r>
          </w:p>
        </w:tc>
        <w:tc>
          <w:tcPr>
            <w:tcW w:w="0" w:type="auto"/>
            <w:hideMark/>
          </w:tcPr>
          <w:p w14:paraId="73F82D0C" w14:textId="77777777" w:rsidR="00660767" w:rsidRPr="00660767" w:rsidRDefault="00660767" w:rsidP="00006876">
            <w:pPr>
              <w:spacing w:before="240"/>
              <w:jc w:val="both"/>
            </w:pPr>
            <w:r w:rsidRPr="00660767">
              <w:t>Teleradiology; specialist links</w:t>
            </w:r>
          </w:p>
        </w:tc>
        <w:tc>
          <w:tcPr>
            <w:tcW w:w="0" w:type="auto"/>
            <w:hideMark/>
          </w:tcPr>
          <w:p w14:paraId="12E51CB9" w14:textId="77777777" w:rsidR="00660767" w:rsidRPr="00660767" w:rsidRDefault="00660767" w:rsidP="00006876">
            <w:pPr>
              <w:spacing w:before="240"/>
              <w:jc w:val="both"/>
            </w:pPr>
            <w:r w:rsidRPr="00660767">
              <w:t>Internet; digital imaging</w:t>
            </w:r>
          </w:p>
        </w:tc>
        <w:tc>
          <w:tcPr>
            <w:tcW w:w="0" w:type="auto"/>
            <w:hideMark/>
          </w:tcPr>
          <w:p w14:paraId="7A8BA651" w14:textId="77777777" w:rsidR="00660767" w:rsidRPr="00660767" w:rsidRDefault="00660767" w:rsidP="00006876">
            <w:pPr>
              <w:spacing w:before="240"/>
              <w:jc w:val="both"/>
            </w:pPr>
            <w:r w:rsidRPr="00660767">
              <w:t>Rural hospitals–urban specialists</w:t>
            </w:r>
          </w:p>
        </w:tc>
        <w:tc>
          <w:tcPr>
            <w:tcW w:w="0" w:type="auto"/>
            <w:hideMark/>
          </w:tcPr>
          <w:p w14:paraId="5A786BB5" w14:textId="77777777" w:rsidR="00660767" w:rsidRPr="00660767" w:rsidRDefault="00660767" w:rsidP="00006876">
            <w:pPr>
              <w:spacing w:before="240"/>
              <w:jc w:val="both"/>
            </w:pPr>
            <w:r w:rsidRPr="00660767">
              <w:t>Pilot dependence; weak evaluation</w:t>
            </w:r>
          </w:p>
        </w:tc>
      </w:tr>
      <w:tr w:rsidR="00660767" w:rsidRPr="00660767" w14:paraId="608BD1B0" w14:textId="77777777" w:rsidTr="00660767">
        <w:tc>
          <w:tcPr>
            <w:tcW w:w="0" w:type="auto"/>
            <w:hideMark/>
          </w:tcPr>
          <w:p w14:paraId="2EADF3EC" w14:textId="77777777" w:rsidR="00660767" w:rsidRPr="00660767" w:rsidRDefault="00660767" w:rsidP="00006876">
            <w:pPr>
              <w:spacing w:before="240"/>
              <w:jc w:val="both"/>
            </w:pPr>
            <w:r w:rsidRPr="00660767">
              <w:t>2000s–2010s</w:t>
            </w:r>
          </w:p>
        </w:tc>
        <w:tc>
          <w:tcPr>
            <w:tcW w:w="0" w:type="auto"/>
            <w:hideMark/>
          </w:tcPr>
          <w:p w14:paraId="62737BB9" w14:textId="77777777" w:rsidR="00660767" w:rsidRPr="00660767" w:rsidRDefault="00660767" w:rsidP="00006876">
            <w:pPr>
              <w:spacing w:before="240"/>
              <w:jc w:val="both"/>
            </w:pPr>
            <w:r w:rsidRPr="00660767">
              <w:t>mHealth growth; eHealth strategies</w:t>
            </w:r>
          </w:p>
        </w:tc>
        <w:tc>
          <w:tcPr>
            <w:tcW w:w="0" w:type="auto"/>
            <w:hideMark/>
          </w:tcPr>
          <w:p w14:paraId="035E63FE" w14:textId="77777777" w:rsidR="00660767" w:rsidRPr="00660767" w:rsidRDefault="00660767" w:rsidP="00006876">
            <w:pPr>
              <w:spacing w:before="240"/>
              <w:jc w:val="both"/>
            </w:pPr>
            <w:r w:rsidRPr="00660767">
              <w:t>SMS; smartphones; EHRs</w:t>
            </w:r>
          </w:p>
        </w:tc>
        <w:tc>
          <w:tcPr>
            <w:tcW w:w="0" w:type="auto"/>
            <w:hideMark/>
          </w:tcPr>
          <w:p w14:paraId="572EBD72" w14:textId="77777777" w:rsidR="00660767" w:rsidRPr="00660767" w:rsidRDefault="00660767" w:rsidP="00006876">
            <w:pPr>
              <w:spacing w:before="240"/>
              <w:jc w:val="both"/>
            </w:pPr>
            <w:r w:rsidRPr="00660767">
              <w:t>Primary care; community programmes</w:t>
            </w:r>
          </w:p>
        </w:tc>
        <w:tc>
          <w:tcPr>
            <w:tcW w:w="0" w:type="auto"/>
            <w:hideMark/>
          </w:tcPr>
          <w:p w14:paraId="3726A4C4" w14:textId="77777777" w:rsidR="00660767" w:rsidRPr="00660767" w:rsidRDefault="00660767" w:rsidP="00006876">
            <w:pPr>
              <w:spacing w:before="240"/>
              <w:jc w:val="both"/>
            </w:pPr>
            <w:r w:rsidRPr="00660767">
              <w:t>Fragmentation; sustainability gaps</w:t>
            </w:r>
          </w:p>
        </w:tc>
      </w:tr>
      <w:tr w:rsidR="00660767" w:rsidRPr="00660767" w14:paraId="4D1CD82C" w14:textId="77777777" w:rsidTr="00660767">
        <w:tc>
          <w:tcPr>
            <w:tcW w:w="0" w:type="auto"/>
            <w:hideMark/>
          </w:tcPr>
          <w:p w14:paraId="6EF828A6" w14:textId="77777777" w:rsidR="00660767" w:rsidRPr="00660767" w:rsidRDefault="00660767" w:rsidP="00006876">
            <w:pPr>
              <w:spacing w:before="240"/>
              <w:jc w:val="both"/>
            </w:pPr>
            <w:r w:rsidRPr="00660767">
              <w:t>2020–2022</w:t>
            </w:r>
          </w:p>
        </w:tc>
        <w:tc>
          <w:tcPr>
            <w:tcW w:w="0" w:type="auto"/>
            <w:hideMark/>
          </w:tcPr>
          <w:p w14:paraId="413C4EBB" w14:textId="77777777" w:rsidR="00660767" w:rsidRPr="00660767" w:rsidRDefault="00660767" w:rsidP="00006876">
            <w:pPr>
              <w:spacing w:before="240"/>
              <w:jc w:val="both"/>
            </w:pPr>
            <w:r w:rsidRPr="00660767">
              <w:t>COVID acceleration</w:t>
            </w:r>
          </w:p>
        </w:tc>
        <w:tc>
          <w:tcPr>
            <w:tcW w:w="0" w:type="auto"/>
            <w:hideMark/>
          </w:tcPr>
          <w:p w14:paraId="41A54176" w14:textId="77777777" w:rsidR="00660767" w:rsidRPr="00660767" w:rsidRDefault="00660767" w:rsidP="00006876">
            <w:pPr>
              <w:spacing w:before="240"/>
              <w:jc w:val="both"/>
            </w:pPr>
            <w:r w:rsidRPr="00660767">
              <w:t>Video; e-prescribing; remote triage</w:t>
            </w:r>
          </w:p>
        </w:tc>
        <w:tc>
          <w:tcPr>
            <w:tcW w:w="0" w:type="auto"/>
            <w:hideMark/>
          </w:tcPr>
          <w:p w14:paraId="7BCD2A6C" w14:textId="77777777" w:rsidR="00660767" w:rsidRPr="00660767" w:rsidRDefault="00660767" w:rsidP="00006876">
            <w:pPr>
              <w:spacing w:before="240"/>
              <w:jc w:val="both"/>
            </w:pPr>
            <w:r w:rsidRPr="00660767">
              <w:t>Rapid remote access</w:t>
            </w:r>
          </w:p>
        </w:tc>
        <w:tc>
          <w:tcPr>
            <w:tcW w:w="0" w:type="auto"/>
            <w:hideMark/>
          </w:tcPr>
          <w:p w14:paraId="08E17A48" w14:textId="77777777" w:rsidR="00660767" w:rsidRPr="00660767" w:rsidRDefault="00660767" w:rsidP="00006876">
            <w:pPr>
              <w:spacing w:before="240"/>
              <w:jc w:val="both"/>
            </w:pPr>
            <w:r w:rsidRPr="00660767">
              <w:t>Digital exclusion; regulatory strain</w:t>
            </w:r>
          </w:p>
        </w:tc>
      </w:tr>
      <w:tr w:rsidR="00660767" w:rsidRPr="00660767" w14:paraId="62BE80AC" w14:textId="77777777" w:rsidTr="00660767">
        <w:tc>
          <w:tcPr>
            <w:tcW w:w="0" w:type="auto"/>
            <w:hideMark/>
          </w:tcPr>
          <w:p w14:paraId="669DFCC7" w14:textId="77777777" w:rsidR="00660767" w:rsidRPr="00660767" w:rsidRDefault="00660767" w:rsidP="00006876">
            <w:pPr>
              <w:spacing w:before="240"/>
              <w:jc w:val="both"/>
            </w:pPr>
            <w:r w:rsidRPr="00660767">
              <w:t>2023–present</w:t>
            </w:r>
          </w:p>
        </w:tc>
        <w:tc>
          <w:tcPr>
            <w:tcW w:w="0" w:type="auto"/>
            <w:hideMark/>
          </w:tcPr>
          <w:p w14:paraId="55F7549B" w14:textId="77777777" w:rsidR="00660767" w:rsidRPr="00660767" w:rsidRDefault="00660767" w:rsidP="00006876">
            <w:pPr>
              <w:spacing w:before="240"/>
              <w:jc w:val="both"/>
            </w:pPr>
            <w:r w:rsidRPr="00660767">
              <w:t>Hybrid care; virtual wards</w:t>
            </w:r>
          </w:p>
        </w:tc>
        <w:tc>
          <w:tcPr>
            <w:tcW w:w="0" w:type="auto"/>
            <w:hideMark/>
          </w:tcPr>
          <w:p w14:paraId="0C7590E2" w14:textId="77777777" w:rsidR="00660767" w:rsidRPr="00660767" w:rsidRDefault="00660767" w:rsidP="00006876">
            <w:pPr>
              <w:spacing w:before="240"/>
              <w:jc w:val="both"/>
            </w:pPr>
            <w:r w:rsidRPr="00660767">
              <w:t>Remote monitoring; platforms</w:t>
            </w:r>
          </w:p>
        </w:tc>
        <w:tc>
          <w:tcPr>
            <w:tcW w:w="0" w:type="auto"/>
            <w:hideMark/>
          </w:tcPr>
          <w:p w14:paraId="1543E806" w14:textId="77777777" w:rsidR="00660767" w:rsidRPr="00660767" w:rsidRDefault="00660767" w:rsidP="00006876">
            <w:pPr>
              <w:spacing w:before="240"/>
              <w:jc w:val="both"/>
            </w:pPr>
            <w:r w:rsidRPr="00660767">
              <w:t>Chronic care; continuity focus</w:t>
            </w:r>
          </w:p>
        </w:tc>
        <w:tc>
          <w:tcPr>
            <w:tcW w:w="0" w:type="auto"/>
            <w:hideMark/>
          </w:tcPr>
          <w:p w14:paraId="6928F150" w14:textId="77777777" w:rsidR="00660767" w:rsidRPr="00660767" w:rsidRDefault="00660767" w:rsidP="00006876">
            <w:pPr>
              <w:spacing w:before="240"/>
              <w:jc w:val="both"/>
            </w:pPr>
            <w:r w:rsidRPr="00660767">
              <w:t>Interoperability; equity monitoring</w:t>
            </w:r>
          </w:p>
        </w:tc>
      </w:tr>
    </w:tbl>
    <w:p w14:paraId="65C76F09" w14:textId="77777777" w:rsidR="00660767" w:rsidRPr="004C33C2" w:rsidRDefault="00660767" w:rsidP="00006876">
      <w:pPr>
        <w:pStyle w:val="NormalWeb"/>
        <w:spacing w:before="240" w:beforeAutospacing="0"/>
        <w:jc w:val="both"/>
        <w:rPr>
          <w:rFonts w:cs="Calibri"/>
          <w:szCs w:val="22"/>
        </w:rPr>
      </w:pPr>
    </w:p>
    <w:p w14:paraId="55B078F3" w14:textId="77777777" w:rsidR="00B86E38" w:rsidRPr="004C33C2" w:rsidRDefault="00B86E38" w:rsidP="00006876">
      <w:pPr>
        <w:pStyle w:val="Heading2"/>
        <w:spacing w:before="240"/>
        <w:jc w:val="both"/>
      </w:pPr>
      <w:bookmarkStart w:id="11" w:name="_Toc220350656"/>
      <w:r w:rsidRPr="004C33C2">
        <w:lastRenderedPageBreak/>
        <w:t>2.3 Theoretical Background</w:t>
      </w:r>
      <w:bookmarkEnd w:id="11"/>
    </w:p>
    <w:p w14:paraId="6E1CDCA3" w14:textId="4F898999" w:rsidR="00B86E38" w:rsidRPr="004C33C2" w:rsidRDefault="00B86E38" w:rsidP="00006876">
      <w:pPr>
        <w:pStyle w:val="NormalWeb"/>
        <w:spacing w:before="240" w:beforeAutospacing="0"/>
        <w:jc w:val="both"/>
        <w:rPr>
          <w:rFonts w:cs="Calibri"/>
          <w:szCs w:val="22"/>
        </w:rPr>
      </w:pPr>
      <w:r w:rsidRPr="004C33C2">
        <w:rPr>
          <w:rFonts w:cs="Calibri"/>
          <w:szCs w:val="22"/>
        </w:rPr>
        <w:t xml:space="preserve">This study draws on two main theories and one key concept to frame analysis of telemedicine and digital health in rural communities: Diffusion of Innovation theory, the Technology Acceptance Model and the concept of the digital divide. </w:t>
      </w:r>
    </w:p>
    <w:p w14:paraId="64495BAA" w14:textId="2F161A55" w:rsidR="00B86E38" w:rsidRDefault="00B86E38" w:rsidP="00006876">
      <w:pPr>
        <w:pStyle w:val="NormalWeb"/>
        <w:spacing w:before="240" w:beforeAutospacing="0"/>
        <w:jc w:val="both"/>
        <w:rPr>
          <w:rFonts w:cs="Calibri"/>
          <w:szCs w:val="22"/>
        </w:rPr>
      </w:pPr>
      <w:r w:rsidRPr="004C33C2">
        <w:rPr>
          <w:rFonts w:cs="Calibri"/>
          <w:szCs w:val="22"/>
        </w:rPr>
        <w:t>Diffusion of Innovation theory, developed by Rogers, describes how new ideas and technologies spread through a social system over time. It highlights the perceived attributes of an innovation</w:t>
      </w:r>
      <w:r w:rsidR="00C94DB6" w:rsidRPr="004C33C2">
        <w:rPr>
          <w:rFonts w:cs="Calibri"/>
          <w:szCs w:val="22"/>
        </w:rPr>
        <w:t xml:space="preserve">: </w:t>
      </w:r>
      <w:r w:rsidRPr="004C33C2">
        <w:rPr>
          <w:rFonts w:cs="Calibri"/>
          <w:szCs w:val="22"/>
        </w:rPr>
        <w:t>relative advantage, compatibility, complexity, trialability and observability</w:t>
      </w:r>
      <w:r w:rsidR="00C94DB6" w:rsidRPr="004C33C2">
        <w:rPr>
          <w:rFonts w:cs="Calibri"/>
          <w:szCs w:val="22"/>
        </w:rPr>
        <w:t xml:space="preserve"> </w:t>
      </w:r>
      <w:r w:rsidRPr="004C33C2">
        <w:rPr>
          <w:rFonts w:cs="Calibri"/>
          <w:szCs w:val="22"/>
        </w:rPr>
        <w:t>as key influences on adoption</w:t>
      </w:r>
      <w:r w:rsidR="00340DB6" w:rsidRPr="004C33C2">
        <w:rPr>
          <w:rFonts w:cs="Calibri"/>
          <w:szCs w:val="22"/>
        </w:rPr>
        <w:t xml:space="preserve"> (Dearing, 2009)</w:t>
      </w:r>
      <w:r w:rsidRPr="004C33C2">
        <w:rPr>
          <w:rFonts w:cs="Calibri"/>
          <w:szCs w:val="22"/>
        </w:rPr>
        <w:t xml:space="preserve">. </w:t>
      </w:r>
      <w:r w:rsidR="00D65078" w:rsidRPr="00D65078">
        <w:rPr>
          <w:rFonts w:cs="Calibri"/>
          <w:szCs w:val="22"/>
        </w:rPr>
        <w:t>This framework is used by telemedicine studies to examine the manner in which stakeholders assess the value of remote care. Telehealth will be more likely to be implemented in rural clinics when it is perceived as compatible with the current workflow, when it obviously minimizes travel to patients and when it leads to observable positive consequences. Opinion leaders and professional networks also become the focus of the theory because they may either promote or obstruct digital-health initiatives (Spaulding et al., 2005). Nonetheless, diffusion research has been accused of pro-innovation bias and understatement of power relations. In most rural telemedicine programmes, communities do not make decisions related to design and rollout, but rather central authorities or external funders, and diffusion theory has reduced capacity to respond to these structural processe</w:t>
      </w:r>
      <w:r w:rsidR="00D65078">
        <w:rPr>
          <w:rFonts w:cs="Calibri"/>
          <w:szCs w:val="22"/>
        </w:rPr>
        <w:t>s</w:t>
      </w:r>
      <w:r w:rsidR="00C94DB6" w:rsidRPr="004C33C2">
        <w:rPr>
          <w:rFonts w:cs="Calibri"/>
          <w:szCs w:val="22"/>
        </w:rPr>
        <w:t xml:space="preserve"> (Zhang </w:t>
      </w:r>
      <w:r w:rsidR="00C94DB6" w:rsidRPr="004C33C2">
        <w:rPr>
          <w:rFonts w:cs="Calibri"/>
          <w:i/>
          <w:iCs/>
          <w:szCs w:val="22"/>
        </w:rPr>
        <w:t>et al.</w:t>
      </w:r>
      <w:r w:rsidR="00C94DB6" w:rsidRPr="004C33C2">
        <w:rPr>
          <w:rFonts w:cs="Calibri"/>
          <w:szCs w:val="22"/>
        </w:rPr>
        <w:t>, 2015)</w:t>
      </w:r>
      <w:r w:rsidRPr="004C33C2">
        <w:rPr>
          <w:rFonts w:cs="Calibri"/>
          <w:szCs w:val="22"/>
        </w:rPr>
        <w:t>.</w:t>
      </w:r>
    </w:p>
    <w:p w14:paraId="02AA5CE7" w14:textId="77777777" w:rsidR="002A221C" w:rsidRDefault="002A221C" w:rsidP="005664AF">
      <w:pPr>
        <w:pStyle w:val="NormalWeb"/>
        <w:keepNext/>
        <w:spacing w:before="240" w:beforeAutospacing="0"/>
        <w:jc w:val="center"/>
      </w:pPr>
      <w:r>
        <w:fldChar w:fldCharType="begin"/>
      </w:r>
      <w:r>
        <w:instrText xml:space="preserve"> INCLUDEPICTURE "https://cjni.net/journal/wp-content/uploads/2011/06/DofI_bell2.png" \* MERGEFORMATINET </w:instrText>
      </w:r>
      <w:r>
        <w:fldChar w:fldCharType="separate"/>
      </w:r>
      <w:r>
        <w:rPr>
          <w:noProof/>
        </w:rPr>
        <w:drawing>
          <wp:inline distT="0" distB="0" distL="0" distR="0" wp14:anchorId="39727631" wp14:editId="66D7A90C">
            <wp:extent cx="5731510" cy="2142490"/>
            <wp:effectExtent l="0" t="0" r="0" b="3810"/>
            <wp:docPr id="1381624366" name="Picture 2" descr="Diffusion of Innovation Theory | Canadian Journal of Nursing Informa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iffusion of Innovation Theory | Canadian Journal of Nursing Informatic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142490"/>
                    </a:xfrm>
                    <a:prstGeom prst="rect">
                      <a:avLst/>
                    </a:prstGeom>
                    <a:noFill/>
                    <a:ln>
                      <a:noFill/>
                    </a:ln>
                  </pic:spPr>
                </pic:pic>
              </a:graphicData>
            </a:graphic>
          </wp:inline>
        </w:drawing>
      </w:r>
      <w:r>
        <w:fldChar w:fldCharType="end"/>
      </w:r>
    </w:p>
    <w:p w14:paraId="728BB5D8" w14:textId="392EAD00" w:rsidR="002A221C" w:rsidRPr="00F12622" w:rsidRDefault="002A221C" w:rsidP="005664AF">
      <w:pPr>
        <w:pStyle w:val="Caption"/>
        <w:jc w:val="center"/>
        <w:rPr>
          <w:rFonts w:cs="Calibri"/>
        </w:rPr>
      </w:pPr>
      <w:bookmarkStart w:id="12" w:name="_Toc219414094"/>
      <w:r w:rsidRPr="00F12622">
        <w:t xml:space="preserve">Figure </w:t>
      </w:r>
      <w:fldSimple w:instr=" SEQ Figure \* ARABIC ">
        <w:r w:rsidR="003F4B75">
          <w:rPr>
            <w:noProof/>
          </w:rPr>
          <w:t>2</w:t>
        </w:r>
      </w:fldSimple>
      <w:r w:rsidRPr="00F12622">
        <w:rPr>
          <w:lang w:val="en-GB"/>
        </w:rPr>
        <w:t xml:space="preserve">: Diffusion of Innovation theory </w:t>
      </w:r>
      <w:r w:rsidRPr="00F12622">
        <w:rPr>
          <w:rFonts w:cs="Calibri"/>
        </w:rPr>
        <w:t>(Kaminski, 2011)</w:t>
      </w:r>
      <w:bookmarkEnd w:id="12"/>
    </w:p>
    <w:p w14:paraId="6D4E6BBC" w14:textId="26A3192B" w:rsidR="00B86E38" w:rsidRDefault="005B01C3" w:rsidP="00006876">
      <w:pPr>
        <w:pStyle w:val="NormalWeb"/>
        <w:spacing w:before="240" w:beforeAutospacing="0"/>
        <w:jc w:val="both"/>
        <w:rPr>
          <w:rFonts w:cs="Calibri"/>
          <w:szCs w:val="22"/>
        </w:rPr>
      </w:pPr>
      <w:r w:rsidRPr="005B01C3">
        <w:rPr>
          <w:rFonts w:cs="Calibri"/>
          <w:szCs w:val="22"/>
        </w:rPr>
        <w:t xml:space="preserve">The Technology Acceptance Model (TAM) centers on the role of perceived usefulness and perceived ease of use to determine the intentions and actual use of technology by users. TAM has been commonly utilized in digital-health studies by clinicians and patients (Lee, Ramasamy and Subbarao, 2025). Ma et al. (2022) administer surveys to measure the predictive power of these perceptions on the willingness to use telemedicine. Results indicate that perceived usefulness or apprehensions </w:t>
      </w:r>
      <w:r w:rsidRPr="005B01C3">
        <w:rPr>
          <w:rFonts w:cs="Calibri"/>
          <w:szCs w:val="22"/>
        </w:rPr>
        <w:lastRenderedPageBreak/>
        <w:t>regarding usability can limit adoption despite the availability of infrastructure. TAM is useful in rendering user experience transparent and emphasizing the role of training, interface design and workflow integration. Yet it is narrow. It views acceptance primarily as a personal choice and underscores less about institutional constraints, data governance or cultural meanings of face-to-face care that are very pertinent in rural contexts</w:t>
      </w:r>
      <w:r>
        <w:rPr>
          <w:rFonts w:cs="Calibri"/>
          <w:szCs w:val="22"/>
        </w:rPr>
        <w:t xml:space="preserve"> </w:t>
      </w:r>
      <w:r w:rsidR="0028135C" w:rsidRPr="004C33C2">
        <w:rPr>
          <w:rFonts w:cs="Calibri"/>
          <w:szCs w:val="22"/>
        </w:rPr>
        <w:t xml:space="preserve">(Wang </w:t>
      </w:r>
      <w:r w:rsidR="0028135C" w:rsidRPr="004C33C2">
        <w:rPr>
          <w:rFonts w:cs="Calibri"/>
          <w:i/>
          <w:iCs/>
          <w:szCs w:val="22"/>
        </w:rPr>
        <w:t>et al.</w:t>
      </w:r>
      <w:r w:rsidR="0028135C" w:rsidRPr="004C33C2">
        <w:rPr>
          <w:rFonts w:cs="Calibri"/>
          <w:szCs w:val="22"/>
        </w:rPr>
        <w:t>, 2025)</w:t>
      </w:r>
      <w:r w:rsidR="00B86E38" w:rsidRPr="004C33C2">
        <w:rPr>
          <w:rFonts w:cs="Calibri"/>
          <w:szCs w:val="22"/>
        </w:rPr>
        <w:t>.</w:t>
      </w:r>
    </w:p>
    <w:p w14:paraId="529A7642" w14:textId="77777777" w:rsidR="004C275D" w:rsidRDefault="004C275D" w:rsidP="005664AF">
      <w:pPr>
        <w:pStyle w:val="NormalWeb"/>
        <w:keepNext/>
        <w:spacing w:before="240" w:beforeAutospacing="0"/>
        <w:jc w:val="center"/>
      </w:pPr>
      <w:r w:rsidRPr="004C275D">
        <w:rPr>
          <w:rFonts w:cs="Calibri"/>
          <w:noProof/>
          <w:szCs w:val="22"/>
        </w:rPr>
        <w:drawing>
          <wp:inline distT="0" distB="0" distL="0" distR="0" wp14:anchorId="69A4BA30" wp14:editId="1D7A9224">
            <wp:extent cx="5731510" cy="2072005"/>
            <wp:effectExtent l="0" t="0" r="0" b="0"/>
            <wp:docPr id="1775447621" name="Picture 1" descr="A diagram of a person's attitu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447621" name="Picture 1" descr="A diagram of a person's attitude&#10;&#10;AI-generated content may be incorrect."/>
                    <pic:cNvPicPr/>
                  </pic:nvPicPr>
                  <pic:blipFill>
                    <a:blip r:embed="rId11"/>
                    <a:stretch>
                      <a:fillRect/>
                    </a:stretch>
                  </pic:blipFill>
                  <pic:spPr>
                    <a:xfrm>
                      <a:off x="0" y="0"/>
                      <a:ext cx="5731510" cy="2072005"/>
                    </a:xfrm>
                    <a:prstGeom prst="rect">
                      <a:avLst/>
                    </a:prstGeom>
                  </pic:spPr>
                </pic:pic>
              </a:graphicData>
            </a:graphic>
          </wp:inline>
        </w:drawing>
      </w:r>
    </w:p>
    <w:p w14:paraId="32516D50" w14:textId="2E914392" w:rsidR="004C275D" w:rsidRPr="004C275D" w:rsidRDefault="004C275D" w:rsidP="005664AF">
      <w:pPr>
        <w:pStyle w:val="Caption"/>
        <w:jc w:val="center"/>
        <w:rPr>
          <w:rFonts w:cs="Calibri"/>
        </w:rPr>
      </w:pPr>
      <w:bookmarkStart w:id="13" w:name="_Toc219414095"/>
      <w:r w:rsidRPr="004C275D">
        <w:t xml:space="preserve">Figure </w:t>
      </w:r>
      <w:fldSimple w:instr=" SEQ Figure \* ARABIC ">
        <w:r w:rsidR="003F4B75">
          <w:rPr>
            <w:noProof/>
          </w:rPr>
          <w:t>3</w:t>
        </w:r>
      </w:fldSimple>
      <w:r w:rsidRPr="004C275D">
        <w:rPr>
          <w:lang w:val="en-GB"/>
        </w:rPr>
        <w:t xml:space="preserve">: Technology Acceptance Model </w:t>
      </w:r>
      <w:r w:rsidRPr="004C275D">
        <w:rPr>
          <w:rFonts w:cs="Calibri"/>
        </w:rPr>
        <w:t>(Miller and Khera, 2010)</w:t>
      </w:r>
      <w:bookmarkEnd w:id="13"/>
    </w:p>
    <w:p w14:paraId="43C6E519" w14:textId="77777777" w:rsidR="008E7729" w:rsidRDefault="008E7729" w:rsidP="00006876">
      <w:pPr>
        <w:spacing w:before="240"/>
        <w:jc w:val="both"/>
      </w:pPr>
      <w:r w:rsidRPr="008E7729">
        <w:t>The digital divide is a convenient term as it pays attention to the unequal distribution of access to technology, digital skills and the advantages people get when they use digital services. These inequalities are sometimes referred to as first-level divides, including the absence of devices or the internet, second-level divides, including less digital skills, and third-level divides, including differences in social or economic consequences. These issues are commonly associated with income, gender, age, disability and ethnicity in the countryside. Consequently, the technology can seem to be extremely widespread, even though poorer families, elderly people, and minorities remain marginalized (Wang et al., 2025; Zhang et al., 2015). The digital divide, in particular, is of particular interest to this dissertation since it clearly links the development of infrastructure to a decrease in inequality and better health outcomes. This renders it very pertinent to SDG 9, SDG 10, and SDG 3. Nevertheless, it may become excessively descriptive by providing the communities as deficient, but not exploring the broader policy and resource choices that drive these inequalities (Maita et al., 2024; Wang et al., 2025; Zhang et al., 2015).</w:t>
      </w:r>
    </w:p>
    <w:p w14:paraId="7D7DBEAB" w14:textId="288CFCB1" w:rsidR="000A3CA6" w:rsidRDefault="000A3CA6" w:rsidP="00006876">
      <w:pPr>
        <w:spacing w:before="240"/>
        <w:jc w:val="both"/>
      </w:pPr>
      <w:r>
        <w:t>A comparison is theories with respect to the study is explained in table below:</w:t>
      </w:r>
    </w:p>
    <w:p w14:paraId="6919EF36" w14:textId="19AEC657" w:rsidR="00465220" w:rsidRDefault="00465220" w:rsidP="00006876">
      <w:pPr>
        <w:pStyle w:val="Caption"/>
        <w:keepNext/>
        <w:spacing w:before="240"/>
        <w:jc w:val="both"/>
      </w:pPr>
      <w:bookmarkStart w:id="14" w:name="_Toc219413624"/>
      <w:r>
        <w:lastRenderedPageBreak/>
        <w:t xml:space="preserve">Table </w:t>
      </w:r>
      <w:fldSimple w:instr=" SEQ Table \* ARABIC ">
        <w:r w:rsidR="00FD3C99">
          <w:rPr>
            <w:noProof/>
          </w:rPr>
          <w:t>2</w:t>
        </w:r>
      </w:fldSimple>
      <w:r>
        <w:rPr>
          <w:lang w:val="en-GB"/>
        </w:rPr>
        <w:t>: Comparison of Theories</w:t>
      </w:r>
      <w:r w:rsidR="00150A7D">
        <w:rPr>
          <w:lang w:val="en-GB"/>
        </w:rPr>
        <w:t xml:space="preserve"> </w:t>
      </w:r>
      <w:r w:rsidR="00150A7D">
        <w:t>(Maita et al., 2024; Wang et al., 2025; Zhang et al., 2015)</w:t>
      </w:r>
      <w:bookmarkEnd w:id="14"/>
    </w:p>
    <w:tbl>
      <w:tblPr>
        <w:tblStyle w:val="TableGrid"/>
        <w:tblW w:w="0" w:type="auto"/>
        <w:tblLook w:val="04A0" w:firstRow="1" w:lastRow="0" w:firstColumn="1" w:lastColumn="0" w:noHBand="0" w:noVBand="1"/>
      </w:tblPr>
      <w:tblGrid>
        <w:gridCol w:w="1234"/>
        <w:gridCol w:w="1386"/>
        <w:gridCol w:w="1414"/>
        <w:gridCol w:w="1402"/>
        <w:gridCol w:w="1976"/>
        <w:gridCol w:w="1604"/>
      </w:tblGrid>
      <w:tr w:rsidR="000A3CA6" w:rsidRPr="000A3CA6" w14:paraId="4A5950CA" w14:textId="77777777" w:rsidTr="000A3CA6">
        <w:tc>
          <w:tcPr>
            <w:tcW w:w="0" w:type="auto"/>
            <w:hideMark/>
          </w:tcPr>
          <w:p w14:paraId="7105C74F" w14:textId="77777777" w:rsidR="000A3CA6" w:rsidRPr="000A3CA6" w:rsidRDefault="000A3CA6" w:rsidP="00006876">
            <w:pPr>
              <w:spacing w:before="240"/>
              <w:jc w:val="both"/>
              <w:rPr>
                <w:b/>
                <w:bCs/>
              </w:rPr>
            </w:pPr>
            <w:r w:rsidRPr="000A3CA6">
              <w:rPr>
                <w:b/>
                <w:bCs/>
              </w:rPr>
              <w:t>Framework</w:t>
            </w:r>
          </w:p>
        </w:tc>
        <w:tc>
          <w:tcPr>
            <w:tcW w:w="0" w:type="auto"/>
            <w:hideMark/>
          </w:tcPr>
          <w:p w14:paraId="05BC11F2" w14:textId="77777777" w:rsidR="000A3CA6" w:rsidRPr="000A3CA6" w:rsidRDefault="000A3CA6" w:rsidP="00006876">
            <w:pPr>
              <w:spacing w:before="240"/>
              <w:jc w:val="both"/>
              <w:rPr>
                <w:b/>
                <w:bCs/>
              </w:rPr>
            </w:pPr>
            <w:r w:rsidRPr="000A3CA6">
              <w:rPr>
                <w:b/>
                <w:bCs/>
              </w:rPr>
              <w:t>Unit of analysis</w:t>
            </w:r>
          </w:p>
        </w:tc>
        <w:tc>
          <w:tcPr>
            <w:tcW w:w="0" w:type="auto"/>
            <w:hideMark/>
          </w:tcPr>
          <w:p w14:paraId="1B092824" w14:textId="77777777" w:rsidR="000A3CA6" w:rsidRPr="000A3CA6" w:rsidRDefault="000A3CA6" w:rsidP="00006876">
            <w:pPr>
              <w:spacing w:before="240"/>
              <w:jc w:val="both"/>
              <w:rPr>
                <w:b/>
                <w:bCs/>
              </w:rPr>
            </w:pPr>
            <w:r w:rsidRPr="000A3CA6">
              <w:rPr>
                <w:b/>
                <w:bCs/>
              </w:rPr>
              <w:t>Key constructs</w:t>
            </w:r>
          </w:p>
        </w:tc>
        <w:tc>
          <w:tcPr>
            <w:tcW w:w="0" w:type="auto"/>
            <w:hideMark/>
          </w:tcPr>
          <w:p w14:paraId="49559B89" w14:textId="77777777" w:rsidR="000A3CA6" w:rsidRPr="000A3CA6" w:rsidRDefault="000A3CA6" w:rsidP="00006876">
            <w:pPr>
              <w:spacing w:before="240"/>
              <w:jc w:val="both"/>
              <w:rPr>
                <w:b/>
                <w:bCs/>
              </w:rPr>
            </w:pPr>
            <w:r w:rsidRPr="000A3CA6">
              <w:rPr>
                <w:b/>
                <w:bCs/>
              </w:rPr>
              <w:t>Explains best</w:t>
            </w:r>
          </w:p>
        </w:tc>
        <w:tc>
          <w:tcPr>
            <w:tcW w:w="0" w:type="auto"/>
            <w:hideMark/>
          </w:tcPr>
          <w:p w14:paraId="743CA1EB" w14:textId="77777777" w:rsidR="000A3CA6" w:rsidRPr="000A3CA6" w:rsidRDefault="000A3CA6" w:rsidP="00006876">
            <w:pPr>
              <w:spacing w:before="240"/>
              <w:jc w:val="both"/>
              <w:rPr>
                <w:b/>
                <w:bCs/>
              </w:rPr>
            </w:pPr>
            <w:r w:rsidRPr="000A3CA6">
              <w:rPr>
                <w:b/>
                <w:bCs/>
              </w:rPr>
              <w:t>Limits</w:t>
            </w:r>
          </w:p>
        </w:tc>
        <w:tc>
          <w:tcPr>
            <w:tcW w:w="0" w:type="auto"/>
            <w:hideMark/>
          </w:tcPr>
          <w:p w14:paraId="551CBBB1" w14:textId="77777777" w:rsidR="000A3CA6" w:rsidRPr="000A3CA6" w:rsidRDefault="000A3CA6" w:rsidP="00006876">
            <w:pPr>
              <w:spacing w:before="240"/>
              <w:jc w:val="both"/>
              <w:rPr>
                <w:b/>
                <w:bCs/>
              </w:rPr>
            </w:pPr>
            <w:r w:rsidRPr="000A3CA6">
              <w:rPr>
                <w:b/>
                <w:bCs/>
              </w:rPr>
              <w:t>SDG link</w:t>
            </w:r>
          </w:p>
        </w:tc>
      </w:tr>
      <w:tr w:rsidR="000A3CA6" w:rsidRPr="000A3CA6" w14:paraId="4C08A3BE" w14:textId="77777777" w:rsidTr="000A3CA6">
        <w:tc>
          <w:tcPr>
            <w:tcW w:w="0" w:type="auto"/>
            <w:hideMark/>
          </w:tcPr>
          <w:p w14:paraId="5F7D26E7" w14:textId="77777777" w:rsidR="000A3CA6" w:rsidRPr="000A3CA6" w:rsidRDefault="000A3CA6" w:rsidP="00006876">
            <w:pPr>
              <w:spacing w:before="240"/>
              <w:jc w:val="both"/>
            </w:pPr>
            <w:r w:rsidRPr="000A3CA6">
              <w:t>Diffusion of Innovation</w:t>
            </w:r>
          </w:p>
        </w:tc>
        <w:tc>
          <w:tcPr>
            <w:tcW w:w="0" w:type="auto"/>
            <w:hideMark/>
          </w:tcPr>
          <w:p w14:paraId="5F4A5DBC" w14:textId="77777777" w:rsidR="000A3CA6" w:rsidRPr="000A3CA6" w:rsidRDefault="000A3CA6" w:rsidP="00006876">
            <w:pPr>
              <w:spacing w:before="240"/>
              <w:jc w:val="both"/>
            </w:pPr>
            <w:r w:rsidRPr="000A3CA6">
              <w:t>System, organisations</w:t>
            </w:r>
          </w:p>
        </w:tc>
        <w:tc>
          <w:tcPr>
            <w:tcW w:w="0" w:type="auto"/>
            <w:hideMark/>
          </w:tcPr>
          <w:p w14:paraId="42FACBC4" w14:textId="77777777" w:rsidR="000A3CA6" w:rsidRPr="000A3CA6" w:rsidRDefault="000A3CA6" w:rsidP="00006876">
            <w:pPr>
              <w:spacing w:before="240"/>
              <w:jc w:val="both"/>
            </w:pPr>
            <w:r w:rsidRPr="000A3CA6">
              <w:t>Relative advantage; compatibility; complexity; trialability; observability; opinion leaders</w:t>
            </w:r>
          </w:p>
        </w:tc>
        <w:tc>
          <w:tcPr>
            <w:tcW w:w="0" w:type="auto"/>
            <w:hideMark/>
          </w:tcPr>
          <w:p w14:paraId="2A67E935" w14:textId="77777777" w:rsidR="000A3CA6" w:rsidRPr="000A3CA6" w:rsidRDefault="000A3CA6" w:rsidP="00006876">
            <w:pPr>
              <w:spacing w:before="240"/>
              <w:jc w:val="both"/>
            </w:pPr>
            <w:r w:rsidRPr="000A3CA6">
              <w:t>Spread; scaling patterns</w:t>
            </w:r>
          </w:p>
        </w:tc>
        <w:tc>
          <w:tcPr>
            <w:tcW w:w="0" w:type="auto"/>
            <w:hideMark/>
          </w:tcPr>
          <w:p w14:paraId="6F6A6946" w14:textId="77777777" w:rsidR="000A3CA6" w:rsidRPr="000A3CA6" w:rsidRDefault="000A3CA6" w:rsidP="00006876">
            <w:pPr>
              <w:spacing w:before="240"/>
              <w:jc w:val="both"/>
            </w:pPr>
            <w:r w:rsidRPr="000A3CA6">
              <w:t>Pro-innovation bias; weak power analysis</w:t>
            </w:r>
          </w:p>
        </w:tc>
        <w:tc>
          <w:tcPr>
            <w:tcW w:w="0" w:type="auto"/>
            <w:hideMark/>
          </w:tcPr>
          <w:p w14:paraId="60558628" w14:textId="77777777" w:rsidR="000A3CA6" w:rsidRPr="000A3CA6" w:rsidRDefault="000A3CA6" w:rsidP="00006876">
            <w:pPr>
              <w:spacing w:before="240"/>
              <w:jc w:val="both"/>
            </w:pPr>
            <w:r w:rsidRPr="000A3CA6">
              <w:t>SDG 9 (systems), SDG 3 (service reach)</w:t>
            </w:r>
          </w:p>
        </w:tc>
      </w:tr>
      <w:tr w:rsidR="000A3CA6" w:rsidRPr="000A3CA6" w14:paraId="031F7C4F" w14:textId="77777777" w:rsidTr="000A3CA6">
        <w:tc>
          <w:tcPr>
            <w:tcW w:w="0" w:type="auto"/>
            <w:hideMark/>
          </w:tcPr>
          <w:p w14:paraId="027E897E" w14:textId="77777777" w:rsidR="000A3CA6" w:rsidRPr="000A3CA6" w:rsidRDefault="000A3CA6" w:rsidP="00006876">
            <w:pPr>
              <w:spacing w:before="240"/>
              <w:jc w:val="both"/>
            </w:pPr>
            <w:r w:rsidRPr="000A3CA6">
              <w:t>TAM</w:t>
            </w:r>
          </w:p>
        </w:tc>
        <w:tc>
          <w:tcPr>
            <w:tcW w:w="0" w:type="auto"/>
            <w:hideMark/>
          </w:tcPr>
          <w:p w14:paraId="4B6D559A" w14:textId="77777777" w:rsidR="000A3CA6" w:rsidRPr="000A3CA6" w:rsidRDefault="000A3CA6" w:rsidP="00006876">
            <w:pPr>
              <w:spacing w:before="240"/>
              <w:jc w:val="both"/>
            </w:pPr>
            <w:r w:rsidRPr="000A3CA6">
              <w:t>Individual users</w:t>
            </w:r>
          </w:p>
        </w:tc>
        <w:tc>
          <w:tcPr>
            <w:tcW w:w="0" w:type="auto"/>
            <w:hideMark/>
          </w:tcPr>
          <w:p w14:paraId="3C79E2F1" w14:textId="77777777" w:rsidR="000A3CA6" w:rsidRPr="000A3CA6" w:rsidRDefault="000A3CA6" w:rsidP="00006876">
            <w:pPr>
              <w:spacing w:before="240"/>
              <w:jc w:val="both"/>
            </w:pPr>
            <w:r w:rsidRPr="000A3CA6">
              <w:t>Perceived usefulness; perceived ease of use; intention</w:t>
            </w:r>
          </w:p>
        </w:tc>
        <w:tc>
          <w:tcPr>
            <w:tcW w:w="0" w:type="auto"/>
            <w:hideMark/>
          </w:tcPr>
          <w:p w14:paraId="2B041AE8" w14:textId="77777777" w:rsidR="000A3CA6" w:rsidRPr="000A3CA6" w:rsidRDefault="000A3CA6" w:rsidP="00006876">
            <w:pPr>
              <w:spacing w:before="240"/>
              <w:jc w:val="both"/>
            </w:pPr>
            <w:r w:rsidRPr="000A3CA6">
              <w:t>Acceptability; usability</w:t>
            </w:r>
          </w:p>
        </w:tc>
        <w:tc>
          <w:tcPr>
            <w:tcW w:w="0" w:type="auto"/>
            <w:hideMark/>
          </w:tcPr>
          <w:p w14:paraId="57890A93" w14:textId="77777777" w:rsidR="000A3CA6" w:rsidRPr="000A3CA6" w:rsidRDefault="000A3CA6" w:rsidP="00006876">
            <w:pPr>
              <w:spacing w:before="240"/>
              <w:jc w:val="both"/>
            </w:pPr>
            <w:r w:rsidRPr="000A3CA6">
              <w:t>Individual focus; weak context/governance</w:t>
            </w:r>
          </w:p>
        </w:tc>
        <w:tc>
          <w:tcPr>
            <w:tcW w:w="0" w:type="auto"/>
            <w:hideMark/>
          </w:tcPr>
          <w:p w14:paraId="3F679081" w14:textId="77777777" w:rsidR="000A3CA6" w:rsidRPr="000A3CA6" w:rsidRDefault="000A3CA6" w:rsidP="00006876">
            <w:pPr>
              <w:spacing w:before="240"/>
              <w:jc w:val="both"/>
            </w:pPr>
            <w:r w:rsidRPr="000A3CA6">
              <w:t>SDG 3 (use), SDG 10 (exclusion via skills)</w:t>
            </w:r>
          </w:p>
        </w:tc>
      </w:tr>
      <w:tr w:rsidR="000A3CA6" w:rsidRPr="000A3CA6" w14:paraId="128BC6EB" w14:textId="77777777" w:rsidTr="000A3CA6">
        <w:tc>
          <w:tcPr>
            <w:tcW w:w="0" w:type="auto"/>
            <w:hideMark/>
          </w:tcPr>
          <w:p w14:paraId="69F09533" w14:textId="77777777" w:rsidR="000A3CA6" w:rsidRPr="000A3CA6" w:rsidRDefault="000A3CA6" w:rsidP="00006876">
            <w:pPr>
              <w:spacing w:before="240"/>
              <w:jc w:val="both"/>
            </w:pPr>
            <w:r w:rsidRPr="000A3CA6">
              <w:t>Digital divide</w:t>
            </w:r>
          </w:p>
        </w:tc>
        <w:tc>
          <w:tcPr>
            <w:tcW w:w="0" w:type="auto"/>
            <w:hideMark/>
          </w:tcPr>
          <w:p w14:paraId="4D98AFB4" w14:textId="77777777" w:rsidR="000A3CA6" w:rsidRPr="000A3CA6" w:rsidRDefault="000A3CA6" w:rsidP="00006876">
            <w:pPr>
              <w:spacing w:before="240"/>
              <w:jc w:val="both"/>
            </w:pPr>
            <w:r w:rsidRPr="000A3CA6">
              <w:t>Population groups</w:t>
            </w:r>
          </w:p>
        </w:tc>
        <w:tc>
          <w:tcPr>
            <w:tcW w:w="0" w:type="auto"/>
            <w:hideMark/>
          </w:tcPr>
          <w:p w14:paraId="759965A1" w14:textId="77777777" w:rsidR="000A3CA6" w:rsidRPr="000A3CA6" w:rsidRDefault="000A3CA6" w:rsidP="00006876">
            <w:pPr>
              <w:spacing w:before="240"/>
              <w:jc w:val="both"/>
            </w:pPr>
            <w:r w:rsidRPr="000A3CA6">
              <w:t>Access; skills; outcomes; 1st/2nd/3rd level divides</w:t>
            </w:r>
          </w:p>
        </w:tc>
        <w:tc>
          <w:tcPr>
            <w:tcW w:w="0" w:type="auto"/>
            <w:hideMark/>
          </w:tcPr>
          <w:p w14:paraId="18DCB825" w14:textId="77777777" w:rsidR="000A3CA6" w:rsidRPr="000A3CA6" w:rsidRDefault="000A3CA6" w:rsidP="00006876">
            <w:pPr>
              <w:spacing w:before="240"/>
              <w:jc w:val="both"/>
            </w:pPr>
            <w:r w:rsidRPr="000A3CA6">
              <w:t>Equity; inclusion gaps</w:t>
            </w:r>
          </w:p>
        </w:tc>
        <w:tc>
          <w:tcPr>
            <w:tcW w:w="0" w:type="auto"/>
            <w:hideMark/>
          </w:tcPr>
          <w:p w14:paraId="66911112" w14:textId="77777777" w:rsidR="000A3CA6" w:rsidRPr="000A3CA6" w:rsidRDefault="000A3CA6" w:rsidP="00006876">
            <w:pPr>
              <w:spacing w:before="240"/>
              <w:jc w:val="both"/>
            </w:pPr>
            <w:r w:rsidRPr="000A3CA6">
              <w:t>Deficit framing risk; descriptive bias</w:t>
            </w:r>
          </w:p>
        </w:tc>
        <w:tc>
          <w:tcPr>
            <w:tcW w:w="0" w:type="auto"/>
            <w:hideMark/>
          </w:tcPr>
          <w:p w14:paraId="6648D121" w14:textId="77777777" w:rsidR="000A3CA6" w:rsidRPr="000A3CA6" w:rsidRDefault="000A3CA6" w:rsidP="00006876">
            <w:pPr>
              <w:spacing w:before="240"/>
              <w:jc w:val="both"/>
            </w:pPr>
            <w:r w:rsidRPr="000A3CA6">
              <w:t>SDG 9 (infrastructure), SDG 10 (inequality), SDG 3 (health gains)</w:t>
            </w:r>
          </w:p>
        </w:tc>
      </w:tr>
    </w:tbl>
    <w:p w14:paraId="12BDDF5B" w14:textId="77777777" w:rsidR="000A3CA6" w:rsidRPr="000A3CA6" w:rsidRDefault="000A3CA6" w:rsidP="00006876">
      <w:pPr>
        <w:spacing w:before="240"/>
        <w:jc w:val="both"/>
        <w:rPr>
          <w:rFonts w:cs="Calibri"/>
          <w:szCs w:val="22"/>
        </w:rPr>
      </w:pPr>
    </w:p>
    <w:p w14:paraId="36DB10F2" w14:textId="64F74384" w:rsidR="00B86E38" w:rsidRPr="004C33C2" w:rsidRDefault="00B86E38" w:rsidP="00006876">
      <w:pPr>
        <w:pStyle w:val="Heading2"/>
        <w:spacing w:before="240"/>
        <w:jc w:val="both"/>
      </w:pPr>
      <w:bookmarkStart w:id="15" w:name="_Toc220350657"/>
      <w:r w:rsidRPr="004C33C2">
        <w:t>2.4 International Context</w:t>
      </w:r>
      <w:bookmarkEnd w:id="15"/>
      <w:r w:rsidRPr="004C33C2">
        <w:t xml:space="preserve"> </w:t>
      </w:r>
    </w:p>
    <w:p w14:paraId="1BCED795" w14:textId="77777777" w:rsidR="001E33B2" w:rsidRDefault="001E33B2" w:rsidP="00006876">
      <w:pPr>
        <w:pStyle w:val="NormalWeb"/>
        <w:spacing w:before="240" w:beforeAutospacing="0"/>
        <w:jc w:val="both"/>
        <w:rPr>
          <w:rFonts w:cs="Calibri"/>
          <w:szCs w:val="22"/>
        </w:rPr>
      </w:pPr>
      <w:r w:rsidRPr="001E33B2">
        <w:rPr>
          <w:rFonts w:cs="Calibri"/>
          <w:szCs w:val="22"/>
        </w:rPr>
        <w:t xml:space="preserve">Telemedicine and digital health have taken center stage in health policy agendas in different regions, yet they are framed and implemented differently. WHO and World Bank introduce digital health as one of the ways of universal health coverage and the Sustainable Development Goals, namely to populations that are geographically remote (WHO, 2021; World Bank, 2023). We can now find national digital-health strategies that incorporate teleconsultations, remote monitoring, electronic records and mHealth interventions in many countries, such as India and Australia, with reference to rural gaps in </w:t>
      </w:r>
      <w:r w:rsidRPr="001E33B2">
        <w:rPr>
          <w:rFonts w:cs="Calibri"/>
          <w:szCs w:val="22"/>
        </w:rPr>
        <w:lastRenderedPageBreak/>
        <w:t>service. Nonetheless, the urban centres, hospitals and specialist services, and rural deployment are often considered as a second step to the investment (Krahe et al., 2025).</w:t>
      </w:r>
    </w:p>
    <w:p w14:paraId="1AE949D1" w14:textId="5DD725FE" w:rsidR="00DB5713" w:rsidRDefault="00122A48" w:rsidP="004F4D44">
      <w:pPr>
        <w:pStyle w:val="NormalWeb"/>
        <w:spacing w:before="240" w:beforeAutospacing="0"/>
        <w:jc w:val="both"/>
        <w:rPr>
          <w:rFonts w:cs="Calibri"/>
          <w:szCs w:val="22"/>
        </w:rPr>
      </w:pPr>
      <w:r w:rsidRPr="00122A48">
        <w:rPr>
          <w:rFonts w:cs="Calibri"/>
          <w:szCs w:val="22"/>
        </w:rPr>
        <w:t>Ageing, shortages of workforce and cost pressures have led to the growth of telemedicine in high-income nations. Those trends are common regulatory reform, which may permit remote prescribing, reimbursing virtual visit, and data security standards. Telephone and video consultations grew in the COVID-19 pandemic and were subsequently incorporated to varying levels into regular care (Omboni et al., 2022). In most low- and middle-income countries</w:t>
      </w:r>
      <w:r w:rsidR="00557E56">
        <w:rPr>
          <w:rFonts w:cs="Calibri"/>
          <w:szCs w:val="22"/>
        </w:rPr>
        <w:t xml:space="preserve"> like India and Bangladesh</w:t>
      </w:r>
      <w:r w:rsidRPr="00122A48">
        <w:rPr>
          <w:rFonts w:cs="Calibri"/>
          <w:szCs w:val="22"/>
        </w:rPr>
        <w:t>, digital health is associated with the attempts to reinforce primary care and community health. SMS health maternal and child health reminders, tele-mentoring of rural clinicians and digital supply-chain medicine have been supported by governments and donors. These programmes demonstrate that technologies are able to enhance communication and continuity of care (Till et al., 2022; Woods et al., 2024). Meanwhile, expenditures on external funding, disjointed pilots and weak maintenance policies are hindering sustainability. There are power imbalances between the international partners and local communities, which can restrict ownership and adaptation (Kyambade et al., 2025</w:t>
      </w:r>
      <w:r w:rsidR="004F4D44">
        <w:rPr>
          <w:rFonts w:cs="Calibri"/>
          <w:szCs w:val="22"/>
        </w:rPr>
        <w:t xml:space="preserve">; </w:t>
      </w:r>
      <w:r w:rsidR="00DB5713" w:rsidRPr="00DB5713">
        <w:rPr>
          <w:rFonts w:cs="Calibri"/>
          <w:szCs w:val="22"/>
        </w:rPr>
        <w:t>Erku et al., 2023).</w:t>
      </w:r>
    </w:p>
    <w:p w14:paraId="6CAE9622" w14:textId="77777777" w:rsidR="007C3A33" w:rsidRDefault="007C3A33" w:rsidP="00006876">
      <w:pPr>
        <w:spacing w:before="240"/>
        <w:jc w:val="both"/>
        <w:rPr>
          <w:rFonts w:cs="Calibri"/>
          <w:szCs w:val="22"/>
        </w:rPr>
      </w:pPr>
      <w:r w:rsidRPr="007C3A33">
        <w:rPr>
          <w:rFonts w:cs="Calibri"/>
          <w:szCs w:val="22"/>
        </w:rPr>
        <w:t xml:space="preserve">These trends are depicted by short case examples. Consultation platforms on the scale used in countries like India, have boosted the number of rural consultations but have issues of clinical quality, workload and digital literacy (Sinha and Rahul, 2024). Oppositely, a few Scandinavian and Canadian provinces have incorporated telehealth into the regional care pathways with focus on continuity and coordination, yet remote Indigenous populations still require equity (Muttitt, Vigneault and Loewen, 2021). </w:t>
      </w:r>
    </w:p>
    <w:p w14:paraId="67157768" w14:textId="7AD8724D" w:rsidR="00E51000" w:rsidRPr="00A14C69" w:rsidRDefault="00A14C69" w:rsidP="00A14C69">
      <w:pPr>
        <w:spacing w:before="240"/>
        <w:jc w:val="both"/>
      </w:pPr>
      <w:r>
        <w:t>One of the main reasons some countries successfully integrate digital health is their strong health systems, governmental support and governance ecosystem of digital technology. Telemedicine is successfully integrated routinely and is included in primary care supported by long term fundings and transparent national data standards, and strong staffing</w:t>
      </w:r>
      <w:r w:rsidR="00442A00">
        <w:t xml:space="preserve"> </w:t>
      </w:r>
      <w:r w:rsidR="00442A00">
        <w:rPr>
          <w:rFonts w:cs="Calibri"/>
          <w:szCs w:val="22"/>
        </w:rPr>
        <w:t xml:space="preserve">(Bashshur </w:t>
      </w:r>
      <w:r w:rsidR="00442A00">
        <w:rPr>
          <w:rFonts w:cs="Calibri"/>
          <w:i/>
          <w:iCs/>
          <w:szCs w:val="22"/>
        </w:rPr>
        <w:t>et al.</w:t>
      </w:r>
      <w:r w:rsidR="00442A00">
        <w:rPr>
          <w:rFonts w:cs="Calibri"/>
          <w:szCs w:val="22"/>
        </w:rPr>
        <w:t>, 2016)</w:t>
      </w:r>
      <w:r w:rsidR="00E51000" w:rsidRPr="006176D4">
        <w:t>. By contrast, settings characterised by fragmented service delivery, short-term donor or project funding, weak regulatory capacity, limited interoperability, and high out-of-pocket costs often experience pilotitis, where programmes scale in volume but not in quality, continuity, or equity. Successful integration also tends to involve deliberate digital-inclusion measures (subsidised connectivity/devices, community access points, digital literacy support) and culturally safe co-design</w:t>
      </w:r>
      <w:r w:rsidR="00D815C2" w:rsidRPr="006176D4">
        <w:t xml:space="preserve">, </w:t>
      </w:r>
      <w:r w:rsidR="00E51000" w:rsidRPr="006176D4">
        <w:t>factors that are especially important for rural and Indigenous communities</w:t>
      </w:r>
      <w:r w:rsidR="00D815C2" w:rsidRPr="006176D4">
        <w:t xml:space="preserve"> </w:t>
      </w:r>
      <w:r w:rsidR="00E51000" w:rsidRPr="006176D4">
        <w:t>whereas top-down rollouts can erode trust and deepen exclusion even when platforms are technically available</w:t>
      </w:r>
      <w:r w:rsidR="00442A00">
        <w:t xml:space="preserve"> </w:t>
      </w:r>
      <w:r w:rsidR="00442A00">
        <w:rPr>
          <w:rFonts w:cs="Calibri"/>
          <w:szCs w:val="22"/>
        </w:rPr>
        <w:t xml:space="preserve">(Chu </w:t>
      </w:r>
      <w:r w:rsidR="00442A00">
        <w:rPr>
          <w:rFonts w:cs="Calibri"/>
          <w:i/>
          <w:iCs/>
          <w:szCs w:val="22"/>
        </w:rPr>
        <w:t>et al.</w:t>
      </w:r>
      <w:r w:rsidR="00442A00">
        <w:rPr>
          <w:rFonts w:cs="Calibri"/>
          <w:szCs w:val="22"/>
        </w:rPr>
        <w:t xml:space="preserve">, 2021; Du </w:t>
      </w:r>
      <w:r w:rsidR="00442A00">
        <w:rPr>
          <w:rFonts w:cs="Calibri"/>
          <w:i/>
          <w:iCs/>
          <w:szCs w:val="22"/>
        </w:rPr>
        <w:t>et al.</w:t>
      </w:r>
      <w:r w:rsidR="00442A00">
        <w:rPr>
          <w:rFonts w:cs="Calibri"/>
          <w:szCs w:val="22"/>
        </w:rPr>
        <w:t>, 2022)</w:t>
      </w:r>
      <w:r w:rsidR="00E51000" w:rsidRPr="006176D4">
        <w:t>.</w:t>
      </w:r>
    </w:p>
    <w:p w14:paraId="353B5A1A" w14:textId="73EF08AA" w:rsidR="00B86E38" w:rsidRPr="004C33C2" w:rsidRDefault="00B86E38" w:rsidP="00006876">
      <w:pPr>
        <w:pStyle w:val="Heading2"/>
        <w:spacing w:before="240"/>
        <w:jc w:val="both"/>
      </w:pPr>
      <w:bookmarkStart w:id="16" w:name="_Toc220350658"/>
      <w:r w:rsidRPr="004C33C2">
        <w:lastRenderedPageBreak/>
        <w:t>2.5 National/Local UK</w:t>
      </w:r>
      <w:bookmarkEnd w:id="16"/>
      <w:r w:rsidRPr="004C33C2">
        <w:t xml:space="preserve"> </w:t>
      </w:r>
    </w:p>
    <w:p w14:paraId="40FC794D" w14:textId="7CE6D31A" w:rsidR="00B86E38" w:rsidRPr="004C33C2" w:rsidRDefault="00B86E38" w:rsidP="00006876">
      <w:pPr>
        <w:pStyle w:val="NormalWeb"/>
        <w:spacing w:before="240" w:beforeAutospacing="0"/>
        <w:jc w:val="both"/>
        <w:rPr>
          <w:rFonts w:cs="Calibri"/>
          <w:szCs w:val="22"/>
        </w:rPr>
      </w:pPr>
      <w:r w:rsidRPr="004C33C2">
        <w:rPr>
          <w:rFonts w:cs="Calibri"/>
          <w:szCs w:val="22"/>
        </w:rPr>
        <w:t>In the UK, telemedicine and digital health are widely framed as tools to modernise the National Health Service (NHS), manage demand and improve access, including for rural and coastal communities. Policy documents emphasise digital-first primary care, the NHS App, remote triage and virtual wards</w:t>
      </w:r>
      <w:r w:rsidR="00B365DE" w:rsidRPr="004C33C2">
        <w:rPr>
          <w:rFonts w:cs="Calibri"/>
          <w:szCs w:val="22"/>
        </w:rPr>
        <w:t xml:space="preserve"> (Gobburi </w:t>
      </w:r>
      <w:r w:rsidR="00B365DE" w:rsidRPr="004C33C2">
        <w:rPr>
          <w:rFonts w:cs="Calibri"/>
          <w:i/>
          <w:iCs/>
          <w:szCs w:val="22"/>
        </w:rPr>
        <w:t>et al.</w:t>
      </w:r>
      <w:r w:rsidR="00B365DE" w:rsidRPr="004C33C2">
        <w:rPr>
          <w:rFonts w:cs="Calibri"/>
          <w:szCs w:val="22"/>
        </w:rPr>
        <w:t>, 2025)</w:t>
      </w:r>
      <w:r w:rsidRPr="004C33C2">
        <w:rPr>
          <w:rFonts w:cs="Calibri"/>
          <w:szCs w:val="22"/>
        </w:rPr>
        <w:t>. Rural and remote areas in Scotland, Wales, Northern Ireland and parts of England are often cited as priority settings because of long travel distances, recruitment challenges and hospital centralisation. However, digital strategies frequently adopt a national lens that assumes stable broadband and device access, which does not match conditions in many rural households and can further widen rural health inequalities</w:t>
      </w:r>
      <w:r w:rsidR="00B365DE" w:rsidRPr="004C33C2">
        <w:rPr>
          <w:rFonts w:cs="Calibri"/>
          <w:szCs w:val="22"/>
        </w:rPr>
        <w:t xml:space="preserve"> (Maclaren </w:t>
      </w:r>
      <w:r w:rsidR="00B365DE" w:rsidRPr="004C33C2">
        <w:rPr>
          <w:rFonts w:cs="Calibri"/>
          <w:i/>
          <w:iCs/>
          <w:szCs w:val="22"/>
        </w:rPr>
        <w:t>et al.</w:t>
      </w:r>
      <w:r w:rsidR="00B365DE" w:rsidRPr="004C33C2">
        <w:rPr>
          <w:rFonts w:cs="Calibri"/>
          <w:szCs w:val="22"/>
        </w:rPr>
        <w:t>, 2024)</w:t>
      </w:r>
      <w:r w:rsidRPr="004C33C2">
        <w:rPr>
          <w:rFonts w:cs="Calibri"/>
          <w:szCs w:val="22"/>
        </w:rPr>
        <w:t>.</w:t>
      </w:r>
    </w:p>
    <w:p w14:paraId="30C6615B" w14:textId="718D9C3D" w:rsidR="00B86E38" w:rsidRPr="004C33C2" w:rsidRDefault="00B86E38" w:rsidP="00006876">
      <w:pPr>
        <w:pStyle w:val="NormalWeb"/>
        <w:spacing w:before="240" w:beforeAutospacing="0"/>
        <w:jc w:val="both"/>
        <w:rPr>
          <w:rFonts w:cs="Calibri"/>
          <w:szCs w:val="22"/>
        </w:rPr>
      </w:pPr>
      <w:r w:rsidRPr="004C33C2">
        <w:rPr>
          <w:rFonts w:cs="Calibri"/>
          <w:szCs w:val="22"/>
        </w:rPr>
        <w:t>Recent trends include telephone and video consultations, remote monitoring for long-term conditions and electronic prescribing. During and after the COVID-19 pandemic, there was a rapid shift to remote-by-default models in many GP practices. Evaluations show mixed results for rural patients. Some welcomed reduced travel and greater flexibility, while others experienced difficulties with connectivity, lack of privacy at home, or navigating complex digital systems. Concerns remain that remote access may reduce continuity of care and weaken trust, which are particularly important in small rural communities</w:t>
      </w:r>
      <w:r w:rsidR="00CB5FA6" w:rsidRPr="004C33C2">
        <w:rPr>
          <w:rFonts w:cs="Calibri"/>
          <w:szCs w:val="22"/>
        </w:rPr>
        <w:t xml:space="preserve"> (Chaloner </w:t>
      </w:r>
      <w:r w:rsidR="00CB5FA6" w:rsidRPr="004C33C2">
        <w:rPr>
          <w:rFonts w:cs="Calibri"/>
          <w:i/>
          <w:iCs/>
          <w:szCs w:val="22"/>
        </w:rPr>
        <w:t>et al.</w:t>
      </w:r>
      <w:r w:rsidR="00CB5FA6" w:rsidRPr="004C33C2">
        <w:rPr>
          <w:rFonts w:cs="Calibri"/>
          <w:szCs w:val="22"/>
        </w:rPr>
        <w:t xml:space="preserve">, 2025; Omboni </w:t>
      </w:r>
      <w:r w:rsidR="00CB5FA6" w:rsidRPr="004C33C2">
        <w:rPr>
          <w:rFonts w:cs="Calibri"/>
          <w:i/>
          <w:iCs/>
          <w:szCs w:val="22"/>
        </w:rPr>
        <w:t>et al.</w:t>
      </w:r>
      <w:r w:rsidR="00CB5FA6" w:rsidRPr="004C33C2">
        <w:rPr>
          <w:rFonts w:cs="Calibri"/>
          <w:szCs w:val="22"/>
        </w:rPr>
        <w:t>, 2022)</w:t>
      </w:r>
      <w:r w:rsidRPr="004C33C2">
        <w:rPr>
          <w:rFonts w:cs="Calibri"/>
          <w:szCs w:val="22"/>
        </w:rPr>
        <w:t>.</w:t>
      </w:r>
    </w:p>
    <w:p w14:paraId="02E901BF" w14:textId="77777777" w:rsidR="00814762" w:rsidRPr="00814762" w:rsidRDefault="00B86E38" w:rsidP="006431FA">
      <w:pPr>
        <w:pStyle w:val="NormalWeb"/>
        <w:spacing w:before="240"/>
        <w:jc w:val="both"/>
        <w:rPr>
          <w:rFonts w:cs="Calibri"/>
          <w:szCs w:val="22"/>
        </w:rPr>
      </w:pPr>
      <w:r w:rsidRPr="004C33C2">
        <w:rPr>
          <w:rFonts w:cs="Calibri"/>
          <w:szCs w:val="22"/>
        </w:rPr>
        <w:t xml:space="preserve">The UK operates within a strong regulatory framework for data protection and clinical governance. Legislation and guidance set standards for data security, consent, record-keeping and information sharing across NHS and social-care providers. </w:t>
      </w:r>
      <w:r w:rsidR="00814762" w:rsidRPr="00814762">
        <w:rPr>
          <w:rFonts w:cs="Calibri"/>
          <w:szCs w:val="22"/>
        </w:rPr>
        <w:t>These structures are significant to secure rural residents, potentially easier to identify in small populations (NHS England, 2023). Meanwhile, the high standards may retard the use of new models, particularly in small rural operations with scarce technical assistance. Commercial associations with technology suppliers present further questions regarding the ownership of data, using proprietary systems and costs to the NHS in the long run (Sinha and Rahul, 2024).</w:t>
      </w:r>
    </w:p>
    <w:p w14:paraId="3FF4C0CC" w14:textId="77777777" w:rsidR="00814762" w:rsidRPr="00814762" w:rsidRDefault="00814762" w:rsidP="006431FA">
      <w:pPr>
        <w:pStyle w:val="NormalWeb"/>
        <w:spacing w:before="240"/>
        <w:jc w:val="both"/>
        <w:rPr>
          <w:rFonts w:cs="Calibri"/>
          <w:szCs w:val="22"/>
        </w:rPr>
      </w:pPr>
      <w:r w:rsidRPr="00814762">
        <w:rPr>
          <w:rFonts w:cs="Calibri"/>
          <w:szCs w:val="22"/>
        </w:rPr>
        <w:t>The UK digital-health landscape is also defined by workforce and professional-regulation issues. Rural clinicians tend to be left to handle wide case-mixes without specialist back-up. Teleconsultations and virtual multidisciplinary meetings have the potential to broaden specialist advice access, but also introduce workload, necessitate new expertise, and blur work and non-work boundaries. Rural teams have not necessarily been matched by incentives and training programmes (GOV.UK, 2021; NHS England, 2023).</w:t>
      </w:r>
    </w:p>
    <w:p w14:paraId="359E6894" w14:textId="13E25ACE" w:rsidR="00B86E38" w:rsidRPr="004C33C2" w:rsidRDefault="00814762" w:rsidP="006431FA">
      <w:pPr>
        <w:pStyle w:val="NormalWeb"/>
        <w:spacing w:before="240" w:beforeAutospacing="0"/>
        <w:jc w:val="both"/>
        <w:rPr>
          <w:rFonts w:cs="Calibri"/>
          <w:szCs w:val="22"/>
        </w:rPr>
      </w:pPr>
      <w:r w:rsidRPr="00814762">
        <w:rPr>
          <w:rFonts w:cs="Calibri"/>
          <w:szCs w:val="22"/>
        </w:rPr>
        <w:lastRenderedPageBreak/>
        <w:t>Local efforts show a great deal of diversity in the UK. In Scotland and Wales, telehealth may be integrated as part of specialist outreach and mental-health services and rehabilitation programmes by some rural health boards (Hill, 2010). Conversely, fragmented pilots and temporary funding that fail to translate to stable services are being noted in other regions. Local authorities and voluntary organisations lead digital inclusion programmes aimed at covering gaps in connectivity, device and digital skills access, yet coverage is uneven</w:t>
      </w:r>
      <w:r>
        <w:rPr>
          <w:rFonts w:cs="Calibri"/>
          <w:szCs w:val="22"/>
        </w:rPr>
        <w:t xml:space="preserve"> </w:t>
      </w:r>
      <w:r w:rsidR="0026054D" w:rsidRPr="004C33C2">
        <w:rPr>
          <w:rFonts w:cs="Calibri"/>
          <w:szCs w:val="22"/>
        </w:rPr>
        <w:t>(Department for Science, Innovation and Technology, Bryant and Kyle, 2025)</w:t>
      </w:r>
      <w:r w:rsidR="00B86E38" w:rsidRPr="004C33C2">
        <w:rPr>
          <w:rFonts w:cs="Calibri"/>
          <w:szCs w:val="22"/>
        </w:rPr>
        <w:t xml:space="preserve">. </w:t>
      </w:r>
    </w:p>
    <w:p w14:paraId="191EB8E7" w14:textId="7416C62B" w:rsidR="00B86E38" w:rsidRPr="004C33C2" w:rsidRDefault="00B86E38" w:rsidP="00006876">
      <w:pPr>
        <w:pStyle w:val="Heading2"/>
        <w:spacing w:before="240"/>
        <w:jc w:val="both"/>
      </w:pPr>
      <w:bookmarkStart w:id="17" w:name="_Toc220350659"/>
      <w:r w:rsidRPr="004C33C2">
        <w:t>2.6 Conclusion</w:t>
      </w:r>
      <w:bookmarkEnd w:id="17"/>
      <w:r w:rsidRPr="004C33C2">
        <w:t xml:space="preserve"> </w:t>
      </w:r>
    </w:p>
    <w:p w14:paraId="430049F2" w14:textId="77777777" w:rsidR="0002334F" w:rsidRDefault="0002334F" w:rsidP="00006876">
      <w:pPr>
        <w:pStyle w:val="NormalWeb"/>
        <w:spacing w:before="240" w:beforeAutospacing="0"/>
        <w:jc w:val="both"/>
        <w:rPr>
          <w:rFonts w:cs="Calibri"/>
          <w:szCs w:val="22"/>
        </w:rPr>
      </w:pPr>
      <w:r w:rsidRPr="0002334F">
        <w:rPr>
          <w:rFonts w:cs="Calibri"/>
          <w:szCs w:val="22"/>
        </w:rPr>
        <w:t>This chapter has identified telemedicine and digital health as part of broader historical, theoretical and policy discussions of rural health and sustainable development. It has demonstrated that telemedicine has transformed small experiments into a core element of digital-health approaches, yet the transformation has frequently overlooked equity and locality. Theoretical approaches to innovation, technology acceptance and the digital divide have indicated that adoption is influenced by perceived usefulness, social networks and structural inequalities and not by technology only.</w:t>
      </w:r>
    </w:p>
    <w:p w14:paraId="11655E1C" w14:textId="29DCBF0A" w:rsidR="00B86E38" w:rsidRPr="004C33C2" w:rsidRDefault="00366D79" w:rsidP="00006876">
      <w:pPr>
        <w:spacing w:before="240"/>
        <w:jc w:val="both"/>
        <w:rPr>
          <w:rFonts w:cs="Calibri"/>
          <w:szCs w:val="22"/>
          <w:lang w:val="en-GB"/>
        </w:rPr>
      </w:pPr>
      <w:r w:rsidRPr="00366D79">
        <w:rPr>
          <w:rFonts w:cs="Calibri"/>
          <w:szCs w:val="22"/>
        </w:rPr>
        <w:t>Digital health can be extended to rural communities, according to international evidence, but is using piloted programs spread across among the agendas and generistic models that do not align to local contexts. The UK example exemplifies the same tensions between national digital ambitions, robust regulatory frameworks and unequal rural implementation. These observations now guide the second chapter, which establishes the approaches to a systematic, critical literature review of secondary literature on telemedicine and digital health in rural communities.</w:t>
      </w:r>
    </w:p>
    <w:p w14:paraId="7AC8FE4B" w14:textId="77777777" w:rsidR="002A6881" w:rsidRDefault="002A6881" w:rsidP="00006876">
      <w:pPr>
        <w:spacing w:before="240"/>
        <w:jc w:val="both"/>
        <w:rPr>
          <w:rFonts w:cs="Calibri"/>
          <w:szCs w:val="22"/>
          <w:lang w:val="en-GB"/>
        </w:rPr>
      </w:pPr>
    </w:p>
    <w:p w14:paraId="2374D881" w14:textId="77777777" w:rsidR="00F1142B" w:rsidRDefault="00F1142B" w:rsidP="00006876">
      <w:pPr>
        <w:spacing w:before="240"/>
        <w:jc w:val="both"/>
        <w:rPr>
          <w:rFonts w:cs="Calibri"/>
          <w:szCs w:val="22"/>
          <w:lang w:val="en-GB"/>
        </w:rPr>
      </w:pPr>
    </w:p>
    <w:p w14:paraId="57034988" w14:textId="77777777" w:rsidR="00F757E5" w:rsidRDefault="00F757E5" w:rsidP="00006876">
      <w:pPr>
        <w:spacing w:before="240"/>
        <w:jc w:val="both"/>
        <w:rPr>
          <w:rFonts w:cs="Calibri"/>
          <w:szCs w:val="22"/>
          <w:lang w:val="en-GB"/>
        </w:rPr>
      </w:pPr>
    </w:p>
    <w:p w14:paraId="1E7A537C" w14:textId="77777777" w:rsidR="00F757E5" w:rsidRDefault="00F757E5" w:rsidP="00006876">
      <w:pPr>
        <w:spacing w:before="240"/>
        <w:jc w:val="both"/>
        <w:rPr>
          <w:rFonts w:cs="Calibri"/>
          <w:szCs w:val="22"/>
          <w:lang w:val="en-GB"/>
        </w:rPr>
      </w:pPr>
    </w:p>
    <w:p w14:paraId="4DA5587D" w14:textId="77777777" w:rsidR="00F757E5" w:rsidRDefault="00F757E5" w:rsidP="00006876">
      <w:pPr>
        <w:spacing w:before="240"/>
        <w:jc w:val="both"/>
        <w:rPr>
          <w:rFonts w:cs="Calibri"/>
          <w:szCs w:val="22"/>
          <w:lang w:val="en-GB"/>
        </w:rPr>
      </w:pPr>
    </w:p>
    <w:p w14:paraId="39AB2795" w14:textId="1EB0E356" w:rsidR="00BA0811" w:rsidRDefault="00BA0811" w:rsidP="00006876">
      <w:pPr>
        <w:pStyle w:val="Heading1"/>
        <w:spacing w:before="240"/>
        <w:jc w:val="both"/>
        <w:rPr>
          <w:rFonts w:ascii="Times New Roman" w:hAnsi="Times New Roman"/>
          <w:sz w:val="27"/>
        </w:rPr>
      </w:pPr>
      <w:bookmarkStart w:id="18" w:name="_Toc220350660"/>
      <w:r>
        <w:lastRenderedPageBreak/>
        <w:t>CHAPTER 3: Methodology</w:t>
      </w:r>
      <w:bookmarkEnd w:id="18"/>
      <w:r>
        <w:t xml:space="preserve"> </w:t>
      </w:r>
    </w:p>
    <w:p w14:paraId="761A4436" w14:textId="27AD4699" w:rsidR="00BA0811" w:rsidRDefault="00BA0811" w:rsidP="00006876">
      <w:pPr>
        <w:pStyle w:val="Heading2"/>
        <w:spacing w:before="240"/>
        <w:jc w:val="both"/>
      </w:pPr>
      <w:bookmarkStart w:id="19" w:name="_Toc220350661"/>
      <w:r>
        <w:t>3.1. Introduction</w:t>
      </w:r>
      <w:bookmarkEnd w:id="19"/>
      <w:r>
        <w:t xml:space="preserve"> </w:t>
      </w:r>
    </w:p>
    <w:p w14:paraId="2A1586BF" w14:textId="3D55109A" w:rsidR="00515F35" w:rsidRDefault="00515F35" w:rsidP="00006876">
      <w:pPr>
        <w:pStyle w:val="NormalWeb"/>
        <w:spacing w:before="240" w:beforeAutospacing="0"/>
        <w:jc w:val="both"/>
      </w:pPr>
      <w:r>
        <w:t>The chapter includes the detailed methodology and steps carried out for this dissertation using desk based literature study. Primary data collection was not used, instead study used secondary  methodology to answer research questions. The sources used for the study were trasnparent, credible which were systematically analysed to generated codes and themes through thematic analysis in Chapter 4.</w:t>
      </w:r>
    </w:p>
    <w:p w14:paraId="4C6EC85D" w14:textId="510964D0" w:rsidR="00966D35" w:rsidRDefault="00BA0811" w:rsidP="00966D35">
      <w:pPr>
        <w:pStyle w:val="Heading2"/>
        <w:spacing w:before="240"/>
        <w:jc w:val="both"/>
      </w:pPr>
      <w:bookmarkStart w:id="20" w:name="_Toc220350662"/>
      <w:r>
        <w:t>3.2</w:t>
      </w:r>
      <w:r w:rsidR="00E065A5">
        <w:t>.</w:t>
      </w:r>
      <w:r>
        <w:t xml:space="preserve"> Search Strategy</w:t>
      </w:r>
      <w:bookmarkEnd w:id="20"/>
      <w:r>
        <w:t xml:space="preserve"> </w:t>
      </w:r>
    </w:p>
    <w:p w14:paraId="2A4C5DB8" w14:textId="5F409A5D" w:rsidR="00BA0811" w:rsidRDefault="006B693D" w:rsidP="00006876">
      <w:pPr>
        <w:pStyle w:val="NormalWeb"/>
        <w:spacing w:before="240" w:beforeAutospacing="0"/>
        <w:jc w:val="both"/>
      </w:pPr>
      <w:r w:rsidRPr="006B693D">
        <w:t>The dissertation title and research objectives were transformed into the search strategy, that is, three fundamental concepts were identified: (1) telemedicine/digital health, (2) rural communities, and (3) SDG-aligned outcomes (health access, infrastructure, inequalities). Basic words and professional synonyms were used to identify keywords to accommodate differences in terminology across fields (e.g. telehealth versus virtual care). The concepts were combined and narrowed down using Boolean operators, which included AND to tie the three areas of concepts together, OR to find synonyms, and NOT to exclude irrelevant results. Advance searches were made, and useful keywords and combinations were noted and narrowed down as additional useful literature was identified</w:t>
      </w:r>
      <w:r w:rsidR="00BA0811">
        <w:t>.</w:t>
      </w:r>
    </w:p>
    <w:p w14:paraId="5E17B03B" w14:textId="2249F7C5" w:rsidR="00B616FE" w:rsidRDefault="00B616FE" w:rsidP="00006876">
      <w:pPr>
        <w:pStyle w:val="Caption"/>
        <w:keepNext/>
        <w:spacing w:before="240"/>
        <w:jc w:val="both"/>
      </w:pPr>
      <w:bookmarkStart w:id="21" w:name="_Toc219413625"/>
      <w:r>
        <w:t xml:space="preserve">Table </w:t>
      </w:r>
      <w:fldSimple w:instr=" SEQ Table \* ARABIC ">
        <w:r w:rsidR="00FD3C99">
          <w:rPr>
            <w:noProof/>
          </w:rPr>
          <w:t>3</w:t>
        </w:r>
      </w:fldSimple>
      <w:r>
        <w:rPr>
          <w:lang w:val="en-GB"/>
        </w:rPr>
        <w:t>:</w:t>
      </w:r>
      <w:r w:rsidRPr="00B616FE">
        <w:rPr>
          <w:rStyle w:val="Strong"/>
        </w:rPr>
        <w:t xml:space="preserve"> </w:t>
      </w:r>
      <w:r w:rsidRPr="00DB495E">
        <w:rPr>
          <w:rStyle w:val="Strong"/>
          <w:b w:val="0"/>
          <w:bCs w:val="0"/>
        </w:rPr>
        <w:t>Keyword and Search String</w:t>
      </w:r>
      <w:bookmarkEnd w:id="21"/>
    </w:p>
    <w:tbl>
      <w:tblPr>
        <w:tblStyle w:val="TableGrid"/>
        <w:tblW w:w="0" w:type="auto"/>
        <w:tblLook w:val="04A0" w:firstRow="1" w:lastRow="0" w:firstColumn="1" w:lastColumn="0" w:noHBand="0" w:noVBand="1"/>
      </w:tblPr>
      <w:tblGrid>
        <w:gridCol w:w="1313"/>
        <w:gridCol w:w="1916"/>
        <w:gridCol w:w="4176"/>
        <w:gridCol w:w="1611"/>
      </w:tblGrid>
      <w:tr w:rsidR="00BA0811" w14:paraId="18F5A786" w14:textId="77777777" w:rsidTr="00B616FE">
        <w:tc>
          <w:tcPr>
            <w:tcW w:w="0" w:type="auto"/>
            <w:hideMark/>
          </w:tcPr>
          <w:p w14:paraId="4EB4250C" w14:textId="77777777" w:rsidR="00BA0811" w:rsidRDefault="00BA0811" w:rsidP="00006876">
            <w:pPr>
              <w:spacing w:before="240"/>
              <w:jc w:val="both"/>
              <w:rPr>
                <w:b/>
                <w:bCs/>
              </w:rPr>
            </w:pPr>
            <w:r>
              <w:rPr>
                <w:b/>
                <w:bCs/>
              </w:rPr>
              <w:t>Concept</w:t>
            </w:r>
          </w:p>
        </w:tc>
        <w:tc>
          <w:tcPr>
            <w:tcW w:w="0" w:type="auto"/>
            <w:hideMark/>
          </w:tcPr>
          <w:p w14:paraId="6FFE28F4" w14:textId="0311C6EA" w:rsidR="00BA0811" w:rsidRDefault="00BA0811" w:rsidP="00006876">
            <w:pPr>
              <w:spacing w:before="240"/>
              <w:jc w:val="both"/>
              <w:rPr>
                <w:b/>
                <w:bCs/>
              </w:rPr>
            </w:pPr>
            <w:r>
              <w:rPr>
                <w:b/>
                <w:bCs/>
              </w:rPr>
              <w:t xml:space="preserve">Keywords </w:t>
            </w:r>
          </w:p>
        </w:tc>
        <w:tc>
          <w:tcPr>
            <w:tcW w:w="0" w:type="auto"/>
            <w:hideMark/>
          </w:tcPr>
          <w:p w14:paraId="0476128E" w14:textId="77777777" w:rsidR="00BA0811" w:rsidRDefault="00BA0811" w:rsidP="00006876">
            <w:pPr>
              <w:spacing w:before="240"/>
              <w:jc w:val="both"/>
              <w:rPr>
                <w:b/>
                <w:bCs/>
              </w:rPr>
            </w:pPr>
            <w:r>
              <w:rPr>
                <w:b/>
                <w:bCs/>
              </w:rPr>
              <w:t>Synonyms/related terms</w:t>
            </w:r>
          </w:p>
        </w:tc>
        <w:tc>
          <w:tcPr>
            <w:tcW w:w="0" w:type="auto"/>
            <w:hideMark/>
          </w:tcPr>
          <w:p w14:paraId="40B27314" w14:textId="77777777" w:rsidR="00BA0811" w:rsidRDefault="00BA0811" w:rsidP="00006876">
            <w:pPr>
              <w:spacing w:before="240"/>
              <w:jc w:val="both"/>
              <w:rPr>
                <w:b/>
                <w:bCs/>
              </w:rPr>
            </w:pPr>
            <w:r>
              <w:rPr>
                <w:b/>
                <w:bCs/>
              </w:rPr>
              <w:t>Exclusions (NOT)</w:t>
            </w:r>
          </w:p>
        </w:tc>
      </w:tr>
      <w:tr w:rsidR="00BA0811" w14:paraId="073AE1BE" w14:textId="77777777" w:rsidTr="00B616FE">
        <w:tc>
          <w:tcPr>
            <w:tcW w:w="0" w:type="auto"/>
            <w:hideMark/>
          </w:tcPr>
          <w:p w14:paraId="232890AE" w14:textId="77777777" w:rsidR="00BA0811" w:rsidRDefault="00BA0811" w:rsidP="00006876">
            <w:pPr>
              <w:spacing w:before="240"/>
              <w:jc w:val="both"/>
            </w:pPr>
            <w:r>
              <w:t>Digital health</w:t>
            </w:r>
          </w:p>
        </w:tc>
        <w:tc>
          <w:tcPr>
            <w:tcW w:w="0" w:type="auto"/>
            <w:hideMark/>
          </w:tcPr>
          <w:p w14:paraId="6643243F" w14:textId="77777777" w:rsidR="00BA0811" w:rsidRDefault="00BA0811" w:rsidP="00006876">
            <w:pPr>
              <w:spacing w:before="240"/>
              <w:jc w:val="both"/>
            </w:pPr>
            <w:r>
              <w:t>telemedicine; telehealth</w:t>
            </w:r>
          </w:p>
        </w:tc>
        <w:tc>
          <w:tcPr>
            <w:tcW w:w="0" w:type="auto"/>
            <w:hideMark/>
          </w:tcPr>
          <w:p w14:paraId="38D27834" w14:textId="77777777" w:rsidR="00BA0811" w:rsidRDefault="00BA0811" w:rsidP="00006876">
            <w:pPr>
              <w:spacing w:before="240"/>
              <w:jc w:val="both"/>
            </w:pPr>
            <w:r>
              <w:t>virtual care; eHealth; mHealth; remote monitoring; video consultation</w:t>
            </w:r>
          </w:p>
        </w:tc>
        <w:tc>
          <w:tcPr>
            <w:tcW w:w="0" w:type="auto"/>
            <w:hideMark/>
          </w:tcPr>
          <w:p w14:paraId="7D5A2B45" w14:textId="77777777" w:rsidR="00BA0811" w:rsidRDefault="00BA0811" w:rsidP="00006876">
            <w:pPr>
              <w:spacing w:before="240"/>
              <w:jc w:val="both"/>
            </w:pPr>
            <w:r>
              <w:t>veterinary; telework</w:t>
            </w:r>
          </w:p>
        </w:tc>
      </w:tr>
      <w:tr w:rsidR="00BA0811" w14:paraId="4CDFD9E3" w14:textId="77777777" w:rsidTr="00B616FE">
        <w:tc>
          <w:tcPr>
            <w:tcW w:w="0" w:type="auto"/>
            <w:hideMark/>
          </w:tcPr>
          <w:p w14:paraId="78F2EA3F" w14:textId="77777777" w:rsidR="00BA0811" w:rsidRDefault="00BA0811" w:rsidP="00006876">
            <w:pPr>
              <w:spacing w:before="240"/>
              <w:jc w:val="both"/>
            </w:pPr>
            <w:r>
              <w:t>Rural</w:t>
            </w:r>
          </w:p>
        </w:tc>
        <w:tc>
          <w:tcPr>
            <w:tcW w:w="0" w:type="auto"/>
            <w:hideMark/>
          </w:tcPr>
          <w:p w14:paraId="1A1163E2" w14:textId="77777777" w:rsidR="00BA0811" w:rsidRDefault="00BA0811" w:rsidP="00006876">
            <w:pPr>
              <w:spacing w:before="240"/>
              <w:jc w:val="both"/>
            </w:pPr>
            <w:r>
              <w:t>rural; remote</w:t>
            </w:r>
          </w:p>
        </w:tc>
        <w:tc>
          <w:tcPr>
            <w:tcW w:w="0" w:type="auto"/>
            <w:hideMark/>
          </w:tcPr>
          <w:p w14:paraId="28318548" w14:textId="77777777" w:rsidR="00BA0811" w:rsidRDefault="00BA0811" w:rsidP="00006876">
            <w:pPr>
              <w:spacing w:before="240"/>
              <w:jc w:val="both"/>
            </w:pPr>
            <w:r>
              <w:t>underserved; peripheral; countryside; rural health services</w:t>
            </w:r>
          </w:p>
        </w:tc>
        <w:tc>
          <w:tcPr>
            <w:tcW w:w="0" w:type="auto"/>
            <w:hideMark/>
          </w:tcPr>
          <w:p w14:paraId="0ED2ED22" w14:textId="77777777" w:rsidR="00BA0811" w:rsidRDefault="00BA0811" w:rsidP="00006876">
            <w:pPr>
              <w:spacing w:before="240"/>
              <w:jc w:val="both"/>
            </w:pPr>
            <w:r>
              <w:t>urban-only</w:t>
            </w:r>
          </w:p>
        </w:tc>
      </w:tr>
      <w:tr w:rsidR="00BA0811" w14:paraId="067454EF" w14:textId="77777777" w:rsidTr="00B616FE">
        <w:tc>
          <w:tcPr>
            <w:tcW w:w="0" w:type="auto"/>
            <w:hideMark/>
          </w:tcPr>
          <w:p w14:paraId="42B6BD92" w14:textId="77777777" w:rsidR="00BA0811" w:rsidRDefault="00BA0811" w:rsidP="00006876">
            <w:pPr>
              <w:spacing w:before="240"/>
              <w:jc w:val="both"/>
            </w:pPr>
            <w:r>
              <w:t>SDG outcomes</w:t>
            </w:r>
          </w:p>
        </w:tc>
        <w:tc>
          <w:tcPr>
            <w:tcW w:w="0" w:type="auto"/>
            <w:hideMark/>
          </w:tcPr>
          <w:p w14:paraId="77935749" w14:textId="77777777" w:rsidR="00BA0811" w:rsidRDefault="00BA0811" w:rsidP="00006876">
            <w:pPr>
              <w:spacing w:before="240"/>
              <w:jc w:val="both"/>
            </w:pPr>
            <w:r>
              <w:t>SDG 3; SDG 9; SDG 10</w:t>
            </w:r>
          </w:p>
        </w:tc>
        <w:tc>
          <w:tcPr>
            <w:tcW w:w="0" w:type="auto"/>
            <w:hideMark/>
          </w:tcPr>
          <w:p w14:paraId="6A889622" w14:textId="77777777" w:rsidR="00BA0811" w:rsidRDefault="00BA0811" w:rsidP="00006876">
            <w:pPr>
              <w:spacing w:before="240"/>
              <w:jc w:val="both"/>
            </w:pPr>
            <w:r>
              <w:t>access; equity; inequalities; infrastructure; digital inclusion</w:t>
            </w:r>
          </w:p>
        </w:tc>
        <w:tc>
          <w:tcPr>
            <w:tcW w:w="0" w:type="auto"/>
            <w:hideMark/>
          </w:tcPr>
          <w:p w14:paraId="14F497E8" w14:textId="77777777" w:rsidR="00BA0811" w:rsidRDefault="00BA0811" w:rsidP="00006876">
            <w:pPr>
              <w:spacing w:before="240"/>
              <w:jc w:val="both"/>
            </w:pPr>
            <w:r>
              <w:t>unrelated SDGs</w:t>
            </w:r>
          </w:p>
        </w:tc>
      </w:tr>
    </w:tbl>
    <w:p w14:paraId="2034EBD7" w14:textId="3E5A0911" w:rsidR="00BA0811" w:rsidRDefault="00BA0811" w:rsidP="00006876">
      <w:pPr>
        <w:spacing w:before="240"/>
        <w:jc w:val="both"/>
      </w:pPr>
    </w:p>
    <w:p w14:paraId="03607940" w14:textId="2EE5E25C" w:rsidR="00032546" w:rsidRDefault="00032546" w:rsidP="00006876">
      <w:pPr>
        <w:pStyle w:val="Caption"/>
        <w:keepNext/>
        <w:spacing w:before="240"/>
        <w:jc w:val="both"/>
      </w:pPr>
      <w:bookmarkStart w:id="22" w:name="_Toc219413626"/>
      <w:r>
        <w:lastRenderedPageBreak/>
        <w:t xml:space="preserve">Table </w:t>
      </w:r>
      <w:fldSimple w:instr=" SEQ Table \* ARABIC ">
        <w:r w:rsidR="00FD3C99">
          <w:rPr>
            <w:noProof/>
          </w:rPr>
          <w:t>4</w:t>
        </w:r>
      </w:fldSimple>
      <w:r>
        <w:rPr>
          <w:lang w:val="en-GB"/>
        </w:rPr>
        <w:t>: Boolean and Search Strings</w:t>
      </w:r>
      <w:bookmarkEnd w:id="22"/>
    </w:p>
    <w:tbl>
      <w:tblPr>
        <w:tblStyle w:val="TableGrid"/>
        <w:tblW w:w="0" w:type="auto"/>
        <w:tblLook w:val="04A0" w:firstRow="1" w:lastRow="0" w:firstColumn="1" w:lastColumn="0" w:noHBand="0" w:noVBand="1"/>
      </w:tblPr>
      <w:tblGrid>
        <w:gridCol w:w="1133"/>
        <w:gridCol w:w="4397"/>
        <w:gridCol w:w="1572"/>
        <w:gridCol w:w="1914"/>
      </w:tblGrid>
      <w:tr w:rsidR="00032546" w:rsidRPr="00032546" w14:paraId="0DA065BD" w14:textId="77777777" w:rsidTr="00032546">
        <w:tc>
          <w:tcPr>
            <w:tcW w:w="0" w:type="auto"/>
            <w:hideMark/>
          </w:tcPr>
          <w:p w14:paraId="20B5945D" w14:textId="77777777" w:rsidR="00032546" w:rsidRPr="00D61C58" w:rsidRDefault="00032546" w:rsidP="00006876">
            <w:pPr>
              <w:spacing w:before="240"/>
              <w:jc w:val="both"/>
              <w:rPr>
                <w:b/>
                <w:bCs/>
              </w:rPr>
            </w:pPr>
            <w:r w:rsidRPr="00D61C58">
              <w:rPr>
                <w:b/>
                <w:bCs/>
              </w:rPr>
              <w:t>Purpose</w:t>
            </w:r>
          </w:p>
        </w:tc>
        <w:tc>
          <w:tcPr>
            <w:tcW w:w="0" w:type="auto"/>
            <w:hideMark/>
          </w:tcPr>
          <w:p w14:paraId="71097831" w14:textId="313C54BE" w:rsidR="00032546" w:rsidRPr="00D61C58" w:rsidRDefault="00032546" w:rsidP="00006876">
            <w:pPr>
              <w:spacing w:before="240"/>
              <w:jc w:val="both"/>
              <w:rPr>
                <w:b/>
                <w:bCs/>
              </w:rPr>
            </w:pPr>
            <w:r w:rsidRPr="00D61C58">
              <w:rPr>
                <w:b/>
                <w:bCs/>
              </w:rPr>
              <w:t xml:space="preserve">Search string </w:t>
            </w:r>
          </w:p>
        </w:tc>
        <w:tc>
          <w:tcPr>
            <w:tcW w:w="0" w:type="auto"/>
            <w:hideMark/>
          </w:tcPr>
          <w:p w14:paraId="1354E9C9" w14:textId="77777777" w:rsidR="00032546" w:rsidRPr="00D61C58" w:rsidRDefault="00032546" w:rsidP="00006876">
            <w:pPr>
              <w:spacing w:before="240"/>
              <w:jc w:val="both"/>
              <w:rPr>
                <w:b/>
                <w:bCs/>
              </w:rPr>
            </w:pPr>
            <w:r w:rsidRPr="00D61C58">
              <w:rPr>
                <w:b/>
                <w:bCs/>
              </w:rPr>
              <w:t>Operator use</w:t>
            </w:r>
          </w:p>
        </w:tc>
        <w:tc>
          <w:tcPr>
            <w:tcW w:w="0" w:type="auto"/>
            <w:hideMark/>
          </w:tcPr>
          <w:p w14:paraId="3B9992C5" w14:textId="77777777" w:rsidR="00032546" w:rsidRPr="00D61C58" w:rsidRDefault="00032546" w:rsidP="00006876">
            <w:pPr>
              <w:spacing w:before="240"/>
              <w:jc w:val="both"/>
              <w:rPr>
                <w:b/>
                <w:bCs/>
              </w:rPr>
            </w:pPr>
            <w:r w:rsidRPr="00D61C58">
              <w:rPr>
                <w:b/>
                <w:bCs/>
              </w:rPr>
              <w:t>Relevance to research objectives</w:t>
            </w:r>
          </w:p>
        </w:tc>
      </w:tr>
      <w:tr w:rsidR="00032546" w:rsidRPr="00032546" w14:paraId="79631BDE" w14:textId="77777777" w:rsidTr="00032546">
        <w:tc>
          <w:tcPr>
            <w:tcW w:w="0" w:type="auto"/>
            <w:hideMark/>
          </w:tcPr>
          <w:p w14:paraId="5D6BB2CA" w14:textId="77777777" w:rsidR="00032546" w:rsidRPr="00032546" w:rsidRDefault="00032546" w:rsidP="00006876">
            <w:pPr>
              <w:spacing w:before="240"/>
              <w:jc w:val="both"/>
            </w:pPr>
            <w:r w:rsidRPr="00032546">
              <w:t>Core search</w:t>
            </w:r>
          </w:p>
        </w:tc>
        <w:tc>
          <w:tcPr>
            <w:tcW w:w="0" w:type="auto"/>
            <w:hideMark/>
          </w:tcPr>
          <w:p w14:paraId="07B6D2E4" w14:textId="77777777" w:rsidR="00032546" w:rsidRPr="00032546" w:rsidRDefault="00032546" w:rsidP="00006876">
            <w:pPr>
              <w:spacing w:before="240"/>
              <w:jc w:val="both"/>
            </w:pPr>
            <w:r w:rsidRPr="00032546">
              <w:t>(telemedicine OR telehealth OR “digital health” OR mHealth) AND (rural OR remote OR underserved) AND (equity OR inequality OR access OR SDG)</w:t>
            </w:r>
          </w:p>
        </w:tc>
        <w:tc>
          <w:tcPr>
            <w:tcW w:w="0" w:type="auto"/>
            <w:hideMark/>
          </w:tcPr>
          <w:p w14:paraId="0BC530B3" w14:textId="77777777" w:rsidR="00032546" w:rsidRPr="00032546" w:rsidRDefault="00032546" w:rsidP="00006876">
            <w:pPr>
              <w:spacing w:before="240"/>
              <w:jc w:val="both"/>
            </w:pPr>
            <w:r w:rsidRPr="00032546">
              <w:t>OR synonyms; AND concepts</w:t>
            </w:r>
          </w:p>
        </w:tc>
        <w:tc>
          <w:tcPr>
            <w:tcW w:w="0" w:type="auto"/>
            <w:hideMark/>
          </w:tcPr>
          <w:p w14:paraId="26E9FB86" w14:textId="77777777" w:rsidR="00032546" w:rsidRPr="00032546" w:rsidRDefault="00032546" w:rsidP="00006876">
            <w:pPr>
              <w:spacing w:before="240"/>
              <w:jc w:val="both"/>
            </w:pPr>
            <w:r w:rsidRPr="00032546">
              <w:t>Obj 1; Obj 2; Obj 4</w:t>
            </w:r>
          </w:p>
        </w:tc>
      </w:tr>
      <w:tr w:rsidR="00032546" w:rsidRPr="00032546" w14:paraId="24683545" w14:textId="77777777" w:rsidTr="00032546">
        <w:tc>
          <w:tcPr>
            <w:tcW w:w="0" w:type="auto"/>
            <w:hideMark/>
          </w:tcPr>
          <w:p w14:paraId="6A310BD5" w14:textId="77777777" w:rsidR="00032546" w:rsidRPr="00032546" w:rsidRDefault="00032546" w:rsidP="00006876">
            <w:pPr>
              <w:spacing w:before="240"/>
              <w:jc w:val="both"/>
            </w:pPr>
            <w:r w:rsidRPr="00032546">
              <w:t>Narrow to SDGs</w:t>
            </w:r>
          </w:p>
        </w:tc>
        <w:tc>
          <w:tcPr>
            <w:tcW w:w="0" w:type="auto"/>
            <w:hideMark/>
          </w:tcPr>
          <w:p w14:paraId="769FD1B4" w14:textId="77777777" w:rsidR="00032546" w:rsidRPr="00032546" w:rsidRDefault="00032546" w:rsidP="00006876">
            <w:pPr>
              <w:spacing w:before="240"/>
              <w:jc w:val="both"/>
            </w:pPr>
            <w:r w:rsidRPr="00032546">
              <w:t>(“digital health” OR telemedicine) AND rural AND (“SDG 3” OR “SDG 9” OR “SDG 10”)</w:t>
            </w:r>
          </w:p>
        </w:tc>
        <w:tc>
          <w:tcPr>
            <w:tcW w:w="0" w:type="auto"/>
            <w:hideMark/>
          </w:tcPr>
          <w:p w14:paraId="6C3CD2BC" w14:textId="77777777" w:rsidR="00032546" w:rsidRPr="00032546" w:rsidRDefault="00032546" w:rsidP="00006876">
            <w:pPr>
              <w:spacing w:before="240"/>
              <w:jc w:val="both"/>
            </w:pPr>
            <w:r w:rsidRPr="00032546">
              <w:t>SDG focus</w:t>
            </w:r>
          </w:p>
        </w:tc>
        <w:tc>
          <w:tcPr>
            <w:tcW w:w="0" w:type="auto"/>
            <w:hideMark/>
          </w:tcPr>
          <w:p w14:paraId="746D6929" w14:textId="77777777" w:rsidR="00032546" w:rsidRPr="00032546" w:rsidRDefault="00032546" w:rsidP="00006876">
            <w:pPr>
              <w:spacing w:before="240"/>
              <w:jc w:val="both"/>
            </w:pPr>
            <w:r w:rsidRPr="00032546">
              <w:t>Obj 2; Obj 4</w:t>
            </w:r>
          </w:p>
        </w:tc>
      </w:tr>
      <w:tr w:rsidR="00032546" w:rsidRPr="00032546" w14:paraId="45E7F966" w14:textId="77777777" w:rsidTr="00032546">
        <w:tc>
          <w:tcPr>
            <w:tcW w:w="0" w:type="auto"/>
            <w:hideMark/>
          </w:tcPr>
          <w:p w14:paraId="4CD056C8" w14:textId="77777777" w:rsidR="00032546" w:rsidRPr="00032546" w:rsidRDefault="00032546" w:rsidP="00006876">
            <w:pPr>
              <w:spacing w:before="240"/>
              <w:jc w:val="both"/>
            </w:pPr>
            <w:r w:rsidRPr="00032546">
              <w:t>Remove noise</w:t>
            </w:r>
          </w:p>
        </w:tc>
        <w:tc>
          <w:tcPr>
            <w:tcW w:w="0" w:type="auto"/>
            <w:hideMark/>
          </w:tcPr>
          <w:p w14:paraId="6F9E11C4" w14:textId="77777777" w:rsidR="00032546" w:rsidRPr="00032546" w:rsidRDefault="00032546" w:rsidP="00006876">
            <w:pPr>
              <w:spacing w:before="240"/>
              <w:jc w:val="both"/>
            </w:pPr>
            <w:r w:rsidRPr="00032546">
              <w:t>telehealth AND rural NOT (veterinary OR telework)</w:t>
            </w:r>
          </w:p>
        </w:tc>
        <w:tc>
          <w:tcPr>
            <w:tcW w:w="0" w:type="auto"/>
            <w:hideMark/>
          </w:tcPr>
          <w:p w14:paraId="1E1C879D" w14:textId="77777777" w:rsidR="00032546" w:rsidRPr="00032546" w:rsidRDefault="00032546" w:rsidP="00006876">
            <w:pPr>
              <w:spacing w:before="240"/>
              <w:jc w:val="both"/>
            </w:pPr>
            <w:r w:rsidRPr="00032546">
              <w:t>NOT exclusions</w:t>
            </w:r>
          </w:p>
        </w:tc>
        <w:tc>
          <w:tcPr>
            <w:tcW w:w="0" w:type="auto"/>
            <w:hideMark/>
          </w:tcPr>
          <w:p w14:paraId="478B4BCE" w14:textId="77777777" w:rsidR="00032546" w:rsidRPr="00032546" w:rsidRDefault="00032546" w:rsidP="00006876">
            <w:pPr>
              <w:spacing w:before="240"/>
              <w:jc w:val="both"/>
            </w:pPr>
            <w:r w:rsidRPr="00032546">
              <w:t>Obj 1 (precision); Obj 3 (relevance control)</w:t>
            </w:r>
          </w:p>
        </w:tc>
      </w:tr>
    </w:tbl>
    <w:p w14:paraId="704DE99A" w14:textId="77777777" w:rsidR="00B616FE" w:rsidRDefault="00B616FE" w:rsidP="00006876">
      <w:pPr>
        <w:spacing w:before="240"/>
        <w:jc w:val="both"/>
      </w:pPr>
    </w:p>
    <w:p w14:paraId="294859A5" w14:textId="15EAA9C8" w:rsidR="00BA0811" w:rsidRPr="00120DFE" w:rsidRDefault="00BA0811" w:rsidP="00FD3C99">
      <w:pPr>
        <w:pStyle w:val="Heading2"/>
      </w:pPr>
      <w:bookmarkStart w:id="23" w:name="_Toc220350663"/>
      <w:r w:rsidRPr="00120DFE">
        <w:t>3.3</w:t>
      </w:r>
      <w:r w:rsidR="00120DFE" w:rsidRPr="00120DFE">
        <w:t>.</w:t>
      </w:r>
      <w:r w:rsidRPr="00120DFE">
        <w:t xml:space="preserve"> Searching for Information</w:t>
      </w:r>
      <w:bookmarkEnd w:id="23"/>
      <w:r w:rsidRPr="00120DFE">
        <w:t xml:space="preserve"> </w:t>
      </w:r>
    </w:p>
    <w:p w14:paraId="776CBA9E" w14:textId="77777777" w:rsidR="00966D35" w:rsidRDefault="00966D35" w:rsidP="00006876">
      <w:pPr>
        <w:pStyle w:val="NormalWeb"/>
        <w:spacing w:before="240" w:beforeAutospacing="0"/>
        <w:jc w:val="both"/>
      </w:pPr>
      <w:r w:rsidRPr="00966D35">
        <w:t>A systematic search of academic databases and authoritative policy websites was used to identify the sources necessary to guarantee credibility and relevance. Peer-reviewed journal articles were given preference to get evidence on clinical outcomes, implementation models, and barriers/enablers in rural contexts. Where possible systematic reviews and meta-analyses were incorporated to enhance the evidence base and not to rely on single-site studies. Moreover real-world implementation and governance challenges not explicitly covered by academic research were also represented by government and NGO policy documents, programme evaluations, and selected think-tank reports.</w:t>
      </w:r>
    </w:p>
    <w:p w14:paraId="2E458AC6" w14:textId="77777777" w:rsidR="00B62E89" w:rsidRDefault="00BA0811" w:rsidP="00006876">
      <w:pPr>
        <w:pStyle w:val="NormalWeb"/>
        <w:spacing w:before="240" w:beforeAutospacing="0"/>
        <w:jc w:val="both"/>
      </w:pPr>
      <w:r>
        <w:t xml:space="preserve">The main academic databases used were </w:t>
      </w:r>
    </w:p>
    <w:p w14:paraId="67130D8F" w14:textId="77777777" w:rsidR="00B62E89" w:rsidRDefault="00BA0811" w:rsidP="00B62E89">
      <w:pPr>
        <w:pStyle w:val="NormalWeb"/>
        <w:numPr>
          <w:ilvl w:val="0"/>
          <w:numId w:val="2"/>
        </w:numPr>
        <w:spacing w:before="240" w:beforeAutospacing="0"/>
        <w:jc w:val="both"/>
      </w:pPr>
      <w:r>
        <w:rPr>
          <w:rStyle w:val="Strong"/>
          <w:rFonts w:eastAsiaTheme="majorEastAsia"/>
        </w:rPr>
        <w:t>PubMed</w:t>
      </w:r>
      <w:r>
        <w:t xml:space="preserve"> (health and clinical evidence)</w:t>
      </w:r>
    </w:p>
    <w:p w14:paraId="27F564BA" w14:textId="77777777" w:rsidR="00B62E89" w:rsidRDefault="00BA0811" w:rsidP="00B62E89">
      <w:pPr>
        <w:pStyle w:val="NormalWeb"/>
        <w:numPr>
          <w:ilvl w:val="0"/>
          <w:numId w:val="2"/>
        </w:numPr>
        <w:spacing w:before="240" w:beforeAutospacing="0"/>
        <w:jc w:val="both"/>
        <w:rPr>
          <w:rStyle w:val="Strong"/>
          <w:rFonts w:eastAsiaTheme="majorEastAsia"/>
        </w:rPr>
      </w:pPr>
      <w:r>
        <w:rPr>
          <w:rStyle w:val="Strong"/>
          <w:rFonts w:eastAsiaTheme="majorEastAsia"/>
        </w:rPr>
        <w:t>Scopus</w:t>
      </w:r>
    </w:p>
    <w:p w14:paraId="6CC2EABD" w14:textId="77777777" w:rsidR="00B62E89" w:rsidRDefault="00BA0811" w:rsidP="00B62E89">
      <w:pPr>
        <w:pStyle w:val="NormalWeb"/>
        <w:numPr>
          <w:ilvl w:val="0"/>
          <w:numId w:val="2"/>
        </w:numPr>
        <w:spacing w:before="240" w:beforeAutospacing="0"/>
        <w:jc w:val="both"/>
      </w:pPr>
      <w:r>
        <w:rPr>
          <w:rStyle w:val="Strong"/>
          <w:rFonts w:eastAsiaTheme="majorEastAsia"/>
        </w:rPr>
        <w:t>Web of Science</w:t>
      </w:r>
      <w:r>
        <w:t xml:space="preserve"> (broader interdisciplinary coverage and citation mapping). </w:t>
      </w:r>
    </w:p>
    <w:p w14:paraId="2665B3F1" w14:textId="77777777" w:rsidR="00C23559" w:rsidRDefault="00B62E89" w:rsidP="00AA0849">
      <w:pPr>
        <w:pStyle w:val="NormalWeb"/>
        <w:spacing w:before="240" w:beforeAutospacing="0"/>
        <w:jc w:val="both"/>
      </w:pPr>
      <w:r>
        <w:lastRenderedPageBreak/>
        <w:t>For further screening, filters were applied which are included in inclusion exclusion criteria (Table 5)</w:t>
      </w:r>
      <w:r w:rsidR="00A529DA">
        <w:t xml:space="preserve"> including publocation date, language and document type.</w:t>
      </w:r>
      <w:r w:rsidR="00BA0811">
        <w:t>Searches were refined iteratively; for example, if results were too broad, additional outcome terms (digital divide, health equity, infrastructure) were added, while overly narrow searches were expanded using alternative synonyms.</w:t>
      </w:r>
    </w:p>
    <w:p w14:paraId="2A951145" w14:textId="26B4DA80" w:rsidR="00BA0811" w:rsidRDefault="00BA0811" w:rsidP="00AA0849">
      <w:pPr>
        <w:pStyle w:val="NormalWeb"/>
        <w:spacing w:before="240" w:beforeAutospacing="0"/>
        <w:jc w:val="both"/>
      </w:pPr>
      <w:r>
        <w:t>A source tracking table was used to record databases searched, keywords, and shortlisted items, and this is referenced in the appendix.</w:t>
      </w:r>
    </w:p>
    <w:p w14:paraId="33C43E83" w14:textId="0E27544E" w:rsidR="00BA0811" w:rsidRPr="00856BF7" w:rsidRDefault="00BA0811" w:rsidP="00FD3C99">
      <w:pPr>
        <w:pStyle w:val="Heading2"/>
      </w:pPr>
      <w:bookmarkStart w:id="24" w:name="_Toc220350664"/>
      <w:r w:rsidRPr="00856BF7">
        <w:t>3.4</w:t>
      </w:r>
      <w:r w:rsidR="00856BF7" w:rsidRPr="00856BF7">
        <w:t>.</w:t>
      </w:r>
      <w:r w:rsidRPr="00856BF7">
        <w:t xml:space="preserve"> Research Validation</w:t>
      </w:r>
      <w:bookmarkEnd w:id="24"/>
      <w:r w:rsidRPr="00856BF7">
        <w:t xml:space="preserve"> </w:t>
      </w:r>
    </w:p>
    <w:p w14:paraId="0A9EF525" w14:textId="0884471E" w:rsidR="00BA0811" w:rsidRDefault="00BA0811" w:rsidP="00006876">
      <w:pPr>
        <w:pStyle w:val="NormalWeb"/>
        <w:spacing w:before="240" w:beforeAutospacing="0"/>
        <w:jc w:val="both"/>
      </w:pPr>
      <w:r>
        <w:t xml:space="preserve">To screen efficiently, sources were first skimmed using the title, abstract, keywords, and conclusion to judge relevance to rural telemedicine/digital health and SDG-aligned outcomes. Articles were retained at this stage if they clearly addressed rural contexts, service access, implementation barriers, or equity impacts. Quality and suitability were then assessed using the </w:t>
      </w:r>
      <w:r>
        <w:rPr>
          <w:rStyle w:val="Strong"/>
          <w:rFonts w:eastAsiaTheme="majorEastAsia"/>
        </w:rPr>
        <w:t>CRAAP test</w:t>
      </w:r>
      <w:r>
        <w:t xml:space="preserve">: </w:t>
      </w:r>
      <w:r>
        <w:rPr>
          <w:rStyle w:val="Strong"/>
          <w:rFonts w:eastAsiaTheme="majorEastAsia"/>
        </w:rPr>
        <w:t>Currency</w:t>
      </w:r>
      <w:r>
        <w:t xml:space="preserve"> (recency and relevance to current digital-health systems), </w:t>
      </w:r>
      <w:r>
        <w:rPr>
          <w:rStyle w:val="Strong"/>
          <w:rFonts w:eastAsiaTheme="majorEastAsia"/>
        </w:rPr>
        <w:t>Relevance</w:t>
      </w:r>
      <w:r>
        <w:t xml:space="preserve"> (direct connection to rural digital health and SDG outcomes), </w:t>
      </w:r>
      <w:r>
        <w:rPr>
          <w:rStyle w:val="Strong"/>
          <w:rFonts w:eastAsiaTheme="majorEastAsia"/>
        </w:rPr>
        <w:t>Authority</w:t>
      </w:r>
      <w:r>
        <w:t xml:space="preserve"> (credible authorship, peer review, respected institutions), </w:t>
      </w:r>
      <w:r>
        <w:rPr>
          <w:rStyle w:val="Strong"/>
          <w:rFonts w:eastAsiaTheme="majorEastAsia"/>
        </w:rPr>
        <w:t>Accuracy</w:t>
      </w:r>
      <w:r>
        <w:t xml:space="preserve"> (transparent methods, consistent findings, appropriate evidence), and </w:t>
      </w:r>
      <w:r>
        <w:rPr>
          <w:rStyle w:val="Strong"/>
          <w:rFonts w:eastAsiaTheme="majorEastAsia"/>
        </w:rPr>
        <w:t>Purpose</w:t>
      </w:r>
      <w:r>
        <w:t xml:space="preserve"> (objective reporting rather than marketing or advocacy)</w:t>
      </w:r>
      <w:r w:rsidR="00127034">
        <w:t xml:space="preserve"> </w:t>
      </w:r>
      <w:r w:rsidR="00127034">
        <w:rPr>
          <w:rFonts w:cs="Calibri"/>
          <w:szCs w:val="22"/>
        </w:rPr>
        <w:t>(Muis, Denton and Dubé, 2022)</w:t>
      </w:r>
      <w:r>
        <w:t>. While not all sources scored equally across each criterion, priority was given to strong performance on Currency, Relevance, and Authority.</w:t>
      </w:r>
    </w:p>
    <w:p w14:paraId="204C0111" w14:textId="77777777" w:rsidR="00D652D3" w:rsidRDefault="00D652D3" w:rsidP="005664AF">
      <w:pPr>
        <w:pStyle w:val="NormalWeb"/>
        <w:keepNext/>
        <w:spacing w:before="240" w:beforeAutospacing="0"/>
        <w:jc w:val="center"/>
      </w:pPr>
      <w:r w:rsidRPr="00D652D3">
        <w:rPr>
          <w:noProof/>
        </w:rPr>
        <w:drawing>
          <wp:inline distT="0" distB="0" distL="0" distR="0" wp14:anchorId="42C82AD6" wp14:editId="3BCD8385">
            <wp:extent cx="5142692" cy="3351923"/>
            <wp:effectExtent l="0" t="0" r="1270" b="1270"/>
            <wp:docPr id="1166234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234625" name=""/>
                    <pic:cNvPicPr/>
                  </pic:nvPicPr>
                  <pic:blipFill>
                    <a:blip r:embed="rId12"/>
                    <a:stretch>
                      <a:fillRect/>
                    </a:stretch>
                  </pic:blipFill>
                  <pic:spPr>
                    <a:xfrm>
                      <a:off x="0" y="0"/>
                      <a:ext cx="5150140" cy="3356778"/>
                    </a:xfrm>
                    <a:prstGeom prst="rect">
                      <a:avLst/>
                    </a:prstGeom>
                  </pic:spPr>
                </pic:pic>
              </a:graphicData>
            </a:graphic>
          </wp:inline>
        </w:drawing>
      </w:r>
    </w:p>
    <w:p w14:paraId="3FBAE101" w14:textId="07142F94" w:rsidR="00D652D3" w:rsidRPr="00FF7350" w:rsidRDefault="00D652D3" w:rsidP="005664AF">
      <w:pPr>
        <w:pStyle w:val="Caption"/>
        <w:jc w:val="center"/>
      </w:pPr>
      <w:bookmarkStart w:id="25" w:name="_Toc219414096"/>
      <w:r w:rsidRPr="00FF7350">
        <w:t xml:space="preserve">Figure </w:t>
      </w:r>
      <w:fldSimple w:instr=" SEQ Figure \* ARABIC ">
        <w:r w:rsidR="003F4B75">
          <w:rPr>
            <w:noProof/>
          </w:rPr>
          <w:t>4</w:t>
        </w:r>
      </w:fldSimple>
      <w:r w:rsidRPr="00FF7350">
        <w:rPr>
          <w:lang w:val="en-GB"/>
        </w:rPr>
        <w:t xml:space="preserve">: CRAAP </w:t>
      </w:r>
      <w:r w:rsidR="00FF7350">
        <w:rPr>
          <w:lang w:val="en-GB"/>
        </w:rPr>
        <w:t>T</w:t>
      </w:r>
      <w:r w:rsidRPr="00FF7350">
        <w:rPr>
          <w:lang w:val="en-GB"/>
        </w:rPr>
        <w:t xml:space="preserve">est </w:t>
      </w:r>
      <w:r w:rsidRPr="00FF7350">
        <w:rPr>
          <w:rFonts w:cs="Calibri"/>
        </w:rPr>
        <w:t xml:space="preserve">(Meloche </w:t>
      </w:r>
      <w:r w:rsidRPr="00FF7350">
        <w:rPr>
          <w:rFonts w:cs="Calibri"/>
          <w:i w:val="0"/>
          <w:iCs w:val="0"/>
        </w:rPr>
        <w:t>et al.</w:t>
      </w:r>
      <w:r w:rsidRPr="00FF7350">
        <w:rPr>
          <w:rFonts w:cs="Calibri"/>
        </w:rPr>
        <w:t>, 2020)</w:t>
      </w:r>
      <w:bookmarkEnd w:id="25"/>
    </w:p>
    <w:p w14:paraId="7D2CD17E" w14:textId="49127C65" w:rsidR="00BA0811" w:rsidRDefault="00BA0811" w:rsidP="00FD3C99">
      <w:pPr>
        <w:pStyle w:val="Heading2"/>
      </w:pPr>
      <w:bookmarkStart w:id="26" w:name="_Toc220350665"/>
      <w:r w:rsidRPr="00887082">
        <w:lastRenderedPageBreak/>
        <w:t>3.5</w:t>
      </w:r>
      <w:r w:rsidR="00887082" w:rsidRPr="00887082">
        <w:t>.</w:t>
      </w:r>
      <w:r w:rsidRPr="00887082">
        <w:t xml:space="preserve"> Inclusion and Exclusion Criteria</w:t>
      </w:r>
      <w:bookmarkEnd w:id="26"/>
      <w:r w:rsidRPr="00887082">
        <w:t xml:space="preserve"> </w:t>
      </w:r>
    </w:p>
    <w:p w14:paraId="46B399AE" w14:textId="7B9CB74E" w:rsidR="00FD3C99" w:rsidRDefault="00FD3C99" w:rsidP="00FD3C99">
      <w:pPr>
        <w:pStyle w:val="Caption"/>
        <w:keepNext/>
      </w:pPr>
      <w:bookmarkStart w:id="27" w:name="_Toc219413627"/>
      <w:r>
        <w:t xml:space="preserve">Table </w:t>
      </w:r>
      <w:fldSimple w:instr=" SEQ Table \* ARABIC ">
        <w:r>
          <w:rPr>
            <w:noProof/>
          </w:rPr>
          <w:t>5</w:t>
        </w:r>
      </w:fldSimple>
      <w:r>
        <w:rPr>
          <w:lang w:val="en-GB"/>
        </w:rPr>
        <w:t xml:space="preserve">: </w:t>
      </w:r>
      <w:r w:rsidRPr="00DF0291">
        <w:rPr>
          <w:lang w:val="en-GB"/>
        </w:rPr>
        <w:t>Inclusion and Exclusion Criteria</w:t>
      </w:r>
      <w:bookmarkEnd w:id="27"/>
    </w:p>
    <w:tbl>
      <w:tblPr>
        <w:tblStyle w:val="TableGrid"/>
        <w:tblW w:w="0" w:type="auto"/>
        <w:tblLook w:val="04A0" w:firstRow="1" w:lastRow="0" w:firstColumn="1" w:lastColumn="0" w:noHBand="0" w:noVBand="1"/>
      </w:tblPr>
      <w:tblGrid>
        <w:gridCol w:w="1956"/>
        <w:gridCol w:w="3899"/>
        <w:gridCol w:w="3161"/>
      </w:tblGrid>
      <w:tr w:rsidR="00A21DD0" w:rsidRPr="00A21DD0" w14:paraId="0F26575E" w14:textId="77777777" w:rsidTr="00A21DD0">
        <w:tc>
          <w:tcPr>
            <w:tcW w:w="0" w:type="auto"/>
            <w:hideMark/>
          </w:tcPr>
          <w:p w14:paraId="5C0AF277" w14:textId="77777777" w:rsidR="00A21DD0" w:rsidRPr="00F32785" w:rsidRDefault="00A21DD0" w:rsidP="00006876">
            <w:pPr>
              <w:spacing w:before="240"/>
              <w:jc w:val="both"/>
              <w:rPr>
                <w:b/>
                <w:bCs/>
              </w:rPr>
            </w:pPr>
            <w:r w:rsidRPr="00F32785">
              <w:rPr>
                <w:b/>
                <w:bCs/>
              </w:rPr>
              <w:t>Category</w:t>
            </w:r>
          </w:p>
        </w:tc>
        <w:tc>
          <w:tcPr>
            <w:tcW w:w="0" w:type="auto"/>
            <w:hideMark/>
          </w:tcPr>
          <w:p w14:paraId="2B04B64B" w14:textId="77777777" w:rsidR="00A21DD0" w:rsidRPr="00A21DD0" w:rsidRDefault="00A21DD0" w:rsidP="00006876">
            <w:pPr>
              <w:spacing w:before="240"/>
              <w:jc w:val="both"/>
              <w:rPr>
                <w:b/>
                <w:bCs/>
              </w:rPr>
            </w:pPr>
            <w:r w:rsidRPr="00A21DD0">
              <w:rPr>
                <w:b/>
                <w:bCs/>
              </w:rPr>
              <w:t>Inclusion criteria</w:t>
            </w:r>
          </w:p>
        </w:tc>
        <w:tc>
          <w:tcPr>
            <w:tcW w:w="0" w:type="auto"/>
            <w:hideMark/>
          </w:tcPr>
          <w:p w14:paraId="6ED226C5" w14:textId="77777777" w:rsidR="00A21DD0" w:rsidRPr="00A21DD0" w:rsidRDefault="00A21DD0" w:rsidP="00006876">
            <w:pPr>
              <w:spacing w:before="240"/>
              <w:jc w:val="both"/>
              <w:rPr>
                <w:b/>
                <w:bCs/>
              </w:rPr>
            </w:pPr>
            <w:r w:rsidRPr="00A21DD0">
              <w:rPr>
                <w:b/>
                <w:bCs/>
              </w:rPr>
              <w:t>Exclusion criteria</w:t>
            </w:r>
          </w:p>
        </w:tc>
      </w:tr>
      <w:tr w:rsidR="00A21DD0" w:rsidRPr="00A21DD0" w14:paraId="7EE7A771" w14:textId="77777777" w:rsidTr="00A21DD0">
        <w:tc>
          <w:tcPr>
            <w:tcW w:w="0" w:type="auto"/>
            <w:hideMark/>
          </w:tcPr>
          <w:p w14:paraId="4CF2781B" w14:textId="77777777" w:rsidR="00A21DD0" w:rsidRPr="00F32785" w:rsidRDefault="00A21DD0" w:rsidP="00006876">
            <w:pPr>
              <w:spacing w:before="240"/>
              <w:jc w:val="both"/>
              <w:rPr>
                <w:b/>
                <w:bCs/>
              </w:rPr>
            </w:pPr>
            <w:r w:rsidRPr="00F32785">
              <w:rPr>
                <w:b/>
                <w:bCs/>
              </w:rPr>
              <w:t>Topic focus</w:t>
            </w:r>
          </w:p>
        </w:tc>
        <w:tc>
          <w:tcPr>
            <w:tcW w:w="0" w:type="auto"/>
            <w:hideMark/>
          </w:tcPr>
          <w:p w14:paraId="0CF67E2D" w14:textId="77777777" w:rsidR="00A21DD0" w:rsidRPr="00A21DD0" w:rsidRDefault="00A21DD0" w:rsidP="00006876">
            <w:pPr>
              <w:spacing w:before="240"/>
              <w:jc w:val="both"/>
            </w:pPr>
            <w:r w:rsidRPr="00A21DD0">
              <w:t>Telemedicine; telehealth; digital health; mHealth; remote monitoring</w:t>
            </w:r>
          </w:p>
        </w:tc>
        <w:tc>
          <w:tcPr>
            <w:tcW w:w="0" w:type="auto"/>
            <w:hideMark/>
          </w:tcPr>
          <w:p w14:paraId="67533A12" w14:textId="77777777" w:rsidR="00A21DD0" w:rsidRPr="00A21DD0" w:rsidRDefault="00A21DD0" w:rsidP="00006876">
            <w:pPr>
              <w:spacing w:before="240"/>
              <w:jc w:val="both"/>
            </w:pPr>
            <w:r w:rsidRPr="00A21DD0">
              <w:t>Not digital health/telemedicine focused; unrelated technologies</w:t>
            </w:r>
          </w:p>
        </w:tc>
      </w:tr>
      <w:tr w:rsidR="00A21DD0" w:rsidRPr="00A21DD0" w14:paraId="1111D86E" w14:textId="77777777" w:rsidTr="00A21DD0">
        <w:tc>
          <w:tcPr>
            <w:tcW w:w="0" w:type="auto"/>
            <w:hideMark/>
          </w:tcPr>
          <w:p w14:paraId="180F9144" w14:textId="77777777" w:rsidR="00A21DD0" w:rsidRPr="00F32785" w:rsidRDefault="00A21DD0" w:rsidP="00006876">
            <w:pPr>
              <w:spacing w:before="240"/>
              <w:jc w:val="both"/>
              <w:rPr>
                <w:b/>
                <w:bCs/>
              </w:rPr>
            </w:pPr>
            <w:r w:rsidRPr="00F32785">
              <w:rPr>
                <w:b/>
                <w:bCs/>
              </w:rPr>
              <w:t>Setting/population</w:t>
            </w:r>
          </w:p>
        </w:tc>
        <w:tc>
          <w:tcPr>
            <w:tcW w:w="0" w:type="auto"/>
            <w:hideMark/>
          </w:tcPr>
          <w:p w14:paraId="284490E2" w14:textId="77777777" w:rsidR="00A21DD0" w:rsidRPr="00A21DD0" w:rsidRDefault="00A21DD0" w:rsidP="00006876">
            <w:pPr>
              <w:spacing w:before="240"/>
              <w:jc w:val="both"/>
            </w:pPr>
            <w:r w:rsidRPr="00A21DD0">
              <w:t>Rural; remote; underserved communities; rural health services</w:t>
            </w:r>
          </w:p>
        </w:tc>
        <w:tc>
          <w:tcPr>
            <w:tcW w:w="0" w:type="auto"/>
            <w:hideMark/>
          </w:tcPr>
          <w:p w14:paraId="6976E3E6" w14:textId="77777777" w:rsidR="00A21DD0" w:rsidRPr="00A21DD0" w:rsidRDefault="00A21DD0" w:rsidP="00006876">
            <w:pPr>
              <w:spacing w:before="240"/>
              <w:jc w:val="both"/>
            </w:pPr>
            <w:r w:rsidRPr="00A21DD0">
              <w:t>Urban-only studies; no rural subgroup analysis</w:t>
            </w:r>
          </w:p>
        </w:tc>
      </w:tr>
      <w:tr w:rsidR="00A21DD0" w:rsidRPr="00A21DD0" w14:paraId="791074FD" w14:textId="77777777" w:rsidTr="00A21DD0">
        <w:tc>
          <w:tcPr>
            <w:tcW w:w="0" w:type="auto"/>
            <w:hideMark/>
          </w:tcPr>
          <w:p w14:paraId="74A8C0AF" w14:textId="77777777" w:rsidR="00A21DD0" w:rsidRPr="00F32785" w:rsidRDefault="00A21DD0" w:rsidP="00006876">
            <w:pPr>
              <w:spacing w:before="240"/>
              <w:jc w:val="both"/>
              <w:rPr>
                <w:b/>
                <w:bCs/>
              </w:rPr>
            </w:pPr>
            <w:r w:rsidRPr="00F32785">
              <w:rPr>
                <w:b/>
                <w:bCs/>
              </w:rPr>
              <w:t>Outcomes</w:t>
            </w:r>
          </w:p>
        </w:tc>
        <w:tc>
          <w:tcPr>
            <w:tcW w:w="0" w:type="auto"/>
            <w:hideMark/>
          </w:tcPr>
          <w:p w14:paraId="08F4F9C8" w14:textId="77777777" w:rsidR="00A21DD0" w:rsidRPr="00A21DD0" w:rsidRDefault="00A21DD0" w:rsidP="00006876">
            <w:pPr>
              <w:spacing w:before="240"/>
              <w:jc w:val="both"/>
            </w:pPr>
            <w:r w:rsidRPr="00A21DD0">
              <w:t>SDG 3: access, quality, timeliness, continuity, cost; SDG 9: connectivity, infrastructure, interoperability; SDG 10: equity, digital inclusion, disparities</w:t>
            </w:r>
          </w:p>
        </w:tc>
        <w:tc>
          <w:tcPr>
            <w:tcW w:w="0" w:type="auto"/>
            <w:hideMark/>
          </w:tcPr>
          <w:p w14:paraId="391F190A" w14:textId="77777777" w:rsidR="00A21DD0" w:rsidRPr="00A21DD0" w:rsidRDefault="00A21DD0" w:rsidP="00006876">
            <w:pPr>
              <w:spacing w:before="240"/>
              <w:jc w:val="both"/>
            </w:pPr>
            <w:r w:rsidRPr="00A21DD0">
              <w:t>No outcomes linked to SDG 3/9/10; purely technical without health/equity implications</w:t>
            </w:r>
          </w:p>
        </w:tc>
      </w:tr>
      <w:tr w:rsidR="00A21DD0" w:rsidRPr="00A21DD0" w14:paraId="25C0C97A" w14:textId="77777777" w:rsidTr="00A21DD0">
        <w:tc>
          <w:tcPr>
            <w:tcW w:w="0" w:type="auto"/>
            <w:hideMark/>
          </w:tcPr>
          <w:p w14:paraId="0764FE62" w14:textId="77777777" w:rsidR="00A21DD0" w:rsidRPr="00F32785" w:rsidRDefault="00A21DD0" w:rsidP="00006876">
            <w:pPr>
              <w:spacing w:before="240"/>
              <w:jc w:val="both"/>
              <w:rPr>
                <w:b/>
                <w:bCs/>
              </w:rPr>
            </w:pPr>
            <w:r w:rsidRPr="00F32785">
              <w:rPr>
                <w:b/>
                <w:bCs/>
              </w:rPr>
              <w:t>Evidence type</w:t>
            </w:r>
          </w:p>
        </w:tc>
        <w:tc>
          <w:tcPr>
            <w:tcW w:w="0" w:type="auto"/>
            <w:hideMark/>
          </w:tcPr>
          <w:p w14:paraId="487F9B71" w14:textId="77777777" w:rsidR="00A21DD0" w:rsidRPr="00A21DD0" w:rsidRDefault="00A21DD0" w:rsidP="00006876">
            <w:pPr>
              <w:spacing w:before="240"/>
              <w:jc w:val="both"/>
            </w:pPr>
            <w:r w:rsidRPr="00A21DD0">
              <w:t>Peer-reviewed articles; systematic reviews/meta-analyses; programme evaluations; government/NGO policy documents; reputable think-tank reports</w:t>
            </w:r>
          </w:p>
        </w:tc>
        <w:tc>
          <w:tcPr>
            <w:tcW w:w="0" w:type="auto"/>
            <w:hideMark/>
          </w:tcPr>
          <w:p w14:paraId="627B0D79" w14:textId="77777777" w:rsidR="00A21DD0" w:rsidRPr="00A21DD0" w:rsidRDefault="00A21DD0" w:rsidP="00006876">
            <w:pPr>
              <w:spacing w:before="240"/>
              <w:jc w:val="both"/>
            </w:pPr>
            <w:r w:rsidRPr="00A21DD0">
              <w:t>Opinion blogs; commercial marketing content; non-verified reports; low-credibility websites</w:t>
            </w:r>
          </w:p>
        </w:tc>
      </w:tr>
      <w:tr w:rsidR="00A21DD0" w:rsidRPr="00A21DD0" w14:paraId="40510EF5" w14:textId="77777777" w:rsidTr="00A21DD0">
        <w:tc>
          <w:tcPr>
            <w:tcW w:w="0" w:type="auto"/>
            <w:hideMark/>
          </w:tcPr>
          <w:p w14:paraId="6FFE2416" w14:textId="77777777" w:rsidR="00A21DD0" w:rsidRPr="00F32785" w:rsidRDefault="00A21DD0" w:rsidP="00006876">
            <w:pPr>
              <w:spacing w:before="240"/>
              <w:jc w:val="both"/>
              <w:rPr>
                <w:b/>
                <w:bCs/>
              </w:rPr>
            </w:pPr>
            <w:r w:rsidRPr="00F32785">
              <w:rPr>
                <w:b/>
                <w:bCs/>
              </w:rPr>
              <w:t>Timeframe</w:t>
            </w:r>
          </w:p>
        </w:tc>
        <w:tc>
          <w:tcPr>
            <w:tcW w:w="0" w:type="auto"/>
            <w:hideMark/>
          </w:tcPr>
          <w:p w14:paraId="03BB46DF" w14:textId="77777777" w:rsidR="00A21DD0" w:rsidRPr="00A21DD0" w:rsidRDefault="00A21DD0" w:rsidP="00006876">
            <w:pPr>
              <w:spacing w:before="240"/>
              <w:jc w:val="both"/>
            </w:pPr>
            <w:r w:rsidRPr="00A21DD0">
              <w:t>Mainly last 10 years; older seminal theory papers (selective)</w:t>
            </w:r>
          </w:p>
        </w:tc>
        <w:tc>
          <w:tcPr>
            <w:tcW w:w="0" w:type="auto"/>
            <w:hideMark/>
          </w:tcPr>
          <w:p w14:paraId="429A9BA0" w14:textId="77777777" w:rsidR="00A21DD0" w:rsidRPr="00A21DD0" w:rsidRDefault="00A21DD0" w:rsidP="00006876">
            <w:pPr>
              <w:spacing w:before="240"/>
              <w:jc w:val="both"/>
            </w:pPr>
            <w:r w:rsidRPr="00A21DD0">
              <w:t>Outdated empirical studies with limited current relevance; superseded guidance</w:t>
            </w:r>
          </w:p>
        </w:tc>
      </w:tr>
      <w:tr w:rsidR="00A21DD0" w:rsidRPr="00A21DD0" w14:paraId="39A4C8FD" w14:textId="77777777" w:rsidTr="00A21DD0">
        <w:tc>
          <w:tcPr>
            <w:tcW w:w="0" w:type="auto"/>
            <w:hideMark/>
          </w:tcPr>
          <w:p w14:paraId="781A2BD6" w14:textId="77777777" w:rsidR="00A21DD0" w:rsidRPr="00F32785" w:rsidRDefault="00A21DD0" w:rsidP="00006876">
            <w:pPr>
              <w:spacing w:before="240"/>
              <w:jc w:val="both"/>
              <w:rPr>
                <w:b/>
                <w:bCs/>
              </w:rPr>
            </w:pPr>
            <w:r w:rsidRPr="00F32785">
              <w:rPr>
                <w:b/>
                <w:bCs/>
              </w:rPr>
              <w:t>Language</w:t>
            </w:r>
          </w:p>
        </w:tc>
        <w:tc>
          <w:tcPr>
            <w:tcW w:w="0" w:type="auto"/>
            <w:hideMark/>
          </w:tcPr>
          <w:p w14:paraId="1F10A748" w14:textId="77777777" w:rsidR="00A21DD0" w:rsidRPr="00A21DD0" w:rsidRDefault="00A21DD0" w:rsidP="00006876">
            <w:pPr>
              <w:spacing w:before="240"/>
              <w:jc w:val="both"/>
            </w:pPr>
            <w:r w:rsidRPr="00A21DD0">
              <w:t>English</w:t>
            </w:r>
          </w:p>
        </w:tc>
        <w:tc>
          <w:tcPr>
            <w:tcW w:w="0" w:type="auto"/>
            <w:hideMark/>
          </w:tcPr>
          <w:p w14:paraId="5CEE3644" w14:textId="26D720C5" w:rsidR="00A21DD0" w:rsidRPr="00A21DD0" w:rsidRDefault="00A21DD0" w:rsidP="00006876">
            <w:pPr>
              <w:spacing w:before="240"/>
              <w:jc w:val="both"/>
            </w:pPr>
            <w:r w:rsidRPr="00A21DD0">
              <w:t xml:space="preserve">Non-English </w:t>
            </w:r>
          </w:p>
        </w:tc>
      </w:tr>
    </w:tbl>
    <w:p w14:paraId="7030D51B" w14:textId="77777777" w:rsidR="005F2F05" w:rsidRPr="005F2F05" w:rsidRDefault="005F2F05" w:rsidP="00006876">
      <w:pPr>
        <w:spacing w:before="240"/>
        <w:jc w:val="both"/>
      </w:pPr>
    </w:p>
    <w:p w14:paraId="73615286" w14:textId="26726F7E" w:rsidR="00BA0811" w:rsidRPr="00337B2D" w:rsidRDefault="00BA0811" w:rsidP="00FD3C99">
      <w:pPr>
        <w:pStyle w:val="Heading2"/>
      </w:pPr>
      <w:bookmarkStart w:id="28" w:name="_Toc220350666"/>
      <w:r w:rsidRPr="00337B2D">
        <w:t>3.6</w:t>
      </w:r>
      <w:r w:rsidR="00337B2D" w:rsidRPr="00337B2D">
        <w:t>.</w:t>
      </w:r>
      <w:r w:rsidRPr="00337B2D">
        <w:t xml:space="preserve"> Analysing Research</w:t>
      </w:r>
      <w:bookmarkEnd w:id="28"/>
      <w:r w:rsidRPr="00337B2D">
        <w:t xml:space="preserve"> </w:t>
      </w:r>
    </w:p>
    <w:p w14:paraId="77A7DFEE" w14:textId="548098C0" w:rsidR="00BA0811" w:rsidRDefault="00BA0811" w:rsidP="00006876">
      <w:pPr>
        <w:pStyle w:val="NormalWeb"/>
        <w:spacing w:before="240" w:beforeAutospacing="0"/>
        <w:jc w:val="both"/>
      </w:pPr>
      <w:r>
        <w:t>The selected literature was analysed using a thematic coding approach to identify repeated patterns across diverse study designs and contexts</w:t>
      </w:r>
      <w:r w:rsidR="00605FD0">
        <w:t xml:space="preserve"> </w:t>
      </w:r>
      <w:r w:rsidR="00605FD0">
        <w:rPr>
          <w:rFonts w:cs="Calibri"/>
          <w:szCs w:val="22"/>
        </w:rPr>
        <w:t>(Braun and Clarke, 2006)</w:t>
      </w:r>
      <w:r>
        <w:t>. After full-text reading, initial codes were generated from recurring concepts such as connectivity barriers,</w:t>
      </w:r>
      <w:r w:rsidR="00337B2D">
        <w:t xml:space="preserve"> </w:t>
      </w:r>
      <w:r>
        <w:t>workforce training,</w:t>
      </w:r>
      <w:r w:rsidR="00337B2D">
        <w:t xml:space="preserve"> </w:t>
      </w:r>
      <w:r>
        <w:t>cost and affordability,</w:t>
      </w:r>
      <w:r w:rsidR="00337B2D">
        <w:t xml:space="preserve"> </w:t>
      </w:r>
      <w:r>
        <w:t>privacy and trust,</w:t>
      </w:r>
      <w:r w:rsidR="00337B2D">
        <w:t xml:space="preserve"> </w:t>
      </w:r>
      <w:r>
        <w:t xml:space="preserve">reimbursement and digital literacy. Codes were then compared across sources and grouped into broader themes aligned with the dissertation objectives and SDG lens. For example, codes relating to waiting times, travel reduction, and service reach were grouped under </w:t>
      </w:r>
      <w:r>
        <w:lastRenderedPageBreak/>
        <w:t>access and SDG 3; connectivity and interoperability were grouped under infrastructure and SDG 9; and exclusion by age, income, gender, or ethnicity was grouped under equity and SDG 10.</w:t>
      </w:r>
    </w:p>
    <w:p w14:paraId="3CF517F8" w14:textId="77777777" w:rsidR="003F4B75" w:rsidRDefault="003F4B75" w:rsidP="005664AF">
      <w:pPr>
        <w:pStyle w:val="NormalWeb"/>
        <w:keepNext/>
        <w:spacing w:before="240" w:beforeAutospacing="0"/>
        <w:jc w:val="center"/>
      </w:pPr>
      <w:r w:rsidRPr="003F4B75">
        <w:rPr>
          <w:noProof/>
        </w:rPr>
        <w:drawing>
          <wp:inline distT="0" distB="0" distL="0" distR="0" wp14:anchorId="43F2E38B" wp14:editId="215E3A88">
            <wp:extent cx="5682872" cy="1697355"/>
            <wp:effectExtent l="0" t="0" r="0" b="4445"/>
            <wp:docPr id="1388395931"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395931" name="Picture 1" descr="A diagram of a process&#10;&#10;AI-generated content may be incorrect."/>
                    <pic:cNvPicPr/>
                  </pic:nvPicPr>
                  <pic:blipFill rotWithShape="1">
                    <a:blip r:embed="rId13"/>
                    <a:srcRect l="849"/>
                    <a:stretch>
                      <a:fillRect/>
                    </a:stretch>
                  </pic:blipFill>
                  <pic:spPr bwMode="auto">
                    <a:xfrm>
                      <a:off x="0" y="0"/>
                      <a:ext cx="5682872" cy="1697355"/>
                    </a:xfrm>
                    <a:prstGeom prst="rect">
                      <a:avLst/>
                    </a:prstGeom>
                    <a:ln>
                      <a:noFill/>
                    </a:ln>
                    <a:extLst>
                      <a:ext uri="{53640926-AAD7-44D8-BBD7-CCE9431645EC}">
                        <a14:shadowObscured xmlns:a14="http://schemas.microsoft.com/office/drawing/2010/main"/>
                      </a:ext>
                    </a:extLst>
                  </pic:spPr>
                </pic:pic>
              </a:graphicData>
            </a:graphic>
          </wp:inline>
        </w:drawing>
      </w:r>
    </w:p>
    <w:p w14:paraId="497520AF" w14:textId="0B2A6544" w:rsidR="003F4B75" w:rsidRPr="003F4B75" w:rsidRDefault="003F4B75" w:rsidP="005664AF">
      <w:pPr>
        <w:pStyle w:val="Caption"/>
        <w:jc w:val="center"/>
      </w:pPr>
      <w:bookmarkStart w:id="29" w:name="_Toc219414097"/>
      <w:r w:rsidRPr="003F4B75">
        <w:t xml:space="preserve">Figure </w:t>
      </w:r>
      <w:fldSimple w:instr=" SEQ Figure \* ARABIC ">
        <w:r w:rsidRPr="003F4B75">
          <w:rPr>
            <w:noProof/>
          </w:rPr>
          <w:t>5</w:t>
        </w:r>
      </w:fldSimple>
      <w:r w:rsidRPr="003F4B75">
        <w:rPr>
          <w:lang w:val="en-GB"/>
        </w:rPr>
        <w:t xml:space="preserve">: Steps of the Thematic Analysis </w:t>
      </w:r>
      <w:r w:rsidRPr="003F4B75">
        <w:rPr>
          <w:rFonts w:cs="Calibri"/>
        </w:rPr>
        <w:t xml:space="preserve">(Ravensbergen </w:t>
      </w:r>
      <w:r w:rsidRPr="003F4B75">
        <w:rPr>
          <w:rFonts w:cs="Calibri"/>
          <w:i w:val="0"/>
          <w:iCs w:val="0"/>
        </w:rPr>
        <w:t>et al.</w:t>
      </w:r>
      <w:r w:rsidRPr="003F4B75">
        <w:rPr>
          <w:rFonts w:cs="Calibri"/>
        </w:rPr>
        <w:t>, 2019)</w:t>
      </w:r>
      <w:bookmarkEnd w:id="29"/>
    </w:p>
    <w:p w14:paraId="3B50D2B1" w14:textId="689E4CE4" w:rsidR="00BA0811" w:rsidRPr="009F4313" w:rsidRDefault="00BA0811" w:rsidP="00FD3C99">
      <w:pPr>
        <w:pStyle w:val="Heading2"/>
      </w:pPr>
      <w:bookmarkStart w:id="30" w:name="_Toc220350667"/>
      <w:r w:rsidRPr="009F4313">
        <w:t>3.7</w:t>
      </w:r>
      <w:r w:rsidR="009F4313" w:rsidRPr="009F4313">
        <w:t>.</w:t>
      </w:r>
      <w:r w:rsidRPr="009F4313">
        <w:t xml:space="preserve"> Ethical Considerations</w:t>
      </w:r>
      <w:bookmarkEnd w:id="30"/>
      <w:r w:rsidRPr="009F4313">
        <w:t xml:space="preserve"> </w:t>
      </w:r>
    </w:p>
    <w:p w14:paraId="38DD5E41" w14:textId="70E907FE" w:rsidR="00BA0811" w:rsidRDefault="00324FA6" w:rsidP="00006876">
      <w:pPr>
        <w:pStyle w:val="NormalWeb"/>
        <w:spacing w:before="240" w:beforeAutospacing="0"/>
        <w:jc w:val="both"/>
      </w:pPr>
      <w:r w:rsidRPr="00324FA6">
        <w:t>This study accessed exclusively secondary sources and thus did not entail participant recruitment, gathering of individual information, or the need of primary fieldwork or formal NHS or institutional ethics approval to carry out the study. Academic integrity and fair representation of evidence attracted the attention of ethical responsibility. All sources were cited in a consistent manner (Harvard style) and paraphrasing was done sparingly to prevent plagiarism and misquoting. The study intended to show evidence fairly, both limitations and conflicting evidence, as opposed to only publishing stories of success. The issue of selection bias was mitigated through the use of constant inclusion/exclusion criteria and the CRAAP test to assess credibility</w:t>
      </w:r>
      <w:r w:rsidR="00BA0811">
        <w:t xml:space="preserve">. </w:t>
      </w:r>
    </w:p>
    <w:p w14:paraId="1F75C2D9" w14:textId="439119D7" w:rsidR="00BA0811" w:rsidRPr="000E714F" w:rsidRDefault="00BA0811" w:rsidP="00FD3C99">
      <w:pPr>
        <w:pStyle w:val="Heading2"/>
      </w:pPr>
      <w:bookmarkStart w:id="31" w:name="_Toc220350668"/>
      <w:r w:rsidRPr="000E714F">
        <w:t>3.8</w:t>
      </w:r>
      <w:r w:rsidR="000E714F" w:rsidRPr="000E714F">
        <w:t>.</w:t>
      </w:r>
      <w:r w:rsidRPr="000E714F">
        <w:t xml:space="preserve"> Chapter Conclusion</w:t>
      </w:r>
      <w:bookmarkEnd w:id="31"/>
      <w:r w:rsidRPr="000E714F">
        <w:t xml:space="preserve"> </w:t>
      </w:r>
    </w:p>
    <w:p w14:paraId="03C0D381" w14:textId="005B2464" w:rsidR="00BA0811" w:rsidRDefault="00AE380D" w:rsidP="00006876">
      <w:pPr>
        <w:pStyle w:val="NormalWeb"/>
        <w:spacing w:before="240" w:beforeAutospacing="0"/>
        <w:jc w:val="both"/>
      </w:pPr>
      <w:r w:rsidRPr="00AE380D">
        <w:t>This chapter has described the process of identifying, assessing, and reviewing the literature on telemedicine and digital health within rural communities. The research objectives were transformed into a structured search strategy, reali</w:t>
      </w:r>
      <w:r w:rsidR="00E63185">
        <w:t>s</w:t>
      </w:r>
      <w:r w:rsidRPr="00AE380D">
        <w:t>ed in academic databases and significant policy portals and optimi</w:t>
      </w:r>
      <w:r w:rsidR="00E63185">
        <w:t>s</w:t>
      </w:r>
      <w:r w:rsidRPr="00AE380D">
        <w:t>ed using filters and repeated modification of keywords. Sources have been filtered by skimming and verified with the CRAAP framework, with explicit inclusion and exclusion criteria. Thematic coding was applied to the final literature set, and spreadsheet tools were employed to trace codes and formulate themes corresponding to SDG 3, 9 and 10. The 4th chapter provides the generated thematic results and comments on the implications</w:t>
      </w:r>
      <w:r w:rsidR="00BA0811">
        <w:t>.</w:t>
      </w:r>
    </w:p>
    <w:p w14:paraId="7C023A2B" w14:textId="77777777" w:rsidR="00F1142B" w:rsidRPr="004C33C2" w:rsidRDefault="00F1142B" w:rsidP="00006876">
      <w:pPr>
        <w:spacing w:before="240"/>
        <w:jc w:val="both"/>
        <w:rPr>
          <w:rFonts w:cs="Calibri"/>
          <w:szCs w:val="22"/>
          <w:lang w:val="en-GB"/>
        </w:rPr>
      </w:pPr>
    </w:p>
    <w:p w14:paraId="782A14F7" w14:textId="6353992E" w:rsidR="00951F43" w:rsidRDefault="002D50B8" w:rsidP="00006876">
      <w:pPr>
        <w:pStyle w:val="Heading1"/>
        <w:spacing w:before="240"/>
        <w:jc w:val="both"/>
        <w:rPr>
          <w:lang w:val="en-GB"/>
        </w:rPr>
      </w:pPr>
      <w:bookmarkStart w:id="32" w:name="_Toc220350669"/>
      <w:r>
        <w:lastRenderedPageBreak/>
        <w:t>CHAPTER 4 – Findings and Discussion</w:t>
      </w:r>
      <w:bookmarkEnd w:id="32"/>
    </w:p>
    <w:p w14:paraId="64221E54" w14:textId="2610FF08" w:rsidR="00F326B3" w:rsidRPr="00356EE4" w:rsidRDefault="00F326B3" w:rsidP="00356EE4">
      <w:pPr>
        <w:pStyle w:val="Heading2"/>
      </w:pPr>
      <w:bookmarkStart w:id="33" w:name="_Toc220350670"/>
      <w:r w:rsidRPr="00356EE4">
        <w:t>4.1</w:t>
      </w:r>
      <w:r w:rsidR="00A57D24" w:rsidRPr="00356EE4">
        <w:t>.</w:t>
      </w:r>
      <w:r w:rsidRPr="00356EE4">
        <w:t xml:space="preserve"> Introduction</w:t>
      </w:r>
      <w:bookmarkEnd w:id="33"/>
      <w:r w:rsidRPr="00356EE4">
        <w:t xml:space="preserve"> </w:t>
      </w:r>
    </w:p>
    <w:p w14:paraId="701A96DA" w14:textId="39DC3261" w:rsidR="00F326B3" w:rsidRDefault="00F326B3" w:rsidP="00006876">
      <w:pPr>
        <w:pStyle w:val="NormalWeb"/>
        <w:spacing w:before="240" w:beforeAutospacing="0"/>
        <w:jc w:val="both"/>
      </w:pPr>
      <w:r>
        <w:t>This chapter presents and discusses the findings from the desk-based review of 12 CRAAP-screened studies on telemedicine and digital health in rural communities. Using thematic analysis, evidence from peer-reviewed research, reviews, and UK policy-focused papers is synthesised to evaluate how digital health contributes to SDG-related outcomes, particularly SDG 3</w:t>
      </w:r>
      <w:r w:rsidR="00CA488A">
        <w:t>, 9 and 10</w:t>
      </w:r>
      <w:r>
        <w:t xml:space="preserve">. The chapter first outlines the thematic analysis approach and coding process, then discusses three themes derived from the included studies, drawing on examples, areas of agreement and </w:t>
      </w:r>
      <w:r w:rsidR="004C132E">
        <w:t>critique</w:t>
      </w:r>
      <w:r>
        <w:t>, and implications for equitable rural implementation.</w:t>
      </w:r>
    </w:p>
    <w:p w14:paraId="471A0CB3" w14:textId="65220EEE" w:rsidR="00F326B3" w:rsidRPr="00356EE4" w:rsidRDefault="00F326B3" w:rsidP="00356EE4">
      <w:pPr>
        <w:pStyle w:val="Heading2"/>
      </w:pPr>
      <w:bookmarkStart w:id="34" w:name="_Toc220350671"/>
      <w:r w:rsidRPr="00356EE4">
        <w:t>4.2 Thematic Analysis</w:t>
      </w:r>
      <w:bookmarkEnd w:id="34"/>
      <w:r w:rsidRPr="00356EE4">
        <w:t xml:space="preserve"> </w:t>
      </w:r>
    </w:p>
    <w:p w14:paraId="4D661142" w14:textId="403EEB14" w:rsidR="00F326B3" w:rsidRDefault="00F326B3" w:rsidP="00006876">
      <w:pPr>
        <w:pStyle w:val="NormalWeb"/>
        <w:spacing w:before="240" w:beforeAutospacing="0"/>
        <w:jc w:val="both"/>
      </w:pPr>
      <w:r>
        <w:t>Thematic analysis is a method for identifying, analysing, and reporting patterns (themes) across a dataset, enabling the researcher to move from descriptive findings to interpreted meanings relevant to the research aims (Braun and Clarke, 2006). In secondary research, thematic analysis supports systematic synthesis by organising diverse evidence (quantitative, qualitative, and policy-focused) into coherent patterns that answer the research objectives, while still allowing critical comparison of context, implementation conditions, and equity impacts</w:t>
      </w:r>
      <w:r w:rsidR="00CA7D9C">
        <w:t xml:space="preserve"> </w:t>
      </w:r>
      <w:r w:rsidR="00CA7D9C">
        <w:rPr>
          <w:rFonts w:cs="Calibri"/>
          <w:szCs w:val="22"/>
        </w:rPr>
        <w:t xml:space="preserve">(Ahmed </w:t>
      </w:r>
      <w:r w:rsidR="00CA7D9C">
        <w:rPr>
          <w:rFonts w:cs="Calibri"/>
          <w:i/>
          <w:iCs/>
          <w:szCs w:val="22"/>
        </w:rPr>
        <w:t>et al.</w:t>
      </w:r>
      <w:r w:rsidR="00CA7D9C">
        <w:rPr>
          <w:rFonts w:cs="Calibri"/>
          <w:szCs w:val="22"/>
        </w:rPr>
        <w:t>, 2025)</w:t>
      </w:r>
      <w:r>
        <w:t>.</w:t>
      </w:r>
    </w:p>
    <w:p w14:paraId="7EBDE721" w14:textId="461CEC66" w:rsidR="00F326B3" w:rsidRPr="00AE3094" w:rsidRDefault="00F326B3" w:rsidP="00006876">
      <w:pPr>
        <w:pStyle w:val="NormalWeb"/>
        <w:spacing w:before="240" w:beforeAutospacing="0"/>
        <w:jc w:val="both"/>
      </w:pPr>
      <w:r>
        <w:t xml:space="preserve">In this dissertation, thematic analysis was applied to the 12 selected studies by extracting key findings and generating initial codes. </w:t>
      </w:r>
      <w:r w:rsidR="00F24F7F" w:rsidRPr="00F24F7F">
        <w:t>A results/coding table (see Appendix) was used to record these codes to make evidence and interpretation transient and traceable. The similar codes were then formed into sub-themes that were narrowed down to three themes. Themes in Sections 4.3-4.5 are thus recurring, cross-study patterns which are connected directly to the dissertation objectives, which are understanding rural adoption of digital-health, evaluating SDG-consistent outcomes, and identification of policy and implementation conditions that influence equity in practice</w:t>
      </w:r>
      <w:r>
        <w:t>.</w:t>
      </w:r>
    </w:p>
    <w:p w14:paraId="2FD2AADD" w14:textId="01222855" w:rsidR="004D26D7" w:rsidRPr="004D26D7" w:rsidRDefault="004D26D7" w:rsidP="00006876">
      <w:pPr>
        <w:pStyle w:val="Caption"/>
        <w:keepNext/>
        <w:jc w:val="both"/>
        <w:rPr>
          <w:lang w:val="en-GB"/>
        </w:rPr>
      </w:pPr>
      <w:bookmarkStart w:id="35" w:name="_Toc219413628"/>
      <w:r>
        <w:lastRenderedPageBreak/>
        <w:t xml:space="preserve">Table </w:t>
      </w:r>
      <w:fldSimple w:instr=" SEQ Table \* ARABIC ">
        <w:r w:rsidR="00FD3C99">
          <w:rPr>
            <w:noProof/>
          </w:rPr>
          <w:t>6</w:t>
        </w:r>
      </w:fldSimple>
      <w:r>
        <w:rPr>
          <w:lang w:val="en-GB"/>
        </w:rPr>
        <w:t xml:space="preserve">: </w:t>
      </w:r>
      <w:r>
        <w:t>Coding structure and theme development derived through inductive thematic analysis</w:t>
      </w:r>
      <w:bookmarkEnd w:id="35"/>
    </w:p>
    <w:p w14:paraId="2ABFEBD3" w14:textId="2D440ED9" w:rsidR="00F326B3" w:rsidRDefault="009534B6" w:rsidP="00006876">
      <w:pPr>
        <w:spacing w:before="240"/>
        <w:jc w:val="both"/>
        <w:rPr>
          <w:rFonts w:cs="Calibri"/>
          <w:b/>
          <w:bCs/>
          <w:szCs w:val="22"/>
          <w:lang w:val="en-GB"/>
        </w:rPr>
      </w:pPr>
      <w:r w:rsidRPr="009534B6">
        <w:rPr>
          <w:rFonts w:cs="Calibri"/>
          <w:b/>
          <w:bCs/>
          <w:noProof/>
          <w:szCs w:val="22"/>
          <w:lang w:val="en-GB"/>
        </w:rPr>
        <w:drawing>
          <wp:inline distT="0" distB="0" distL="0" distR="0" wp14:anchorId="26FA60D1" wp14:editId="138AE75A">
            <wp:extent cx="5731510" cy="6976110"/>
            <wp:effectExtent l="0" t="0" r="0" b="0"/>
            <wp:docPr id="1777862541" name="Picture 1" descr="A table of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862541" name="Picture 1" descr="A table of text on a white background&#10;&#10;AI-generated content may be incorrect."/>
                    <pic:cNvPicPr/>
                  </pic:nvPicPr>
                  <pic:blipFill>
                    <a:blip r:embed="rId14"/>
                    <a:stretch>
                      <a:fillRect/>
                    </a:stretch>
                  </pic:blipFill>
                  <pic:spPr>
                    <a:xfrm>
                      <a:off x="0" y="0"/>
                      <a:ext cx="5731510" cy="6976110"/>
                    </a:xfrm>
                    <a:prstGeom prst="rect">
                      <a:avLst/>
                    </a:prstGeom>
                  </pic:spPr>
                </pic:pic>
              </a:graphicData>
            </a:graphic>
          </wp:inline>
        </w:drawing>
      </w:r>
    </w:p>
    <w:p w14:paraId="0E2E4FAD" w14:textId="77777777" w:rsidR="00AF3CF5" w:rsidRPr="00356EE4" w:rsidRDefault="00AF3CF5" w:rsidP="00356EE4">
      <w:pPr>
        <w:pStyle w:val="Heading2"/>
      </w:pPr>
      <w:bookmarkStart w:id="36" w:name="_Toc220350672"/>
      <w:r w:rsidRPr="00356EE4">
        <w:t xml:space="preserve">4.3 Theme 1: </w:t>
      </w:r>
      <w:r w:rsidRPr="00356EE4">
        <w:rPr>
          <w:rStyle w:val="Strong"/>
          <w:b/>
          <w:bCs w:val="0"/>
        </w:rPr>
        <w:t>Infrastructure Readiness and Interoperable Systems Determine Sustainable Rural Telehealth Outcomes</w:t>
      </w:r>
      <w:bookmarkEnd w:id="36"/>
    </w:p>
    <w:p w14:paraId="474A043D" w14:textId="77777777" w:rsidR="00F9151E" w:rsidRDefault="00F9151E" w:rsidP="00006876">
      <w:pPr>
        <w:pStyle w:val="NormalWeb"/>
        <w:spacing w:before="240" w:beforeAutospacing="0"/>
        <w:jc w:val="both"/>
      </w:pPr>
      <w:r w:rsidRPr="00F9151E">
        <w:t xml:space="preserve">Infrastructure readiness is the ability of physical, digital and organisational infrastructure, including broadband connectivity, electricity, data storage, interoperability standards and technical support to </w:t>
      </w:r>
      <w:r w:rsidRPr="00F9151E">
        <w:lastRenderedPageBreak/>
        <w:t>facilitate telemedicine delivery (Rauner and Stummer, 2025). Interoperability refers to the capacity of digital systems and platforms to receive and share health data across institutions effectively (WHO, 2021). Within the framework of telemedicine, infrastructure can be both technical and institutional: it encompasses governance, funding, and regulatory standards that facilitate fair, stable, and secure digital health services. In rural contexts, when poor infrastructure has traditionally limited access to health services, this theme demonstrates that the readiness of the system level predetermines the success or failure of telemedicine projects in the pilot stages (Gurupur and Miao, 2021).</w:t>
      </w:r>
    </w:p>
    <w:p w14:paraId="36A12281" w14:textId="77777777" w:rsidR="00CF674F" w:rsidRDefault="007B0244" w:rsidP="00CF674F">
      <w:pPr>
        <w:pStyle w:val="NormalWeb"/>
        <w:spacing w:before="240" w:beforeAutospacing="0"/>
        <w:jc w:val="both"/>
        <w:rPr>
          <w:rStyle w:val="Strong"/>
          <w:rFonts w:eastAsiaTheme="majorEastAsia"/>
        </w:rPr>
      </w:pPr>
      <w:r>
        <w:t xml:space="preserve">Across the included evidence, a shared proposition is that telemedicine improves rural access only when </w:t>
      </w:r>
      <w:r w:rsidRPr="000F29C1">
        <w:rPr>
          <w:rStyle w:val="Emphasis"/>
          <w:rFonts w:eastAsiaTheme="majorEastAsia"/>
          <w:i w:val="0"/>
          <w:iCs w:val="0"/>
        </w:rPr>
        <w:t>technical capacity</w:t>
      </w:r>
      <w:r>
        <w:t xml:space="preserve"> is matched by </w:t>
      </w:r>
      <w:r w:rsidRPr="000F29C1">
        <w:rPr>
          <w:rStyle w:val="Emphasis"/>
          <w:rFonts w:eastAsiaTheme="majorEastAsia"/>
          <w:i w:val="0"/>
          <w:iCs w:val="0"/>
        </w:rPr>
        <w:t>governance capacity</w:t>
      </w:r>
      <w:r>
        <w:t xml:space="preserve">; however, the studies differ in what they treat as the primary constraint and, therefore, what they imply should be prioritised. </w:t>
      </w:r>
      <w:r w:rsidR="00CF674F" w:rsidRPr="0045619D">
        <w:rPr>
          <w:rStyle w:val="Strong"/>
          <w:rFonts w:eastAsiaTheme="majorEastAsia"/>
          <w:b w:val="0"/>
          <w:bCs w:val="0"/>
        </w:rPr>
        <w:t>Kitole and Shukla (2024) explain service gains in rural Tanzania to be conditional on political willingness and regulatory support, meaning that infrastructure is effective when it is politically authorised and institutionally routinised and not just installed. The logic of causality in this case is convincing i.e. regulation and political commitment may stabilise financing, clarify liability and facilitate data-sharing but the framing of the study promotes the linear inputs to outcomes interpretation which underestimates how rural infrastructures are contingent on recurring budgets, maintenance ecosystems, and procurement dependencies.</w:t>
      </w:r>
      <w:r w:rsidR="00CF674F" w:rsidRPr="00CF674F">
        <w:rPr>
          <w:rStyle w:val="Strong"/>
          <w:rFonts w:eastAsiaTheme="majorEastAsia"/>
        </w:rPr>
        <w:t xml:space="preserve"> </w:t>
      </w:r>
    </w:p>
    <w:p w14:paraId="43326E69" w14:textId="77777777" w:rsidR="00E84AAA" w:rsidRDefault="00E84AAA" w:rsidP="00006876">
      <w:pPr>
        <w:pStyle w:val="NormalWeb"/>
        <w:spacing w:before="240" w:beforeAutospacing="0"/>
        <w:jc w:val="both"/>
      </w:pPr>
      <w:r w:rsidRPr="00E84AAA">
        <w:t>Chen et al. (2020), in turn, find the adoption gap in the United States in the area of health information exchange and patient-engagement capability, implicitly suggesting telehealth capacity is not merely connectivity but rather a network property that interoperability and organisational preparedness determine. This moves the discussion to institutional and inter-organisational barriers to reluctance by individual clinicians, and fits into broader health IT literature which regards digital care as a socio-technical system, not a tool.</w:t>
      </w:r>
    </w:p>
    <w:p w14:paraId="6F04B059" w14:textId="77777777" w:rsidR="004C3883" w:rsidRDefault="0020269D" w:rsidP="00006876">
      <w:pPr>
        <w:pStyle w:val="NormalWeb"/>
        <w:spacing w:before="240" w:beforeAutospacing="0"/>
        <w:jc w:val="both"/>
        <w:rPr>
          <w:rStyle w:val="Strong"/>
          <w:rFonts w:eastAsiaTheme="majorEastAsia"/>
          <w:b w:val="0"/>
          <w:bCs w:val="0"/>
        </w:rPr>
      </w:pPr>
      <w:r w:rsidRPr="000B1DBD">
        <w:rPr>
          <w:rStyle w:val="Strong"/>
          <w:rFonts w:eastAsiaTheme="majorEastAsia"/>
          <w:b w:val="0"/>
          <w:bCs w:val="0"/>
        </w:rPr>
        <w:t>As demonstrated by Chu et al. (2021), an increase in the use of telemedicine does not necessarily establish equal access. Despite the rapid uptake, citizens in lower-density rural areas continued to utilize these services less. This implies that inequality can sometimes be amplified through telemedicine where internet access, quality of service and care options are disproportionate. It is evident in broader post-COVID research that indicates the rapid expansion of telemedicine can further widen the existing disparities unless equity is instilled in its adoption, such as through alternative forms of services and specific support</w:t>
      </w:r>
      <w:r w:rsidR="000B26B4">
        <w:rPr>
          <w:rStyle w:val="Strong"/>
          <w:rFonts w:eastAsiaTheme="majorEastAsia"/>
          <w:b w:val="0"/>
          <w:bCs w:val="0"/>
        </w:rPr>
        <w:t xml:space="preserve"> </w:t>
      </w:r>
      <w:r w:rsidR="000B26B4">
        <w:rPr>
          <w:rFonts w:cs="Calibri"/>
          <w:szCs w:val="22"/>
        </w:rPr>
        <w:t xml:space="preserve">(Anaraki </w:t>
      </w:r>
      <w:r w:rsidR="000B26B4">
        <w:rPr>
          <w:rFonts w:cs="Calibri"/>
          <w:i/>
          <w:iCs/>
          <w:szCs w:val="22"/>
        </w:rPr>
        <w:t>et al.</w:t>
      </w:r>
      <w:r w:rsidR="000B26B4">
        <w:rPr>
          <w:rFonts w:cs="Calibri"/>
          <w:szCs w:val="22"/>
        </w:rPr>
        <w:t>, 2022)</w:t>
      </w:r>
      <w:r w:rsidRPr="000B1DBD">
        <w:rPr>
          <w:rStyle w:val="Strong"/>
          <w:rFonts w:eastAsiaTheme="majorEastAsia"/>
          <w:b w:val="0"/>
          <w:bCs w:val="0"/>
        </w:rPr>
        <w:t xml:space="preserve">. Virtual care is also a matter of benefit and challenge in a qualitative study conducted with rural physicians in Canada. Although it enhances convenience, this benefit is frequently constrained by poor infrastructure and the absence of local </w:t>
      </w:r>
      <w:r w:rsidRPr="000B1DBD">
        <w:rPr>
          <w:rStyle w:val="Strong"/>
          <w:rFonts w:eastAsiaTheme="majorEastAsia"/>
          <w:b w:val="0"/>
          <w:bCs w:val="0"/>
        </w:rPr>
        <w:lastRenderedPageBreak/>
        <w:t xml:space="preserve">resources, i.e., its adoption is not based on mere preparedness but rather on persisting pressures (Anaraki et al., 2022). </w:t>
      </w:r>
    </w:p>
    <w:p w14:paraId="64548CE2" w14:textId="3C179039" w:rsidR="0020269D" w:rsidRPr="000B1DBD" w:rsidRDefault="0020269D" w:rsidP="00006876">
      <w:pPr>
        <w:pStyle w:val="NormalWeb"/>
        <w:spacing w:before="240" w:beforeAutospacing="0"/>
        <w:jc w:val="both"/>
        <w:rPr>
          <w:rStyle w:val="Strong"/>
          <w:rFonts w:eastAsiaTheme="majorEastAsia"/>
          <w:b w:val="0"/>
          <w:bCs w:val="0"/>
        </w:rPr>
      </w:pPr>
      <w:r w:rsidRPr="000B1DBD">
        <w:rPr>
          <w:rStyle w:val="Strong"/>
          <w:rFonts w:eastAsiaTheme="majorEastAsia"/>
          <w:b w:val="0"/>
          <w:bCs w:val="0"/>
        </w:rPr>
        <w:t>According to the Diffusion of Innovation, this trend can be explained by the fact that unstable systems lower the probability of testing, seeing, and believing in new technologies (Roysen et al., 2024). In general, infrastructure preparedness is not a set-point but an evolving political and organisational state that determines whether telemedicine will alleviate or replicate inequality (Kobeissi and Hickey, 2023).</w:t>
      </w:r>
    </w:p>
    <w:p w14:paraId="2ACEDF47" w14:textId="7FCE147E" w:rsidR="00105989" w:rsidRPr="00FA5617" w:rsidRDefault="00105989" w:rsidP="00006876">
      <w:pPr>
        <w:pStyle w:val="Caption"/>
        <w:keepNext/>
        <w:spacing w:before="240"/>
        <w:jc w:val="both"/>
      </w:pPr>
      <w:bookmarkStart w:id="37" w:name="_Toc219413629"/>
      <w:r w:rsidRPr="00FA5617">
        <w:t xml:space="preserve">Table </w:t>
      </w:r>
      <w:fldSimple w:instr=" SEQ Table \* ARABIC ">
        <w:r w:rsidR="00FD3C99">
          <w:rPr>
            <w:noProof/>
          </w:rPr>
          <w:t>7</w:t>
        </w:r>
      </w:fldSimple>
      <w:r w:rsidRPr="00FA5617">
        <w:rPr>
          <w:lang w:val="en-GB"/>
        </w:rPr>
        <w:t>: Telehealth pathway from inputs to SDG outcomes</w:t>
      </w:r>
      <w:r w:rsidR="007536ED" w:rsidRPr="00FA5617">
        <w:rPr>
          <w:lang w:val="en-GB"/>
        </w:rPr>
        <w:t xml:space="preserve"> </w:t>
      </w:r>
      <w:r w:rsidR="007536ED" w:rsidRPr="00FA5617">
        <w:rPr>
          <w:rFonts w:cs="Calibri"/>
        </w:rPr>
        <w:t>(Chen, Amaize and Barath, 2020; United Nations, 2015)</w:t>
      </w:r>
      <w:bookmarkEnd w:id="37"/>
    </w:p>
    <w:tbl>
      <w:tblPr>
        <w:tblStyle w:val="TableGrid"/>
        <w:tblW w:w="0" w:type="auto"/>
        <w:tblLook w:val="04A0" w:firstRow="1" w:lastRow="0" w:firstColumn="1" w:lastColumn="0" w:noHBand="0" w:noVBand="1"/>
      </w:tblPr>
      <w:tblGrid>
        <w:gridCol w:w="1549"/>
        <w:gridCol w:w="3487"/>
        <w:gridCol w:w="2770"/>
        <w:gridCol w:w="1210"/>
      </w:tblGrid>
      <w:tr w:rsidR="00105989" w14:paraId="4C06436C" w14:textId="77777777" w:rsidTr="00105989">
        <w:tc>
          <w:tcPr>
            <w:tcW w:w="0" w:type="auto"/>
            <w:hideMark/>
          </w:tcPr>
          <w:p w14:paraId="35534674" w14:textId="77777777" w:rsidR="00105989" w:rsidRDefault="00105989" w:rsidP="00006876">
            <w:pPr>
              <w:spacing w:before="240"/>
              <w:jc w:val="both"/>
              <w:rPr>
                <w:b/>
                <w:bCs/>
              </w:rPr>
            </w:pPr>
            <w:r>
              <w:rPr>
                <w:b/>
                <w:bCs/>
              </w:rPr>
              <w:t>Stage</w:t>
            </w:r>
          </w:p>
        </w:tc>
        <w:tc>
          <w:tcPr>
            <w:tcW w:w="0" w:type="auto"/>
            <w:hideMark/>
          </w:tcPr>
          <w:p w14:paraId="56C29779" w14:textId="77777777" w:rsidR="00105989" w:rsidRDefault="00105989" w:rsidP="00006876">
            <w:pPr>
              <w:spacing w:before="240"/>
              <w:jc w:val="both"/>
              <w:rPr>
                <w:b/>
                <w:bCs/>
              </w:rPr>
            </w:pPr>
            <w:r>
              <w:rPr>
                <w:b/>
                <w:bCs/>
              </w:rPr>
              <w:t>Core elements</w:t>
            </w:r>
          </w:p>
        </w:tc>
        <w:tc>
          <w:tcPr>
            <w:tcW w:w="0" w:type="auto"/>
            <w:hideMark/>
          </w:tcPr>
          <w:p w14:paraId="0239D3CE" w14:textId="77777777" w:rsidR="00105989" w:rsidRDefault="00105989" w:rsidP="00006876">
            <w:pPr>
              <w:spacing w:before="240"/>
              <w:jc w:val="both"/>
              <w:rPr>
                <w:b/>
                <w:bCs/>
              </w:rPr>
            </w:pPr>
            <w:r>
              <w:rPr>
                <w:b/>
                <w:bCs/>
              </w:rPr>
              <w:t>Risk points</w:t>
            </w:r>
          </w:p>
        </w:tc>
        <w:tc>
          <w:tcPr>
            <w:tcW w:w="0" w:type="auto"/>
            <w:hideMark/>
          </w:tcPr>
          <w:p w14:paraId="7F7F26F3" w14:textId="77777777" w:rsidR="00105989" w:rsidRDefault="00105989" w:rsidP="00006876">
            <w:pPr>
              <w:spacing w:before="240"/>
              <w:jc w:val="both"/>
              <w:rPr>
                <w:b/>
                <w:bCs/>
              </w:rPr>
            </w:pPr>
            <w:r>
              <w:rPr>
                <w:b/>
                <w:bCs/>
              </w:rPr>
              <w:t>SDG link</w:t>
            </w:r>
          </w:p>
        </w:tc>
      </w:tr>
      <w:tr w:rsidR="00105989" w14:paraId="2C670180" w14:textId="77777777" w:rsidTr="00105989">
        <w:tc>
          <w:tcPr>
            <w:tcW w:w="0" w:type="auto"/>
            <w:hideMark/>
          </w:tcPr>
          <w:p w14:paraId="27555C7B" w14:textId="77777777" w:rsidR="00105989" w:rsidRDefault="00105989" w:rsidP="00006876">
            <w:pPr>
              <w:spacing w:before="240"/>
              <w:jc w:val="both"/>
            </w:pPr>
            <w:r>
              <w:t>Inputs</w:t>
            </w:r>
          </w:p>
        </w:tc>
        <w:tc>
          <w:tcPr>
            <w:tcW w:w="0" w:type="auto"/>
            <w:hideMark/>
          </w:tcPr>
          <w:p w14:paraId="10C990C9" w14:textId="0F55BADC" w:rsidR="00105989" w:rsidRDefault="00D90A0B" w:rsidP="00006876">
            <w:pPr>
              <w:spacing w:before="240"/>
              <w:jc w:val="both"/>
            </w:pPr>
            <w:r>
              <w:t>Broadband; devices; interoperability; funding</w:t>
            </w:r>
          </w:p>
        </w:tc>
        <w:tc>
          <w:tcPr>
            <w:tcW w:w="0" w:type="auto"/>
            <w:hideMark/>
          </w:tcPr>
          <w:p w14:paraId="1FC4280B" w14:textId="1EC192BE" w:rsidR="00105989" w:rsidRDefault="00DD7999" w:rsidP="00006876">
            <w:pPr>
              <w:spacing w:before="240"/>
              <w:jc w:val="both"/>
            </w:pPr>
            <w:r>
              <w:t>Underinvestment; vendor lock-in</w:t>
            </w:r>
          </w:p>
        </w:tc>
        <w:tc>
          <w:tcPr>
            <w:tcW w:w="0" w:type="auto"/>
            <w:hideMark/>
          </w:tcPr>
          <w:p w14:paraId="4340EA3D" w14:textId="77777777" w:rsidR="00105989" w:rsidRDefault="00105989" w:rsidP="00006876">
            <w:pPr>
              <w:spacing w:before="240"/>
              <w:jc w:val="both"/>
            </w:pPr>
            <w:r>
              <w:t>SDG 9</w:t>
            </w:r>
          </w:p>
        </w:tc>
      </w:tr>
      <w:tr w:rsidR="00105989" w14:paraId="44B42F35" w14:textId="77777777" w:rsidTr="00105989">
        <w:tc>
          <w:tcPr>
            <w:tcW w:w="0" w:type="auto"/>
            <w:hideMark/>
          </w:tcPr>
          <w:p w14:paraId="06B14F17" w14:textId="77777777" w:rsidR="00105989" w:rsidRDefault="00105989" w:rsidP="00006876">
            <w:pPr>
              <w:spacing w:before="240"/>
              <w:jc w:val="both"/>
            </w:pPr>
            <w:r>
              <w:t>Enablement</w:t>
            </w:r>
          </w:p>
        </w:tc>
        <w:tc>
          <w:tcPr>
            <w:tcW w:w="0" w:type="auto"/>
            <w:hideMark/>
          </w:tcPr>
          <w:p w14:paraId="5B33D2B0" w14:textId="5F84E365" w:rsidR="00105989" w:rsidRDefault="00D90A0B" w:rsidP="00006876">
            <w:pPr>
              <w:spacing w:before="240"/>
              <w:jc w:val="both"/>
            </w:pPr>
            <w:r>
              <w:t>Training; accessibility; support</w:t>
            </w:r>
          </w:p>
        </w:tc>
        <w:tc>
          <w:tcPr>
            <w:tcW w:w="0" w:type="auto"/>
            <w:hideMark/>
          </w:tcPr>
          <w:p w14:paraId="6E267FA7" w14:textId="14CCA25F" w:rsidR="00105989" w:rsidRDefault="00DD7999" w:rsidP="00006876">
            <w:pPr>
              <w:spacing w:before="240"/>
              <w:jc w:val="both"/>
            </w:pPr>
            <w:r>
              <w:t>Low literacy; low self-efficacy</w:t>
            </w:r>
          </w:p>
        </w:tc>
        <w:tc>
          <w:tcPr>
            <w:tcW w:w="0" w:type="auto"/>
            <w:hideMark/>
          </w:tcPr>
          <w:p w14:paraId="55FC2214" w14:textId="77777777" w:rsidR="00105989" w:rsidRDefault="00105989" w:rsidP="00006876">
            <w:pPr>
              <w:spacing w:before="240"/>
              <w:jc w:val="both"/>
            </w:pPr>
            <w:r>
              <w:t>SDG 10</w:t>
            </w:r>
          </w:p>
        </w:tc>
      </w:tr>
      <w:tr w:rsidR="00105989" w14:paraId="304B81DE" w14:textId="77777777" w:rsidTr="00105989">
        <w:tc>
          <w:tcPr>
            <w:tcW w:w="0" w:type="auto"/>
            <w:hideMark/>
          </w:tcPr>
          <w:p w14:paraId="4F83EB34" w14:textId="77777777" w:rsidR="00105989" w:rsidRDefault="00105989" w:rsidP="00006876">
            <w:pPr>
              <w:spacing w:before="240"/>
              <w:jc w:val="both"/>
            </w:pPr>
            <w:r>
              <w:t>Service delivery</w:t>
            </w:r>
          </w:p>
        </w:tc>
        <w:tc>
          <w:tcPr>
            <w:tcW w:w="0" w:type="auto"/>
            <w:hideMark/>
          </w:tcPr>
          <w:p w14:paraId="12E319C3" w14:textId="14647149" w:rsidR="00105989" w:rsidRDefault="00D90A0B" w:rsidP="00006876">
            <w:pPr>
              <w:spacing w:before="240"/>
              <w:jc w:val="both"/>
            </w:pPr>
            <w:r>
              <w:t>Triage; consultation; monitoring; e-prescribing</w:t>
            </w:r>
          </w:p>
        </w:tc>
        <w:tc>
          <w:tcPr>
            <w:tcW w:w="0" w:type="auto"/>
            <w:hideMark/>
          </w:tcPr>
          <w:p w14:paraId="2D600896" w14:textId="391CBEB3" w:rsidR="00105989" w:rsidRDefault="00DD7999" w:rsidP="00006876">
            <w:pPr>
              <w:spacing w:before="240"/>
              <w:jc w:val="both"/>
            </w:pPr>
            <w:r>
              <w:t>Weak rapport; privacy concerns</w:t>
            </w:r>
          </w:p>
        </w:tc>
        <w:tc>
          <w:tcPr>
            <w:tcW w:w="0" w:type="auto"/>
            <w:hideMark/>
          </w:tcPr>
          <w:p w14:paraId="5836258D" w14:textId="77777777" w:rsidR="00105989" w:rsidRDefault="00105989" w:rsidP="00006876">
            <w:pPr>
              <w:spacing w:before="240"/>
              <w:jc w:val="both"/>
            </w:pPr>
            <w:r>
              <w:t>SDG 3</w:t>
            </w:r>
          </w:p>
        </w:tc>
      </w:tr>
      <w:tr w:rsidR="00105989" w14:paraId="45A8CD97" w14:textId="77777777" w:rsidTr="00105989">
        <w:tc>
          <w:tcPr>
            <w:tcW w:w="0" w:type="auto"/>
            <w:hideMark/>
          </w:tcPr>
          <w:p w14:paraId="5BC1EDD9" w14:textId="77777777" w:rsidR="00105989" w:rsidRDefault="00105989" w:rsidP="00006876">
            <w:pPr>
              <w:spacing w:before="240"/>
              <w:jc w:val="both"/>
            </w:pPr>
            <w:r>
              <w:t>Outcomes</w:t>
            </w:r>
          </w:p>
        </w:tc>
        <w:tc>
          <w:tcPr>
            <w:tcW w:w="0" w:type="auto"/>
            <w:hideMark/>
          </w:tcPr>
          <w:p w14:paraId="39CE939F" w14:textId="72330B0B" w:rsidR="00105989" w:rsidRDefault="00D90A0B" w:rsidP="00006876">
            <w:pPr>
              <w:spacing w:before="240"/>
              <w:jc w:val="both"/>
            </w:pPr>
            <w:r>
              <w:t>Access; timeliness; continuity; cost</w:t>
            </w:r>
          </w:p>
        </w:tc>
        <w:tc>
          <w:tcPr>
            <w:tcW w:w="0" w:type="auto"/>
            <w:hideMark/>
          </w:tcPr>
          <w:p w14:paraId="450202EB" w14:textId="2C0296D3" w:rsidR="00105989" w:rsidRDefault="00DD7999" w:rsidP="00006876">
            <w:pPr>
              <w:spacing w:before="240"/>
              <w:jc w:val="both"/>
            </w:pPr>
            <w:r>
              <w:t>Unequal uptake; selective benefit</w:t>
            </w:r>
          </w:p>
        </w:tc>
        <w:tc>
          <w:tcPr>
            <w:tcW w:w="0" w:type="auto"/>
            <w:hideMark/>
          </w:tcPr>
          <w:p w14:paraId="7936C823" w14:textId="77777777" w:rsidR="00105989" w:rsidRDefault="00105989" w:rsidP="00006876">
            <w:pPr>
              <w:spacing w:before="240"/>
              <w:jc w:val="both"/>
            </w:pPr>
            <w:r>
              <w:t>SDG 3, SDG 10</w:t>
            </w:r>
          </w:p>
        </w:tc>
      </w:tr>
      <w:tr w:rsidR="00105989" w14:paraId="72A4DD0E" w14:textId="77777777" w:rsidTr="00105989">
        <w:tc>
          <w:tcPr>
            <w:tcW w:w="0" w:type="auto"/>
            <w:hideMark/>
          </w:tcPr>
          <w:p w14:paraId="77E402D4" w14:textId="77777777" w:rsidR="00105989" w:rsidRDefault="00105989" w:rsidP="00006876">
            <w:pPr>
              <w:spacing w:before="240"/>
              <w:jc w:val="both"/>
            </w:pPr>
            <w:r>
              <w:t>Sustainability</w:t>
            </w:r>
          </w:p>
        </w:tc>
        <w:tc>
          <w:tcPr>
            <w:tcW w:w="0" w:type="auto"/>
            <w:hideMark/>
          </w:tcPr>
          <w:p w14:paraId="014D6B37" w14:textId="26BC8FA0" w:rsidR="00105989" w:rsidRDefault="00D90A0B" w:rsidP="00006876">
            <w:pPr>
              <w:spacing w:before="240"/>
              <w:jc w:val="both"/>
            </w:pPr>
            <w:r>
              <w:t>Governance; maintenance; evaluation</w:t>
            </w:r>
          </w:p>
        </w:tc>
        <w:tc>
          <w:tcPr>
            <w:tcW w:w="0" w:type="auto"/>
            <w:hideMark/>
          </w:tcPr>
          <w:p w14:paraId="1216DB8C" w14:textId="7305A6A7" w:rsidR="00105989" w:rsidRDefault="00DD7999" w:rsidP="00006876">
            <w:pPr>
              <w:spacing w:before="240"/>
              <w:jc w:val="both"/>
            </w:pPr>
            <w:r>
              <w:t>Pilotitis; short funding cycles</w:t>
            </w:r>
          </w:p>
        </w:tc>
        <w:tc>
          <w:tcPr>
            <w:tcW w:w="0" w:type="auto"/>
            <w:hideMark/>
          </w:tcPr>
          <w:p w14:paraId="11F1570A" w14:textId="77777777" w:rsidR="00105989" w:rsidRDefault="00105989" w:rsidP="00006876">
            <w:pPr>
              <w:spacing w:before="240"/>
              <w:jc w:val="both"/>
            </w:pPr>
            <w:r>
              <w:t>SDG 9</w:t>
            </w:r>
          </w:p>
        </w:tc>
      </w:tr>
    </w:tbl>
    <w:p w14:paraId="765E1EF4" w14:textId="77777777" w:rsidR="00A00A39" w:rsidRDefault="00A00A39" w:rsidP="00006876">
      <w:pPr>
        <w:pStyle w:val="NormalWeb"/>
        <w:spacing w:before="240" w:beforeAutospacing="0"/>
        <w:jc w:val="both"/>
      </w:pPr>
    </w:p>
    <w:p w14:paraId="1BE08980" w14:textId="77777777" w:rsidR="00314FE7" w:rsidRPr="00C62CF7" w:rsidRDefault="00314FE7" w:rsidP="00C62CF7">
      <w:pPr>
        <w:rPr>
          <w:b/>
          <w:bCs/>
        </w:rPr>
      </w:pPr>
      <w:r w:rsidRPr="00C62CF7">
        <w:rPr>
          <w:b/>
          <w:bCs/>
        </w:rPr>
        <w:t>Theoretical and Policy Connections</w:t>
      </w:r>
    </w:p>
    <w:p w14:paraId="1007B451" w14:textId="60510162" w:rsidR="00314FE7" w:rsidRDefault="00A37C80" w:rsidP="00006876">
      <w:pPr>
        <w:pStyle w:val="NormalWeb"/>
        <w:spacing w:before="240" w:beforeAutospacing="0"/>
        <w:jc w:val="both"/>
      </w:pPr>
      <w:r w:rsidRPr="00A37C80">
        <w:t xml:space="preserve">Theoretically, infrastructure preparedness is connected to all the three analytical frames employed in this dissertation. Diffusion of Innovation assists in understanding how rural adoption is frequently blocked at early stages when fundamental systems (connectivity, equipment, interoperability) are missing, since innovations cannot be experimented, demonstrated, or implemented into everyday practice (Dearing, 2009). TAM introduces a complementary explanation: despite the existence of telemedicine, unstable connection, ineffective platform performance, and incomplete record </w:t>
      </w:r>
      <w:r w:rsidRPr="00A37C80">
        <w:lastRenderedPageBreak/>
        <w:t>decreases perceived ease of use and usefulness, decreasing adoption intentions</w:t>
      </w:r>
      <w:r>
        <w:t xml:space="preserve"> </w:t>
      </w:r>
      <w:r w:rsidR="00373D7A">
        <w:rPr>
          <w:rFonts w:cs="Calibri"/>
          <w:szCs w:val="22"/>
        </w:rPr>
        <w:t>(Lee, Ramasamy and Subbarao, 2025)</w:t>
      </w:r>
      <w:r w:rsidR="00314FE7">
        <w:t>. The digital-divide concept reframes these barriers as structural inequities rather than individual choice, clarifying how uneven infrastructure directly produces first-level exclusion (access to devices and networks) and contributes to SDG 9 and SDG 10 shortfalls</w:t>
      </w:r>
      <w:r w:rsidR="00A3328C">
        <w:t xml:space="preserve"> </w:t>
      </w:r>
      <w:r w:rsidR="00A3328C">
        <w:rPr>
          <w:rFonts w:cs="Calibri"/>
          <w:szCs w:val="22"/>
        </w:rPr>
        <w:t xml:space="preserve">(Maita </w:t>
      </w:r>
      <w:r w:rsidR="00A3328C">
        <w:rPr>
          <w:rFonts w:cs="Calibri"/>
          <w:i/>
          <w:iCs/>
          <w:szCs w:val="22"/>
        </w:rPr>
        <w:t>et al.</w:t>
      </w:r>
      <w:r w:rsidR="00A3328C">
        <w:rPr>
          <w:rFonts w:cs="Calibri"/>
          <w:szCs w:val="22"/>
        </w:rPr>
        <w:t>, 2024)</w:t>
      </w:r>
      <w:r w:rsidR="00314FE7">
        <w:t>. In practice, the frameworks converge: low infrastructure reliability constrains usability and usefulness, slowing diffusion and concentrating benefits among groups and regions with stronger digital capital.</w:t>
      </w:r>
    </w:p>
    <w:p w14:paraId="00937FA3" w14:textId="77777777" w:rsidR="00477B0D" w:rsidRDefault="00477B0D" w:rsidP="004109DC">
      <w:pPr>
        <w:jc w:val="both"/>
      </w:pPr>
      <w:r w:rsidRPr="00477B0D">
        <w:t>This theoretical reading is supported by policy evidence. UK-based discussions indicate that digital strategies have the potential to tacitly believe in a baseline of connectivity and ability that is not present in rural, coastal, and marginalised populations. Sheikh et al. (2021) highlight that learning health systems require real-time data sharing and interoperable infrastructure, but this vision is challenging to achieve without a long term investment and local implementation capability. Similarly, Thorlu-Bangura et al. (2023) suggest that even when inclusion measures are not associated with budgets and focused delivery, equity commitments can be rhetorical in practice and leave out rural and minority groups in practice. Farre et al. (2023) reinforce this criticism by demonstrating that not many interventions are explicitly developed to alleviate inequalities, and as such, system efficiency can assume the role of inclusion as a leading force in policy. Together, these works indicate that policy strategies should combine technical standards, labor competence, and equity safeguards, and that infrastructure is not seen as a technological endeavor.</w:t>
      </w:r>
    </w:p>
    <w:p w14:paraId="39123285" w14:textId="77777777" w:rsidR="00F64F33" w:rsidRDefault="00F64F33" w:rsidP="004109DC">
      <w:pPr>
        <w:jc w:val="both"/>
      </w:pPr>
    </w:p>
    <w:p w14:paraId="32D7F67B" w14:textId="4D6A42DA" w:rsidR="00314FE7" w:rsidRPr="00C62CF7" w:rsidRDefault="00314FE7" w:rsidP="00C62CF7">
      <w:pPr>
        <w:rPr>
          <w:b/>
          <w:bCs/>
        </w:rPr>
      </w:pPr>
      <w:r w:rsidRPr="00C62CF7">
        <w:rPr>
          <w:b/>
          <w:bCs/>
        </w:rPr>
        <w:t>Implications for SDG Outcomes</w:t>
      </w:r>
    </w:p>
    <w:p w14:paraId="314B0D29" w14:textId="0AC3ACC8" w:rsidR="00FE5D4A" w:rsidRDefault="00FE5D4A" w:rsidP="00006876">
      <w:pPr>
        <w:pStyle w:val="NormalWeb"/>
        <w:spacing w:before="240" w:beforeAutospacing="0"/>
        <w:jc w:val="both"/>
      </w:pPr>
      <w:r>
        <w:t xml:space="preserve">Infrastructure imporvements are a main indicator of SDG 3 and 9. If the resources are available then telemdicine leads to reduce travel, improve access and offer less waiting times. However, if the systems are not working properly, telehealth breaks trust and give rise to SDG 10 inequalities by giving priority to those with better connectivity, devices, and private spaces </w:t>
      </w:r>
      <w:r>
        <w:rPr>
          <w:rFonts w:cs="Calibri"/>
          <w:szCs w:val="22"/>
        </w:rPr>
        <w:t xml:space="preserve">(Cavalli </w:t>
      </w:r>
      <w:r>
        <w:rPr>
          <w:rFonts w:cs="Calibri"/>
          <w:i/>
          <w:iCs/>
          <w:szCs w:val="22"/>
        </w:rPr>
        <w:t>et al.</w:t>
      </w:r>
      <w:r>
        <w:rPr>
          <w:rFonts w:cs="Calibri"/>
          <w:szCs w:val="22"/>
        </w:rPr>
        <w:t>, 2024)</w:t>
      </w:r>
      <w:r>
        <w:t>.</w:t>
      </w:r>
    </w:p>
    <w:p w14:paraId="2217A7CC" w14:textId="74EE2C31" w:rsidR="00314FE7" w:rsidRDefault="00344E21" w:rsidP="003333EE">
      <w:pPr>
        <w:pStyle w:val="NormalWeb"/>
        <w:spacing w:before="240" w:beforeAutospacing="0"/>
        <w:jc w:val="both"/>
      </w:pPr>
      <w:r>
        <w:t>So, a sustainable rural telehealth system demands maintenance resources, government participation and interoperability which then protects the data and promotes coordination</w:t>
      </w:r>
      <w:r w:rsidR="00314FE7">
        <w:t>. Policy approaches prioritising broadband equity, open standards, and community-aligned implementation are more likely to generate inclusive benefits than rapid digitalisation that outpaces local capacity</w:t>
      </w:r>
      <w:r w:rsidR="003F2246">
        <w:t xml:space="preserve"> </w:t>
      </w:r>
      <w:r w:rsidR="003F2246">
        <w:rPr>
          <w:rFonts w:cs="Calibri"/>
          <w:szCs w:val="22"/>
        </w:rPr>
        <w:t>(Chen, Amaize and Barath, 2020)</w:t>
      </w:r>
      <w:r w:rsidR="00314FE7">
        <w:t>.</w:t>
      </w:r>
    </w:p>
    <w:p w14:paraId="008D1228" w14:textId="77777777" w:rsidR="00314FE7" w:rsidRPr="00C62CF7" w:rsidRDefault="00314FE7" w:rsidP="00C62CF7">
      <w:pPr>
        <w:rPr>
          <w:b/>
          <w:bCs/>
        </w:rPr>
      </w:pPr>
      <w:r w:rsidRPr="00C62CF7">
        <w:rPr>
          <w:b/>
          <w:bCs/>
        </w:rPr>
        <w:t>Connections to Other Themes</w:t>
      </w:r>
    </w:p>
    <w:p w14:paraId="72F55504" w14:textId="7AEBA41C" w:rsidR="00AF3CF5" w:rsidRPr="00510E6E" w:rsidRDefault="00A75838" w:rsidP="00006876">
      <w:pPr>
        <w:pStyle w:val="NormalWeb"/>
        <w:spacing w:before="240" w:beforeAutospacing="0"/>
        <w:jc w:val="both"/>
      </w:pPr>
      <w:r w:rsidRPr="00A75838">
        <w:lastRenderedPageBreak/>
        <w:t>Infrastructure preparedness overlaps with the second and third themes. Digital literacy and trust-building interventions are not very effective without trustworthy infrastructure since the service is not very practical to use. Meanwhile, policy design and socioeconomic inequality dictate the inclination of infrastructure investment and support maintenance. Theme 1 then forms the structural backbone of Themes 2 and 3, supporting the case that the SDG advancement should aim to integrate technology, capability, and equity and not the isolated telehealth promotion</w:t>
      </w:r>
      <w:r w:rsidR="00314FE7">
        <w:t>.</w:t>
      </w:r>
    </w:p>
    <w:p w14:paraId="4F707925" w14:textId="77777777" w:rsidR="00497FB9" w:rsidRPr="00356EE4" w:rsidRDefault="00497FB9" w:rsidP="00F64F33">
      <w:pPr>
        <w:pStyle w:val="Heading2"/>
        <w:jc w:val="both"/>
      </w:pPr>
      <w:bookmarkStart w:id="38" w:name="_Toc220350673"/>
      <w:r w:rsidRPr="00356EE4">
        <w:t>4.4 Theme 2: Digital Literacy, Trust, and Cultural Acceptability Shape Equitable Telemedicine Uptake</w:t>
      </w:r>
      <w:bookmarkEnd w:id="38"/>
    </w:p>
    <w:p w14:paraId="4BD57307" w14:textId="77777777" w:rsidR="00D354A6" w:rsidRDefault="00D354A6" w:rsidP="00006876">
      <w:pPr>
        <w:spacing w:before="240" w:after="100" w:afterAutospacing="1"/>
        <w:jc w:val="both"/>
        <w:outlineLvl w:val="3"/>
      </w:pPr>
      <w:r w:rsidRPr="00D354A6">
        <w:t xml:space="preserve">Digital literacy is understood as the capacity of people to access, comprehend and utilize digital tools, such as telemedicine systems, mobile health (mHealth) applications, and online consultation systems (Durmuş, 2024). In telemedicine, digital literacy is not only about having simple technical expertise but also accessing clinical interfaces, protecting privacy, as well as interpreting health information correctly. Trust is a notion that denotes the trust that users patients and healthcare providers have in digital systems, which include data security, clinical reliability, and institutional credibility (Haleem et al., 2021). Cultural acceptability is associated with the correspondence of digital healthcare delivery to what users believe, social norms, and expectations regarding the doctor-patient relationship (Naderbagi et al., 2024). </w:t>
      </w:r>
    </w:p>
    <w:p w14:paraId="035BBA25" w14:textId="4774184F" w:rsidR="00497FB9" w:rsidRPr="00497FB9" w:rsidRDefault="00497FB9" w:rsidP="00006876">
      <w:pPr>
        <w:spacing w:before="240" w:after="100" w:afterAutospacing="1"/>
        <w:jc w:val="both"/>
        <w:outlineLvl w:val="3"/>
        <w:rPr>
          <w:b/>
          <w:bCs/>
        </w:rPr>
      </w:pPr>
      <w:r w:rsidRPr="00497FB9">
        <w:rPr>
          <w:b/>
          <w:bCs/>
        </w:rPr>
        <w:t>Relevance to the Research Question</w:t>
      </w:r>
    </w:p>
    <w:p w14:paraId="6E23F38A" w14:textId="77777777" w:rsidR="005D07F4" w:rsidRDefault="005D07F4" w:rsidP="00FA0153">
      <w:pPr>
        <w:spacing w:before="240"/>
        <w:jc w:val="both"/>
      </w:pPr>
      <w:r w:rsidRPr="005D07F4">
        <w:t>This theme directly answers the core research question of the dissertation i.e. how telemedicine and digital health promote Sustainable Development Goals (SDGs) in rural communities by asking who can effectively use telemedicine. Whereas SDG 9 prioritizes technological innovation, SDG 10 reduces inequalities based on equitable adoption (United Nations, 2015). The reviewed works present evidence that low digital literacy, decreased trust, and misalignment on a cultural level are still significant obstacles that deny rural residents, older adults, women, and low-income households the opportunity to transform access to infrastructure into real healthcare consumption. Thus, although broadband and devices are present (see Theme 1), telemedicine does not meet the goal of SDG 3 of universal health and well-being due to human and cultural limitations on uptake.</w:t>
      </w:r>
    </w:p>
    <w:p w14:paraId="09B5F95B" w14:textId="385348FD" w:rsidR="00143963" w:rsidRPr="00C62CF7" w:rsidRDefault="00143963" w:rsidP="00FA0153">
      <w:pPr>
        <w:spacing w:before="240"/>
        <w:rPr>
          <w:b/>
          <w:bCs/>
        </w:rPr>
      </w:pPr>
      <w:r w:rsidRPr="00C62CF7">
        <w:rPr>
          <w:b/>
          <w:bCs/>
        </w:rPr>
        <w:t>Analytical Interpretation of Findings</w:t>
      </w:r>
    </w:p>
    <w:p w14:paraId="717ACFFC" w14:textId="77777777" w:rsidR="00FA0153" w:rsidRDefault="00FA0153" w:rsidP="0018010D">
      <w:pPr>
        <w:pStyle w:val="NormalWeb"/>
        <w:spacing w:before="240"/>
        <w:jc w:val="both"/>
      </w:pPr>
      <w:r w:rsidRPr="00FA0153">
        <w:t xml:space="preserve">In the studies reviewed, there is a similar trend that human capability and perception is the driver by which technology is turned into usable healthcare, but not technology automatically generates access gains. Du et al. (2022) believe that a lack of telemedicine use among the Chinese rural population despite the vast access to smartphones indicates the lack of digital confidence, insufficient awareness </w:t>
      </w:r>
      <w:r w:rsidRPr="00FA0153">
        <w:lastRenderedPageBreak/>
        <w:t xml:space="preserve">of services, and lack of trust. The explanatory merit of this argument is that it moves the focus on hardware availability to social conditions of use; but also, it runs the risk of suggesting that rural dwellers are the main site of failure. Yao et al. (2025) also predicted psychological and cognitive determinants using HITAM, demonstrating that the perceived usefulness, perceived ease of use, and self-efficacy predict the intention to adopt among older rural patients. Both articles thus come to the point where readiness is partially interpretive: users need to believe in remote care as plausible, controllable and valuable. However, even as they minimize the role of income and gender as direct factors, it does not erase the socioeconomic force, however, indirectly, it may be operating via education, exposure, and confidence. </w:t>
      </w:r>
    </w:p>
    <w:p w14:paraId="7B42F45C" w14:textId="0238D9CD" w:rsidR="00A75838" w:rsidRDefault="00F12FCC" w:rsidP="0018010D">
      <w:pPr>
        <w:pStyle w:val="NormalWeb"/>
        <w:spacing w:before="240"/>
        <w:jc w:val="both"/>
      </w:pPr>
      <w:r w:rsidRPr="00F12FCC">
        <w:t>Nevertheless, the focus on intention and self-efficacy also shows a weakness: these theories can explain who may use telemedicine, but not completely why trust and literacy are developed or eroded. Yao structural equation method quantifies the intention pathways, yet is unable to address the relational and cultural dimensions that are likely to influence the sense of the legitimacy of telemedicine as clinical</w:t>
      </w:r>
      <w:r w:rsidR="00D87922">
        <w:t xml:space="preserve"> </w:t>
      </w:r>
      <w:r w:rsidR="00D87922">
        <w:rPr>
          <w:rFonts w:cs="Calibri"/>
          <w:szCs w:val="22"/>
        </w:rPr>
        <w:t>(Eze, Gleasure and Heavin, 2018)</w:t>
      </w:r>
      <w:r w:rsidRPr="00F12FCC">
        <w:t>. Another explanation is provided by Ko et al. (2025), who show that convenience advantages accompany issues related to quality of assessment, rapport, and accessibility among people with disabilities. This suggests that trust is not an individual attitude but a negotiated service pattern, standard of engagement, and accommodation feature. This relational factor is supported in more general telehealth literature: patients are better prepared to accept remote treatment when there is continuity, a clear escalation process, and the assurance their concerns will be acknowledged, and trust is not achieved solely by information</w:t>
      </w:r>
      <w:r w:rsidR="00FF4685">
        <w:t xml:space="preserve"> </w:t>
      </w:r>
      <w:r w:rsidR="00FF4685">
        <w:rPr>
          <w:rFonts w:cs="Calibri"/>
          <w:szCs w:val="22"/>
        </w:rPr>
        <w:t>(Gizaw, Astale and Kassie, 2022)</w:t>
      </w:r>
      <w:r w:rsidRPr="00F12FCC">
        <w:t>.</w:t>
      </w:r>
    </w:p>
    <w:p w14:paraId="05AC563B" w14:textId="7F966DA4" w:rsidR="00AF161F" w:rsidRDefault="00AF161F" w:rsidP="00AF161F">
      <w:pPr>
        <w:pStyle w:val="NormalWeb"/>
        <w:spacing w:before="240" w:beforeAutospacing="0"/>
        <w:jc w:val="both"/>
        <w:rPr>
          <w:rStyle w:val="Strong"/>
          <w:rFonts w:eastAsiaTheme="majorEastAsia"/>
          <w:b w:val="0"/>
          <w:bCs w:val="0"/>
        </w:rPr>
      </w:pPr>
      <w:r w:rsidRPr="00AF161F">
        <w:rPr>
          <w:rStyle w:val="Strong"/>
          <w:rFonts w:eastAsiaTheme="majorEastAsia"/>
          <w:b w:val="0"/>
          <w:bCs w:val="0"/>
        </w:rPr>
        <w:t>Importantly, the synthesi</w:t>
      </w:r>
      <w:r w:rsidR="00E63185">
        <w:rPr>
          <w:rStyle w:val="Strong"/>
          <w:rFonts w:eastAsiaTheme="majorEastAsia"/>
          <w:b w:val="0"/>
          <w:bCs w:val="0"/>
        </w:rPr>
        <w:t>s</w:t>
      </w:r>
      <w:r w:rsidRPr="00AF161F">
        <w:rPr>
          <w:rStyle w:val="Strong"/>
          <w:rFonts w:eastAsiaTheme="majorEastAsia"/>
          <w:b w:val="0"/>
          <w:bCs w:val="0"/>
        </w:rPr>
        <w:t>ed results suggest that adoption is not just a competency learning but a trust-calibration in the face of uncertainty. Even user-sophisticated individuals might dismiss telemedicine because of ambiguity in confidentiality, the perception of communication hurry, or insufficient clinical examination (Bahari et al., 2024). Farre et al. (2023) build on this argument by pointing out that UK interventions rarely react to inequalities directly and are usually structured around system efficiency. The implication is that policy-based frames of efficiency inadvertently favour digitally confident groups that are usually younger, healthier and less socially marginalised thus creating unequal convenience in which already advantaged groups are granted easier access than others by new barriers.</w:t>
      </w:r>
    </w:p>
    <w:p w14:paraId="158DAE7C" w14:textId="481917A1" w:rsidR="00983883" w:rsidRDefault="00983883" w:rsidP="00AF161F">
      <w:pPr>
        <w:pStyle w:val="NormalWeb"/>
        <w:spacing w:before="240" w:beforeAutospacing="0"/>
        <w:jc w:val="both"/>
      </w:pPr>
      <w:r>
        <w:t>Although the studies agree that literacy and trust are central</w:t>
      </w:r>
      <w:r w:rsidR="00D60A08">
        <w:t xml:space="preserve"> </w:t>
      </w:r>
      <w:r w:rsidR="00D60A08">
        <w:rPr>
          <w:rFonts w:cs="Calibri"/>
          <w:szCs w:val="22"/>
        </w:rPr>
        <w:t xml:space="preserve">(Bahari </w:t>
      </w:r>
      <w:r w:rsidR="00D60A08">
        <w:rPr>
          <w:rFonts w:cs="Calibri"/>
          <w:i/>
          <w:iCs/>
          <w:szCs w:val="22"/>
        </w:rPr>
        <w:t>et al.</w:t>
      </w:r>
      <w:r w:rsidR="00D60A08">
        <w:rPr>
          <w:rFonts w:cs="Calibri"/>
          <w:szCs w:val="22"/>
        </w:rPr>
        <w:t xml:space="preserve">, 2024; Chandramohan </w:t>
      </w:r>
      <w:r w:rsidR="00D60A08">
        <w:rPr>
          <w:rFonts w:cs="Calibri"/>
          <w:i/>
          <w:iCs/>
          <w:szCs w:val="22"/>
        </w:rPr>
        <w:t>et al.</w:t>
      </w:r>
      <w:r w:rsidR="00D60A08">
        <w:rPr>
          <w:rFonts w:cs="Calibri"/>
          <w:szCs w:val="22"/>
        </w:rPr>
        <w:t>, 2023)</w:t>
      </w:r>
      <w:r>
        <w:t xml:space="preserve">, </w:t>
      </w:r>
      <w:r w:rsidR="00090E26">
        <w:t>their underlying assumptions merit critical examination</w:t>
      </w:r>
      <w:r>
        <w:t xml:space="preserve">. Du’s framing can inadvertently </w:t>
      </w:r>
      <w:r>
        <w:lastRenderedPageBreak/>
        <w:t>individualise responsibility by highlighting lack of knowledge, whereas a structural interpretation would ask why services were not designed with rural realities in mind, why outreach was insufficient, or why previous experiences produced mistrust. Ko’s emphasis on disability access and hybrid models suggests a more relational logic: acceptance increases when systems adapt to users, not when users are expected to adapt to systems. Finally, the wider implication is that trust failures cannot be reduced to technical reliability; they are shaped by cultural expectations of care, power relations in clinical encounters, and whether services respect privacy, dignity, and communication needs. Trust, therefore, should be analysed as an outcome of sustained interaction, transparency, and institutional responsiveness</w:t>
      </w:r>
      <w:r w:rsidR="00EA337A">
        <w:t xml:space="preserve">, </w:t>
      </w:r>
      <w:r>
        <w:t>conditions that determine whether telemedicine advances SDG 3 while supporting, rather than undermining, SDG 10.</w:t>
      </w:r>
    </w:p>
    <w:p w14:paraId="02277E17" w14:textId="77777777" w:rsidR="00143963" w:rsidRPr="00C62CF7" w:rsidRDefault="00143963" w:rsidP="00C62CF7">
      <w:pPr>
        <w:rPr>
          <w:b/>
          <w:bCs/>
        </w:rPr>
      </w:pPr>
      <w:r w:rsidRPr="00C62CF7">
        <w:rPr>
          <w:b/>
          <w:bCs/>
        </w:rPr>
        <w:t>Theoretical and Policy Analysis</w:t>
      </w:r>
    </w:p>
    <w:p w14:paraId="178BFB9D" w14:textId="77777777" w:rsidR="00C26B94" w:rsidRDefault="00C26B94" w:rsidP="00D91805">
      <w:pPr>
        <w:pStyle w:val="NormalWeb"/>
        <w:spacing w:before="240"/>
        <w:jc w:val="both"/>
      </w:pPr>
      <w:r w:rsidRPr="00C26B94">
        <w:t>Technology Acceptance Model and the Diffusion of Innovation theory aid in explaining these trends, although they do not provide us with the full picture. TAM demonstrates that individuals tend to use technology more frequently as they perceive it as useful and easy to use, which confirms the results of Du et al. (2022). But TAM can simplify trust by viewing it as an individual decision instead of being influenced by the structure of services. Diffusion theory also introduces the factor of cultural fit and the influence of trusted individuals, which is why telehealth can be failed even when present in certain settings (Dearing, 2009; Lee, Ramasamy and Subbarao, 2025).</w:t>
      </w:r>
    </w:p>
    <w:p w14:paraId="77FF5DC5" w14:textId="7299F654" w:rsidR="004E386B" w:rsidRDefault="004E386B" w:rsidP="00D91805">
      <w:pPr>
        <w:pStyle w:val="NormalWeb"/>
        <w:spacing w:before="240"/>
        <w:jc w:val="both"/>
      </w:pPr>
      <w:r>
        <w:t>The structural equation method of Yao measures the pathways to intention, but it does not capture the relational and cultural attributes that can be a major determinant of whether telemedicine is clinically legitimate. Another narrative is presented by Ko et al., (2025), who demonstrate that among individuals with disabilities, convenience benefits co-occur with fears regarding the quality of assessment, rapport, and accessibility. This indicates that trust is not merely an actor attitude but bargained property of service design, quality of interaction, and accommodation. This aspect of relations is repeatedly stressed in the broader literature on telehealth: when telehealth continuity is established, there should be clearly defined escalation pathways and the assurance that the issue will be addressed seriously, then patients will be more willing to receive remote care.</w:t>
      </w:r>
    </w:p>
    <w:p w14:paraId="470C3607" w14:textId="5F32F998" w:rsidR="00E734E0" w:rsidRPr="00497FB9" w:rsidRDefault="004E386B" w:rsidP="008B577A">
      <w:pPr>
        <w:pStyle w:val="NormalWeb"/>
        <w:spacing w:before="240" w:beforeAutospacing="0"/>
        <w:jc w:val="both"/>
      </w:pPr>
      <w:r>
        <w:t xml:space="preserve">UK policy also demonstrates the amplification or restraint of these mechanisms. Digital-first approaches implicitly project that familiarity with smartphones can transfer into equal access, but ongoing rural digital disparity and clinician challenges in maintaining rapport reflect that usability and acceptability are not assured (Duong et al., 2025). Institutional trust could be boosted by data protection frameworks, and complex compliance mandates might decrease the service agility of </w:t>
      </w:r>
      <w:r>
        <w:lastRenderedPageBreak/>
        <w:t>smaller practices, constraining adaptations that could enhance accessibility. On a larger scale, a non-use can be seen as individual failure when policy discourses focus on empowerment and choice, which hides structural and cultural impediments that the reviewed evidence reports time and again (Ayaz et al., 2024).</w:t>
      </w:r>
    </w:p>
    <w:p w14:paraId="550AA5E3" w14:textId="77777777" w:rsidR="00497FB9" w:rsidRPr="00497FB9" w:rsidRDefault="00497FB9" w:rsidP="00006876">
      <w:pPr>
        <w:spacing w:before="240" w:after="100" w:afterAutospacing="1"/>
        <w:jc w:val="both"/>
        <w:outlineLvl w:val="3"/>
        <w:rPr>
          <w:b/>
          <w:bCs/>
        </w:rPr>
      </w:pPr>
      <w:r w:rsidRPr="00497FB9">
        <w:rPr>
          <w:b/>
          <w:bCs/>
        </w:rPr>
        <w:t>Implications for SDG Outcomes</w:t>
      </w:r>
    </w:p>
    <w:p w14:paraId="148AE7CF" w14:textId="159880CA" w:rsidR="00497FB9" w:rsidRPr="00497FB9" w:rsidRDefault="00497FB9" w:rsidP="00006876">
      <w:pPr>
        <w:spacing w:before="240" w:after="100" w:afterAutospacing="1"/>
        <w:jc w:val="both"/>
      </w:pPr>
      <w:r w:rsidRPr="00497FB9">
        <w:t xml:space="preserve">Enhancing digital literacy and trust directly supports SDG 3 by enabling rural populations to use telemedicine effectively, while fostering inclusivity under SDG 10. Yet, when these factors are neglected, digital health initiatives reproduce the very inequalities they aim to reduce. For instance, education and income disparities identified by Yao (2025) show that innovation without inclusion widens rather than narrows health gaps. Policymakers must therefore pair digital expansion with sustained community engagement, culturally sensitive training, and trust-building mechanisms. </w:t>
      </w:r>
    </w:p>
    <w:p w14:paraId="2FEBAAB8" w14:textId="77777777" w:rsidR="00497FB9" w:rsidRDefault="00497FB9" w:rsidP="00006876">
      <w:pPr>
        <w:spacing w:before="240" w:after="100" w:afterAutospacing="1"/>
        <w:jc w:val="both"/>
        <w:outlineLvl w:val="3"/>
        <w:rPr>
          <w:b/>
          <w:bCs/>
        </w:rPr>
      </w:pPr>
      <w:r w:rsidRPr="00497FB9">
        <w:rPr>
          <w:b/>
          <w:bCs/>
        </w:rPr>
        <w:t>Connections to Other Themes</w:t>
      </w:r>
    </w:p>
    <w:p w14:paraId="54C768EC" w14:textId="7233FBAA" w:rsidR="00A3227A" w:rsidRPr="001C02E3" w:rsidRDefault="00A3227A" w:rsidP="00006876">
      <w:pPr>
        <w:spacing w:before="240" w:after="100" w:afterAutospacing="1"/>
        <w:jc w:val="both"/>
        <w:outlineLvl w:val="3"/>
      </w:pPr>
      <w:r w:rsidRPr="001C02E3">
        <w:t>Theme 2 is directly related to Theme 1: with unskilled or little-confidence users, the best infrastructure will be useless. Conversely, socioeconomically disadvantaged people are given training and institutional assistance as explored in the Theme 3. Through this, literacy and trust are believed to be the human channel between technological capability (Theme 1) and equitable policy implementation (Theme 3). To take steps towards SDG 3, 9 and 10, an integrated strategy that positions infrastructure, education and trust in culturally resonant systems and not as distinct technical functions is required.</w:t>
      </w:r>
    </w:p>
    <w:p w14:paraId="2CC8837B" w14:textId="77777777" w:rsidR="00393583" w:rsidRPr="00356EE4" w:rsidRDefault="00393583" w:rsidP="00356EE4">
      <w:pPr>
        <w:pStyle w:val="Heading2"/>
      </w:pPr>
      <w:bookmarkStart w:id="39" w:name="_Toc220350674"/>
      <w:r w:rsidRPr="00356EE4">
        <w:t>4.5 Theme 3: Socioeconomic inequities and policy design drive who benefits from digital health</w:t>
      </w:r>
      <w:bookmarkEnd w:id="39"/>
    </w:p>
    <w:p w14:paraId="1D0E8224" w14:textId="562ECB4B" w:rsidR="00393583" w:rsidRPr="00393583" w:rsidRDefault="00393583" w:rsidP="00006876">
      <w:pPr>
        <w:spacing w:before="240" w:after="100" w:afterAutospacing="1"/>
        <w:jc w:val="both"/>
      </w:pPr>
      <w:r w:rsidRPr="00393583">
        <w:t>This theme captures the proposition that digital health is not distributed or experienced neutrally; rather, benefits are patterned by socioeconomic position and shaped by policy choices that determine resource allocation, eligibility, and the rules of access. Socioeconomic inequities refer to systematic differences in material resources and social advantage</w:t>
      </w:r>
      <w:r w:rsidR="00423CEE">
        <w:t xml:space="preserve"> </w:t>
      </w:r>
      <w:r w:rsidRPr="00393583">
        <w:t>such as income, education, occupation, and geographic marginality</w:t>
      </w:r>
      <w:r w:rsidR="00423CEE">
        <w:t xml:space="preserve"> </w:t>
      </w:r>
      <w:r w:rsidRPr="00393583">
        <w:t>that influence exposure to health risks and access to care</w:t>
      </w:r>
      <w:r w:rsidR="005B771F">
        <w:t xml:space="preserve"> </w:t>
      </w:r>
      <w:r w:rsidR="005B771F">
        <w:rPr>
          <w:rFonts w:cs="Calibri"/>
          <w:szCs w:val="22"/>
        </w:rPr>
        <w:t>(Arcaya, Arcaya and Subramanian, 2015)</w:t>
      </w:r>
      <w:r w:rsidRPr="00393583">
        <w:t>.</w:t>
      </w:r>
    </w:p>
    <w:p w14:paraId="38483597" w14:textId="77777777" w:rsidR="001C02E3" w:rsidRDefault="001C02E3" w:rsidP="00006876">
      <w:pPr>
        <w:pStyle w:val="NormalWeb"/>
        <w:spacing w:before="240" w:beforeAutospacing="0"/>
        <w:jc w:val="both"/>
      </w:pPr>
      <w:r w:rsidRPr="001C02E3">
        <w:t>The dissertation question: In which circumstances can telemedicine promote SDG-related outcomes in the rural population and under which circumstances may it increase gaps? This theme describes the rationale of differential benefits: telemedicine widens access (SDG 3) only in case socioeconomic limitations are mitigated by conscious policy interventions in line with SDG 10, and system investment (SDG 9) serves to reach the most structure disadvantaged populations. It also addresses Objectives 2–</w:t>
      </w:r>
      <w:r w:rsidRPr="001C02E3">
        <w:lastRenderedPageBreak/>
        <w:t xml:space="preserve">4 by emphasizing the reliance of outcomes (access, user experience, cost, quality) not only on technology but also on financing, governance, and equity-based programme design. </w:t>
      </w:r>
    </w:p>
    <w:p w14:paraId="002C57CD" w14:textId="4E9153C9" w:rsidR="00E209EB" w:rsidRDefault="00E209EB" w:rsidP="00006876">
      <w:pPr>
        <w:pStyle w:val="NormalWeb"/>
        <w:spacing w:before="240" w:beforeAutospacing="0"/>
        <w:jc w:val="both"/>
      </w:pPr>
      <w:r>
        <w:t>This table compares SDG 3, 9 and 10 by showing the conditions under which telemedicine improves rural outcomes versus the conditions that cause it to widen inequalities, mapped to the dissertation objectives.</w:t>
      </w:r>
    </w:p>
    <w:p w14:paraId="2F64D091" w14:textId="3283D893" w:rsidR="0033535C" w:rsidRPr="0063410A" w:rsidRDefault="0033535C" w:rsidP="00006876">
      <w:pPr>
        <w:pStyle w:val="Caption"/>
        <w:keepNext/>
        <w:spacing w:before="240"/>
        <w:jc w:val="both"/>
      </w:pPr>
      <w:bookmarkStart w:id="40" w:name="_Toc219413630"/>
      <w:r w:rsidRPr="0063410A">
        <w:t xml:space="preserve">Table </w:t>
      </w:r>
      <w:fldSimple w:instr=" SEQ Table \* ARABIC ">
        <w:r w:rsidR="00FD3C99">
          <w:rPr>
            <w:noProof/>
          </w:rPr>
          <w:t>8</w:t>
        </w:r>
      </w:fldSimple>
      <w:r w:rsidRPr="0063410A">
        <w:rPr>
          <w:lang w:val="en-GB"/>
        </w:rPr>
        <w:t>: Conditions under which telemedicine advances SDGs or widens gaps</w:t>
      </w:r>
      <w:r w:rsidR="0063410A" w:rsidRPr="0063410A">
        <w:rPr>
          <w:lang w:val="en-GB"/>
        </w:rPr>
        <w:t xml:space="preserve"> </w:t>
      </w:r>
      <w:r w:rsidR="0063410A" w:rsidRPr="0063410A">
        <w:rPr>
          <w:rFonts w:cs="Calibri"/>
        </w:rPr>
        <w:t xml:space="preserve">(Bukhari </w:t>
      </w:r>
      <w:r w:rsidR="0063410A" w:rsidRPr="0063410A">
        <w:rPr>
          <w:rFonts w:cs="Calibri"/>
          <w:i w:val="0"/>
          <w:iCs w:val="0"/>
        </w:rPr>
        <w:t>et al.</w:t>
      </w:r>
      <w:r w:rsidR="0063410A" w:rsidRPr="0063410A">
        <w:rPr>
          <w:rFonts w:cs="Calibri"/>
        </w:rPr>
        <w:t>, 2021)</w:t>
      </w:r>
      <w:bookmarkEnd w:id="40"/>
    </w:p>
    <w:tbl>
      <w:tblPr>
        <w:tblStyle w:val="TableGrid"/>
        <w:tblW w:w="0" w:type="auto"/>
        <w:tblLook w:val="04A0" w:firstRow="1" w:lastRow="0" w:firstColumn="1" w:lastColumn="0" w:noHBand="0" w:noVBand="1"/>
      </w:tblPr>
      <w:tblGrid>
        <w:gridCol w:w="1627"/>
        <w:gridCol w:w="1906"/>
        <w:gridCol w:w="2297"/>
        <w:gridCol w:w="1896"/>
        <w:gridCol w:w="1290"/>
      </w:tblGrid>
      <w:tr w:rsidR="0033535C" w14:paraId="34C13EC6" w14:textId="77777777" w:rsidTr="0033535C">
        <w:tc>
          <w:tcPr>
            <w:tcW w:w="0" w:type="auto"/>
            <w:hideMark/>
          </w:tcPr>
          <w:p w14:paraId="52F783A7" w14:textId="77777777" w:rsidR="0033535C" w:rsidRDefault="0033535C" w:rsidP="00006876">
            <w:pPr>
              <w:spacing w:before="240"/>
              <w:jc w:val="both"/>
              <w:rPr>
                <w:b/>
                <w:bCs/>
              </w:rPr>
            </w:pPr>
            <w:r>
              <w:rPr>
                <w:b/>
                <w:bCs/>
              </w:rPr>
              <w:t>SDG focus</w:t>
            </w:r>
          </w:p>
        </w:tc>
        <w:tc>
          <w:tcPr>
            <w:tcW w:w="0" w:type="auto"/>
            <w:hideMark/>
          </w:tcPr>
          <w:p w14:paraId="7C8284B1" w14:textId="196C7689" w:rsidR="0033535C" w:rsidRPr="00676DF3" w:rsidRDefault="00D71527" w:rsidP="00006876">
            <w:pPr>
              <w:spacing w:before="240"/>
              <w:jc w:val="both"/>
              <w:rPr>
                <w:b/>
                <w:bCs/>
              </w:rPr>
            </w:pPr>
            <w:r w:rsidRPr="00676DF3">
              <w:rPr>
                <w:b/>
                <w:bCs/>
              </w:rPr>
              <w:t>Intended outcomes</w:t>
            </w:r>
          </w:p>
        </w:tc>
        <w:tc>
          <w:tcPr>
            <w:tcW w:w="0" w:type="auto"/>
            <w:hideMark/>
          </w:tcPr>
          <w:p w14:paraId="36297123" w14:textId="3BB2E050" w:rsidR="0033535C" w:rsidRPr="00676DF3" w:rsidRDefault="00D71527" w:rsidP="00006876">
            <w:pPr>
              <w:spacing w:before="240"/>
              <w:jc w:val="both"/>
              <w:rPr>
                <w:b/>
                <w:bCs/>
              </w:rPr>
            </w:pPr>
            <w:r w:rsidRPr="00676DF3">
              <w:rPr>
                <w:b/>
                <w:bCs/>
              </w:rPr>
              <w:t>Implementation enablers</w:t>
            </w:r>
          </w:p>
        </w:tc>
        <w:tc>
          <w:tcPr>
            <w:tcW w:w="0" w:type="auto"/>
            <w:hideMark/>
          </w:tcPr>
          <w:p w14:paraId="6EE628B3" w14:textId="02DC5F55" w:rsidR="0033535C" w:rsidRDefault="00D71527" w:rsidP="00006876">
            <w:pPr>
              <w:spacing w:before="240"/>
              <w:jc w:val="both"/>
              <w:rPr>
                <w:b/>
                <w:bCs/>
              </w:rPr>
            </w:pPr>
            <w:r>
              <w:rPr>
                <w:b/>
                <w:bCs/>
              </w:rPr>
              <w:t xml:space="preserve">Risks </w:t>
            </w:r>
          </w:p>
        </w:tc>
        <w:tc>
          <w:tcPr>
            <w:tcW w:w="0" w:type="auto"/>
            <w:hideMark/>
          </w:tcPr>
          <w:p w14:paraId="0EB444D4" w14:textId="77777777" w:rsidR="0033535C" w:rsidRDefault="0033535C" w:rsidP="00006876">
            <w:pPr>
              <w:spacing w:before="240"/>
              <w:jc w:val="both"/>
              <w:rPr>
                <w:b/>
                <w:bCs/>
              </w:rPr>
            </w:pPr>
            <w:r>
              <w:rPr>
                <w:b/>
                <w:bCs/>
              </w:rPr>
              <w:t>Relevant research objectives</w:t>
            </w:r>
          </w:p>
        </w:tc>
      </w:tr>
      <w:tr w:rsidR="0033535C" w14:paraId="1F6041E8" w14:textId="77777777" w:rsidTr="0033535C">
        <w:tc>
          <w:tcPr>
            <w:tcW w:w="0" w:type="auto"/>
            <w:hideMark/>
          </w:tcPr>
          <w:p w14:paraId="74920FE3" w14:textId="77777777" w:rsidR="0033535C" w:rsidRDefault="0033535C" w:rsidP="00006876">
            <w:pPr>
              <w:spacing w:before="240"/>
              <w:jc w:val="both"/>
            </w:pPr>
            <w:r>
              <w:t>SDG 3 Health and well-being</w:t>
            </w:r>
          </w:p>
        </w:tc>
        <w:tc>
          <w:tcPr>
            <w:tcW w:w="0" w:type="auto"/>
            <w:hideMark/>
          </w:tcPr>
          <w:p w14:paraId="22786F21" w14:textId="43BD1949" w:rsidR="0033535C" w:rsidRDefault="00147EF6" w:rsidP="00006876">
            <w:pPr>
              <w:spacing w:before="240"/>
              <w:jc w:val="both"/>
            </w:pPr>
            <w:r>
              <w:t>Improved access; timeliness; continuity; patient experience</w:t>
            </w:r>
          </w:p>
        </w:tc>
        <w:tc>
          <w:tcPr>
            <w:tcW w:w="0" w:type="auto"/>
            <w:hideMark/>
          </w:tcPr>
          <w:p w14:paraId="014BFB9D" w14:textId="6BDF6725" w:rsidR="0033535C" w:rsidRDefault="00147EF6" w:rsidP="00006876">
            <w:pPr>
              <w:spacing w:before="240"/>
              <w:jc w:val="both"/>
            </w:pPr>
            <w:r>
              <w:t>Affordable pathways; supported onboarding; safe clinical escalation; hybrid options</w:t>
            </w:r>
          </w:p>
        </w:tc>
        <w:tc>
          <w:tcPr>
            <w:tcW w:w="0" w:type="auto"/>
            <w:hideMark/>
          </w:tcPr>
          <w:p w14:paraId="5B007978" w14:textId="29228A48" w:rsidR="0033535C" w:rsidRDefault="00147EF6" w:rsidP="00006876">
            <w:pPr>
              <w:spacing w:before="240"/>
              <w:jc w:val="both"/>
            </w:pPr>
            <w:r>
              <w:t>Digital-first default; low trust; poor usability; exclusion of complex needs</w:t>
            </w:r>
          </w:p>
        </w:tc>
        <w:tc>
          <w:tcPr>
            <w:tcW w:w="0" w:type="auto"/>
            <w:hideMark/>
          </w:tcPr>
          <w:p w14:paraId="3C40DCB8" w14:textId="77777777" w:rsidR="0033535C" w:rsidRDefault="0033535C" w:rsidP="00006876">
            <w:pPr>
              <w:spacing w:before="240"/>
              <w:jc w:val="both"/>
            </w:pPr>
            <w:r>
              <w:t>Obj 2; Obj 4</w:t>
            </w:r>
          </w:p>
        </w:tc>
      </w:tr>
      <w:tr w:rsidR="0033535C" w14:paraId="6290B261" w14:textId="77777777" w:rsidTr="0033535C">
        <w:tc>
          <w:tcPr>
            <w:tcW w:w="0" w:type="auto"/>
            <w:hideMark/>
          </w:tcPr>
          <w:p w14:paraId="4ACD2A90" w14:textId="77777777" w:rsidR="0033535C" w:rsidRDefault="0033535C" w:rsidP="00006876">
            <w:pPr>
              <w:spacing w:before="240"/>
              <w:jc w:val="both"/>
            </w:pPr>
            <w:r>
              <w:t>SDG 9 Infrastructure and innovation</w:t>
            </w:r>
          </w:p>
        </w:tc>
        <w:tc>
          <w:tcPr>
            <w:tcW w:w="0" w:type="auto"/>
            <w:hideMark/>
          </w:tcPr>
          <w:p w14:paraId="3BE6A284" w14:textId="32A04B7D" w:rsidR="0033535C" w:rsidRDefault="00147EF6" w:rsidP="00006876">
            <w:pPr>
              <w:spacing w:before="240"/>
              <w:jc w:val="both"/>
            </w:pPr>
            <w:r>
              <w:t>Resilient connectivity; interoperable data flow; reliable platforms</w:t>
            </w:r>
          </w:p>
        </w:tc>
        <w:tc>
          <w:tcPr>
            <w:tcW w:w="0" w:type="auto"/>
            <w:hideMark/>
          </w:tcPr>
          <w:p w14:paraId="19F57161" w14:textId="2FFEC2E9" w:rsidR="0033535C" w:rsidRDefault="00147EF6" w:rsidP="00006876">
            <w:pPr>
              <w:spacing w:before="240"/>
              <w:jc w:val="both"/>
            </w:pPr>
            <w:r>
              <w:t>Broadband investment in most remote areas; interoperability standards; maintenance budgets</w:t>
            </w:r>
          </w:p>
        </w:tc>
        <w:tc>
          <w:tcPr>
            <w:tcW w:w="0" w:type="auto"/>
            <w:hideMark/>
          </w:tcPr>
          <w:p w14:paraId="780B5E64" w14:textId="10821E62" w:rsidR="0033535C" w:rsidRDefault="00147EF6" w:rsidP="00006876">
            <w:pPr>
              <w:spacing w:before="240"/>
              <w:jc w:val="both"/>
            </w:pPr>
            <w:r>
              <w:t>Uneven rollout; vendor lock-in; weak maintenance; fragmented systems</w:t>
            </w:r>
          </w:p>
        </w:tc>
        <w:tc>
          <w:tcPr>
            <w:tcW w:w="0" w:type="auto"/>
            <w:hideMark/>
          </w:tcPr>
          <w:p w14:paraId="67311F75" w14:textId="77777777" w:rsidR="0033535C" w:rsidRDefault="0033535C" w:rsidP="00006876">
            <w:pPr>
              <w:spacing w:before="240"/>
              <w:jc w:val="both"/>
            </w:pPr>
            <w:r>
              <w:t>Obj 1; Obj 3</w:t>
            </w:r>
          </w:p>
        </w:tc>
      </w:tr>
      <w:tr w:rsidR="0033535C" w14:paraId="011D48B8" w14:textId="77777777" w:rsidTr="0033535C">
        <w:tc>
          <w:tcPr>
            <w:tcW w:w="0" w:type="auto"/>
            <w:hideMark/>
          </w:tcPr>
          <w:p w14:paraId="64181C23" w14:textId="77777777" w:rsidR="0033535C" w:rsidRDefault="0033535C" w:rsidP="00006876">
            <w:pPr>
              <w:spacing w:before="240"/>
              <w:jc w:val="both"/>
            </w:pPr>
            <w:r>
              <w:t>SDG 10 Reduced inequalities</w:t>
            </w:r>
          </w:p>
        </w:tc>
        <w:tc>
          <w:tcPr>
            <w:tcW w:w="0" w:type="auto"/>
            <w:hideMark/>
          </w:tcPr>
          <w:p w14:paraId="0BFC4FF2" w14:textId="6E630628" w:rsidR="0033535C" w:rsidRDefault="00147EF6" w:rsidP="00006876">
            <w:pPr>
              <w:spacing w:before="240"/>
              <w:jc w:val="both"/>
            </w:pPr>
            <w:r>
              <w:t>Narrowed uptake gaps; inclusion of disadvantaged groups</w:t>
            </w:r>
          </w:p>
        </w:tc>
        <w:tc>
          <w:tcPr>
            <w:tcW w:w="0" w:type="auto"/>
            <w:hideMark/>
          </w:tcPr>
          <w:p w14:paraId="6993B999" w14:textId="034481CF" w:rsidR="0033535C" w:rsidRDefault="00147EF6" w:rsidP="00006876">
            <w:pPr>
              <w:spacing w:before="240"/>
              <w:jc w:val="both"/>
            </w:pPr>
            <w:r>
              <w:t>Subsidies; targeted inclusion; disability-accessible design; culturally safe services</w:t>
            </w:r>
          </w:p>
        </w:tc>
        <w:tc>
          <w:tcPr>
            <w:tcW w:w="0" w:type="auto"/>
            <w:hideMark/>
          </w:tcPr>
          <w:p w14:paraId="634415BF" w14:textId="33B5988E" w:rsidR="0033535C" w:rsidRDefault="00147EF6" w:rsidP="00E63185">
            <w:pPr>
              <w:spacing w:before="240"/>
              <w:jc w:val="both"/>
            </w:pPr>
            <w:r>
              <w:t>Costs shifted to users; one-size-fits-all design; no stratified monitoring</w:t>
            </w:r>
          </w:p>
        </w:tc>
        <w:tc>
          <w:tcPr>
            <w:tcW w:w="0" w:type="auto"/>
            <w:hideMark/>
          </w:tcPr>
          <w:p w14:paraId="46032132" w14:textId="77777777" w:rsidR="0033535C" w:rsidRDefault="0033535C" w:rsidP="00006876">
            <w:pPr>
              <w:spacing w:before="240"/>
              <w:jc w:val="both"/>
            </w:pPr>
            <w:r>
              <w:t>Obj 2; Obj 3; Obj 4</w:t>
            </w:r>
          </w:p>
        </w:tc>
      </w:tr>
    </w:tbl>
    <w:p w14:paraId="75383834" w14:textId="77777777" w:rsidR="00423CEE" w:rsidRDefault="00423CEE" w:rsidP="00006876">
      <w:pPr>
        <w:pStyle w:val="NormalWeb"/>
        <w:spacing w:before="240" w:beforeAutospacing="0"/>
        <w:jc w:val="both"/>
      </w:pPr>
    </w:p>
    <w:p w14:paraId="6206F860" w14:textId="704FF73D" w:rsidR="005527BB" w:rsidRDefault="001C02E3" w:rsidP="002B1845">
      <w:pPr>
        <w:pStyle w:val="NormalWeb"/>
        <w:spacing w:before="240" w:beforeAutospacing="0"/>
        <w:jc w:val="both"/>
      </w:pPr>
      <w:r>
        <w:t xml:space="preserve">The analysed studies show that socio economic determinants are the main </w:t>
      </w:r>
      <w:r w:rsidR="00E8361A">
        <w:t>p</w:t>
      </w:r>
      <w:r>
        <w:t>redictors of telem</w:t>
      </w:r>
      <w:r w:rsidR="00E8361A">
        <w:t>e</w:t>
      </w:r>
      <w:r>
        <w:t>dicine use, however, also indir</w:t>
      </w:r>
      <w:r w:rsidR="00E8361A">
        <w:t>ec</w:t>
      </w:r>
      <w:r>
        <w:t>t drivers of exclusion. The studies also differ in how the determinants are connected to policies</w:t>
      </w:r>
      <w:r w:rsidR="00A31D95">
        <w:t>.</w:t>
      </w:r>
      <w:r w:rsidR="00AE6F31">
        <w:t xml:space="preserve"> According to Tao et al (2025), the monthly income and education status of rural </w:t>
      </w:r>
      <w:r w:rsidR="00AE6F31">
        <w:lastRenderedPageBreak/>
        <w:t xml:space="preserve">people with chronic issues directly impact their intention to </w:t>
      </w:r>
      <w:r w:rsidR="005527BB">
        <w:t>a</w:t>
      </w:r>
      <w:r w:rsidR="00AE6F31">
        <w:t>dopt digital health.</w:t>
      </w:r>
      <w:r w:rsidR="005527BB">
        <w:t xml:space="preserve"> </w:t>
      </w:r>
      <w:r w:rsidR="005527BB" w:rsidRPr="005527BB">
        <w:t xml:space="preserve">Its analytic importance is </w:t>
      </w:r>
      <w:r w:rsidR="002B1845">
        <w:t>t</w:t>
      </w:r>
      <w:r w:rsidR="005527BB" w:rsidRPr="005527BB">
        <w:t>hat it is more widely taken by the advantaged groups; but that telemedicine can be a selective procedure and its benefits go to those already placed to negotiate digital and administrative complexity. The explanatory theory is cumulative: education favors digital confidence and navigational, income decreases the affordability burdens (equipments, data expenses, travel to assisted access points), and both significantly enhance the risk of living conditions that facilitate remote care (privacy, electricity, household support). This would correspond to intervention-based inequalities, in which innovations spread more quickly among high-income groups, enhancing the overall access and increasing the disparity in who gains, an outcome that would directly query SDG 10 (Gu, 2022; Hill, 2010).</w:t>
      </w:r>
    </w:p>
    <w:p w14:paraId="6C448B5E" w14:textId="77777777" w:rsidR="00A10780" w:rsidRDefault="00A10780" w:rsidP="00D70FEC">
      <w:pPr>
        <w:spacing w:before="240" w:after="240"/>
        <w:jc w:val="both"/>
        <w:rPr>
          <w:rStyle w:val="Strong"/>
          <w:rFonts w:eastAsiaTheme="majorEastAsia"/>
          <w:b w:val="0"/>
          <w:bCs w:val="0"/>
        </w:rPr>
      </w:pPr>
      <w:r w:rsidRPr="00A10780">
        <w:rPr>
          <w:rStyle w:val="Strong"/>
          <w:rFonts w:eastAsiaTheme="majorEastAsia"/>
          <w:b w:val="0"/>
          <w:bCs w:val="0"/>
        </w:rPr>
        <w:t xml:space="preserve">Chu et al. (2021) supply a population-level confirmation that swift growth does not necessarily equalise access. The adoption of telemedicine increased rapidly during COVID-19, but more rural areas adopted it more than more remote territories in UK (Anaraki et al., 2022). The most important implication, though the authors note tendencies in service use, is equity. The expansion of services failed to eliminate spatial disadvantage but rather increased the visibility of these differences and could have strengthened the routes of access as they moved online. This favors the argument that rurality is a continuum but not a mere rural urban divide. Thus, rural homogeneous policies can inadvertently channel resources into more connected towns and out of more isolated communities (Chaloner et al., 2025). </w:t>
      </w:r>
    </w:p>
    <w:p w14:paraId="59898223" w14:textId="057A0622" w:rsidR="0033318A" w:rsidRDefault="001B3B30" w:rsidP="00881579">
      <w:pPr>
        <w:spacing w:after="240"/>
        <w:jc w:val="both"/>
      </w:pPr>
      <w:r w:rsidRPr="001B3B30">
        <w:t>Du et al. (2022) indicate very low prevalence of telemedicine in rural China (0.67) and cite barriers to low knowledge, low trust, and low self-efficacy. Nevertheless, explaining them mainly as user deficits may misrepresent the ways in which socioeconomic and policy circumstances generate them. When telemedicine is inadequately promoted, sporadic, or tied to visible and hidden costs, a low demand might be the result of rational calculation in the face of uncertainty and not attitudinal resistance. Digital health criticism often cautions that deficit frames are incorrect diagnosis of non-use and divert attention to service design, institutional trust, and the affordability structures that define engagement</w:t>
      </w:r>
      <w:r>
        <w:t xml:space="preserve"> </w:t>
      </w:r>
      <w:r w:rsidR="005F1728">
        <w:rPr>
          <w:rFonts w:cs="Calibri"/>
          <w:szCs w:val="22"/>
        </w:rPr>
        <w:t xml:space="preserve">(Ahmed, Okesanya, </w:t>
      </w:r>
      <w:r w:rsidR="005F1728">
        <w:rPr>
          <w:rFonts w:cs="Calibri"/>
          <w:i/>
          <w:iCs/>
          <w:szCs w:val="22"/>
        </w:rPr>
        <w:t>et al.</w:t>
      </w:r>
      <w:r w:rsidR="005F1728">
        <w:rPr>
          <w:rFonts w:cs="Calibri"/>
          <w:szCs w:val="22"/>
        </w:rPr>
        <w:t xml:space="preserve">, 2025; Anaraki </w:t>
      </w:r>
      <w:r w:rsidR="005F1728">
        <w:rPr>
          <w:rFonts w:cs="Calibri"/>
          <w:i/>
          <w:iCs/>
          <w:szCs w:val="22"/>
        </w:rPr>
        <w:t>et al.</w:t>
      </w:r>
      <w:r w:rsidR="005F1728">
        <w:rPr>
          <w:rFonts w:cs="Calibri"/>
          <w:szCs w:val="22"/>
        </w:rPr>
        <w:t>, 2022)</w:t>
      </w:r>
      <w:r w:rsidR="00A31D95">
        <w:t>.</w:t>
      </w:r>
    </w:p>
    <w:p w14:paraId="7232AC5D" w14:textId="77777777" w:rsidR="0033318A" w:rsidRPr="00075905" w:rsidRDefault="0033318A" w:rsidP="00006876">
      <w:pPr>
        <w:jc w:val="both"/>
        <w:rPr>
          <w:rFonts w:ascii="Times New Roman" w:hAnsi="Times New Roman"/>
          <w:sz w:val="24"/>
        </w:rPr>
      </w:pPr>
    </w:p>
    <w:p w14:paraId="5F618ABC" w14:textId="0914998F" w:rsidR="00A31D95" w:rsidRPr="00C62CF7" w:rsidRDefault="00A31D95" w:rsidP="009207AF">
      <w:pPr>
        <w:spacing w:before="240"/>
        <w:jc w:val="both"/>
        <w:rPr>
          <w:b/>
          <w:bCs/>
        </w:rPr>
      </w:pPr>
      <w:r w:rsidRPr="00C62CF7">
        <w:rPr>
          <w:b/>
          <w:bCs/>
        </w:rPr>
        <w:t xml:space="preserve">UK </w:t>
      </w:r>
      <w:r w:rsidR="00262768" w:rsidRPr="00C62CF7">
        <w:rPr>
          <w:b/>
          <w:bCs/>
        </w:rPr>
        <w:t>Policy Evidence</w:t>
      </w:r>
    </w:p>
    <w:p w14:paraId="6043E004" w14:textId="06E07361" w:rsidR="00881579" w:rsidRDefault="00881579" w:rsidP="009207AF">
      <w:pPr>
        <w:spacing w:before="240"/>
        <w:jc w:val="both"/>
      </w:pPr>
      <w:r w:rsidRPr="00881579">
        <w:t xml:space="preserve">The literature on the topic of the UK enhances the idea that the language of policy can be used to justify inequitable results regardless of the fact that the policy is supposed to foster inclusiveness. </w:t>
      </w:r>
      <w:r w:rsidRPr="00881579">
        <w:lastRenderedPageBreak/>
        <w:t xml:space="preserve">According to Rich, Miah and Lewis (2019), the idea of equity in English digital health policy is expressed through the notions of efficiency, empowerment, and market-driven solutions. Consequently, access becomes a personal obligation. Those who do not receive digital services can then be perceived as failing as individuals, rather than poverty, disability, poor rural internet, and cultural obstacles. Thorlu-Bangura et al. (2023) contribute to this criticism by demonstrating that policy documents mentioned digital health and inequality but failed to adequately tackle ethnic inequalities in digital health to cardiometabolic disease. This points to the disconnect between general inclusion language and actual support of excluded groups. </w:t>
      </w:r>
    </w:p>
    <w:p w14:paraId="70F2033B" w14:textId="4F03CFB3" w:rsidR="00A31D95" w:rsidRPr="00C62CF7" w:rsidRDefault="00A31D95" w:rsidP="009207AF">
      <w:pPr>
        <w:spacing w:before="240"/>
        <w:jc w:val="both"/>
        <w:rPr>
          <w:b/>
          <w:bCs/>
        </w:rPr>
      </w:pPr>
      <w:r w:rsidRPr="00C62CF7">
        <w:rPr>
          <w:b/>
          <w:bCs/>
        </w:rPr>
        <w:t xml:space="preserve">Policy </w:t>
      </w:r>
      <w:r w:rsidR="00A362AF" w:rsidRPr="00C62CF7">
        <w:rPr>
          <w:b/>
          <w:bCs/>
        </w:rPr>
        <w:t>Design Mechanisms</w:t>
      </w:r>
    </w:p>
    <w:p w14:paraId="04D7ED48" w14:textId="66201118" w:rsidR="00262768" w:rsidRDefault="002C4CA2" w:rsidP="00006876">
      <w:pPr>
        <w:pStyle w:val="NormalWeb"/>
        <w:spacing w:before="240" w:beforeAutospacing="0"/>
        <w:jc w:val="both"/>
      </w:pPr>
      <w:r w:rsidRPr="002C4CA2">
        <w:t>Throughout the evidence, inequality is influenced by explicit policy decisions. It matters how the services are structured. The emergence of remote care as the primary entry point into the health system can impose new obstacles to fundamental care on individuals without digital access (Saeed and Masters, 2021). Funding systems also matter. Activity-based incentives may increase telehealth utilization without enhancing access among disadvantaged populations, and additional expenses on the part of patients can make care unaffordable. Platform rules and technology purchasing matter, too. Proprietary systems can raise prices, diminish flexibility, and impose challenges on rural providers with limited resources (Lidder, Cattaneo and Chaya, 2025). Inclusion support influences the ability of individuals to utilize services. Telemedicine risks benefitting already advantaged groups without support of digital skills, assisted access, accessible design, and culturally appropriate materials. Meanwhile, the combination of interoperability and learning health systems may enhance equity when paired with inclusion policies and target investment (Sheikh et al., 2021), whereas access benefits are more likely with universal coverage than with small pilot projects (Palozzi et al., 2020).</w:t>
      </w:r>
    </w:p>
    <w:p w14:paraId="464B1F9F" w14:textId="60C8472B" w:rsidR="00A31D95" w:rsidRPr="00C62CF7" w:rsidRDefault="00A31D95" w:rsidP="00C62CF7">
      <w:pPr>
        <w:rPr>
          <w:b/>
          <w:bCs/>
        </w:rPr>
      </w:pPr>
      <w:r w:rsidRPr="00C62CF7">
        <w:rPr>
          <w:b/>
          <w:bCs/>
        </w:rPr>
        <w:t xml:space="preserve">Implications </w:t>
      </w:r>
    </w:p>
    <w:p w14:paraId="5B4A6CEA" w14:textId="167596BF" w:rsidR="00A76FED" w:rsidRPr="00393583" w:rsidRDefault="00A614AC" w:rsidP="00006876">
      <w:pPr>
        <w:pStyle w:val="NormalWeb"/>
        <w:spacing w:before="240" w:beforeAutospacing="0"/>
        <w:jc w:val="both"/>
      </w:pPr>
      <w:r w:rsidRPr="00A614AC">
        <w:t xml:space="preserve">In general, the arguments show that the impact of telemedicine on equity is not accidental but policy-mediated: socioeconomic limitations condition the people that can access it, and the structure of policies defines whether they will be neutral or exacerbated. This connects to Theme 1 since unequal investment in infrastructure in itself is a distributive consequence, and to Theme 2 since education and confidence and trust form the mediating variables between the availability and effective utilization of infrastructure. In the case of SDGs, SDG 3 advances via telemedicine are unlikely to help SDG 10 without equity-by-design, including making investment in the most remote locations, affordability safeguards, inclusive access, and access that stratifies outcomes by rurality, income, </w:t>
      </w:r>
      <w:r w:rsidRPr="00A614AC">
        <w:lastRenderedPageBreak/>
        <w:t>disability and ethnicity. Devoid of these, telemedicine will run the risk of providing uneven enhancement, increasing overall utilisation but also increasing the distances it is supposed to bridge</w:t>
      </w:r>
      <w:r w:rsidR="00A31D95">
        <w:t>.</w:t>
      </w:r>
    </w:p>
    <w:p w14:paraId="2D9FAD0E" w14:textId="7A551C5E" w:rsidR="008265C9" w:rsidRDefault="008265C9" w:rsidP="00356EE4">
      <w:pPr>
        <w:pStyle w:val="Heading2"/>
      </w:pPr>
      <w:bookmarkStart w:id="41" w:name="_Toc220350675"/>
      <w:r>
        <w:t>4.6 Chapter Conclusion</w:t>
      </w:r>
      <w:bookmarkEnd w:id="41"/>
      <w:r>
        <w:t xml:space="preserve"> </w:t>
      </w:r>
    </w:p>
    <w:p w14:paraId="6F473592" w14:textId="79508B24" w:rsidR="004B2036" w:rsidRPr="004B2036" w:rsidRDefault="004B2036" w:rsidP="007830F7">
      <w:pPr>
        <w:jc w:val="both"/>
        <w:rPr>
          <w:lang w:eastAsia="en-US"/>
        </w:rPr>
      </w:pPr>
      <w:r w:rsidRPr="004B2036">
        <w:rPr>
          <w:lang w:eastAsia="en-US"/>
        </w:rPr>
        <w:t>Thematic analysis was used to synthesise evidence in this chapter to assess the contribution of telemedicine and digital health on SDG-related outcomes in rural populations based on 12 selected studies. Results indicated that digital literacy, trust and cultural acceptability are strong mediators of sustainable benefits but relies on infrastructure readiness and interoperable systems. Most importantly, the chapter revealed that socioeconomic gradients and policy design dictate who can benefit, in other words, digital health can diminish or create inequalities depending on the implementation decisions. These findings will be converted into practical recommendations and assess the role of current literature in informing ethical, inclusive, and sustainable rural telehealth policy and practice in the following chapter.</w:t>
      </w:r>
    </w:p>
    <w:p w14:paraId="6F575821" w14:textId="77777777" w:rsidR="008265C9" w:rsidRDefault="008265C9" w:rsidP="00006876">
      <w:pPr>
        <w:pStyle w:val="z-TopofForm"/>
        <w:spacing w:before="240"/>
        <w:jc w:val="both"/>
      </w:pPr>
      <w:r>
        <w:t>Top of Form</w:t>
      </w:r>
    </w:p>
    <w:p w14:paraId="04DCE1CD" w14:textId="77777777" w:rsidR="008265C9" w:rsidRDefault="008265C9" w:rsidP="00006876">
      <w:pPr>
        <w:pStyle w:val="placeholder"/>
        <w:spacing w:before="240" w:beforeAutospacing="0"/>
        <w:jc w:val="both"/>
      </w:pPr>
    </w:p>
    <w:p w14:paraId="28CF3A09" w14:textId="77777777" w:rsidR="008265C9" w:rsidRDefault="008265C9" w:rsidP="00006876">
      <w:pPr>
        <w:pStyle w:val="z-BottomofForm"/>
        <w:spacing w:before="240"/>
        <w:jc w:val="both"/>
      </w:pPr>
      <w:r>
        <w:t>Bottom of Form</w:t>
      </w:r>
    </w:p>
    <w:p w14:paraId="013D5F9D" w14:textId="77777777" w:rsidR="007C13CC" w:rsidRDefault="007C13CC" w:rsidP="00006876">
      <w:pPr>
        <w:spacing w:before="240"/>
        <w:jc w:val="both"/>
      </w:pPr>
    </w:p>
    <w:p w14:paraId="0C21DA9F" w14:textId="77777777" w:rsidR="0064245D" w:rsidRDefault="0064245D" w:rsidP="00006876">
      <w:pPr>
        <w:spacing w:before="240"/>
        <w:jc w:val="both"/>
      </w:pPr>
    </w:p>
    <w:p w14:paraId="0C729BC7" w14:textId="77777777" w:rsidR="0064245D" w:rsidRDefault="0064245D" w:rsidP="00006876">
      <w:pPr>
        <w:spacing w:before="240"/>
        <w:jc w:val="both"/>
      </w:pPr>
    </w:p>
    <w:p w14:paraId="511E773A" w14:textId="77777777" w:rsidR="0064245D" w:rsidRDefault="0064245D" w:rsidP="00006876">
      <w:pPr>
        <w:spacing w:before="240"/>
        <w:jc w:val="both"/>
      </w:pPr>
    </w:p>
    <w:p w14:paraId="61C7C6C2" w14:textId="77777777" w:rsidR="00131D7D" w:rsidRDefault="00131D7D" w:rsidP="00006876">
      <w:pPr>
        <w:spacing w:before="240"/>
        <w:jc w:val="both"/>
      </w:pPr>
    </w:p>
    <w:p w14:paraId="70EC4757" w14:textId="77777777" w:rsidR="00F757E5" w:rsidRDefault="00F757E5" w:rsidP="00006876">
      <w:pPr>
        <w:spacing w:before="240"/>
        <w:jc w:val="both"/>
      </w:pPr>
    </w:p>
    <w:p w14:paraId="67E94BF9" w14:textId="77777777" w:rsidR="00F757E5" w:rsidRDefault="00F757E5" w:rsidP="00006876">
      <w:pPr>
        <w:spacing w:before="240"/>
        <w:jc w:val="both"/>
      </w:pPr>
    </w:p>
    <w:p w14:paraId="3B3FBEEC" w14:textId="77777777" w:rsidR="00F757E5" w:rsidRDefault="00F757E5" w:rsidP="00006876">
      <w:pPr>
        <w:spacing w:before="240"/>
        <w:jc w:val="both"/>
      </w:pPr>
    </w:p>
    <w:p w14:paraId="34189C60" w14:textId="77777777" w:rsidR="00131D7D" w:rsidRDefault="00131D7D" w:rsidP="00006876">
      <w:pPr>
        <w:spacing w:before="240"/>
        <w:jc w:val="both"/>
      </w:pPr>
    </w:p>
    <w:p w14:paraId="2A211DD4" w14:textId="655C00B4" w:rsidR="009062C4" w:rsidRDefault="009062C4" w:rsidP="00356EE4">
      <w:pPr>
        <w:pStyle w:val="Heading1"/>
      </w:pPr>
      <w:bookmarkStart w:id="42" w:name="_Toc220350676"/>
      <w:r>
        <w:lastRenderedPageBreak/>
        <w:t>CHAPTER 5 – Conclusion and Recommendations</w:t>
      </w:r>
      <w:bookmarkEnd w:id="42"/>
      <w:r>
        <w:t xml:space="preserve"> </w:t>
      </w:r>
    </w:p>
    <w:p w14:paraId="5382083C" w14:textId="1C730694" w:rsidR="009062C4" w:rsidRDefault="009062C4" w:rsidP="00356EE4">
      <w:pPr>
        <w:pStyle w:val="Heading2"/>
      </w:pPr>
      <w:bookmarkStart w:id="43" w:name="_Toc220350677"/>
      <w:r>
        <w:t>5.1 Overall Conclusion</w:t>
      </w:r>
      <w:bookmarkEnd w:id="43"/>
      <w:r>
        <w:t xml:space="preserve"> </w:t>
      </w:r>
    </w:p>
    <w:p w14:paraId="3E82C4CE" w14:textId="77777777" w:rsidR="009062C4" w:rsidRDefault="009062C4" w:rsidP="00006876">
      <w:pPr>
        <w:pStyle w:val="NormalWeb"/>
        <w:spacing w:before="240" w:beforeAutospacing="0"/>
        <w:jc w:val="both"/>
      </w:pPr>
      <w:r>
        <w:t>This dissertation examined how telemedicine and wider digital-health interventions can advance Sustainable Development Goals in rural communities, focusing on SDG 3 (health and well-being), SDG 9 (infrastructure and innovation), and SDG 10 (reduced inequalities). Using a desk-based approach and thematic analysis of 12 CRAAP-screened studies, the dissertation synthesised evidence across diverse contexts to identify the conditions under which digital health improves access, quality, and equity, and the circumstances in which it risks deepening existing divides.</w:t>
      </w:r>
    </w:p>
    <w:p w14:paraId="548FE54F" w14:textId="1A1E7D4F" w:rsidR="009062C4" w:rsidRDefault="00336377" w:rsidP="00006876">
      <w:pPr>
        <w:pStyle w:val="NormalWeb"/>
        <w:spacing w:before="240" w:beforeAutospacing="0"/>
        <w:jc w:val="both"/>
      </w:pPr>
      <w:r w:rsidRPr="00336377">
        <w:t>The results met the dissertation aim and objectives in three aspects. First, the literature review revealed that rural telemedicine is diverse and includes cloud-based systems, remote consultations, and digitally enabled services delivery models, with adoption being dependent on local infrastructure and institutional capacity. Second, the findings focused on SDG outcomes were inconsistent: telemedicine has the potential to minimi</w:t>
      </w:r>
      <w:r w:rsidR="00E63185">
        <w:t>s</w:t>
      </w:r>
      <w:r w:rsidRPr="00336377">
        <w:t>e traveling, enhance timeliness, but the benefits are not evenly distributed, especially in highly remote locations and among digitally excluded populations. Third, policy and implementation factors such as interoperability, reimbursement design, workforce support, and inclusion measures were identified as decisive factors of sustainability and equity. On the whole, the dissertation concludes that telemedicine is better regarded as a socio-technical intervention: it can only be applied to SDG development, when it becomes part of resilient infrastructure, which is upheld by trust-building and digital inclusion, and shaped by equity-oriented policy design</w:t>
      </w:r>
      <w:r w:rsidR="009062C4">
        <w:t>.</w:t>
      </w:r>
    </w:p>
    <w:p w14:paraId="2F5CEFC7" w14:textId="14EC9BE4" w:rsidR="009062C4" w:rsidRDefault="009062C4" w:rsidP="00356EE4">
      <w:pPr>
        <w:pStyle w:val="Heading2"/>
      </w:pPr>
      <w:bookmarkStart w:id="44" w:name="_Toc220350678"/>
      <w:r>
        <w:t>5.2 Recommendations</w:t>
      </w:r>
      <w:bookmarkEnd w:id="44"/>
      <w:r>
        <w:t xml:space="preserve"> </w:t>
      </w:r>
    </w:p>
    <w:p w14:paraId="1B67643C" w14:textId="1DE6B037" w:rsidR="009062C4" w:rsidRDefault="009062C4" w:rsidP="00356EE4">
      <w:pPr>
        <w:pStyle w:val="Heading3"/>
      </w:pPr>
      <w:bookmarkStart w:id="45" w:name="_Toc220350679"/>
      <w:r>
        <w:t xml:space="preserve">5.2.1 </w:t>
      </w:r>
      <w:r w:rsidR="000C2C65">
        <w:t>Embedding Equity in the Design and Evaluation of Rural Telehealth Services</w:t>
      </w:r>
      <w:bookmarkEnd w:id="45"/>
    </w:p>
    <w:p w14:paraId="7B59A0E0" w14:textId="3EA0B3AA" w:rsidR="00F04C0B" w:rsidRDefault="00F04C0B" w:rsidP="000C6471">
      <w:pPr>
        <w:pStyle w:val="NormalWeb"/>
        <w:spacing w:before="240"/>
        <w:jc w:val="both"/>
      </w:pPr>
      <w:r>
        <w:t>Equity by design should become a fundamental prerequisite in rural telehealth implementation by healthcare systems and policymakers. This means considering inclusion measures in the service design, not implementing them later on rollout. The practical measures involve mapping local digital exclusion (connectivity, devices, literacy), make sure there are more than one access routes (telephone, video, assisted in-person digital support), and measure outcomes stratified by rurality, age, disability, income, and ethnicity. This suggestion is reali</w:t>
      </w:r>
      <w:r w:rsidR="00E63185">
        <w:t>s</w:t>
      </w:r>
      <w:r>
        <w:t>able since it mainly involves organi</w:t>
      </w:r>
      <w:r w:rsidR="00E63185">
        <w:t>s</w:t>
      </w:r>
      <w:r>
        <w:t xml:space="preserve">ing discipline and the assessment criteria instead of innovative technology. It also aligns with the findings of the dissertation that digital health is able to expand overall access but exacerbate equity in the </w:t>
      </w:r>
      <w:r>
        <w:lastRenderedPageBreak/>
        <w:t>event that disadvantaged groups are not specifically targeted (Maclaren et al., 2024; Maita et al., 2024).</w:t>
      </w:r>
    </w:p>
    <w:p w14:paraId="2292F9D3" w14:textId="35CF98CB" w:rsidR="009062C4" w:rsidRDefault="00F04C0B" w:rsidP="00F04C0B">
      <w:pPr>
        <w:pStyle w:val="NormalWeb"/>
        <w:spacing w:before="240" w:beforeAutospacing="0"/>
        <w:jc w:val="both"/>
      </w:pPr>
      <w:r>
        <w:t>The obstacles are scarce regular data on digital exclusion, ineffective local analytical capacity, and the possibility that equity monitoring functions as a compliance measure, instead of a decision-making instrument (Duan et al., 2024). Avoiding these difficulties can be achieved by including digital inclusion variables in current datasets on service, commissioning low-profile community needs assessments under primary-care networks or local government and mandating commissioners to show how results modify service setups</w:t>
      </w:r>
      <w:r w:rsidR="00557E56">
        <w:t xml:space="preserve"> </w:t>
      </w:r>
      <w:r w:rsidR="002874B4">
        <w:rPr>
          <w:rFonts w:cs="Calibri"/>
          <w:szCs w:val="22"/>
        </w:rPr>
        <w:t>(United Nations, 2015)</w:t>
      </w:r>
      <w:r w:rsidR="009062C4">
        <w:t>.</w:t>
      </w:r>
    </w:p>
    <w:p w14:paraId="7B86CE78" w14:textId="07B4B09B" w:rsidR="009062C4" w:rsidRDefault="009062C4" w:rsidP="00356EE4">
      <w:pPr>
        <w:pStyle w:val="Heading3"/>
      </w:pPr>
      <w:bookmarkStart w:id="46" w:name="_Toc220350680"/>
      <w:r>
        <w:t>5.2.2</w:t>
      </w:r>
      <w:r w:rsidR="006E4075">
        <w:t>. Strengthening Digital Infrastructure and System Integration for Rural Health Delivery</w:t>
      </w:r>
      <w:bookmarkEnd w:id="46"/>
    </w:p>
    <w:p w14:paraId="20AF37AD" w14:textId="77777777" w:rsidR="00B66C46" w:rsidRDefault="00B66C46" w:rsidP="00C46449">
      <w:pPr>
        <w:pStyle w:val="NormalWeb"/>
        <w:spacing w:before="240"/>
        <w:jc w:val="both"/>
      </w:pPr>
      <w:r>
        <w:t>Long-term investment in underlying infrastructure, particularly interoperability and long-term sustenance capability, should support rural telehealth. The dissertation results reveal that digital health is successful when it is integrated into trustworthy systems, such as broadband connectivity, stable platforms, and sharing health information across providers. Policy measures must thus focus on interoperability standards, ability to share the information with rural providers, and provision of technical assistance and system upgrades. This suggestion is feasible in the sense that it can be operationalised by using procurement standards, commissioning requirements, and targeted rural infrastructural programmes as opposed to short term pilot funding (Yao et al., 2025).</w:t>
      </w:r>
    </w:p>
    <w:p w14:paraId="413DCC12" w14:textId="2DF55319" w:rsidR="009062C4" w:rsidRDefault="00B66C46" w:rsidP="00B66C46">
      <w:pPr>
        <w:pStyle w:val="NormalWeb"/>
        <w:spacing w:before="240" w:beforeAutospacing="0"/>
        <w:jc w:val="both"/>
      </w:pPr>
      <w:r>
        <w:t>The major obstacles are expensive initials, divided procurement, vendor lock-in, and uneven capability among small rural practices (Woods et al., 2024). These barriers can be overcome through coordinated purchasing systems that must mandate interoperability as a prerequisite to adoption, negotiated contracts that minimi</w:t>
      </w:r>
      <w:r w:rsidR="00E63185">
        <w:t>s</w:t>
      </w:r>
      <w:r>
        <w:t>e proprietary system dependency, and shared technical support across regions. Health planning should also be associated with rural connectivity initiatives to ensure that telehealth expansion does not exceed the reality of infrastructure. This suggestion substantiates SDG 9, and provides a condition to the reali</w:t>
      </w:r>
      <w:r w:rsidR="00E63185">
        <w:t>s</w:t>
      </w:r>
      <w:r>
        <w:t xml:space="preserve">ation of SDG 3 outcomes in remote locations, without escalating exclusion </w:t>
      </w:r>
      <w:r w:rsidR="00592530">
        <w:rPr>
          <w:rFonts w:cs="Calibri"/>
          <w:szCs w:val="22"/>
        </w:rPr>
        <w:t>(United Nations, 2015)</w:t>
      </w:r>
      <w:r w:rsidR="009062C4">
        <w:t>.</w:t>
      </w:r>
    </w:p>
    <w:p w14:paraId="7ACA9B30" w14:textId="45168C79" w:rsidR="009062C4" w:rsidRDefault="009062C4" w:rsidP="00356EE4">
      <w:pPr>
        <w:pStyle w:val="Heading3"/>
      </w:pPr>
      <w:bookmarkStart w:id="47" w:name="_Toc220350681"/>
      <w:r>
        <w:t>5.2.3</w:t>
      </w:r>
      <w:r w:rsidR="009462A1">
        <w:t>. Building Digital Capability, Trust, and Culturally Responsive Telehealth Care</w:t>
      </w:r>
      <w:bookmarkEnd w:id="47"/>
      <w:r>
        <w:t xml:space="preserve"> </w:t>
      </w:r>
    </w:p>
    <w:p w14:paraId="38F5BC73" w14:textId="619ABBF0" w:rsidR="007830F7" w:rsidRDefault="007830F7" w:rsidP="00006876">
      <w:pPr>
        <w:pStyle w:val="NormalWeb"/>
        <w:spacing w:before="240" w:beforeAutospacing="0"/>
        <w:jc w:val="both"/>
      </w:pPr>
      <w:r>
        <w:t xml:space="preserve">Instead of providing one time training, healthcare organisations should provide continuous support to patients and staff which promotes trust and digital capacities. The studies </w:t>
      </w:r>
      <w:r>
        <w:rPr>
          <w:rFonts w:cs="Calibri"/>
          <w:szCs w:val="22"/>
        </w:rPr>
        <w:t xml:space="preserve">(NHS England, 2023; Thorlu-Bangura </w:t>
      </w:r>
      <w:r>
        <w:rPr>
          <w:rFonts w:cs="Calibri"/>
          <w:i/>
          <w:iCs/>
          <w:szCs w:val="22"/>
        </w:rPr>
        <w:t>et al.</w:t>
      </w:r>
      <w:r>
        <w:rPr>
          <w:rFonts w:cs="Calibri"/>
          <w:szCs w:val="22"/>
        </w:rPr>
        <w:t xml:space="preserve">, 2023) argue that </w:t>
      </w:r>
      <w:r w:rsidR="00F65E7F">
        <w:rPr>
          <w:rFonts w:cs="Calibri"/>
          <w:szCs w:val="22"/>
        </w:rPr>
        <w:t xml:space="preserve">acceptability, digital literacy and confidence impact the adoption of </w:t>
      </w:r>
      <w:r w:rsidR="00F65E7F">
        <w:rPr>
          <w:rFonts w:cs="Calibri"/>
          <w:szCs w:val="22"/>
        </w:rPr>
        <w:lastRenderedPageBreak/>
        <w:t xml:space="preserve">digital health technologies specially in rural adults, disable people and </w:t>
      </w:r>
      <w:r w:rsidR="00F65E7F">
        <w:t>socioeconomically disadvantaged populations.</w:t>
      </w:r>
    </w:p>
    <w:p w14:paraId="49B079AC" w14:textId="66CCB1EA" w:rsidR="009062C4" w:rsidRPr="008C1D4B" w:rsidRDefault="00644954" w:rsidP="005323C3">
      <w:pPr>
        <w:pStyle w:val="NormalWeb"/>
        <w:jc w:val="both"/>
        <w:rPr>
          <w:rFonts w:ascii="Times New Roman" w:hAnsi="Times New Roman"/>
          <w:sz w:val="24"/>
        </w:rPr>
      </w:pPr>
      <w:r>
        <w:t>Practical measures to implement recommendation include offering structured digital support pathways which include accessible interfaces, community-based digital navigators and assisted appointments. Moreover, the hospital staff should be given proper training sessions and clinical assessments</w:t>
      </w:r>
      <w:r w:rsidRPr="00644954">
        <w:t xml:space="preserve"> through regular training sessions, practical workshops, and simple clinical assessment exercises that help staff use telemedicine and digital health tools with confidence</w:t>
      </w:r>
      <w:r w:rsidR="008C1D4B">
        <w:t xml:space="preserve"> </w:t>
      </w:r>
      <w:r w:rsidR="007F3847">
        <w:rPr>
          <w:rFonts w:cs="Calibri"/>
          <w:szCs w:val="22"/>
        </w:rPr>
        <w:t xml:space="preserve">(Ahmed, Okesanya, </w:t>
      </w:r>
      <w:r w:rsidR="007F3847">
        <w:rPr>
          <w:rFonts w:cs="Calibri"/>
          <w:i/>
          <w:iCs/>
          <w:szCs w:val="22"/>
        </w:rPr>
        <w:t>et al.</w:t>
      </w:r>
      <w:r w:rsidR="007F3847">
        <w:rPr>
          <w:rFonts w:cs="Calibri"/>
          <w:szCs w:val="22"/>
        </w:rPr>
        <w:t>, 2025)</w:t>
      </w:r>
      <w:r w:rsidR="009062C4">
        <w:t>.</w:t>
      </w:r>
    </w:p>
    <w:p w14:paraId="2244D36C" w14:textId="74F3A3E6" w:rsidR="00131D7D" w:rsidRDefault="00B534CA" w:rsidP="00006876">
      <w:pPr>
        <w:pStyle w:val="NormalWeb"/>
        <w:spacing w:before="240" w:beforeAutospacing="0"/>
        <w:jc w:val="both"/>
      </w:pPr>
      <w:r w:rsidRPr="00B534CA">
        <w:t>The challenges are workforce time constraints, staff digital skills variability, privacy concerns, and community distrust towards past services (Ahmed, Okesanya, et al., 2025). These may be met by safeguarded learning time, uniform accessibility demands, explicit consent and privacy notification, and collaboration with voluntary organisations already assisting in digital inclusion. This proposal addresses SDG 3 by enhancing efficient use of services and SDG 10 by mitigating the second- and third-level digital divides defining who gains (Anawade, Sharma and Gahane, 2024).</w:t>
      </w:r>
    </w:p>
    <w:p w14:paraId="616CA278" w14:textId="77777777" w:rsidR="00131D7D" w:rsidRDefault="00131D7D" w:rsidP="00006876">
      <w:pPr>
        <w:pStyle w:val="NormalWeb"/>
        <w:spacing w:before="240" w:beforeAutospacing="0"/>
        <w:jc w:val="both"/>
      </w:pPr>
    </w:p>
    <w:p w14:paraId="4CFCFE58" w14:textId="77777777" w:rsidR="00131D7D" w:rsidRDefault="00131D7D" w:rsidP="00006876">
      <w:pPr>
        <w:pStyle w:val="NormalWeb"/>
        <w:spacing w:before="240" w:beforeAutospacing="0"/>
        <w:jc w:val="both"/>
      </w:pPr>
    </w:p>
    <w:p w14:paraId="340D71FD" w14:textId="77777777" w:rsidR="00131D7D" w:rsidRDefault="00131D7D" w:rsidP="00006876">
      <w:pPr>
        <w:pStyle w:val="NormalWeb"/>
        <w:spacing w:before="240" w:beforeAutospacing="0"/>
        <w:jc w:val="both"/>
      </w:pPr>
    </w:p>
    <w:p w14:paraId="2121AF1F" w14:textId="77777777" w:rsidR="00131D7D" w:rsidRDefault="00131D7D" w:rsidP="00006876">
      <w:pPr>
        <w:pStyle w:val="NormalWeb"/>
        <w:spacing w:before="240" w:beforeAutospacing="0"/>
        <w:jc w:val="both"/>
      </w:pPr>
    </w:p>
    <w:p w14:paraId="193E6326" w14:textId="77777777" w:rsidR="00131D7D" w:rsidRDefault="00131D7D" w:rsidP="00006876">
      <w:pPr>
        <w:pStyle w:val="NormalWeb"/>
        <w:spacing w:before="240" w:beforeAutospacing="0"/>
        <w:jc w:val="both"/>
      </w:pPr>
    </w:p>
    <w:p w14:paraId="07B46304" w14:textId="77777777" w:rsidR="00131D7D" w:rsidRDefault="00131D7D" w:rsidP="00006876">
      <w:pPr>
        <w:pStyle w:val="NormalWeb"/>
        <w:spacing w:before="240" w:beforeAutospacing="0"/>
        <w:jc w:val="both"/>
      </w:pPr>
    </w:p>
    <w:p w14:paraId="7840A262" w14:textId="77777777" w:rsidR="00131D7D" w:rsidRDefault="00131D7D" w:rsidP="00006876">
      <w:pPr>
        <w:pStyle w:val="NormalWeb"/>
        <w:spacing w:before="240" w:beforeAutospacing="0"/>
        <w:jc w:val="both"/>
      </w:pPr>
    </w:p>
    <w:p w14:paraId="634A007D" w14:textId="77777777" w:rsidR="00131D7D" w:rsidRDefault="00131D7D" w:rsidP="00006876">
      <w:pPr>
        <w:pStyle w:val="NormalWeb"/>
        <w:spacing w:before="240" w:beforeAutospacing="0"/>
        <w:jc w:val="both"/>
      </w:pPr>
    </w:p>
    <w:p w14:paraId="3B05B9CD" w14:textId="77777777" w:rsidR="00131D7D" w:rsidRDefault="00131D7D" w:rsidP="00006876">
      <w:pPr>
        <w:pStyle w:val="NormalWeb"/>
        <w:spacing w:before="240" w:beforeAutospacing="0"/>
        <w:jc w:val="both"/>
      </w:pPr>
    </w:p>
    <w:p w14:paraId="200E01BC" w14:textId="61DFF720" w:rsidR="0064245D" w:rsidRDefault="008E3E83" w:rsidP="00A065EE">
      <w:pPr>
        <w:pStyle w:val="Heading1"/>
        <w:jc w:val="both"/>
      </w:pPr>
      <w:bookmarkStart w:id="48" w:name="_Toc220350682"/>
      <w:r>
        <w:lastRenderedPageBreak/>
        <w:t>References</w:t>
      </w:r>
      <w:bookmarkEnd w:id="48"/>
    </w:p>
    <w:p w14:paraId="1686D284" w14:textId="77777777" w:rsidR="00490B06" w:rsidRPr="00490B06" w:rsidRDefault="00490B06" w:rsidP="00A065EE">
      <w:pPr>
        <w:spacing w:after="240"/>
        <w:jc w:val="both"/>
        <w:rPr>
          <w:rFonts w:cs="Calibri"/>
          <w:szCs w:val="22"/>
        </w:rPr>
      </w:pPr>
      <w:r w:rsidRPr="00490B06">
        <w:rPr>
          <w:rFonts w:cs="Calibri"/>
          <w:szCs w:val="22"/>
        </w:rPr>
        <w:t xml:space="preserve">Ahmed, M.M. </w:t>
      </w:r>
      <w:r w:rsidRPr="00490B06">
        <w:rPr>
          <w:rFonts w:cs="Calibri"/>
          <w:i/>
          <w:iCs/>
          <w:szCs w:val="22"/>
        </w:rPr>
        <w:t>et al.</w:t>
      </w:r>
      <w:r w:rsidRPr="00490B06">
        <w:rPr>
          <w:rFonts w:cs="Calibri"/>
          <w:szCs w:val="22"/>
        </w:rPr>
        <w:t xml:space="preserve"> (2025) ‘Integrating Digital Health Innovations to Achieve Universal Health Coverage: Promoting Health Outcomes and Quality Through Global Public Health Equity’, </w:t>
      </w:r>
      <w:r w:rsidRPr="00490B06">
        <w:rPr>
          <w:rFonts w:cs="Calibri"/>
          <w:i/>
          <w:iCs/>
          <w:szCs w:val="22"/>
        </w:rPr>
        <w:t>Healthcare</w:t>
      </w:r>
      <w:r w:rsidRPr="00490B06">
        <w:rPr>
          <w:rFonts w:cs="Calibri"/>
          <w:szCs w:val="22"/>
        </w:rPr>
        <w:t>, 13(9), p. 1060. doi:https://doi.org/10.3390/healthcare13091060.</w:t>
      </w:r>
    </w:p>
    <w:p w14:paraId="4D46D038" w14:textId="77777777" w:rsidR="00490B06" w:rsidRPr="00490B06" w:rsidRDefault="00490B06" w:rsidP="00A065EE">
      <w:pPr>
        <w:spacing w:after="240"/>
        <w:jc w:val="both"/>
        <w:rPr>
          <w:rFonts w:cs="Calibri"/>
          <w:szCs w:val="22"/>
        </w:rPr>
      </w:pPr>
      <w:r w:rsidRPr="00490B06">
        <w:rPr>
          <w:rFonts w:cs="Calibri"/>
          <w:szCs w:val="22"/>
        </w:rPr>
        <w:t xml:space="preserve">Ahmed, S.K. </w:t>
      </w:r>
      <w:r w:rsidRPr="00490B06">
        <w:rPr>
          <w:rFonts w:cs="Calibri"/>
          <w:i/>
          <w:iCs/>
          <w:szCs w:val="22"/>
        </w:rPr>
        <w:t>et al.</w:t>
      </w:r>
      <w:r w:rsidRPr="00490B06">
        <w:rPr>
          <w:rFonts w:cs="Calibri"/>
          <w:szCs w:val="22"/>
        </w:rPr>
        <w:t xml:space="preserve"> (2025) ‘Using Thematic Analysis in Qualitative Research’, </w:t>
      </w:r>
      <w:r w:rsidRPr="00490B06">
        <w:rPr>
          <w:rFonts w:cs="Calibri"/>
          <w:i/>
          <w:iCs/>
          <w:szCs w:val="22"/>
        </w:rPr>
        <w:t>Journal of Medicine, Surgery, and Public Health</w:t>
      </w:r>
      <w:r w:rsidRPr="00490B06">
        <w:rPr>
          <w:rFonts w:cs="Calibri"/>
          <w:szCs w:val="22"/>
        </w:rPr>
        <w:t>, 6(6), p. 100198. doi:https://doi.org/10.1016/j.glmedi.2025.100198.</w:t>
      </w:r>
    </w:p>
    <w:p w14:paraId="30AECC03" w14:textId="77777777" w:rsidR="00490B06" w:rsidRPr="00490B06" w:rsidRDefault="00490B06" w:rsidP="00A065EE">
      <w:pPr>
        <w:spacing w:after="240"/>
        <w:jc w:val="both"/>
        <w:rPr>
          <w:rFonts w:cs="Calibri"/>
          <w:szCs w:val="22"/>
        </w:rPr>
      </w:pPr>
      <w:r w:rsidRPr="00490B06">
        <w:rPr>
          <w:rFonts w:cs="Calibri"/>
          <w:szCs w:val="22"/>
        </w:rPr>
        <w:t xml:space="preserve">Anaraki, N.R. </w:t>
      </w:r>
      <w:r w:rsidRPr="00490B06">
        <w:rPr>
          <w:rFonts w:cs="Calibri"/>
          <w:i/>
          <w:iCs/>
          <w:szCs w:val="22"/>
        </w:rPr>
        <w:t>et al.</w:t>
      </w:r>
      <w:r w:rsidRPr="00490B06">
        <w:rPr>
          <w:rFonts w:cs="Calibri"/>
          <w:szCs w:val="22"/>
        </w:rPr>
        <w:t xml:space="preserve"> (2022) ‘Virtual Healthcare in Rural and Remote Settings: A Qualitative Study of Canadian Rural Family Physicians’ Experiences during the COVID-19 Pandemic’, </w:t>
      </w:r>
      <w:r w:rsidRPr="00490B06">
        <w:rPr>
          <w:rFonts w:cs="Calibri"/>
          <w:i/>
          <w:iCs/>
          <w:szCs w:val="22"/>
        </w:rPr>
        <w:t>International Journal of Environmental Research and Public Health</w:t>
      </w:r>
      <w:r w:rsidRPr="00490B06">
        <w:rPr>
          <w:rFonts w:cs="Calibri"/>
          <w:szCs w:val="22"/>
        </w:rPr>
        <w:t>, 19(20), p. 13397. doi:https://doi.org/10.3390/ijerph192013397.</w:t>
      </w:r>
    </w:p>
    <w:p w14:paraId="3CD5567F" w14:textId="77777777" w:rsidR="00490B06" w:rsidRPr="00490B06" w:rsidRDefault="00490B06" w:rsidP="00A065EE">
      <w:pPr>
        <w:spacing w:after="240"/>
        <w:jc w:val="both"/>
        <w:rPr>
          <w:rFonts w:cs="Calibri"/>
          <w:szCs w:val="22"/>
        </w:rPr>
      </w:pPr>
      <w:r w:rsidRPr="00490B06">
        <w:rPr>
          <w:rFonts w:cs="Calibri"/>
          <w:szCs w:val="22"/>
        </w:rPr>
        <w:t xml:space="preserve">Anawade, P.A., Sharma, D. and Gahane, S. (2024) ‘A comprehensive review on exploring the impact of telemedicine on healthcare accessibility’, </w:t>
      </w:r>
      <w:r w:rsidRPr="00490B06">
        <w:rPr>
          <w:rFonts w:cs="Calibri"/>
          <w:i/>
          <w:iCs/>
          <w:szCs w:val="22"/>
        </w:rPr>
        <w:t>Cureus</w:t>
      </w:r>
      <w:r w:rsidRPr="00490B06">
        <w:rPr>
          <w:rFonts w:cs="Calibri"/>
          <w:szCs w:val="22"/>
        </w:rPr>
        <w:t>, 16(3). doi:https://doi.org/10.7759/cureus.55996.</w:t>
      </w:r>
    </w:p>
    <w:p w14:paraId="5F6423F2" w14:textId="77777777" w:rsidR="00490B06" w:rsidRPr="00490B06" w:rsidRDefault="00490B06" w:rsidP="00A065EE">
      <w:pPr>
        <w:spacing w:after="240"/>
        <w:jc w:val="both"/>
        <w:rPr>
          <w:rFonts w:cs="Calibri"/>
          <w:szCs w:val="22"/>
        </w:rPr>
      </w:pPr>
      <w:r w:rsidRPr="00490B06">
        <w:rPr>
          <w:rFonts w:cs="Calibri"/>
          <w:szCs w:val="22"/>
        </w:rPr>
        <w:t xml:space="preserve">Arcaya, M.C., Arcaya, A.L. and Subramanian, S.V. (2015) ‘Inequalities in health: definitions, concepts, and theories’, </w:t>
      </w:r>
      <w:r w:rsidRPr="00490B06">
        <w:rPr>
          <w:rFonts w:cs="Calibri"/>
          <w:i/>
          <w:iCs/>
          <w:szCs w:val="22"/>
        </w:rPr>
        <w:t>Global Health Action</w:t>
      </w:r>
      <w:r w:rsidRPr="00490B06">
        <w:rPr>
          <w:rFonts w:cs="Calibri"/>
          <w:szCs w:val="22"/>
        </w:rPr>
        <w:t>, 8(1), pp. 1–12. doi:https://doi.org/10.3402/gha.v8.27106.</w:t>
      </w:r>
    </w:p>
    <w:p w14:paraId="1FC3E4A4" w14:textId="77777777" w:rsidR="00490B06" w:rsidRPr="00490B06" w:rsidRDefault="00490B06" w:rsidP="00A065EE">
      <w:pPr>
        <w:spacing w:after="240"/>
        <w:jc w:val="both"/>
        <w:rPr>
          <w:rFonts w:cs="Calibri"/>
          <w:szCs w:val="22"/>
        </w:rPr>
      </w:pPr>
      <w:r w:rsidRPr="00490B06">
        <w:rPr>
          <w:rFonts w:cs="Calibri"/>
          <w:szCs w:val="22"/>
        </w:rPr>
        <w:t xml:space="preserve">Ayaz, O. </w:t>
      </w:r>
      <w:r w:rsidRPr="00490B06">
        <w:rPr>
          <w:rFonts w:cs="Calibri"/>
          <w:i/>
          <w:iCs/>
          <w:szCs w:val="22"/>
        </w:rPr>
        <w:t>et al.</w:t>
      </w:r>
      <w:r w:rsidRPr="00490B06">
        <w:rPr>
          <w:rFonts w:cs="Calibri"/>
          <w:szCs w:val="22"/>
        </w:rPr>
        <w:t xml:space="preserve"> (2024) ‘Ethical implications of employee and customer digital footprint: SMEs perspective’, </w:t>
      </w:r>
      <w:r w:rsidRPr="00490B06">
        <w:rPr>
          <w:rFonts w:cs="Calibri"/>
          <w:i/>
          <w:iCs/>
          <w:szCs w:val="22"/>
        </w:rPr>
        <w:t>Journal of Business Research</w:t>
      </w:r>
      <w:r w:rsidRPr="00490B06">
        <w:rPr>
          <w:rFonts w:cs="Calibri"/>
          <w:szCs w:val="22"/>
        </w:rPr>
        <w:t>, 188, p. 115088. doi:https://doi.org/10.1016/j.jbusres.2024.115088.</w:t>
      </w:r>
    </w:p>
    <w:p w14:paraId="3927265E" w14:textId="77777777" w:rsidR="00490B06" w:rsidRPr="00490B06" w:rsidRDefault="00490B06" w:rsidP="00A065EE">
      <w:pPr>
        <w:spacing w:after="240"/>
        <w:jc w:val="both"/>
        <w:rPr>
          <w:rFonts w:cs="Calibri"/>
          <w:szCs w:val="22"/>
        </w:rPr>
      </w:pPr>
      <w:r w:rsidRPr="00490B06">
        <w:rPr>
          <w:rFonts w:cs="Calibri"/>
          <w:szCs w:val="22"/>
        </w:rPr>
        <w:t xml:space="preserve">Bahari, G. </w:t>
      </w:r>
      <w:r w:rsidRPr="00490B06">
        <w:rPr>
          <w:rFonts w:cs="Calibri"/>
          <w:i/>
          <w:iCs/>
          <w:szCs w:val="22"/>
        </w:rPr>
        <w:t>et al.</w:t>
      </w:r>
      <w:r w:rsidRPr="00490B06">
        <w:rPr>
          <w:rFonts w:cs="Calibri"/>
          <w:szCs w:val="22"/>
        </w:rPr>
        <w:t xml:space="preserve"> (2024) ‘Trust: How It Affects the Use of Telemedicine in Improving Access to Assistive Technology to Enhance Healthcare Services’, </w:t>
      </w:r>
      <w:r w:rsidRPr="00490B06">
        <w:rPr>
          <w:rFonts w:cs="Calibri"/>
          <w:i/>
          <w:iCs/>
          <w:szCs w:val="22"/>
        </w:rPr>
        <w:t>Risk Management and Healthcare Policy</w:t>
      </w:r>
      <w:r w:rsidRPr="00490B06">
        <w:rPr>
          <w:rFonts w:cs="Calibri"/>
          <w:szCs w:val="22"/>
        </w:rPr>
        <w:t>, 17, pp. 1859–1873. doi:https://doi.org/10.2147/rmhp.s469324.</w:t>
      </w:r>
    </w:p>
    <w:p w14:paraId="2DF7C63B" w14:textId="77777777" w:rsidR="00490B06" w:rsidRPr="00490B06" w:rsidRDefault="00490B06" w:rsidP="00A065EE">
      <w:pPr>
        <w:spacing w:after="240"/>
        <w:jc w:val="both"/>
        <w:rPr>
          <w:rFonts w:cs="Calibri"/>
          <w:szCs w:val="22"/>
        </w:rPr>
      </w:pPr>
      <w:r w:rsidRPr="00490B06">
        <w:rPr>
          <w:rFonts w:cs="Calibri"/>
          <w:szCs w:val="22"/>
        </w:rPr>
        <w:t xml:space="preserve">Bashshur, R.L. </w:t>
      </w:r>
      <w:r w:rsidRPr="00490B06">
        <w:rPr>
          <w:rFonts w:cs="Calibri"/>
          <w:i/>
          <w:iCs/>
          <w:szCs w:val="22"/>
        </w:rPr>
        <w:t>et al.</w:t>
      </w:r>
      <w:r w:rsidRPr="00490B06">
        <w:rPr>
          <w:rFonts w:cs="Calibri"/>
          <w:szCs w:val="22"/>
        </w:rPr>
        <w:t xml:space="preserve"> (2016) ‘The Empirical Foundations of Teleradiology and Related Applications: A Review of the Evidence’, </w:t>
      </w:r>
      <w:r w:rsidRPr="00490B06">
        <w:rPr>
          <w:rFonts w:cs="Calibri"/>
          <w:i/>
          <w:iCs/>
          <w:szCs w:val="22"/>
        </w:rPr>
        <w:t>Telemedicine and e-Health</w:t>
      </w:r>
      <w:r w:rsidRPr="00490B06">
        <w:rPr>
          <w:rFonts w:cs="Calibri"/>
          <w:szCs w:val="22"/>
        </w:rPr>
        <w:t>, 22(11), pp. 868–898. doi:https://doi.org/10.1089/tmj.2016.0149.</w:t>
      </w:r>
    </w:p>
    <w:p w14:paraId="157C965C" w14:textId="77777777" w:rsidR="00490B06" w:rsidRPr="00490B06" w:rsidRDefault="00490B06" w:rsidP="00A065EE">
      <w:pPr>
        <w:spacing w:after="240"/>
        <w:jc w:val="both"/>
        <w:rPr>
          <w:rFonts w:cs="Calibri"/>
          <w:szCs w:val="22"/>
        </w:rPr>
      </w:pPr>
      <w:r w:rsidRPr="00490B06">
        <w:rPr>
          <w:rFonts w:cs="Calibri"/>
          <w:szCs w:val="22"/>
        </w:rPr>
        <w:t xml:space="preserve">Braun, V. and Clarke, V. (2006) ‘Using Thematic Analysis in Psychology’, </w:t>
      </w:r>
      <w:r w:rsidRPr="00490B06">
        <w:rPr>
          <w:rFonts w:cs="Calibri"/>
          <w:i/>
          <w:iCs/>
          <w:szCs w:val="22"/>
        </w:rPr>
        <w:t>Qualitative Research in Psychology</w:t>
      </w:r>
      <w:r w:rsidRPr="00490B06">
        <w:rPr>
          <w:rFonts w:cs="Calibri"/>
          <w:szCs w:val="22"/>
        </w:rPr>
        <w:t>, 3(2), pp. 77–101. doi:https://doi.org/10.1191/1478088706qp063oa.</w:t>
      </w:r>
    </w:p>
    <w:p w14:paraId="67A1017D" w14:textId="77777777" w:rsidR="00490B06" w:rsidRPr="00490B06" w:rsidRDefault="00490B06" w:rsidP="00A065EE">
      <w:pPr>
        <w:spacing w:after="240"/>
        <w:jc w:val="both"/>
        <w:rPr>
          <w:rFonts w:cs="Calibri"/>
          <w:szCs w:val="22"/>
        </w:rPr>
      </w:pPr>
      <w:r w:rsidRPr="00490B06">
        <w:rPr>
          <w:rFonts w:cs="Calibri"/>
          <w:szCs w:val="22"/>
        </w:rPr>
        <w:t xml:space="preserve">Bukhari, N. </w:t>
      </w:r>
      <w:r w:rsidRPr="00490B06">
        <w:rPr>
          <w:rFonts w:cs="Calibri"/>
          <w:i/>
          <w:iCs/>
          <w:szCs w:val="22"/>
        </w:rPr>
        <w:t>et al.</w:t>
      </w:r>
      <w:r w:rsidRPr="00490B06">
        <w:rPr>
          <w:rFonts w:cs="Calibri"/>
          <w:szCs w:val="22"/>
        </w:rPr>
        <w:t xml:space="preserve"> (2021) ‘Pharmacists and telemedicine: an innovative model fulfilling Sustainable Development Goals (SDGs)’, </w:t>
      </w:r>
      <w:r w:rsidRPr="00490B06">
        <w:rPr>
          <w:rFonts w:cs="Calibri"/>
          <w:i/>
          <w:iCs/>
          <w:szCs w:val="22"/>
        </w:rPr>
        <w:t>Journal of Pharmaceutical Policy and Practice</w:t>
      </w:r>
      <w:r w:rsidRPr="00490B06">
        <w:rPr>
          <w:rFonts w:cs="Calibri"/>
          <w:szCs w:val="22"/>
        </w:rPr>
        <w:t>, 14(1). doi:https://doi.org/10.1186/s40545-021-00378-9.</w:t>
      </w:r>
    </w:p>
    <w:p w14:paraId="26C30FD9" w14:textId="77777777" w:rsidR="00490B06" w:rsidRPr="00490B06" w:rsidRDefault="00490B06" w:rsidP="00A065EE">
      <w:pPr>
        <w:spacing w:after="240"/>
        <w:jc w:val="both"/>
        <w:rPr>
          <w:rFonts w:cs="Calibri"/>
          <w:szCs w:val="22"/>
        </w:rPr>
      </w:pPr>
      <w:r w:rsidRPr="00490B06">
        <w:rPr>
          <w:rFonts w:cs="Calibri"/>
          <w:szCs w:val="22"/>
        </w:rPr>
        <w:lastRenderedPageBreak/>
        <w:t xml:space="preserve">Cavalli, S. </w:t>
      </w:r>
      <w:r w:rsidRPr="00490B06">
        <w:rPr>
          <w:rFonts w:cs="Calibri"/>
          <w:i/>
          <w:iCs/>
          <w:szCs w:val="22"/>
        </w:rPr>
        <w:t>et al.</w:t>
      </w:r>
      <w:r w:rsidRPr="00490B06">
        <w:rPr>
          <w:rFonts w:cs="Calibri"/>
          <w:szCs w:val="22"/>
        </w:rPr>
        <w:t xml:space="preserve"> (2024) ‘Telemedicine: the Technological Revolution to Address Healthcare System Shortcomings.’, </w:t>
      </w:r>
      <w:r w:rsidRPr="00490B06">
        <w:rPr>
          <w:rFonts w:cs="Calibri"/>
          <w:i/>
          <w:iCs/>
          <w:szCs w:val="22"/>
        </w:rPr>
        <w:t>PubMed</w:t>
      </w:r>
      <w:r w:rsidRPr="00490B06">
        <w:rPr>
          <w:rFonts w:cs="Calibri"/>
          <w:szCs w:val="22"/>
        </w:rPr>
        <w:t>, 65(3), pp. E309–E311. doi:https://doi.org/10.15167/2421-4248/jpmh2024.65.3.3409.</w:t>
      </w:r>
    </w:p>
    <w:p w14:paraId="2443BFD7" w14:textId="77777777" w:rsidR="00490B06" w:rsidRPr="00490B06" w:rsidRDefault="00490B06" w:rsidP="00A065EE">
      <w:pPr>
        <w:spacing w:after="240"/>
        <w:jc w:val="both"/>
        <w:rPr>
          <w:rFonts w:cs="Calibri"/>
          <w:szCs w:val="22"/>
        </w:rPr>
      </w:pPr>
      <w:r w:rsidRPr="00490B06">
        <w:rPr>
          <w:rFonts w:cs="Calibri"/>
          <w:szCs w:val="22"/>
        </w:rPr>
        <w:t xml:space="preserve">Chaloner, C. </w:t>
      </w:r>
      <w:r w:rsidRPr="00490B06">
        <w:rPr>
          <w:rFonts w:cs="Calibri"/>
          <w:i/>
          <w:iCs/>
          <w:szCs w:val="22"/>
        </w:rPr>
        <w:t>et al.</w:t>
      </w:r>
      <w:r w:rsidRPr="00490B06">
        <w:rPr>
          <w:rFonts w:cs="Calibri"/>
          <w:szCs w:val="22"/>
        </w:rPr>
        <w:t xml:space="preserve"> (2025) ‘What is the impact of a shift to remote consultations? A qualitative interview study in primary and secondary healthcare’, </w:t>
      </w:r>
      <w:r w:rsidRPr="00490B06">
        <w:rPr>
          <w:rFonts w:cs="Calibri"/>
          <w:i/>
          <w:iCs/>
          <w:szCs w:val="22"/>
        </w:rPr>
        <w:t>BMJ Open</w:t>
      </w:r>
      <w:r w:rsidRPr="00490B06">
        <w:rPr>
          <w:rFonts w:cs="Calibri"/>
          <w:szCs w:val="22"/>
        </w:rPr>
        <w:t>, 15(6), p. e097633. doi:https://doi.org/10.1136/bmjopen-2024-097633.</w:t>
      </w:r>
    </w:p>
    <w:p w14:paraId="562363EF" w14:textId="77777777" w:rsidR="00490B06" w:rsidRPr="00490B06" w:rsidRDefault="00490B06" w:rsidP="00A065EE">
      <w:pPr>
        <w:spacing w:after="240"/>
        <w:jc w:val="both"/>
        <w:rPr>
          <w:rFonts w:cs="Calibri"/>
          <w:szCs w:val="22"/>
        </w:rPr>
      </w:pPr>
      <w:r w:rsidRPr="00490B06">
        <w:rPr>
          <w:rFonts w:cs="Calibri"/>
          <w:szCs w:val="22"/>
        </w:rPr>
        <w:t xml:space="preserve">Chandramohan, A. </w:t>
      </w:r>
      <w:r w:rsidRPr="00490B06">
        <w:rPr>
          <w:rFonts w:cs="Calibri"/>
          <w:i/>
          <w:iCs/>
          <w:szCs w:val="22"/>
        </w:rPr>
        <w:t>et al.</w:t>
      </w:r>
      <w:r w:rsidRPr="00490B06">
        <w:rPr>
          <w:rFonts w:cs="Calibri"/>
          <w:szCs w:val="22"/>
        </w:rPr>
        <w:t xml:space="preserve"> (2023) ‘Teleradiology and technology innovations in radiology: status in India and its role in increasing access to primary health care’, </w:t>
      </w:r>
      <w:r w:rsidRPr="00490B06">
        <w:rPr>
          <w:rFonts w:cs="Calibri"/>
          <w:i/>
          <w:iCs/>
          <w:szCs w:val="22"/>
        </w:rPr>
        <w:t>The Lancet Regional Health - Europe</w:t>
      </w:r>
      <w:r w:rsidRPr="00490B06">
        <w:rPr>
          <w:rFonts w:cs="Calibri"/>
          <w:szCs w:val="22"/>
        </w:rPr>
        <w:t>, 23, pp. 100195–100195. doi:https://doi.org/10.1016/j.lansea.2023.100195.</w:t>
      </w:r>
    </w:p>
    <w:p w14:paraId="26BDB6F2" w14:textId="77777777" w:rsidR="00490B06" w:rsidRPr="00490B06" w:rsidRDefault="00490B06" w:rsidP="00A065EE">
      <w:pPr>
        <w:spacing w:after="240"/>
        <w:jc w:val="both"/>
        <w:rPr>
          <w:rFonts w:cs="Calibri"/>
          <w:szCs w:val="22"/>
        </w:rPr>
      </w:pPr>
      <w:r w:rsidRPr="00490B06">
        <w:rPr>
          <w:rFonts w:cs="Calibri"/>
          <w:szCs w:val="22"/>
        </w:rPr>
        <w:t xml:space="preserve">Chen, J., Amaize, A. and Barath, D. (2020) ‘Evaluating telehealth adoption and related barriers among hospitals located in rural and urban areas’, </w:t>
      </w:r>
      <w:r w:rsidRPr="00490B06">
        <w:rPr>
          <w:rFonts w:cs="Calibri"/>
          <w:i/>
          <w:iCs/>
          <w:szCs w:val="22"/>
        </w:rPr>
        <w:t>The Journal of Rural Health</w:t>
      </w:r>
      <w:r w:rsidRPr="00490B06">
        <w:rPr>
          <w:rFonts w:cs="Calibri"/>
          <w:szCs w:val="22"/>
        </w:rPr>
        <w:t>, 37(4), pp. 801–811. doi:https://doi.org/10.1111/jrh.12534.</w:t>
      </w:r>
    </w:p>
    <w:p w14:paraId="572023B3" w14:textId="77777777" w:rsidR="00490B06" w:rsidRPr="00490B06" w:rsidRDefault="00490B06" w:rsidP="00A065EE">
      <w:pPr>
        <w:spacing w:after="240"/>
        <w:jc w:val="both"/>
        <w:rPr>
          <w:rFonts w:cs="Calibri"/>
          <w:szCs w:val="22"/>
        </w:rPr>
      </w:pPr>
      <w:r w:rsidRPr="00490B06">
        <w:rPr>
          <w:rFonts w:cs="Calibri"/>
          <w:szCs w:val="22"/>
        </w:rPr>
        <w:t xml:space="preserve">Chu, C. </w:t>
      </w:r>
      <w:r w:rsidRPr="00490B06">
        <w:rPr>
          <w:rFonts w:cs="Calibri"/>
          <w:i/>
          <w:iCs/>
          <w:szCs w:val="22"/>
        </w:rPr>
        <w:t>et al.</w:t>
      </w:r>
      <w:r w:rsidRPr="00490B06">
        <w:rPr>
          <w:rFonts w:cs="Calibri"/>
          <w:szCs w:val="22"/>
        </w:rPr>
        <w:t xml:space="preserve"> (2021) ‘Rural telemedicine use before and during the COVID-19 pandemic: A repeated cross-sectional study (Preprint)’, </w:t>
      </w:r>
      <w:r w:rsidRPr="00490B06">
        <w:rPr>
          <w:rFonts w:cs="Calibri"/>
          <w:i/>
          <w:iCs/>
          <w:szCs w:val="22"/>
        </w:rPr>
        <w:t>Journal of Medical Internet Research</w:t>
      </w:r>
      <w:r w:rsidRPr="00490B06">
        <w:rPr>
          <w:rFonts w:cs="Calibri"/>
          <w:szCs w:val="22"/>
        </w:rPr>
        <w:t>, 23(4). doi:https://doi.org/10.2196/26960.</w:t>
      </w:r>
    </w:p>
    <w:p w14:paraId="0706764D" w14:textId="77777777" w:rsidR="00490B06" w:rsidRPr="00490B06" w:rsidRDefault="00490B06" w:rsidP="00A065EE">
      <w:pPr>
        <w:spacing w:after="240"/>
        <w:jc w:val="both"/>
        <w:rPr>
          <w:rFonts w:cs="Calibri"/>
          <w:szCs w:val="22"/>
        </w:rPr>
      </w:pPr>
      <w:r w:rsidRPr="00490B06">
        <w:rPr>
          <w:rFonts w:cs="Calibri"/>
          <w:szCs w:val="22"/>
        </w:rPr>
        <w:t xml:space="preserve">Dearing, J.W. (2009) ‘Applying Diffusion of Innovation Theory to Intervention Development’, </w:t>
      </w:r>
      <w:r w:rsidRPr="00490B06">
        <w:rPr>
          <w:rFonts w:cs="Calibri"/>
          <w:i/>
          <w:iCs/>
          <w:szCs w:val="22"/>
        </w:rPr>
        <w:t>Research on Social Work Practice</w:t>
      </w:r>
      <w:r w:rsidRPr="00490B06">
        <w:rPr>
          <w:rFonts w:cs="Calibri"/>
          <w:szCs w:val="22"/>
        </w:rPr>
        <w:t>, 19(5), pp. 503–518. doi:https://doi.org/10.1177/1049731509335569.</w:t>
      </w:r>
    </w:p>
    <w:p w14:paraId="1DF52D82" w14:textId="77777777" w:rsidR="00490B06" w:rsidRPr="00490B06" w:rsidRDefault="00490B06" w:rsidP="00A065EE">
      <w:pPr>
        <w:spacing w:after="240"/>
        <w:jc w:val="both"/>
        <w:rPr>
          <w:rFonts w:cs="Calibri"/>
          <w:szCs w:val="22"/>
        </w:rPr>
      </w:pPr>
      <w:r w:rsidRPr="00490B06">
        <w:rPr>
          <w:rFonts w:cs="Calibri"/>
          <w:szCs w:val="22"/>
        </w:rPr>
        <w:t xml:space="preserve">Department for Science, Innovation and Technology, Bryant, C. and Kyle, H.P. (2025) </w:t>
      </w:r>
      <w:r w:rsidRPr="00490B06">
        <w:rPr>
          <w:rFonts w:cs="Calibri"/>
          <w:i/>
          <w:iCs/>
          <w:szCs w:val="22"/>
        </w:rPr>
        <w:t>Plan to increase digital skills to deliver growth and opportunity for all</w:t>
      </w:r>
      <w:r w:rsidRPr="00490B06">
        <w:rPr>
          <w:rFonts w:cs="Calibri"/>
          <w:szCs w:val="22"/>
        </w:rPr>
        <w:t xml:space="preserve">, </w:t>
      </w:r>
      <w:r w:rsidRPr="00490B06">
        <w:rPr>
          <w:rFonts w:cs="Calibri"/>
          <w:i/>
          <w:iCs/>
          <w:szCs w:val="22"/>
        </w:rPr>
        <w:t>GOV.UK</w:t>
      </w:r>
      <w:r w:rsidRPr="00490B06">
        <w:rPr>
          <w:rFonts w:cs="Calibri"/>
          <w:szCs w:val="22"/>
        </w:rPr>
        <w:t>. Available at: https://www.gov.uk/government/news/plan-to-increase-digital-skills-to-deliver-growth-and-opportunity-for-all (Accessed: 1 December 2025).</w:t>
      </w:r>
    </w:p>
    <w:p w14:paraId="61DF9D48" w14:textId="77777777" w:rsidR="00490B06" w:rsidRPr="00490B06" w:rsidRDefault="00490B06" w:rsidP="00A065EE">
      <w:pPr>
        <w:spacing w:after="240"/>
        <w:jc w:val="both"/>
        <w:rPr>
          <w:rFonts w:cs="Calibri"/>
          <w:szCs w:val="22"/>
        </w:rPr>
      </w:pPr>
      <w:r w:rsidRPr="00490B06">
        <w:rPr>
          <w:rFonts w:cs="Calibri"/>
          <w:szCs w:val="22"/>
        </w:rPr>
        <w:t xml:space="preserve">Du, Y. </w:t>
      </w:r>
      <w:r w:rsidRPr="00490B06">
        <w:rPr>
          <w:rFonts w:cs="Calibri"/>
          <w:i/>
          <w:iCs/>
          <w:szCs w:val="22"/>
        </w:rPr>
        <w:t>et al.</w:t>
      </w:r>
      <w:r w:rsidRPr="00490B06">
        <w:rPr>
          <w:rFonts w:cs="Calibri"/>
          <w:szCs w:val="22"/>
        </w:rPr>
        <w:t xml:space="preserve"> (2022) ‘Factors Influencing Adoption and Use of Telemedicine Services in Rural Areas of China: Mixed Methods Study’, </w:t>
      </w:r>
      <w:r w:rsidRPr="00490B06">
        <w:rPr>
          <w:rFonts w:cs="Calibri"/>
          <w:i/>
          <w:iCs/>
          <w:szCs w:val="22"/>
        </w:rPr>
        <w:t>JMIR Public Health and Surveillance</w:t>
      </w:r>
      <w:r w:rsidRPr="00490B06">
        <w:rPr>
          <w:rFonts w:cs="Calibri"/>
          <w:szCs w:val="22"/>
        </w:rPr>
        <w:t>, 8(12), p. e40771. doi:https://doi.org/10.2196/40771.</w:t>
      </w:r>
    </w:p>
    <w:p w14:paraId="5AA1B0D1" w14:textId="77777777" w:rsidR="00490B06" w:rsidRPr="00490B06" w:rsidRDefault="00490B06" w:rsidP="00A065EE">
      <w:pPr>
        <w:spacing w:after="240"/>
        <w:jc w:val="both"/>
        <w:rPr>
          <w:rFonts w:cs="Calibri"/>
          <w:szCs w:val="22"/>
        </w:rPr>
      </w:pPr>
      <w:r w:rsidRPr="00490B06">
        <w:rPr>
          <w:rFonts w:cs="Calibri"/>
          <w:szCs w:val="22"/>
        </w:rPr>
        <w:t xml:space="preserve">Duan, S. </w:t>
      </w:r>
      <w:r w:rsidRPr="00490B06">
        <w:rPr>
          <w:rFonts w:cs="Calibri"/>
          <w:i/>
          <w:iCs/>
          <w:szCs w:val="22"/>
        </w:rPr>
        <w:t>et al.</w:t>
      </w:r>
      <w:r w:rsidRPr="00490B06">
        <w:rPr>
          <w:rFonts w:cs="Calibri"/>
          <w:szCs w:val="22"/>
        </w:rPr>
        <w:t xml:space="preserve"> (2024) ‘Digital Exclusion and Cognitive Function in Elderly Populations in Developing Countries: Insights Derived From 2 Longitudinal Cohort Studies’, </w:t>
      </w:r>
      <w:r w:rsidRPr="00490B06">
        <w:rPr>
          <w:rFonts w:cs="Calibri"/>
          <w:i/>
          <w:iCs/>
          <w:szCs w:val="22"/>
        </w:rPr>
        <w:t>Journal of Medical Internet Research</w:t>
      </w:r>
      <w:r w:rsidRPr="00490B06">
        <w:rPr>
          <w:rFonts w:cs="Calibri"/>
          <w:szCs w:val="22"/>
        </w:rPr>
        <w:t>, 26, pp. e56636–e56636. doi:https://doi.org/10.2196/56636.</w:t>
      </w:r>
    </w:p>
    <w:p w14:paraId="08091DB7" w14:textId="77777777" w:rsidR="00490B06" w:rsidRPr="00490B06" w:rsidRDefault="00490B06" w:rsidP="00A065EE">
      <w:pPr>
        <w:spacing w:after="240"/>
        <w:jc w:val="both"/>
        <w:rPr>
          <w:rFonts w:cs="Calibri"/>
          <w:szCs w:val="22"/>
        </w:rPr>
      </w:pPr>
      <w:r w:rsidRPr="00490B06">
        <w:rPr>
          <w:rFonts w:cs="Calibri"/>
          <w:szCs w:val="22"/>
        </w:rPr>
        <w:lastRenderedPageBreak/>
        <w:t xml:space="preserve">Duong, J.B. </w:t>
      </w:r>
      <w:r w:rsidRPr="00490B06">
        <w:rPr>
          <w:rFonts w:cs="Calibri"/>
          <w:i/>
          <w:iCs/>
          <w:szCs w:val="22"/>
        </w:rPr>
        <w:t>et al.</w:t>
      </w:r>
      <w:r w:rsidRPr="00490B06">
        <w:rPr>
          <w:rFonts w:cs="Calibri"/>
          <w:szCs w:val="22"/>
        </w:rPr>
        <w:t xml:space="preserve"> (2025) ‘From Traditional to Digital: Examining the Transformation of Sociocultural Barriers and Facilitators in Healthcare Technology Adoption’, </w:t>
      </w:r>
      <w:r w:rsidRPr="00490B06">
        <w:rPr>
          <w:rFonts w:cs="Calibri"/>
          <w:i/>
          <w:iCs/>
          <w:szCs w:val="22"/>
        </w:rPr>
        <w:t>PubMed</w:t>
      </w:r>
      <w:r w:rsidRPr="00490B06">
        <w:rPr>
          <w:rFonts w:cs="Calibri"/>
          <w:szCs w:val="22"/>
        </w:rPr>
        <w:t xml:space="preserve"> [Preprint]. doi:https://doi.org/10.21203/rs.3.rs-6995030/v1.</w:t>
      </w:r>
    </w:p>
    <w:p w14:paraId="60C5BC83" w14:textId="77777777" w:rsidR="00490B06" w:rsidRPr="00490B06" w:rsidRDefault="00490B06" w:rsidP="00A065EE">
      <w:pPr>
        <w:spacing w:after="240"/>
        <w:jc w:val="both"/>
        <w:rPr>
          <w:rFonts w:cs="Calibri"/>
          <w:szCs w:val="22"/>
        </w:rPr>
      </w:pPr>
      <w:r w:rsidRPr="00490B06">
        <w:rPr>
          <w:rFonts w:cs="Calibri"/>
          <w:szCs w:val="22"/>
        </w:rPr>
        <w:t xml:space="preserve">Durmuş, A. (2024) ‘The influence of digital literacy on mHealth app usability: The mediating role of patient expertise’, </w:t>
      </w:r>
      <w:r w:rsidRPr="00490B06">
        <w:rPr>
          <w:rFonts w:cs="Calibri"/>
          <w:i/>
          <w:iCs/>
          <w:szCs w:val="22"/>
        </w:rPr>
        <w:t>DIGITAL HEALTH</w:t>
      </w:r>
      <w:r w:rsidRPr="00490B06">
        <w:rPr>
          <w:rFonts w:cs="Calibri"/>
          <w:szCs w:val="22"/>
        </w:rPr>
        <w:t>, 10. doi:https://doi.org/10.1177/20552076241299061.</w:t>
      </w:r>
    </w:p>
    <w:p w14:paraId="1CDDCEED" w14:textId="77777777" w:rsidR="00490B06" w:rsidRPr="00490B06" w:rsidRDefault="00490B06" w:rsidP="00A065EE">
      <w:pPr>
        <w:spacing w:after="240"/>
        <w:jc w:val="both"/>
        <w:rPr>
          <w:rFonts w:cs="Calibri"/>
          <w:szCs w:val="22"/>
        </w:rPr>
      </w:pPr>
      <w:r w:rsidRPr="00490B06">
        <w:rPr>
          <w:rFonts w:cs="Calibri"/>
          <w:szCs w:val="22"/>
        </w:rPr>
        <w:t xml:space="preserve">Erku, D. </w:t>
      </w:r>
      <w:r w:rsidRPr="00490B06">
        <w:rPr>
          <w:rFonts w:cs="Calibri"/>
          <w:i/>
          <w:iCs/>
          <w:szCs w:val="22"/>
        </w:rPr>
        <w:t>et al.</w:t>
      </w:r>
      <w:r w:rsidRPr="00490B06">
        <w:rPr>
          <w:rFonts w:cs="Calibri"/>
          <w:szCs w:val="22"/>
        </w:rPr>
        <w:t xml:space="preserve"> (2023) ‘Digital Health Interventions to Improve Access to and Quality of Primary Health Care Services: A Scoping Review’, </w:t>
      </w:r>
      <w:r w:rsidRPr="00490B06">
        <w:rPr>
          <w:rFonts w:cs="Calibri"/>
          <w:i/>
          <w:iCs/>
          <w:szCs w:val="22"/>
        </w:rPr>
        <w:t>International Journal of Environmental Research and Public Health</w:t>
      </w:r>
      <w:r w:rsidRPr="00490B06">
        <w:rPr>
          <w:rFonts w:cs="Calibri"/>
          <w:szCs w:val="22"/>
        </w:rPr>
        <w:t>, 20(19), p. 6854. doi:https://doi.org/10.3390/ijerph20196854.</w:t>
      </w:r>
    </w:p>
    <w:p w14:paraId="04580BB4" w14:textId="77777777" w:rsidR="00490B06" w:rsidRPr="00490B06" w:rsidRDefault="00490B06" w:rsidP="00A065EE">
      <w:pPr>
        <w:spacing w:after="240"/>
        <w:jc w:val="both"/>
        <w:rPr>
          <w:rFonts w:cs="Calibri"/>
          <w:szCs w:val="22"/>
        </w:rPr>
      </w:pPr>
      <w:r w:rsidRPr="00490B06">
        <w:rPr>
          <w:rFonts w:cs="Calibri"/>
          <w:szCs w:val="22"/>
        </w:rPr>
        <w:t xml:space="preserve">Eze, E., Gleasure, R. and Heavin, C. (2018) ‘Mobile health solutions in developing countries: a stakeholder perspective’, </w:t>
      </w:r>
      <w:r w:rsidRPr="00490B06">
        <w:rPr>
          <w:rFonts w:cs="Calibri"/>
          <w:i/>
          <w:iCs/>
          <w:szCs w:val="22"/>
        </w:rPr>
        <w:t>Health Systems</w:t>
      </w:r>
      <w:r w:rsidRPr="00490B06">
        <w:rPr>
          <w:rFonts w:cs="Calibri"/>
          <w:szCs w:val="22"/>
        </w:rPr>
        <w:t>, 9(3), pp. 179–201. doi:https://doi.org/10.1080/20476965.2018.1457134.</w:t>
      </w:r>
    </w:p>
    <w:p w14:paraId="40C5B54F" w14:textId="77777777" w:rsidR="00490B06" w:rsidRPr="00490B06" w:rsidRDefault="00490B06" w:rsidP="00A065EE">
      <w:pPr>
        <w:spacing w:after="240"/>
        <w:jc w:val="both"/>
        <w:rPr>
          <w:rFonts w:cs="Calibri"/>
          <w:szCs w:val="22"/>
        </w:rPr>
      </w:pPr>
      <w:r w:rsidRPr="00490B06">
        <w:rPr>
          <w:rFonts w:cs="Calibri"/>
          <w:szCs w:val="22"/>
        </w:rPr>
        <w:t xml:space="preserve">Farre, A. </w:t>
      </w:r>
      <w:r w:rsidRPr="00490B06">
        <w:rPr>
          <w:rFonts w:cs="Calibri"/>
          <w:i/>
          <w:iCs/>
          <w:szCs w:val="22"/>
        </w:rPr>
        <w:t>et al.</w:t>
      </w:r>
      <w:r w:rsidRPr="00490B06">
        <w:rPr>
          <w:rFonts w:cs="Calibri"/>
          <w:szCs w:val="22"/>
        </w:rPr>
        <w:t xml:space="preserve"> (2023) ‘Exploring the use of digital technology to deliver healthcare services with explicit consideration of health inequalities in UK settings: A scoping review’, </w:t>
      </w:r>
      <w:r w:rsidRPr="00490B06">
        <w:rPr>
          <w:rFonts w:cs="Calibri"/>
          <w:i/>
          <w:iCs/>
          <w:szCs w:val="22"/>
        </w:rPr>
        <w:t>Digital health</w:t>
      </w:r>
      <w:r w:rsidRPr="00490B06">
        <w:rPr>
          <w:rFonts w:cs="Calibri"/>
          <w:szCs w:val="22"/>
        </w:rPr>
        <w:t>, 9. doi:https://doi.org/10.1177/20552076231185442.</w:t>
      </w:r>
    </w:p>
    <w:p w14:paraId="7BC96506" w14:textId="77777777" w:rsidR="00490B06" w:rsidRPr="00490B06" w:rsidRDefault="00490B06" w:rsidP="00A065EE">
      <w:pPr>
        <w:spacing w:after="240"/>
        <w:jc w:val="both"/>
        <w:rPr>
          <w:rFonts w:cs="Calibri"/>
          <w:szCs w:val="22"/>
        </w:rPr>
      </w:pPr>
      <w:r w:rsidRPr="00490B06">
        <w:rPr>
          <w:rFonts w:cs="Calibri"/>
          <w:szCs w:val="22"/>
        </w:rPr>
        <w:t xml:space="preserve">Geifman, N., Armes, J. and Whetton, A.D. (2023) ‘Identifying developments over a decade in the digital health and telemedicine landscape in the UK using quantitative text mining’, </w:t>
      </w:r>
      <w:r w:rsidRPr="00490B06">
        <w:rPr>
          <w:rFonts w:cs="Calibri"/>
          <w:i/>
          <w:iCs/>
          <w:szCs w:val="22"/>
        </w:rPr>
        <w:t>Telehealth and Connected Health: Equity and Access to Care</w:t>
      </w:r>
      <w:r w:rsidRPr="00490B06">
        <w:rPr>
          <w:rFonts w:cs="Calibri"/>
          <w:szCs w:val="22"/>
        </w:rPr>
        <w:t>, 5. doi:https://doi.org/10.3389/fdgth.2023.1092008.</w:t>
      </w:r>
    </w:p>
    <w:p w14:paraId="78358266" w14:textId="77777777" w:rsidR="00490B06" w:rsidRPr="00490B06" w:rsidRDefault="00490B06" w:rsidP="00A065EE">
      <w:pPr>
        <w:spacing w:after="240"/>
        <w:jc w:val="both"/>
        <w:rPr>
          <w:rFonts w:cs="Calibri"/>
          <w:szCs w:val="22"/>
        </w:rPr>
      </w:pPr>
      <w:r w:rsidRPr="00490B06">
        <w:rPr>
          <w:rFonts w:cs="Calibri"/>
          <w:szCs w:val="22"/>
        </w:rPr>
        <w:t xml:space="preserve">Gizaw, Z., Astale, T. and Kassie, G.M. (2022) ‘What Improves Access to Primary Healthcare Services in Rural communities? a Systematic Review’, </w:t>
      </w:r>
      <w:r w:rsidRPr="00490B06">
        <w:rPr>
          <w:rFonts w:cs="Calibri"/>
          <w:i/>
          <w:iCs/>
          <w:szCs w:val="22"/>
        </w:rPr>
        <w:t>Biomed Central Primary Care</w:t>
      </w:r>
      <w:r w:rsidRPr="00490B06">
        <w:rPr>
          <w:rFonts w:cs="Calibri"/>
          <w:szCs w:val="22"/>
        </w:rPr>
        <w:t>, 23(1), pp. 1–16. doi:https://doi.org/10.1186/s12875-022-01919-0.</w:t>
      </w:r>
    </w:p>
    <w:p w14:paraId="37D8808F" w14:textId="77777777" w:rsidR="00490B06" w:rsidRPr="00490B06" w:rsidRDefault="00490B06" w:rsidP="00A065EE">
      <w:pPr>
        <w:spacing w:after="240"/>
        <w:jc w:val="both"/>
        <w:rPr>
          <w:rFonts w:cs="Calibri"/>
          <w:szCs w:val="22"/>
        </w:rPr>
      </w:pPr>
      <w:r w:rsidRPr="00490B06">
        <w:rPr>
          <w:rFonts w:cs="Calibri"/>
          <w:szCs w:val="22"/>
        </w:rPr>
        <w:t xml:space="preserve">Gobburi, R.K. </w:t>
      </w:r>
      <w:r w:rsidRPr="00490B06">
        <w:rPr>
          <w:rFonts w:cs="Calibri"/>
          <w:i/>
          <w:iCs/>
          <w:szCs w:val="22"/>
        </w:rPr>
        <w:t>et al.</w:t>
      </w:r>
      <w:r w:rsidRPr="00490B06">
        <w:rPr>
          <w:rFonts w:cs="Calibri"/>
          <w:szCs w:val="22"/>
        </w:rPr>
        <w:t xml:space="preserve"> (2025) ‘Telemedicine use in rural areas of the United Kingdom to improve access to healthcare facilities: A review of current evidence’, </w:t>
      </w:r>
      <w:r w:rsidRPr="00490B06">
        <w:rPr>
          <w:rFonts w:cs="Calibri"/>
          <w:i/>
          <w:iCs/>
          <w:szCs w:val="22"/>
        </w:rPr>
        <w:t>Informatics and Health</w:t>
      </w:r>
      <w:r w:rsidRPr="00490B06">
        <w:rPr>
          <w:rFonts w:cs="Calibri"/>
          <w:szCs w:val="22"/>
        </w:rPr>
        <w:t>, 2(1), pp. 41–48.</w:t>
      </w:r>
    </w:p>
    <w:p w14:paraId="07C8D162" w14:textId="77777777" w:rsidR="00490B06" w:rsidRPr="00490B06" w:rsidRDefault="00490B06" w:rsidP="00A065EE">
      <w:pPr>
        <w:spacing w:after="240"/>
        <w:jc w:val="both"/>
        <w:rPr>
          <w:rFonts w:cs="Calibri"/>
          <w:szCs w:val="22"/>
        </w:rPr>
      </w:pPr>
      <w:r w:rsidRPr="00490B06">
        <w:rPr>
          <w:rFonts w:cs="Calibri"/>
          <w:szCs w:val="22"/>
        </w:rPr>
        <w:t xml:space="preserve">GOV.UK (2021) </w:t>
      </w:r>
      <w:r w:rsidRPr="00490B06">
        <w:rPr>
          <w:rFonts w:cs="Calibri"/>
          <w:i/>
          <w:iCs/>
          <w:szCs w:val="22"/>
        </w:rPr>
        <w:t>Harnessing technology for the long-term sustainability of the UK’s healthcare system: report</w:t>
      </w:r>
      <w:r w:rsidRPr="00490B06">
        <w:rPr>
          <w:rFonts w:cs="Calibri"/>
          <w:szCs w:val="22"/>
        </w:rPr>
        <w:t xml:space="preserve">, </w:t>
      </w:r>
      <w:r w:rsidRPr="00490B06">
        <w:rPr>
          <w:rFonts w:cs="Calibri"/>
          <w:i/>
          <w:iCs/>
          <w:szCs w:val="22"/>
        </w:rPr>
        <w:t>GOV.UK</w:t>
      </w:r>
      <w:r w:rsidRPr="00490B06">
        <w:rPr>
          <w:rFonts w:cs="Calibri"/>
          <w:szCs w:val="22"/>
        </w:rPr>
        <w:t>. Available at: https://www.gov.uk/government/publications/harnessing-technology-for-the-long-term-sustainability-of-the-uks-healthcare-system/harnessing-technology-for-the-long-term-sustainability-of-the-uks-healthcare-system-report (Accessed: 1 December 2025).</w:t>
      </w:r>
    </w:p>
    <w:p w14:paraId="3E155180" w14:textId="77777777" w:rsidR="00490B06" w:rsidRPr="00490B06" w:rsidRDefault="00490B06" w:rsidP="00A065EE">
      <w:pPr>
        <w:spacing w:after="240"/>
        <w:jc w:val="both"/>
        <w:rPr>
          <w:rFonts w:cs="Calibri"/>
          <w:szCs w:val="22"/>
        </w:rPr>
      </w:pPr>
      <w:r w:rsidRPr="00490B06">
        <w:rPr>
          <w:rFonts w:cs="Calibri"/>
          <w:szCs w:val="22"/>
        </w:rPr>
        <w:t xml:space="preserve">Gu, J. (2022) ‘Impact of Living Conditions on Online Education: Evidence from China’, </w:t>
      </w:r>
      <w:r w:rsidRPr="00490B06">
        <w:rPr>
          <w:rFonts w:cs="Calibri"/>
          <w:i/>
          <w:iCs/>
          <w:szCs w:val="22"/>
        </w:rPr>
        <w:t>Sustainability</w:t>
      </w:r>
      <w:r w:rsidRPr="00490B06">
        <w:rPr>
          <w:rFonts w:cs="Calibri"/>
          <w:szCs w:val="22"/>
        </w:rPr>
        <w:t>, 14(6), p. 3231. doi:https://doi.org/10.3390/su14063231.</w:t>
      </w:r>
    </w:p>
    <w:p w14:paraId="52E47E7B" w14:textId="77777777" w:rsidR="00490B06" w:rsidRPr="00490B06" w:rsidRDefault="00490B06" w:rsidP="00A065EE">
      <w:pPr>
        <w:spacing w:after="240"/>
        <w:jc w:val="both"/>
        <w:rPr>
          <w:rFonts w:cs="Calibri"/>
          <w:szCs w:val="22"/>
        </w:rPr>
      </w:pPr>
      <w:r w:rsidRPr="00490B06">
        <w:rPr>
          <w:rFonts w:cs="Calibri"/>
          <w:szCs w:val="22"/>
        </w:rPr>
        <w:lastRenderedPageBreak/>
        <w:t xml:space="preserve">Gurupur, V.P. and Miao, Z. (2021) ‘A brief analysis of challenges in implementing telehealth in a rural setting’, </w:t>
      </w:r>
      <w:r w:rsidRPr="00490B06">
        <w:rPr>
          <w:rFonts w:cs="Calibri"/>
          <w:i/>
          <w:iCs/>
          <w:szCs w:val="22"/>
        </w:rPr>
        <w:t>mHealth</w:t>
      </w:r>
      <w:r w:rsidRPr="00490B06">
        <w:rPr>
          <w:rFonts w:cs="Calibri"/>
          <w:szCs w:val="22"/>
        </w:rPr>
        <w:t>, 8(17). doi:https://doi.org/10.21037/mhealth-21-38.</w:t>
      </w:r>
    </w:p>
    <w:p w14:paraId="22D50C80" w14:textId="77777777" w:rsidR="00490B06" w:rsidRPr="00490B06" w:rsidRDefault="00490B06" w:rsidP="00A065EE">
      <w:pPr>
        <w:spacing w:after="240"/>
        <w:jc w:val="both"/>
        <w:rPr>
          <w:rFonts w:cs="Calibri"/>
          <w:szCs w:val="22"/>
        </w:rPr>
      </w:pPr>
      <w:r w:rsidRPr="00490B06">
        <w:rPr>
          <w:rFonts w:cs="Calibri"/>
          <w:szCs w:val="22"/>
        </w:rPr>
        <w:t xml:space="preserve">Haleem, A. </w:t>
      </w:r>
      <w:r w:rsidRPr="00490B06">
        <w:rPr>
          <w:rFonts w:cs="Calibri"/>
          <w:i/>
          <w:iCs/>
          <w:szCs w:val="22"/>
        </w:rPr>
        <w:t>et al.</w:t>
      </w:r>
      <w:r w:rsidRPr="00490B06">
        <w:rPr>
          <w:rFonts w:cs="Calibri"/>
          <w:szCs w:val="22"/>
        </w:rPr>
        <w:t xml:space="preserve"> (2021) ‘Telemedicine for healthcare: Capabilities, features, barriers, and Applications’, </w:t>
      </w:r>
      <w:r w:rsidRPr="00490B06">
        <w:rPr>
          <w:rFonts w:cs="Calibri"/>
          <w:i/>
          <w:iCs/>
          <w:szCs w:val="22"/>
        </w:rPr>
        <w:t>Sensors International</w:t>
      </w:r>
      <w:r w:rsidRPr="00490B06">
        <w:rPr>
          <w:rFonts w:cs="Calibri"/>
          <w:szCs w:val="22"/>
        </w:rPr>
        <w:t>, 2(2), pp. 100–117.</w:t>
      </w:r>
    </w:p>
    <w:p w14:paraId="624D5FD7" w14:textId="77777777" w:rsidR="00490B06" w:rsidRPr="00490B06" w:rsidRDefault="00490B06" w:rsidP="00A065EE">
      <w:pPr>
        <w:spacing w:after="240"/>
        <w:jc w:val="both"/>
        <w:rPr>
          <w:rFonts w:cs="Calibri"/>
          <w:szCs w:val="22"/>
        </w:rPr>
      </w:pPr>
      <w:r w:rsidRPr="00490B06">
        <w:rPr>
          <w:rFonts w:cs="Calibri"/>
          <w:szCs w:val="22"/>
        </w:rPr>
        <w:t xml:space="preserve">Havelikar, U. </w:t>
      </w:r>
      <w:r w:rsidRPr="00490B06">
        <w:rPr>
          <w:rFonts w:cs="Calibri"/>
          <w:i/>
          <w:iCs/>
          <w:szCs w:val="22"/>
        </w:rPr>
        <w:t>et al.</w:t>
      </w:r>
      <w:r w:rsidRPr="00490B06">
        <w:rPr>
          <w:rFonts w:cs="Calibri"/>
          <w:szCs w:val="22"/>
        </w:rPr>
        <w:t xml:space="preserve"> (2025) ‘Comparative overview of telemedicine use in Asian countries: Trends, challenges, and future directions’, </w:t>
      </w:r>
      <w:r w:rsidRPr="00490B06">
        <w:rPr>
          <w:rFonts w:cs="Calibri"/>
          <w:i/>
          <w:iCs/>
          <w:szCs w:val="22"/>
        </w:rPr>
        <w:t>Intelligent Hospital</w:t>
      </w:r>
      <w:r w:rsidRPr="00490B06">
        <w:rPr>
          <w:rFonts w:cs="Calibri"/>
          <w:szCs w:val="22"/>
        </w:rPr>
        <w:t>, p. 100031. doi:https://doi.org/10.1016/j.inhs.2025.100031.</w:t>
      </w:r>
    </w:p>
    <w:p w14:paraId="4D62B709" w14:textId="77777777" w:rsidR="00490B06" w:rsidRPr="00490B06" w:rsidRDefault="00490B06" w:rsidP="00A065EE">
      <w:pPr>
        <w:spacing w:after="240"/>
        <w:jc w:val="both"/>
        <w:rPr>
          <w:rFonts w:cs="Calibri"/>
          <w:szCs w:val="22"/>
        </w:rPr>
      </w:pPr>
      <w:r w:rsidRPr="00490B06">
        <w:rPr>
          <w:rFonts w:cs="Calibri"/>
          <w:szCs w:val="22"/>
        </w:rPr>
        <w:t xml:space="preserve">Hill, A. (2010) ‘Telerehabilitation in Scotland: Current Initiatives and Recommendations for Future Development’, </w:t>
      </w:r>
      <w:r w:rsidRPr="00490B06">
        <w:rPr>
          <w:rFonts w:cs="Calibri"/>
          <w:i/>
          <w:iCs/>
          <w:szCs w:val="22"/>
        </w:rPr>
        <w:t>International Journal of Telerehabilitation</w:t>
      </w:r>
      <w:r w:rsidRPr="00490B06">
        <w:rPr>
          <w:rFonts w:cs="Calibri"/>
          <w:szCs w:val="22"/>
        </w:rPr>
        <w:t>, 2(1). doi:https://doi.org/10.5195/ijt.2010.6055.</w:t>
      </w:r>
    </w:p>
    <w:p w14:paraId="5F14BEBE" w14:textId="77777777" w:rsidR="00490B06" w:rsidRPr="00490B06" w:rsidRDefault="00490B06" w:rsidP="00A065EE">
      <w:pPr>
        <w:spacing w:after="240"/>
        <w:jc w:val="both"/>
        <w:rPr>
          <w:rFonts w:cs="Calibri"/>
          <w:szCs w:val="22"/>
        </w:rPr>
      </w:pPr>
      <w:r w:rsidRPr="00490B06">
        <w:rPr>
          <w:rFonts w:cs="Calibri"/>
          <w:szCs w:val="22"/>
        </w:rPr>
        <w:t xml:space="preserve">Kaminski, J. (2011) </w:t>
      </w:r>
      <w:r w:rsidRPr="00490B06">
        <w:rPr>
          <w:rFonts w:cs="Calibri"/>
          <w:i/>
          <w:iCs/>
          <w:szCs w:val="22"/>
        </w:rPr>
        <w:t>Diffusion of Innovation Theory</w:t>
      </w:r>
      <w:r w:rsidRPr="00490B06">
        <w:rPr>
          <w:rFonts w:cs="Calibri"/>
          <w:szCs w:val="22"/>
        </w:rPr>
        <w:t xml:space="preserve">, </w:t>
      </w:r>
      <w:r w:rsidRPr="00490B06">
        <w:rPr>
          <w:rFonts w:cs="Calibri"/>
          <w:i/>
          <w:iCs/>
          <w:szCs w:val="22"/>
        </w:rPr>
        <w:t>Canadian Journal of Nursing Informatics</w:t>
      </w:r>
      <w:r w:rsidRPr="00490B06">
        <w:rPr>
          <w:rFonts w:cs="Calibri"/>
          <w:szCs w:val="22"/>
        </w:rPr>
        <w:t>. Available at: https://cjni.net/journal/?p=1444 (Accessed: 15 January 2026).</w:t>
      </w:r>
    </w:p>
    <w:p w14:paraId="39E65D22" w14:textId="77777777" w:rsidR="00490B06" w:rsidRPr="00490B06" w:rsidRDefault="00490B06" w:rsidP="00A065EE">
      <w:pPr>
        <w:spacing w:after="240"/>
        <w:jc w:val="both"/>
        <w:rPr>
          <w:rFonts w:cs="Calibri"/>
          <w:szCs w:val="22"/>
        </w:rPr>
      </w:pPr>
      <w:r w:rsidRPr="00490B06">
        <w:rPr>
          <w:rFonts w:cs="Calibri"/>
          <w:szCs w:val="22"/>
        </w:rPr>
        <w:t xml:space="preserve">Kitole, F.A. and Shukla, S. (2024) ‘Cloud Horizons: Strengthening Rural Healthcare Through Telemedicine’s Digital Canopy’, </w:t>
      </w:r>
      <w:r w:rsidRPr="00490B06">
        <w:rPr>
          <w:rFonts w:cs="Calibri"/>
          <w:i/>
          <w:iCs/>
          <w:szCs w:val="22"/>
        </w:rPr>
        <w:t>Health Services Insights</w:t>
      </w:r>
      <w:r w:rsidRPr="00490B06">
        <w:rPr>
          <w:rFonts w:cs="Calibri"/>
          <w:szCs w:val="22"/>
        </w:rPr>
        <w:t>, 17. doi:https://doi.org/10.1177/11786329241284401.</w:t>
      </w:r>
    </w:p>
    <w:p w14:paraId="558FC096" w14:textId="77777777" w:rsidR="00490B06" w:rsidRPr="00490B06" w:rsidRDefault="00490B06" w:rsidP="00A065EE">
      <w:pPr>
        <w:spacing w:after="240"/>
        <w:jc w:val="both"/>
        <w:rPr>
          <w:rFonts w:cs="Calibri"/>
          <w:szCs w:val="22"/>
        </w:rPr>
      </w:pPr>
      <w:r w:rsidRPr="00490B06">
        <w:rPr>
          <w:rFonts w:cs="Calibri"/>
          <w:szCs w:val="22"/>
        </w:rPr>
        <w:t xml:space="preserve">Ko, M. </w:t>
      </w:r>
      <w:r w:rsidRPr="00490B06">
        <w:rPr>
          <w:rFonts w:cs="Calibri"/>
          <w:i/>
          <w:iCs/>
          <w:szCs w:val="22"/>
        </w:rPr>
        <w:t>et al.</w:t>
      </w:r>
      <w:r w:rsidRPr="00490B06">
        <w:rPr>
          <w:rFonts w:cs="Calibri"/>
          <w:szCs w:val="22"/>
        </w:rPr>
        <w:t xml:space="preserve"> (2025) ‘Telehealth and people with disabilities in the United Kingdom: a scoping review’, </w:t>
      </w:r>
      <w:r w:rsidRPr="00490B06">
        <w:rPr>
          <w:rFonts w:cs="Calibri"/>
          <w:i/>
          <w:iCs/>
          <w:szCs w:val="22"/>
        </w:rPr>
        <w:t>Frontiers in Public Health</w:t>
      </w:r>
      <w:r w:rsidRPr="00490B06">
        <w:rPr>
          <w:rFonts w:cs="Calibri"/>
          <w:szCs w:val="22"/>
        </w:rPr>
        <w:t>, 13. doi:https://doi.org/10.3389/fpubh.2025.1504318.</w:t>
      </w:r>
    </w:p>
    <w:p w14:paraId="06DC0F2A" w14:textId="77777777" w:rsidR="00490B06" w:rsidRPr="00490B06" w:rsidRDefault="00490B06" w:rsidP="00A065EE">
      <w:pPr>
        <w:spacing w:after="240"/>
        <w:jc w:val="both"/>
        <w:rPr>
          <w:rFonts w:cs="Calibri"/>
          <w:szCs w:val="22"/>
        </w:rPr>
      </w:pPr>
      <w:r w:rsidRPr="00490B06">
        <w:rPr>
          <w:rFonts w:cs="Calibri"/>
          <w:szCs w:val="22"/>
        </w:rPr>
        <w:t xml:space="preserve">Kobeissi, M.M. and Hickey, J.V. (2023) ‘An infrastructure to provide safer, higher quality, and more equitable telehealth’, </w:t>
      </w:r>
      <w:r w:rsidRPr="00490B06">
        <w:rPr>
          <w:rFonts w:cs="Calibri"/>
          <w:i/>
          <w:iCs/>
          <w:szCs w:val="22"/>
        </w:rPr>
        <w:t>The Joint Commission Journal on Quality and Patient Safety</w:t>
      </w:r>
      <w:r w:rsidRPr="00490B06">
        <w:rPr>
          <w:rFonts w:cs="Calibri"/>
          <w:szCs w:val="22"/>
        </w:rPr>
        <w:t>, 49(4), pp. 213–222. doi:https://doi.org/10.1016/j.jcjq.2023.01.006.</w:t>
      </w:r>
    </w:p>
    <w:p w14:paraId="433E7B79" w14:textId="77777777" w:rsidR="00490B06" w:rsidRPr="00490B06" w:rsidRDefault="00490B06" w:rsidP="00A065EE">
      <w:pPr>
        <w:spacing w:after="240"/>
        <w:jc w:val="both"/>
        <w:rPr>
          <w:rFonts w:cs="Calibri"/>
          <w:szCs w:val="22"/>
        </w:rPr>
      </w:pPr>
      <w:r w:rsidRPr="00490B06">
        <w:rPr>
          <w:rFonts w:cs="Calibri"/>
          <w:szCs w:val="22"/>
        </w:rPr>
        <w:t xml:space="preserve">Krahe, M.A. </w:t>
      </w:r>
      <w:r w:rsidRPr="00490B06">
        <w:rPr>
          <w:rFonts w:cs="Calibri"/>
          <w:i/>
          <w:iCs/>
          <w:szCs w:val="22"/>
        </w:rPr>
        <w:t>et al.</w:t>
      </w:r>
      <w:r w:rsidRPr="00490B06">
        <w:rPr>
          <w:rFonts w:cs="Calibri"/>
          <w:szCs w:val="22"/>
        </w:rPr>
        <w:t xml:space="preserve"> (2025) ‘Factors That Influence Digital Health Implementation in Rural, Regional, and Remote Australia: An Overview of Reviews and Recommended Strategies’, </w:t>
      </w:r>
      <w:r w:rsidRPr="00490B06">
        <w:rPr>
          <w:rFonts w:cs="Calibri"/>
          <w:i/>
          <w:iCs/>
          <w:szCs w:val="22"/>
        </w:rPr>
        <w:t>Australian Journal of Rural Health</w:t>
      </w:r>
      <w:r w:rsidRPr="00490B06">
        <w:rPr>
          <w:rFonts w:cs="Calibri"/>
          <w:szCs w:val="22"/>
        </w:rPr>
        <w:t>, 33(2). doi:https://doi.org/10.1111/ajr.70045.</w:t>
      </w:r>
    </w:p>
    <w:p w14:paraId="4F13BA28" w14:textId="77777777" w:rsidR="00490B06" w:rsidRPr="00490B06" w:rsidRDefault="00490B06" w:rsidP="00A065EE">
      <w:pPr>
        <w:spacing w:after="240"/>
        <w:jc w:val="both"/>
        <w:rPr>
          <w:rFonts w:cs="Calibri"/>
          <w:szCs w:val="22"/>
        </w:rPr>
      </w:pPr>
      <w:r w:rsidRPr="00490B06">
        <w:rPr>
          <w:rFonts w:cs="Calibri"/>
          <w:szCs w:val="22"/>
        </w:rPr>
        <w:t xml:space="preserve">Kyambade, M. </w:t>
      </w:r>
      <w:r w:rsidRPr="00490B06">
        <w:rPr>
          <w:rFonts w:cs="Calibri"/>
          <w:i/>
          <w:iCs/>
          <w:szCs w:val="22"/>
        </w:rPr>
        <w:t>et al.</w:t>
      </w:r>
      <w:r w:rsidRPr="00490B06">
        <w:rPr>
          <w:rFonts w:cs="Calibri"/>
          <w:szCs w:val="22"/>
        </w:rPr>
        <w:t xml:space="preserve"> (2025) ‘Drivers of sustainability performance in health and sanitation projects: A systematic literature review’, </w:t>
      </w:r>
      <w:r w:rsidRPr="00490B06">
        <w:rPr>
          <w:rFonts w:cs="Calibri"/>
          <w:i/>
          <w:iCs/>
          <w:szCs w:val="22"/>
        </w:rPr>
        <w:t>Social Sciences &amp; Humanities Open</w:t>
      </w:r>
      <w:r w:rsidRPr="00490B06">
        <w:rPr>
          <w:rFonts w:cs="Calibri"/>
          <w:szCs w:val="22"/>
        </w:rPr>
        <w:t>, 12, p. 102046. doi:https://doi.org/10.1016/j.ssaho.2025.102046.</w:t>
      </w:r>
    </w:p>
    <w:p w14:paraId="42D96B45" w14:textId="77777777" w:rsidR="00490B06" w:rsidRPr="00490B06" w:rsidRDefault="00490B06" w:rsidP="00A065EE">
      <w:pPr>
        <w:spacing w:after="240"/>
        <w:jc w:val="both"/>
        <w:rPr>
          <w:rFonts w:cs="Calibri"/>
          <w:szCs w:val="22"/>
        </w:rPr>
      </w:pPr>
      <w:r w:rsidRPr="00490B06">
        <w:rPr>
          <w:rFonts w:cs="Calibri"/>
          <w:szCs w:val="22"/>
        </w:rPr>
        <w:t xml:space="preserve">Lee, A.T., Ramasamy, R.K. and Subbarao, A. (2025) ‘Understanding Psychosocial Barriers to Healthcare Technology Adoption: A Review of TAM Technology Acceptance Model and Unified Theory of </w:t>
      </w:r>
      <w:r w:rsidRPr="00490B06">
        <w:rPr>
          <w:rFonts w:cs="Calibri"/>
          <w:szCs w:val="22"/>
        </w:rPr>
        <w:lastRenderedPageBreak/>
        <w:t xml:space="preserve">Acceptance and Use of Technology and UTAUT Frameworks’, </w:t>
      </w:r>
      <w:r w:rsidRPr="00490B06">
        <w:rPr>
          <w:rFonts w:cs="Calibri"/>
          <w:i/>
          <w:iCs/>
          <w:szCs w:val="22"/>
        </w:rPr>
        <w:t>Healthcare</w:t>
      </w:r>
      <w:r w:rsidRPr="00490B06">
        <w:rPr>
          <w:rFonts w:cs="Calibri"/>
          <w:szCs w:val="22"/>
        </w:rPr>
        <w:t>, 13(3), p. 250. doi:https://doi.org/10.3390/healthcare13030250.</w:t>
      </w:r>
    </w:p>
    <w:p w14:paraId="29F50EA2" w14:textId="77777777" w:rsidR="00490B06" w:rsidRPr="00490B06" w:rsidRDefault="00490B06" w:rsidP="00A065EE">
      <w:pPr>
        <w:spacing w:after="240"/>
        <w:jc w:val="both"/>
        <w:rPr>
          <w:rFonts w:cs="Calibri"/>
          <w:szCs w:val="22"/>
        </w:rPr>
      </w:pPr>
      <w:r w:rsidRPr="00490B06">
        <w:rPr>
          <w:rFonts w:cs="Calibri"/>
          <w:szCs w:val="22"/>
        </w:rPr>
        <w:t xml:space="preserve">Lidder, P., Cattaneo, A. and Chaya, M. (2025) ‘Innovation and technology for achieving resilient and inclusive rural transformation’, </w:t>
      </w:r>
      <w:r w:rsidRPr="00490B06">
        <w:rPr>
          <w:rFonts w:cs="Calibri"/>
          <w:i/>
          <w:iCs/>
          <w:szCs w:val="22"/>
        </w:rPr>
        <w:t>Global Food Security</w:t>
      </w:r>
      <w:r w:rsidRPr="00490B06">
        <w:rPr>
          <w:rFonts w:cs="Calibri"/>
          <w:szCs w:val="22"/>
        </w:rPr>
        <w:t>, 44, p. 100827. doi:https://doi.org/10.1016/j.gfs.2025.100827.</w:t>
      </w:r>
    </w:p>
    <w:p w14:paraId="393F2B27" w14:textId="77777777" w:rsidR="00490B06" w:rsidRPr="00490B06" w:rsidRDefault="00490B06" w:rsidP="00A065EE">
      <w:pPr>
        <w:spacing w:after="240"/>
        <w:jc w:val="both"/>
        <w:rPr>
          <w:rFonts w:cs="Calibri"/>
          <w:szCs w:val="22"/>
        </w:rPr>
      </w:pPr>
      <w:r w:rsidRPr="00490B06">
        <w:rPr>
          <w:rFonts w:cs="Calibri"/>
          <w:szCs w:val="22"/>
        </w:rPr>
        <w:t xml:space="preserve">Ma, Q. </w:t>
      </w:r>
      <w:r w:rsidRPr="00490B06">
        <w:rPr>
          <w:rFonts w:cs="Calibri"/>
          <w:i/>
          <w:iCs/>
          <w:szCs w:val="22"/>
        </w:rPr>
        <w:t>et al.</w:t>
      </w:r>
      <w:r w:rsidRPr="00490B06">
        <w:rPr>
          <w:rFonts w:cs="Calibri"/>
          <w:szCs w:val="22"/>
        </w:rPr>
        <w:t xml:space="preserve"> (2022) ‘Usage and perceptions of telemedicine among health care professionals in China’, </w:t>
      </w:r>
      <w:r w:rsidRPr="00490B06">
        <w:rPr>
          <w:rFonts w:cs="Calibri"/>
          <w:i/>
          <w:iCs/>
          <w:szCs w:val="22"/>
        </w:rPr>
        <w:t>International Journal of Medical Informatics</w:t>
      </w:r>
      <w:r w:rsidRPr="00490B06">
        <w:rPr>
          <w:rFonts w:cs="Calibri"/>
          <w:szCs w:val="22"/>
        </w:rPr>
        <w:t>, 166, p. 104856. doi:https://doi.org/10.1016/j.ijmedinf.2022.104856.</w:t>
      </w:r>
    </w:p>
    <w:p w14:paraId="476749E4" w14:textId="77777777" w:rsidR="00490B06" w:rsidRPr="00490B06" w:rsidRDefault="00490B06" w:rsidP="00A065EE">
      <w:pPr>
        <w:spacing w:after="240"/>
        <w:jc w:val="both"/>
        <w:rPr>
          <w:rFonts w:cs="Calibri"/>
          <w:szCs w:val="22"/>
        </w:rPr>
      </w:pPr>
      <w:r w:rsidRPr="00490B06">
        <w:rPr>
          <w:rFonts w:cs="Calibri"/>
          <w:szCs w:val="22"/>
        </w:rPr>
        <w:t xml:space="preserve">Maclaren, A.S. </w:t>
      </w:r>
      <w:r w:rsidRPr="00490B06">
        <w:rPr>
          <w:rFonts w:cs="Calibri"/>
          <w:i/>
          <w:iCs/>
          <w:szCs w:val="22"/>
        </w:rPr>
        <w:t>et al.</w:t>
      </w:r>
      <w:r w:rsidRPr="00490B06">
        <w:rPr>
          <w:rFonts w:cs="Calibri"/>
          <w:szCs w:val="22"/>
        </w:rPr>
        <w:t xml:space="preserve"> (2024) ‘Rurality, healthcare and crises: Investigating experiences, differences, and changes to medical care for people living in rural areas’, </w:t>
      </w:r>
      <w:r w:rsidRPr="00490B06">
        <w:rPr>
          <w:rFonts w:cs="Calibri"/>
          <w:i/>
          <w:iCs/>
          <w:szCs w:val="22"/>
        </w:rPr>
        <w:t>Health &amp; Place</w:t>
      </w:r>
      <w:r w:rsidRPr="00490B06">
        <w:rPr>
          <w:rFonts w:cs="Calibri"/>
          <w:szCs w:val="22"/>
        </w:rPr>
        <w:t>, 87, pp. 103217–103217. doi:https://doi.org/10.1016/j.healthplace.2024.103217.</w:t>
      </w:r>
    </w:p>
    <w:p w14:paraId="608A77AF" w14:textId="77777777" w:rsidR="00490B06" w:rsidRPr="00490B06" w:rsidRDefault="00490B06" w:rsidP="00A065EE">
      <w:pPr>
        <w:spacing w:after="240"/>
        <w:jc w:val="both"/>
        <w:rPr>
          <w:rFonts w:cs="Calibri"/>
          <w:szCs w:val="22"/>
        </w:rPr>
      </w:pPr>
      <w:r w:rsidRPr="00490B06">
        <w:rPr>
          <w:rFonts w:cs="Calibri"/>
          <w:szCs w:val="22"/>
        </w:rPr>
        <w:t xml:space="preserve">Maita, K.C. </w:t>
      </w:r>
      <w:r w:rsidRPr="00490B06">
        <w:rPr>
          <w:rFonts w:cs="Calibri"/>
          <w:i/>
          <w:iCs/>
          <w:szCs w:val="22"/>
        </w:rPr>
        <w:t>et al.</w:t>
      </w:r>
      <w:r w:rsidRPr="00490B06">
        <w:rPr>
          <w:rFonts w:cs="Calibri"/>
          <w:szCs w:val="22"/>
        </w:rPr>
        <w:t xml:space="preserve"> (2024) ‘The impact of digital health solutions on bridging the health care gap in rural areas: A scoping review’, </w:t>
      </w:r>
      <w:r w:rsidRPr="00490B06">
        <w:rPr>
          <w:rFonts w:cs="Calibri"/>
          <w:i/>
          <w:iCs/>
          <w:szCs w:val="22"/>
        </w:rPr>
        <w:t>The Permanente Journal</w:t>
      </w:r>
      <w:r w:rsidRPr="00490B06">
        <w:rPr>
          <w:rFonts w:cs="Calibri"/>
          <w:szCs w:val="22"/>
        </w:rPr>
        <w:t>, 28(3), pp. 1–14. doi:https://doi.org/10.7812/tpp/23.134.</w:t>
      </w:r>
    </w:p>
    <w:p w14:paraId="3B1E55D5" w14:textId="77777777" w:rsidR="00490B06" w:rsidRPr="00490B06" w:rsidRDefault="00490B06" w:rsidP="00A065EE">
      <w:pPr>
        <w:spacing w:after="240"/>
        <w:jc w:val="both"/>
        <w:rPr>
          <w:rFonts w:cs="Calibri"/>
          <w:szCs w:val="22"/>
        </w:rPr>
      </w:pPr>
      <w:r w:rsidRPr="00490B06">
        <w:rPr>
          <w:rFonts w:cs="Calibri"/>
          <w:szCs w:val="22"/>
        </w:rPr>
        <w:t xml:space="preserve">Mars, M. and Scott, R.E. (2010) ‘Global E-Health Policy: A Work In Progress’, </w:t>
      </w:r>
      <w:r w:rsidRPr="00490B06">
        <w:rPr>
          <w:rFonts w:cs="Calibri"/>
          <w:i/>
          <w:iCs/>
          <w:szCs w:val="22"/>
        </w:rPr>
        <w:t>Health Affairs</w:t>
      </w:r>
      <w:r w:rsidRPr="00490B06">
        <w:rPr>
          <w:rFonts w:cs="Calibri"/>
          <w:szCs w:val="22"/>
        </w:rPr>
        <w:t>, 29(2), pp. 237–243. doi:https://doi.org/10.1377/hlthaff.2009.0945.</w:t>
      </w:r>
    </w:p>
    <w:p w14:paraId="15CF9D61" w14:textId="77777777" w:rsidR="00490B06" w:rsidRPr="00490B06" w:rsidRDefault="00490B06" w:rsidP="00A065EE">
      <w:pPr>
        <w:spacing w:after="240"/>
        <w:jc w:val="both"/>
        <w:rPr>
          <w:rFonts w:cs="Calibri"/>
          <w:szCs w:val="22"/>
        </w:rPr>
      </w:pPr>
      <w:r w:rsidRPr="00490B06">
        <w:rPr>
          <w:rFonts w:cs="Calibri"/>
          <w:szCs w:val="22"/>
        </w:rPr>
        <w:t xml:space="preserve">Meloche, A. </w:t>
      </w:r>
      <w:r w:rsidRPr="00490B06">
        <w:rPr>
          <w:rFonts w:cs="Calibri"/>
          <w:i/>
          <w:iCs/>
          <w:szCs w:val="22"/>
        </w:rPr>
        <w:t>et al.</w:t>
      </w:r>
      <w:r w:rsidRPr="00490B06">
        <w:rPr>
          <w:rFonts w:cs="Calibri"/>
          <w:szCs w:val="22"/>
        </w:rPr>
        <w:t xml:space="preserve"> (2020) ‘Critical Literacy as a Lens for Students’ Evaluation of Sources in an AP World History Class’, </w:t>
      </w:r>
      <w:r w:rsidRPr="00490B06">
        <w:rPr>
          <w:rFonts w:cs="Calibri"/>
          <w:i/>
          <w:iCs/>
          <w:szCs w:val="22"/>
        </w:rPr>
        <w:t>The Social Studies</w:t>
      </w:r>
      <w:r w:rsidRPr="00490B06">
        <w:rPr>
          <w:rFonts w:cs="Calibri"/>
          <w:szCs w:val="22"/>
        </w:rPr>
        <w:t>, 111(4), pp. 189–204. doi:https://doi.org/10.1080/00377996.2020.1727828.</w:t>
      </w:r>
    </w:p>
    <w:p w14:paraId="58D55346" w14:textId="77777777" w:rsidR="00490B06" w:rsidRPr="00490B06" w:rsidRDefault="00490B06" w:rsidP="00A065EE">
      <w:pPr>
        <w:spacing w:after="240"/>
        <w:jc w:val="both"/>
        <w:rPr>
          <w:rFonts w:cs="Calibri"/>
          <w:szCs w:val="22"/>
        </w:rPr>
      </w:pPr>
      <w:r w:rsidRPr="00490B06">
        <w:rPr>
          <w:rFonts w:cs="Calibri"/>
          <w:szCs w:val="22"/>
        </w:rPr>
        <w:t xml:space="preserve">Merrell, R.C. and Doarn, C.R. (2016) ‘Sustainable Development Goals and Telemedicine’, </w:t>
      </w:r>
      <w:r w:rsidRPr="00490B06">
        <w:rPr>
          <w:rFonts w:cs="Calibri"/>
          <w:i/>
          <w:iCs/>
          <w:szCs w:val="22"/>
        </w:rPr>
        <w:t>Telemedicine and e-Health</w:t>
      </w:r>
      <w:r w:rsidRPr="00490B06">
        <w:rPr>
          <w:rFonts w:cs="Calibri"/>
          <w:szCs w:val="22"/>
        </w:rPr>
        <w:t>, 22(10). doi:https://doi.org/10.1089/tmj.2016.29013.rcm.</w:t>
      </w:r>
    </w:p>
    <w:p w14:paraId="0AE897BF" w14:textId="77777777" w:rsidR="00490B06" w:rsidRPr="00490B06" w:rsidRDefault="00490B06" w:rsidP="00A065EE">
      <w:pPr>
        <w:spacing w:after="240"/>
        <w:jc w:val="both"/>
        <w:rPr>
          <w:rFonts w:cs="Calibri"/>
          <w:szCs w:val="22"/>
        </w:rPr>
      </w:pPr>
      <w:r w:rsidRPr="00490B06">
        <w:rPr>
          <w:rFonts w:cs="Calibri"/>
          <w:szCs w:val="22"/>
        </w:rPr>
        <w:t xml:space="preserve">Milaster, C. (2016) </w:t>
      </w:r>
      <w:r w:rsidRPr="00490B06">
        <w:rPr>
          <w:rFonts w:cs="Calibri"/>
          <w:i/>
          <w:iCs/>
          <w:szCs w:val="22"/>
        </w:rPr>
        <w:t>When it comes to using technology to deliver healthcare effectively, we are in a state of widespread confusion. And this confusion is contributing to the lack of progress on the healthcare innovation front, especially on the legislative and fiscal side.</w:t>
      </w:r>
      <w:r w:rsidRPr="00490B06">
        <w:rPr>
          <w:rFonts w:cs="Calibri"/>
          <w:szCs w:val="22"/>
        </w:rPr>
        <w:t xml:space="preserve">, </w:t>
      </w:r>
      <w:r w:rsidRPr="00490B06">
        <w:rPr>
          <w:rFonts w:cs="Calibri"/>
          <w:i/>
          <w:iCs/>
          <w:szCs w:val="22"/>
        </w:rPr>
        <w:t>Linkedin.com</w:t>
      </w:r>
      <w:r w:rsidRPr="00490B06">
        <w:rPr>
          <w:rFonts w:cs="Calibri"/>
          <w:szCs w:val="22"/>
        </w:rPr>
        <w:t>. Available at: https://www.linkedin.com/pulse/ending-digital-health-terminology-confusion-christian-milaster/ (Accessed: 15 January 2026).</w:t>
      </w:r>
    </w:p>
    <w:p w14:paraId="181242C5" w14:textId="77777777" w:rsidR="00490B06" w:rsidRPr="00490B06" w:rsidRDefault="00490B06" w:rsidP="00A065EE">
      <w:pPr>
        <w:spacing w:after="240"/>
        <w:jc w:val="both"/>
        <w:rPr>
          <w:rFonts w:cs="Calibri"/>
          <w:szCs w:val="22"/>
        </w:rPr>
      </w:pPr>
      <w:r w:rsidRPr="00490B06">
        <w:rPr>
          <w:rFonts w:cs="Calibri"/>
          <w:szCs w:val="22"/>
        </w:rPr>
        <w:t xml:space="preserve">Miller, J. and Khera, O. (2010) ‘Digital Library Adoption and the Technology Acceptance Model: a Cross-Country Analysis’, </w:t>
      </w:r>
      <w:r w:rsidRPr="00490B06">
        <w:rPr>
          <w:rFonts w:cs="Calibri"/>
          <w:i/>
          <w:iCs/>
          <w:szCs w:val="22"/>
        </w:rPr>
        <w:t>The Electronic Journal of Information Systems in Developing Countries</w:t>
      </w:r>
      <w:r w:rsidRPr="00490B06">
        <w:rPr>
          <w:rFonts w:cs="Calibri"/>
          <w:szCs w:val="22"/>
        </w:rPr>
        <w:t>, 40(1), pp. 1–19.</w:t>
      </w:r>
    </w:p>
    <w:p w14:paraId="0F9844E1" w14:textId="77777777" w:rsidR="00490B06" w:rsidRPr="00490B06" w:rsidRDefault="00490B06" w:rsidP="00A065EE">
      <w:pPr>
        <w:spacing w:after="240"/>
        <w:jc w:val="both"/>
        <w:rPr>
          <w:rFonts w:cs="Calibri"/>
          <w:szCs w:val="22"/>
        </w:rPr>
      </w:pPr>
      <w:r w:rsidRPr="00490B06">
        <w:rPr>
          <w:rFonts w:cs="Calibri"/>
          <w:szCs w:val="22"/>
        </w:rPr>
        <w:lastRenderedPageBreak/>
        <w:t xml:space="preserve">Mohd, S., Rais, A. and Syed, F. (2024) ‘Research Impact Assessment on Sustainable Development Goals in Higher Education Institutions: A Qualitative Study’, </w:t>
      </w:r>
      <w:r w:rsidRPr="00490B06">
        <w:rPr>
          <w:rFonts w:cs="Calibri"/>
          <w:i/>
          <w:iCs/>
          <w:szCs w:val="22"/>
        </w:rPr>
        <w:t>SAGE Open</w:t>
      </w:r>
      <w:r w:rsidRPr="00490B06">
        <w:rPr>
          <w:rFonts w:cs="Calibri"/>
          <w:szCs w:val="22"/>
        </w:rPr>
        <w:t>, 14(3). doi:https://doi.org/10.1177/21582440241281095.</w:t>
      </w:r>
    </w:p>
    <w:p w14:paraId="5F971FE3" w14:textId="77777777" w:rsidR="00490B06" w:rsidRPr="00490B06" w:rsidRDefault="00490B06" w:rsidP="00A065EE">
      <w:pPr>
        <w:spacing w:after="240"/>
        <w:jc w:val="both"/>
        <w:rPr>
          <w:rFonts w:cs="Calibri"/>
          <w:szCs w:val="22"/>
        </w:rPr>
      </w:pPr>
      <w:r w:rsidRPr="00490B06">
        <w:rPr>
          <w:rFonts w:cs="Calibri"/>
          <w:szCs w:val="22"/>
        </w:rPr>
        <w:t xml:space="preserve">Muis, K.R., Denton, C. and Dubé, A. (2022) ‘Identifying CRAAP on the Internet: a Source Evaluation Intervention’, </w:t>
      </w:r>
      <w:r w:rsidRPr="00490B06">
        <w:rPr>
          <w:rFonts w:cs="Calibri"/>
          <w:i/>
          <w:iCs/>
          <w:szCs w:val="22"/>
        </w:rPr>
        <w:t>Advances in Social Sciences Research Journal</w:t>
      </w:r>
      <w:r w:rsidRPr="00490B06">
        <w:rPr>
          <w:rFonts w:cs="Calibri"/>
          <w:szCs w:val="22"/>
        </w:rPr>
        <w:t>, 9(7), pp. 239–265.</w:t>
      </w:r>
    </w:p>
    <w:p w14:paraId="43AF317D" w14:textId="77777777" w:rsidR="00490B06" w:rsidRPr="00490B06" w:rsidRDefault="00490B06" w:rsidP="00A065EE">
      <w:pPr>
        <w:spacing w:after="240"/>
        <w:jc w:val="both"/>
        <w:rPr>
          <w:rFonts w:cs="Calibri"/>
          <w:szCs w:val="22"/>
        </w:rPr>
      </w:pPr>
      <w:r w:rsidRPr="00490B06">
        <w:rPr>
          <w:rFonts w:cs="Calibri"/>
          <w:szCs w:val="22"/>
        </w:rPr>
        <w:t xml:space="preserve">Muttitt, S., Vigneault, R. and Loewen, L. (2021) ‘Integrating telehealth into Aboriginal healthcare: the Canadian experience’, </w:t>
      </w:r>
      <w:r w:rsidRPr="00490B06">
        <w:rPr>
          <w:rFonts w:cs="Calibri"/>
          <w:i/>
          <w:iCs/>
          <w:szCs w:val="22"/>
        </w:rPr>
        <w:t>International Journal of Circumpolar Health</w:t>
      </w:r>
      <w:r w:rsidRPr="00490B06">
        <w:rPr>
          <w:rFonts w:cs="Calibri"/>
          <w:szCs w:val="22"/>
        </w:rPr>
        <w:t>, 63(4), pp. 401–414. doi:https://doi.org/10.3402/ijch.v63i4.17757.</w:t>
      </w:r>
    </w:p>
    <w:p w14:paraId="330A6313" w14:textId="77777777" w:rsidR="00490B06" w:rsidRPr="00490B06" w:rsidRDefault="00490B06" w:rsidP="00A065EE">
      <w:pPr>
        <w:spacing w:after="240"/>
        <w:jc w:val="both"/>
        <w:rPr>
          <w:rFonts w:cs="Calibri"/>
          <w:szCs w:val="22"/>
        </w:rPr>
      </w:pPr>
      <w:r w:rsidRPr="00490B06">
        <w:rPr>
          <w:rFonts w:cs="Calibri"/>
          <w:szCs w:val="22"/>
        </w:rPr>
        <w:t xml:space="preserve">Naderbagi, A. </w:t>
      </w:r>
      <w:r w:rsidRPr="00490B06">
        <w:rPr>
          <w:rFonts w:cs="Calibri"/>
          <w:i/>
          <w:iCs/>
          <w:szCs w:val="22"/>
        </w:rPr>
        <w:t>et al.</w:t>
      </w:r>
      <w:r w:rsidRPr="00490B06">
        <w:rPr>
          <w:rFonts w:cs="Calibri"/>
          <w:szCs w:val="22"/>
        </w:rPr>
        <w:t xml:space="preserve"> (2024) ‘Cultural and Contextual Adaptation of Digital Health Interventions: Narrative Review’, </w:t>
      </w:r>
      <w:r w:rsidRPr="00490B06">
        <w:rPr>
          <w:rFonts w:cs="Calibri"/>
          <w:i/>
          <w:iCs/>
          <w:szCs w:val="22"/>
        </w:rPr>
        <w:t>Journal of Medical Internet Research</w:t>
      </w:r>
      <w:r w:rsidRPr="00490B06">
        <w:rPr>
          <w:rFonts w:cs="Calibri"/>
          <w:szCs w:val="22"/>
        </w:rPr>
        <w:t>, 26, pp. e55130–e55130. doi:https://doi.org/10.2196/55130.</w:t>
      </w:r>
    </w:p>
    <w:p w14:paraId="3087A180" w14:textId="77777777" w:rsidR="00490B06" w:rsidRPr="00490B06" w:rsidRDefault="00490B06" w:rsidP="00A065EE">
      <w:pPr>
        <w:spacing w:after="240"/>
        <w:jc w:val="both"/>
        <w:rPr>
          <w:rFonts w:cs="Calibri"/>
          <w:szCs w:val="22"/>
        </w:rPr>
      </w:pPr>
      <w:r w:rsidRPr="00490B06">
        <w:rPr>
          <w:rFonts w:cs="Calibri"/>
          <w:szCs w:val="22"/>
        </w:rPr>
        <w:t xml:space="preserve">NHS England (2023) </w:t>
      </w:r>
      <w:r w:rsidRPr="00490B06">
        <w:rPr>
          <w:rFonts w:cs="Calibri"/>
          <w:i/>
          <w:iCs/>
          <w:szCs w:val="22"/>
        </w:rPr>
        <w:t>NHS England» Information governance and data protection</w:t>
      </w:r>
      <w:r w:rsidRPr="00490B06">
        <w:rPr>
          <w:rFonts w:cs="Calibri"/>
          <w:szCs w:val="22"/>
        </w:rPr>
        <w:t xml:space="preserve">, </w:t>
      </w:r>
      <w:r w:rsidRPr="00490B06">
        <w:rPr>
          <w:rFonts w:cs="Calibri"/>
          <w:i/>
          <w:iCs/>
          <w:szCs w:val="22"/>
        </w:rPr>
        <w:t>www.england.nhs.uk</w:t>
      </w:r>
      <w:r w:rsidRPr="00490B06">
        <w:rPr>
          <w:rFonts w:cs="Calibri"/>
          <w:szCs w:val="22"/>
        </w:rPr>
        <w:t>. Available at: https://www.england.nhs.uk/long-read/information-governance-and-data-protection/ (Accessed: 1 December 2025).</w:t>
      </w:r>
    </w:p>
    <w:p w14:paraId="5E4B7DEB" w14:textId="77777777" w:rsidR="00490B06" w:rsidRPr="00490B06" w:rsidRDefault="00490B06" w:rsidP="00A065EE">
      <w:pPr>
        <w:spacing w:after="240"/>
        <w:jc w:val="both"/>
        <w:rPr>
          <w:rFonts w:cs="Calibri"/>
          <w:szCs w:val="22"/>
        </w:rPr>
      </w:pPr>
      <w:r w:rsidRPr="00490B06">
        <w:rPr>
          <w:rFonts w:cs="Calibri"/>
          <w:szCs w:val="22"/>
        </w:rPr>
        <w:t xml:space="preserve">Omboni, S. </w:t>
      </w:r>
      <w:r w:rsidRPr="00490B06">
        <w:rPr>
          <w:rFonts w:cs="Calibri"/>
          <w:i/>
          <w:iCs/>
          <w:szCs w:val="22"/>
        </w:rPr>
        <w:t>et al.</w:t>
      </w:r>
      <w:r w:rsidRPr="00490B06">
        <w:rPr>
          <w:rFonts w:cs="Calibri"/>
          <w:szCs w:val="22"/>
        </w:rPr>
        <w:t xml:space="preserve"> (2022) ‘The worldwide impact of telemedicine during COVID-19: current evidence and recommendations for the future’, </w:t>
      </w:r>
      <w:r w:rsidRPr="00490B06">
        <w:rPr>
          <w:rFonts w:cs="Calibri"/>
          <w:i/>
          <w:iCs/>
          <w:szCs w:val="22"/>
        </w:rPr>
        <w:t>Connected Health</w:t>
      </w:r>
      <w:r w:rsidRPr="00490B06">
        <w:rPr>
          <w:rFonts w:cs="Calibri"/>
          <w:szCs w:val="22"/>
        </w:rPr>
        <w:t>, 1(1). doi:https://doi.org/10.20517/ch.2021.03.</w:t>
      </w:r>
    </w:p>
    <w:p w14:paraId="112A9915" w14:textId="77777777" w:rsidR="00490B06" w:rsidRPr="00490B06" w:rsidRDefault="00490B06" w:rsidP="00A065EE">
      <w:pPr>
        <w:spacing w:after="240"/>
        <w:jc w:val="both"/>
        <w:rPr>
          <w:rFonts w:cs="Calibri"/>
          <w:szCs w:val="22"/>
        </w:rPr>
      </w:pPr>
      <w:r w:rsidRPr="00490B06">
        <w:rPr>
          <w:rFonts w:cs="Calibri"/>
          <w:szCs w:val="22"/>
        </w:rPr>
        <w:t xml:space="preserve">Palozzi, G., Schettini, I. and Chirico, A. (2020) ‘Enhancing the sustainable goal of access to healthcare: Findings from a literature review on telemedicine employment in rural areas’, </w:t>
      </w:r>
      <w:r w:rsidRPr="00490B06">
        <w:rPr>
          <w:rFonts w:cs="Calibri"/>
          <w:i/>
          <w:iCs/>
          <w:szCs w:val="22"/>
        </w:rPr>
        <w:t>Sustainability</w:t>
      </w:r>
      <w:r w:rsidRPr="00490B06">
        <w:rPr>
          <w:rFonts w:cs="Calibri"/>
          <w:szCs w:val="22"/>
        </w:rPr>
        <w:t>, 12(8), p. 3318. doi:https://doi.org/10.3390/su12083318.</w:t>
      </w:r>
    </w:p>
    <w:p w14:paraId="2A3F8602" w14:textId="77777777" w:rsidR="00490B06" w:rsidRPr="00490B06" w:rsidRDefault="00490B06" w:rsidP="00A065EE">
      <w:pPr>
        <w:spacing w:after="240"/>
        <w:jc w:val="both"/>
        <w:rPr>
          <w:rFonts w:cs="Calibri"/>
          <w:szCs w:val="22"/>
        </w:rPr>
      </w:pPr>
      <w:r w:rsidRPr="00490B06">
        <w:rPr>
          <w:rFonts w:cs="Calibri"/>
          <w:szCs w:val="22"/>
        </w:rPr>
        <w:t xml:space="preserve">Park, S., Freeman, J. and Middleton, C. (2019) ‘Intersections between connectivity and digital inclusion in rural communities’, </w:t>
      </w:r>
      <w:r w:rsidRPr="00490B06">
        <w:rPr>
          <w:rFonts w:cs="Calibri"/>
          <w:i/>
          <w:iCs/>
          <w:szCs w:val="22"/>
        </w:rPr>
        <w:t>Communication Research and Practice</w:t>
      </w:r>
      <w:r w:rsidRPr="00490B06">
        <w:rPr>
          <w:rFonts w:cs="Calibri"/>
          <w:szCs w:val="22"/>
        </w:rPr>
        <w:t>, 5(2), pp. 139–155. doi:https://doi.org/10.1080/22041451.2019.1601493.</w:t>
      </w:r>
    </w:p>
    <w:p w14:paraId="6204CA39" w14:textId="77777777" w:rsidR="00490B06" w:rsidRPr="00490B06" w:rsidRDefault="00490B06" w:rsidP="00A065EE">
      <w:pPr>
        <w:spacing w:after="240"/>
        <w:jc w:val="both"/>
        <w:rPr>
          <w:rFonts w:cs="Calibri"/>
          <w:szCs w:val="22"/>
        </w:rPr>
      </w:pPr>
      <w:r w:rsidRPr="00490B06">
        <w:rPr>
          <w:rFonts w:cs="Calibri"/>
          <w:szCs w:val="22"/>
        </w:rPr>
        <w:t xml:space="preserve">Rauner, Y. and Stummer, H. (2025) ‘The socio-technical adoption and diffusion of digital health innovations: The development of the STAD-HC model based on telemedicine in Germany’, </w:t>
      </w:r>
      <w:r w:rsidRPr="00490B06">
        <w:rPr>
          <w:rFonts w:cs="Calibri"/>
          <w:i/>
          <w:iCs/>
          <w:szCs w:val="22"/>
        </w:rPr>
        <w:t>Digital Business</w:t>
      </w:r>
      <w:r w:rsidRPr="00490B06">
        <w:rPr>
          <w:rFonts w:cs="Calibri"/>
          <w:szCs w:val="22"/>
        </w:rPr>
        <w:t>, 5(2), p. 100135. doi:https://doi.org/10.1016/j.digbus.2025.100135.</w:t>
      </w:r>
    </w:p>
    <w:p w14:paraId="6CCEE231" w14:textId="77777777" w:rsidR="00490B06" w:rsidRPr="00490B06" w:rsidRDefault="00490B06" w:rsidP="00A065EE">
      <w:pPr>
        <w:spacing w:after="240"/>
        <w:jc w:val="both"/>
        <w:rPr>
          <w:rFonts w:cs="Calibri"/>
          <w:szCs w:val="22"/>
        </w:rPr>
      </w:pPr>
      <w:r w:rsidRPr="00490B06">
        <w:rPr>
          <w:rFonts w:cs="Calibri"/>
          <w:szCs w:val="22"/>
        </w:rPr>
        <w:t xml:space="preserve">Ravensbergen, L. </w:t>
      </w:r>
      <w:r w:rsidRPr="00490B06">
        <w:rPr>
          <w:rFonts w:cs="Calibri"/>
          <w:i/>
          <w:iCs/>
          <w:szCs w:val="22"/>
        </w:rPr>
        <w:t>et al.</w:t>
      </w:r>
      <w:r w:rsidRPr="00490B06">
        <w:rPr>
          <w:rFonts w:cs="Calibri"/>
          <w:szCs w:val="22"/>
        </w:rPr>
        <w:t xml:space="preserve"> (2019) ‘Voices from the survey margins: Investigating unsolicited comments written in children’s activity-travel diaries’, </w:t>
      </w:r>
      <w:r w:rsidRPr="00490B06">
        <w:rPr>
          <w:rFonts w:cs="Calibri"/>
          <w:i/>
          <w:iCs/>
          <w:szCs w:val="22"/>
        </w:rPr>
        <w:t>Travel Behaviour and Society</w:t>
      </w:r>
      <w:r w:rsidRPr="00490B06">
        <w:rPr>
          <w:rFonts w:cs="Calibri"/>
          <w:szCs w:val="22"/>
        </w:rPr>
        <w:t>, 16, pp. 70–76. doi:https://doi.org/10.1016/j.tbs.2019.04.008.</w:t>
      </w:r>
    </w:p>
    <w:p w14:paraId="57C86ACF" w14:textId="77777777" w:rsidR="00490B06" w:rsidRPr="00490B06" w:rsidRDefault="00490B06" w:rsidP="00A065EE">
      <w:pPr>
        <w:spacing w:after="240"/>
        <w:jc w:val="both"/>
        <w:rPr>
          <w:rFonts w:cs="Calibri"/>
          <w:szCs w:val="22"/>
        </w:rPr>
      </w:pPr>
      <w:r w:rsidRPr="00490B06">
        <w:rPr>
          <w:rFonts w:cs="Calibri"/>
          <w:szCs w:val="22"/>
        </w:rPr>
        <w:lastRenderedPageBreak/>
        <w:t xml:space="preserve">Rich, E., Miah, A. and Lewis, S. (2019) ‘Is digital health care more equitable? The framing of health inequalities within England’s digital health policy 2010–2017’, </w:t>
      </w:r>
      <w:r w:rsidRPr="00490B06">
        <w:rPr>
          <w:rFonts w:cs="Calibri"/>
          <w:i/>
          <w:iCs/>
          <w:szCs w:val="22"/>
        </w:rPr>
        <w:t>Sociology of Health &amp; Illness</w:t>
      </w:r>
      <w:r w:rsidRPr="00490B06">
        <w:rPr>
          <w:rFonts w:cs="Calibri"/>
          <w:szCs w:val="22"/>
        </w:rPr>
        <w:t>, 41(S1), pp. 31–49. doi:https://doi.org/10.1111/1467-9566.12980.</w:t>
      </w:r>
    </w:p>
    <w:p w14:paraId="3EB66E87" w14:textId="77777777" w:rsidR="00490B06" w:rsidRPr="00490B06" w:rsidRDefault="00490B06" w:rsidP="00A065EE">
      <w:pPr>
        <w:spacing w:after="240"/>
        <w:jc w:val="both"/>
        <w:rPr>
          <w:rFonts w:cs="Calibri"/>
          <w:szCs w:val="22"/>
        </w:rPr>
      </w:pPr>
      <w:r w:rsidRPr="00490B06">
        <w:rPr>
          <w:rFonts w:cs="Calibri"/>
          <w:szCs w:val="22"/>
        </w:rPr>
        <w:t xml:space="preserve">Roysen, R. </w:t>
      </w:r>
      <w:r w:rsidRPr="00490B06">
        <w:rPr>
          <w:rFonts w:cs="Calibri"/>
          <w:i/>
          <w:iCs/>
          <w:szCs w:val="22"/>
        </w:rPr>
        <w:t>et al.</w:t>
      </w:r>
      <w:r w:rsidRPr="00490B06">
        <w:rPr>
          <w:rFonts w:cs="Calibri"/>
          <w:szCs w:val="22"/>
        </w:rPr>
        <w:t xml:space="preserve"> (2024) ‘Rethinking the diffusion of grassroots innovations: An embedding framework’, </w:t>
      </w:r>
      <w:r w:rsidRPr="00490B06">
        <w:rPr>
          <w:rFonts w:cs="Calibri"/>
          <w:i/>
          <w:iCs/>
          <w:szCs w:val="22"/>
        </w:rPr>
        <w:t>Technological forecasting &amp; social change/Technological forecasting and social change</w:t>
      </w:r>
      <w:r w:rsidRPr="00490B06">
        <w:rPr>
          <w:rFonts w:cs="Calibri"/>
          <w:szCs w:val="22"/>
        </w:rPr>
        <w:t>, 200, pp. 123156–123156. doi:https://doi.org/10.1016/j.techfore.2023.123156.</w:t>
      </w:r>
    </w:p>
    <w:p w14:paraId="77BAF706" w14:textId="77777777" w:rsidR="00490B06" w:rsidRPr="00490B06" w:rsidRDefault="00490B06" w:rsidP="00A065EE">
      <w:pPr>
        <w:spacing w:after="240"/>
        <w:jc w:val="both"/>
        <w:rPr>
          <w:rFonts w:cs="Calibri"/>
          <w:szCs w:val="22"/>
        </w:rPr>
      </w:pPr>
      <w:r w:rsidRPr="00490B06">
        <w:rPr>
          <w:rFonts w:cs="Calibri"/>
          <w:szCs w:val="22"/>
        </w:rPr>
        <w:t xml:space="preserve">Saeed, S.A. and Masters, R.M. (2021) ‘Disparities in Health Care and the Digital Divide’, </w:t>
      </w:r>
      <w:r w:rsidRPr="00490B06">
        <w:rPr>
          <w:rFonts w:cs="Calibri"/>
          <w:i/>
          <w:iCs/>
          <w:szCs w:val="22"/>
        </w:rPr>
        <w:t>Current Psychiatry Reports</w:t>
      </w:r>
      <w:r w:rsidRPr="00490B06">
        <w:rPr>
          <w:rFonts w:cs="Calibri"/>
          <w:szCs w:val="22"/>
        </w:rPr>
        <w:t>, 23(9), p. 61. doi:https://doi.org/10.1007/s11920-021-01274-4.</w:t>
      </w:r>
    </w:p>
    <w:p w14:paraId="5AA3940B" w14:textId="77777777" w:rsidR="00490B06" w:rsidRPr="00490B06" w:rsidRDefault="00490B06" w:rsidP="00A065EE">
      <w:pPr>
        <w:spacing w:after="240"/>
        <w:jc w:val="both"/>
        <w:rPr>
          <w:rFonts w:cs="Calibri"/>
          <w:szCs w:val="22"/>
        </w:rPr>
      </w:pPr>
      <w:r w:rsidRPr="00490B06">
        <w:rPr>
          <w:rFonts w:cs="Calibri"/>
          <w:szCs w:val="22"/>
        </w:rPr>
        <w:t xml:space="preserve">Sheikh, A. </w:t>
      </w:r>
      <w:r w:rsidRPr="00490B06">
        <w:rPr>
          <w:rFonts w:cs="Calibri"/>
          <w:i/>
          <w:iCs/>
          <w:szCs w:val="22"/>
        </w:rPr>
        <w:t>et al.</w:t>
      </w:r>
      <w:r w:rsidRPr="00490B06">
        <w:rPr>
          <w:rFonts w:cs="Calibri"/>
          <w:szCs w:val="22"/>
        </w:rPr>
        <w:t xml:space="preserve"> (2021) ‘Health Information Technology and Digital Innovation for National Learning Health and Care Systems’, </w:t>
      </w:r>
      <w:r w:rsidRPr="00490B06">
        <w:rPr>
          <w:rFonts w:cs="Calibri"/>
          <w:i/>
          <w:iCs/>
          <w:szCs w:val="22"/>
        </w:rPr>
        <w:t>The Lancet Digital Health</w:t>
      </w:r>
      <w:r w:rsidRPr="00490B06">
        <w:rPr>
          <w:rFonts w:cs="Calibri"/>
          <w:szCs w:val="22"/>
        </w:rPr>
        <w:t>, 3(6), pp. 383–396.</w:t>
      </w:r>
    </w:p>
    <w:p w14:paraId="5073555E" w14:textId="77777777" w:rsidR="00490B06" w:rsidRPr="00490B06" w:rsidRDefault="00490B06" w:rsidP="00A065EE">
      <w:pPr>
        <w:spacing w:after="240"/>
        <w:jc w:val="both"/>
        <w:rPr>
          <w:rFonts w:cs="Calibri"/>
          <w:szCs w:val="22"/>
        </w:rPr>
      </w:pPr>
      <w:r w:rsidRPr="00490B06">
        <w:rPr>
          <w:rFonts w:cs="Calibri"/>
          <w:szCs w:val="22"/>
        </w:rPr>
        <w:t xml:space="preserve">Sinha, N. and Rahul, R. (2024) ‘India’s Digital Health Transformation: Advancements and Challenges in Telemedicine’, </w:t>
      </w:r>
      <w:r w:rsidRPr="00490B06">
        <w:rPr>
          <w:rFonts w:cs="Calibri"/>
          <w:i/>
          <w:iCs/>
          <w:szCs w:val="22"/>
        </w:rPr>
        <w:t>Jurnal Kebidanan Manna</w:t>
      </w:r>
      <w:r w:rsidRPr="00490B06">
        <w:rPr>
          <w:rFonts w:cs="Calibri"/>
          <w:szCs w:val="22"/>
        </w:rPr>
        <w:t>, 3(2), pp. 55–66. doi:https://doi.org/10.58222/jkm.v3i2.1200.</w:t>
      </w:r>
    </w:p>
    <w:p w14:paraId="739EDC26" w14:textId="77777777" w:rsidR="00490B06" w:rsidRPr="00490B06" w:rsidRDefault="00490B06" w:rsidP="00A065EE">
      <w:pPr>
        <w:spacing w:after="240"/>
        <w:jc w:val="both"/>
        <w:rPr>
          <w:rFonts w:cs="Calibri"/>
          <w:szCs w:val="22"/>
        </w:rPr>
      </w:pPr>
      <w:r w:rsidRPr="00490B06">
        <w:rPr>
          <w:rFonts w:cs="Calibri"/>
          <w:szCs w:val="22"/>
        </w:rPr>
        <w:t xml:space="preserve">Spaulding, R.J. </w:t>
      </w:r>
      <w:r w:rsidRPr="00490B06">
        <w:rPr>
          <w:rFonts w:cs="Calibri"/>
          <w:i/>
          <w:iCs/>
          <w:szCs w:val="22"/>
        </w:rPr>
        <w:t>et al.</w:t>
      </w:r>
      <w:r w:rsidRPr="00490B06">
        <w:rPr>
          <w:rFonts w:cs="Calibri"/>
          <w:szCs w:val="22"/>
        </w:rPr>
        <w:t xml:space="preserve"> (2005) ‘Diffusion theory and telemedicine adoption by Kansas health-care providers: Critical factors in telemedicine adoption for improved patient access’, </w:t>
      </w:r>
      <w:r w:rsidRPr="00490B06">
        <w:rPr>
          <w:rFonts w:cs="Calibri"/>
          <w:i/>
          <w:iCs/>
          <w:szCs w:val="22"/>
        </w:rPr>
        <w:t>Journal of Telemedicine and Telecare</w:t>
      </w:r>
      <w:r w:rsidRPr="00490B06">
        <w:rPr>
          <w:rFonts w:cs="Calibri"/>
          <w:szCs w:val="22"/>
        </w:rPr>
        <w:t>, 11(1_suppl), pp. 107–109. doi:https://doi.org/10.1258/1357633054461903.</w:t>
      </w:r>
    </w:p>
    <w:p w14:paraId="30709850" w14:textId="77777777" w:rsidR="00490B06" w:rsidRPr="00490B06" w:rsidRDefault="00490B06" w:rsidP="00A065EE">
      <w:pPr>
        <w:spacing w:after="240"/>
        <w:jc w:val="both"/>
        <w:rPr>
          <w:rFonts w:cs="Calibri"/>
          <w:szCs w:val="22"/>
        </w:rPr>
      </w:pPr>
      <w:r w:rsidRPr="00490B06">
        <w:rPr>
          <w:rFonts w:cs="Calibri"/>
          <w:szCs w:val="22"/>
        </w:rPr>
        <w:t xml:space="preserve">Tan, R.K.J. </w:t>
      </w:r>
      <w:r w:rsidRPr="00490B06">
        <w:rPr>
          <w:rFonts w:cs="Calibri"/>
          <w:i/>
          <w:iCs/>
          <w:szCs w:val="22"/>
        </w:rPr>
        <w:t>et al.</w:t>
      </w:r>
      <w:r w:rsidRPr="00490B06">
        <w:rPr>
          <w:rFonts w:cs="Calibri"/>
          <w:szCs w:val="22"/>
        </w:rPr>
        <w:t xml:space="preserve"> (2022) ‘Digital approaches to enhancing community engagement in clinical trials’, </w:t>
      </w:r>
      <w:r w:rsidRPr="00490B06">
        <w:rPr>
          <w:rFonts w:cs="Calibri"/>
          <w:i/>
          <w:iCs/>
          <w:szCs w:val="22"/>
        </w:rPr>
        <w:t>npj Digital Medicine</w:t>
      </w:r>
      <w:r w:rsidRPr="00490B06">
        <w:rPr>
          <w:rFonts w:cs="Calibri"/>
          <w:szCs w:val="22"/>
        </w:rPr>
        <w:t>, 5(1). doi:https://doi.org/10.1038/s41746-022-00581-1.</w:t>
      </w:r>
    </w:p>
    <w:p w14:paraId="6A900E4D" w14:textId="77777777" w:rsidR="00490B06" w:rsidRPr="00490B06" w:rsidRDefault="00490B06" w:rsidP="00A065EE">
      <w:pPr>
        <w:spacing w:after="240"/>
        <w:jc w:val="both"/>
        <w:rPr>
          <w:rFonts w:cs="Calibri"/>
          <w:szCs w:val="22"/>
        </w:rPr>
      </w:pPr>
      <w:r w:rsidRPr="00490B06">
        <w:rPr>
          <w:rFonts w:cs="Calibri"/>
          <w:szCs w:val="22"/>
        </w:rPr>
        <w:t xml:space="preserve">Thorlu-Bangura, Z. </w:t>
      </w:r>
      <w:r w:rsidRPr="00490B06">
        <w:rPr>
          <w:rFonts w:cs="Calibri"/>
          <w:i/>
          <w:iCs/>
          <w:szCs w:val="22"/>
        </w:rPr>
        <w:t>et al.</w:t>
      </w:r>
      <w:r w:rsidRPr="00490B06">
        <w:rPr>
          <w:rFonts w:cs="Calibri"/>
          <w:szCs w:val="22"/>
        </w:rPr>
        <w:t xml:space="preserve"> (2023) ‘Digital health, cardiometabolic disease and ethnicity: an analysis of United Kingdom government policies from 2010 to 2022’, </w:t>
      </w:r>
      <w:r w:rsidRPr="00490B06">
        <w:rPr>
          <w:rFonts w:cs="Calibri"/>
          <w:i/>
          <w:iCs/>
          <w:szCs w:val="22"/>
        </w:rPr>
        <w:t>Journal of Public Health Policy</w:t>
      </w:r>
      <w:r w:rsidRPr="00490B06">
        <w:rPr>
          <w:rFonts w:cs="Calibri"/>
          <w:szCs w:val="22"/>
        </w:rPr>
        <w:t>, 44, pp. 179–195. doi:https://doi.org/10.1057/s41271-023-00410-z.</w:t>
      </w:r>
    </w:p>
    <w:p w14:paraId="338186A0" w14:textId="77777777" w:rsidR="00490B06" w:rsidRPr="00490B06" w:rsidRDefault="00490B06" w:rsidP="00A065EE">
      <w:pPr>
        <w:spacing w:after="240"/>
        <w:jc w:val="both"/>
        <w:rPr>
          <w:rFonts w:cs="Calibri"/>
          <w:szCs w:val="22"/>
        </w:rPr>
      </w:pPr>
      <w:r w:rsidRPr="00490B06">
        <w:rPr>
          <w:rFonts w:cs="Calibri"/>
          <w:szCs w:val="22"/>
        </w:rPr>
        <w:t xml:space="preserve">Till, S. </w:t>
      </w:r>
      <w:r w:rsidRPr="00490B06">
        <w:rPr>
          <w:rFonts w:cs="Calibri"/>
          <w:i/>
          <w:iCs/>
          <w:szCs w:val="22"/>
        </w:rPr>
        <w:t>et al.</w:t>
      </w:r>
      <w:r w:rsidRPr="00490B06">
        <w:rPr>
          <w:rFonts w:cs="Calibri"/>
          <w:szCs w:val="22"/>
        </w:rPr>
        <w:t xml:space="preserve"> (2022) ‘Digital Health Technologies for Maternal and Child Health in Africa and Other Low- and Middle-Income Countries: Cross-disciplinary Scoping Review With Stakeholder Consultation’, </w:t>
      </w:r>
      <w:r w:rsidRPr="00490B06">
        <w:rPr>
          <w:rFonts w:cs="Calibri"/>
          <w:i/>
          <w:iCs/>
          <w:szCs w:val="22"/>
        </w:rPr>
        <w:t>Journal of Medical Internet Research</w:t>
      </w:r>
      <w:r w:rsidRPr="00490B06">
        <w:rPr>
          <w:rFonts w:cs="Calibri"/>
          <w:szCs w:val="22"/>
        </w:rPr>
        <w:t>, 25, p. 42161. doi:https://doi.org/10.2196/42161.</w:t>
      </w:r>
    </w:p>
    <w:p w14:paraId="0B167C20" w14:textId="77777777" w:rsidR="00490B06" w:rsidRPr="00490B06" w:rsidRDefault="00490B06" w:rsidP="00A065EE">
      <w:pPr>
        <w:spacing w:after="240"/>
        <w:jc w:val="both"/>
        <w:rPr>
          <w:rFonts w:cs="Calibri"/>
          <w:szCs w:val="22"/>
        </w:rPr>
      </w:pPr>
      <w:r w:rsidRPr="00490B06">
        <w:rPr>
          <w:rFonts w:cs="Calibri"/>
          <w:szCs w:val="22"/>
        </w:rPr>
        <w:t xml:space="preserve">United Nations (2015) </w:t>
      </w:r>
      <w:r w:rsidRPr="00490B06">
        <w:rPr>
          <w:rFonts w:cs="Calibri"/>
          <w:i/>
          <w:iCs/>
          <w:szCs w:val="22"/>
        </w:rPr>
        <w:t>The 17 sustainable development goals</w:t>
      </w:r>
      <w:r w:rsidRPr="00490B06">
        <w:rPr>
          <w:rFonts w:cs="Calibri"/>
          <w:szCs w:val="22"/>
        </w:rPr>
        <w:t xml:space="preserve">, </w:t>
      </w:r>
      <w:r w:rsidRPr="00490B06">
        <w:rPr>
          <w:rFonts w:cs="Calibri"/>
          <w:i/>
          <w:iCs/>
          <w:szCs w:val="22"/>
        </w:rPr>
        <w:t>United Nations</w:t>
      </w:r>
      <w:r w:rsidRPr="00490B06">
        <w:rPr>
          <w:rFonts w:cs="Calibri"/>
          <w:szCs w:val="22"/>
        </w:rPr>
        <w:t>. Available at: https://sdgs.un.org/goals (Accessed: 1 December 2025).</w:t>
      </w:r>
    </w:p>
    <w:p w14:paraId="78A47C7D" w14:textId="77777777" w:rsidR="00490B06" w:rsidRPr="00490B06" w:rsidRDefault="00490B06" w:rsidP="00A065EE">
      <w:pPr>
        <w:spacing w:after="240"/>
        <w:jc w:val="both"/>
        <w:rPr>
          <w:rFonts w:cs="Calibri"/>
          <w:szCs w:val="22"/>
        </w:rPr>
      </w:pPr>
      <w:r w:rsidRPr="00490B06">
        <w:rPr>
          <w:rFonts w:cs="Calibri"/>
          <w:szCs w:val="22"/>
        </w:rPr>
        <w:lastRenderedPageBreak/>
        <w:t xml:space="preserve">Wang, M. </w:t>
      </w:r>
      <w:r w:rsidRPr="00490B06">
        <w:rPr>
          <w:rFonts w:cs="Calibri"/>
          <w:i/>
          <w:iCs/>
          <w:szCs w:val="22"/>
        </w:rPr>
        <w:t>et al.</w:t>
      </w:r>
      <w:r w:rsidRPr="00490B06">
        <w:rPr>
          <w:rFonts w:cs="Calibri"/>
          <w:szCs w:val="22"/>
        </w:rPr>
        <w:t xml:space="preserve"> (2025) ‘Development and TAM-Based Validation of a User Experience Scale for Actual System Use in Online Courses’, </w:t>
      </w:r>
      <w:r w:rsidRPr="00490B06">
        <w:rPr>
          <w:rFonts w:cs="Calibri"/>
          <w:i/>
          <w:iCs/>
          <w:szCs w:val="22"/>
        </w:rPr>
        <w:t>Education Sciences</w:t>
      </w:r>
      <w:r w:rsidRPr="00490B06">
        <w:rPr>
          <w:rFonts w:cs="Calibri"/>
          <w:szCs w:val="22"/>
        </w:rPr>
        <w:t>, 15(7), pp. 855–855. doi:https://doi.org/10.3390/educsci15070855.</w:t>
      </w:r>
    </w:p>
    <w:p w14:paraId="5948AF56" w14:textId="77777777" w:rsidR="00490B06" w:rsidRPr="00490B06" w:rsidRDefault="00490B06" w:rsidP="00A065EE">
      <w:pPr>
        <w:spacing w:after="240"/>
        <w:jc w:val="both"/>
        <w:rPr>
          <w:rFonts w:cs="Calibri"/>
          <w:szCs w:val="22"/>
        </w:rPr>
      </w:pPr>
      <w:r w:rsidRPr="00490B06">
        <w:rPr>
          <w:rFonts w:cs="Calibri"/>
          <w:szCs w:val="22"/>
        </w:rPr>
        <w:t xml:space="preserve">WHO (2021) </w:t>
      </w:r>
      <w:r w:rsidRPr="00490B06">
        <w:rPr>
          <w:rFonts w:cs="Calibri"/>
          <w:i/>
          <w:iCs/>
          <w:szCs w:val="22"/>
        </w:rPr>
        <w:t>Global strategy on digital health 2020-2025</w:t>
      </w:r>
      <w:r w:rsidRPr="00490B06">
        <w:rPr>
          <w:rFonts w:cs="Calibri"/>
          <w:szCs w:val="22"/>
        </w:rPr>
        <w:t>. Available at: https://www.who.int/docs/default-source/documents/gs4dhdaa2a9f352b0445bafbc79ca799dce4d.pdf (Accessed: 1 December 2025).</w:t>
      </w:r>
    </w:p>
    <w:p w14:paraId="547B4DAF" w14:textId="77777777" w:rsidR="00490B06" w:rsidRPr="00490B06" w:rsidRDefault="00490B06" w:rsidP="00A065EE">
      <w:pPr>
        <w:spacing w:after="240"/>
        <w:jc w:val="both"/>
        <w:rPr>
          <w:rFonts w:cs="Calibri"/>
          <w:szCs w:val="22"/>
        </w:rPr>
      </w:pPr>
      <w:r w:rsidRPr="00490B06">
        <w:rPr>
          <w:rFonts w:cs="Calibri"/>
          <w:szCs w:val="22"/>
        </w:rPr>
        <w:t xml:space="preserve">Woods, L. </w:t>
      </w:r>
      <w:r w:rsidRPr="00490B06">
        <w:rPr>
          <w:rFonts w:cs="Calibri"/>
          <w:i/>
          <w:iCs/>
          <w:szCs w:val="22"/>
        </w:rPr>
        <w:t>et al.</w:t>
      </w:r>
      <w:r w:rsidRPr="00490B06">
        <w:rPr>
          <w:rFonts w:cs="Calibri"/>
          <w:szCs w:val="22"/>
        </w:rPr>
        <w:t xml:space="preserve"> (2024) ‘Strengthening rural healthcare outcomes through digital health: qualitative multi-site case study’, </w:t>
      </w:r>
      <w:r w:rsidRPr="00490B06">
        <w:rPr>
          <w:rFonts w:cs="Calibri"/>
          <w:i/>
          <w:iCs/>
          <w:szCs w:val="22"/>
        </w:rPr>
        <w:t>BMC Health Services Research</w:t>
      </w:r>
      <w:r w:rsidRPr="00490B06">
        <w:rPr>
          <w:rFonts w:cs="Calibri"/>
          <w:szCs w:val="22"/>
        </w:rPr>
        <w:t>, 24(1). doi:https://doi.org/10.1186/s12913-024-11402-4.</w:t>
      </w:r>
    </w:p>
    <w:p w14:paraId="19600B71" w14:textId="77777777" w:rsidR="00490B06" w:rsidRPr="00490B06" w:rsidRDefault="00490B06" w:rsidP="00A065EE">
      <w:pPr>
        <w:spacing w:after="240"/>
        <w:jc w:val="both"/>
        <w:rPr>
          <w:rFonts w:cs="Calibri"/>
          <w:szCs w:val="22"/>
        </w:rPr>
      </w:pPr>
      <w:r w:rsidRPr="00490B06">
        <w:rPr>
          <w:rFonts w:cs="Calibri"/>
          <w:szCs w:val="22"/>
        </w:rPr>
        <w:t xml:space="preserve">World Bank (2023) </w:t>
      </w:r>
      <w:r w:rsidRPr="00490B06">
        <w:rPr>
          <w:rFonts w:cs="Calibri"/>
          <w:i/>
          <w:iCs/>
          <w:szCs w:val="22"/>
        </w:rPr>
        <w:t>DIGITAL-IN-HEALTH Unlocking the Value for Everyone</w:t>
      </w:r>
      <w:r w:rsidRPr="00490B06">
        <w:rPr>
          <w:rFonts w:cs="Calibri"/>
          <w:szCs w:val="22"/>
        </w:rPr>
        <w:t>. Available at: https://documents1.worldbank.org/curated/en/099081723223033632/pdf/P17507505033520b109f180abcad94cfd14.pdf (Accessed: 1 December 2025).</w:t>
      </w:r>
    </w:p>
    <w:p w14:paraId="14A3B1DD" w14:textId="77777777" w:rsidR="00490B06" w:rsidRPr="00490B06" w:rsidRDefault="00490B06" w:rsidP="00A065EE">
      <w:pPr>
        <w:spacing w:after="240"/>
        <w:jc w:val="both"/>
        <w:rPr>
          <w:rFonts w:cs="Calibri"/>
          <w:szCs w:val="22"/>
        </w:rPr>
      </w:pPr>
      <w:r w:rsidRPr="00490B06">
        <w:rPr>
          <w:rFonts w:cs="Calibri"/>
          <w:szCs w:val="22"/>
        </w:rPr>
        <w:t xml:space="preserve">Yao, L. </w:t>
      </w:r>
      <w:r w:rsidRPr="00490B06">
        <w:rPr>
          <w:rFonts w:cs="Calibri"/>
          <w:i/>
          <w:iCs/>
          <w:szCs w:val="22"/>
        </w:rPr>
        <w:t>et al.</w:t>
      </w:r>
      <w:r w:rsidRPr="00490B06">
        <w:rPr>
          <w:rFonts w:cs="Calibri"/>
          <w:szCs w:val="22"/>
        </w:rPr>
        <w:t xml:space="preserve"> (2025) ‘Factors influencing the adoption of telemedicine services among middle-aged and older patients with chronic conditions in rural China: a multicentre cross-sectional study’, </w:t>
      </w:r>
      <w:r w:rsidRPr="00490B06">
        <w:rPr>
          <w:rFonts w:cs="Calibri"/>
          <w:i/>
          <w:iCs/>
          <w:szCs w:val="22"/>
        </w:rPr>
        <w:t>BMC Health Services Research</w:t>
      </w:r>
      <w:r w:rsidRPr="00490B06">
        <w:rPr>
          <w:rFonts w:cs="Calibri"/>
          <w:szCs w:val="22"/>
        </w:rPr>
        <w:t>, 25(1). doi:https://doi.org/10.1186/s12913-025-12931-2.</w:t>
      </w:r>
    </w:p>
    <w:p w14:paraId="66EB2D85" w14:textId="77777777" w:rsidR="00490B06" w:rsidRPr="00490B06" w:rsidRDefault="00490B06" w:rsidP="00A065EE">
      <w:pPr>
        <w:spacing w:after="240"/>
        <w:jc w:val="both"/>
        <w:rPr>
          <w:rFonts w:cs="Calibri"/>
          <w:szCs w:val="22"/>
        </w:rPr>
      </w:pPr>
      <w:r w:rsidRPr="00490B06">
        <w:rPr>
          <w:rFonts w:cs="Calibri"/>
          <w:szCs w:val="22"/>
        </w:rPr>
        <w:t xml:space="preserve">Zhang, X. </w:t>
      </w:r>
      <w:r w:rsidRPr="00490B06">
        <w:rPr>
          <w:rFonts w:cs="Calibri"/>
          <w:i/>
          <w:iCs/>
          <w:szCs w:val="22"/>
        </w:rPr>
        <w:t>et al.</w:t>
      </w:r>
      <w:r w:rsidRPr="00490B06">
        <w:rPr>
          <w:rFonts w:cs="Calibri"/>
          <w:szCs w:val="22"/>
        </w:rPr>
        <w:t xml:space="preserve"> (2015) ‘Using diffusion of innovation theory to understand the factors impacting patient acceptance and use of consumer e-health innovations: a case study in a primary care clinic’, </w:t>
      </w:r>
      <w:r w:rsidRPr="00490B06">
        <w:rPr>
          <w:rFonts w:cs="Calibri"/>
          <w:i/>
          <w:iCs/>
          <w:szCs w:val="22"/>
        </w:rPr>
        <w:t>BMC Health Services Research</w:t>
      </w:r>
      <w:r w:rsidRPr="00490B06">
        <w:rPr>
          <w:rFonts w:cs="Calibri"/>
          <w:szCs w:val="22"/>
        </w:rPr>
        <w:t>, 15(1). doi:https://doi.org/10.1186/s12913-015-0726-2.</w:t>
      </w:r>
    </w:p>
    <w:p w14:paraId="1A4C47A9" w14:textId="77777777" w:rsidR="00131D7D" w:rsidRDefault="00131D7D" w:rsidP="00131D7D">
      <w:pPr>
        <w:rPr>
          <w:lang w:eastAsia="en-US"/>
        </w:rPr>
      </w:pPr>
    </w:p>
    <w:p w14:paraId="25067CD2" w14:textId="77777777" w:rsidR="00BA2A8C" w:rsidRDefault="00BA2A8C" w:rsidP="00131D7D">
      <w:pPr>
        <w:rPr>
          <w:lang w:eastAsia="en-US"/>
        </w:rPr>
      </w:pPr>
    </w:p>
    <w:p w14:paraId="0AEE7518" w14:textId="77777777" w:rsidR="00BA2A8C" w:rsidRDefault="00BA2A8C" w:rsidP="00131D7D">
      <w:pPr>
        <w:rPr>
          <w:lang w:eastAsia="en-US"/>
        </w:rPr>
      </w:pPr>
    </w:p>
    <w:p w14:paraId="72DD501F" w14:textId="77777777" w:rsidR="00BA2A8C" w:rsidRDefault="00BA2A8C" w:rsidP="00131D7D">
      <w:pPr>
        <w:rPr>
          <w:lang w:eastAsia="en-US"/>
        </w:rPr>
      </w:pPr>
    </w:p>
    <w:p w14:paraId="54A19600" w14:textId="77777777" w:rsidR="00BA2A8C" w:rsidRDefault="00BA2A8C" w:rsidP="00131D7D">
      <w:pPr>
        <w:rPr>
          <w:lang w:eastAsia="en-US"/>
        </w:rPr>
      </w:pPr>
    </w:p>
    <w:p w14:paraId="0E866CD0" w14:textId="77777777" w:rsidR="00BA2A8C" w:rsidRDefault="00BA2A8C" w:rsidP="00131D7D">
      <w:pPr>
        <w:rPr>
          <w:lang w:eastAsia="en-US"/>
        </w:rPr>
      </w:pPr>
    </w:p>
    <w:p w14:paraId="3A2D3ED2" w14:textId="77777777" w:rsidR="0028215F" w:rsidRDefault="0028215F" w:rsidP="00131D7D">
      <w:pPr>
        <w:rPr>
          <w:lang w:eastAsia="en-US"/>
        </w:rPr>
        <w:sectPr w:rsidR="0028215F">
          <w:footerReference w:type="even" r:id="rId15"/>
          <w:footerReference w:type="default" r:id="rId16"/>
          <w:pgSz w:w="11906" w:h="16838"/>
          <w:pgMar w:top="1440" w:right="1440" w:bottom="1440" w:left="1440" w:header="708" w:footer="708" w:gutter="0"/>
          <w:cols w:space="708"/>
          <w:docGrid w:linePitch="360"/>
        </w:sectPr>
      </w:pPr>
    </w:p>
    <w:p w14:paraId="6016A312" w14:textId="65AEB6FD" w:rsidR="0039311A" w:rsidRDefault="0039311A" w:rsidP="00006876">
      <w:pPr>
        <w:pStyle w:val="Heading1"/>
        <w:jc w:val="both"/>
      </w:pPr>
      <w:bookmarkStart w:id="49" w:name="_Toc220350683"/>
      <w:r>
        <w:lastRenderedPageBreak/>
        <w:t>Appendices</w:t>
      </w:r>
      <w:bookmarkEnd w:id="49"/>
    </w:p>
    <w:p w14:paraId="2BBDCA03" w14:textId="0778F29F" w:rsidR="00BA2A8C" w:rsidRPr="00BA2A8C" w:rsidRDefault="00423EE3" w:rsidP="00423EE3">
      <w:pPr>
        <w:pStyle w:val="Heading2"/>
      </w:pPr>
      <w:bookmarkStart w:id="50" w:name="_Toc220350684"/>
      <w:r>
        <w:t>Source Tracking Table</w:t>
      </w:r>
      <w:bookmarkEnd w:id="50"/>
    </w:p>
    <w:tbl>
      <w:tblPr>
        <w:tblStyle w:val="TableGrid"/>
        <w:tblW w:w="5000" w:type="pct"/>
        <w:tblLayout w:type="fixed"/>
        <w:tblLook w:val="04A0" w:firstRow="1" w:lastRow="0" w:firstColumn="1" w:lastColumn="0" w:noHBand="0" w:noVBand="1"/>
      </w:tblPr>
      <w:tblGrid>
        <w:gridCol w:w="845"/>
        <w:gridCol w:w="1844"/>
        <w:gridCol w:w="2268"/>
        <w:gridCol w:w="3261"/>
        <w:gridCol w:w="3406"/>
        <w:gridCol w:w="2324"/>
      </w:tblGrid>
      <w:tr w:rsidR="004D0DB2" w:rsidRPr="00A55CAF" w14:paraId="6B6F74C8" w14:textId="77777777" w:rsidTr="0028215F">
        <w:tc>
          <w:tcPr>
            <w:tcW w:w="303" w:type="pct"/>
            <w:hideMark/>
          </w:tcPr>
          <w:p w14:paraId="1FCDF39F" w14:textId="77777777" w:rsidR="004D0DB2" w:rsidRPr="00A55CAF" w:rsidRDefault="004D0DB2" w:rsidP="00006876">
            <w:pPr>
              <w:jc w:val="both"/>
              <w:rPr>
                <w:rFonts w:cs="Calibri"/>
                <w:b/>
                <w:bCs/>
                <w:szCs w:val="22"/>
              </w:rPr>
            </w:pPr>
            <w:r w:rsidRPr="00A55CAF">
              <w:rPr>
                <w:rFonts w:cs="Calibri"/>
                <w:b/>
                <w:bCs/>
                <w:szCs w:val="22"/>
              </w:rPr>
              <w:t>Saved?</w:t>
            </w:r>
          </w:p>
        </w:tc>
        <w:tc>
          <w:tcPr>
            <w:tcW w:w="661" w:type="pct"/>
            <w:hideMark/>
          </w:tcPr>
          <w:p w14:paraId="3B07D91A" w14:textId="77777777" w:rsidR="004D0DB2" w:rsidRPr="00A55CAF" w:rsidRDefault="004D0DB2" w:rsidP="00006876">
            <w:pPr>
              <w:jc w:val="both"/>
              <w:rPr>
                <w:rFonts w:cs="Calibri"/>
                <w:b/>
                <w:bCs/>
                <w:szCs w:val="22"/>
              </w:rPr>
            </w:pPr>
            <w:r w:rsidRPr="00A55CAF">
              <w:rPr>
                <w:rFonts w:cs="Calibri"/>
                <w:b/>
                <w:bCs/>
                <w:szCs w:val="22"/>
              </w:rPr>
              <w:t>Author &amp; Year</w:t>
            </w:r>
          </w:p>
        </w:tc>
        <w:tc>
          <w:tcPr>
            <w:tcW w:w="813" w:type="pct"/>
            <w:hideMark/>
          </w:tcPr>
          <w:p w14:paraId="37209915" w14:textId="77777777" w:rsidR="004D0DB2" w:rsidRPr="00A55CAF" w:rsidRDefault="004D0DB2" w:rsidP="00006876">
            <w:pPr>
              <w:jc w:val="both"/>
              <w:rPr>
                <w:rFonts w:cs="Calibri"/>
                <w:b/>
                <w:bCs/>
                <w:szCs w:val="22"/>
              </w:rPr>
            </w:pPr>
            <w:r w:rsidRPr="00A55CAF">
              <w:rPr>
                <w:rFonts w:cs="Calibri"/>
                <w:b/>
                <w:bCs/>
                <w:szCs w:val="22"/>
              </w:rPr>
              <w:t>Title</w:t>
            </w:r>
          </w:p>
        </w:tc>
        <w:tc>
          <w:tcPr>
            <w:tcW w:w="1169" w:type="pct"/>
            <w:hideMark/>
          </w:tcPr>
          <w:p w14:paraId="789D7DE9" w14:textId="77777777" w:rsidR="004D0DB2" w:rsidRPr="00A55CAF" w:rsidRDefault="004D0DB2" w:rsidP="00006876">
            <w:pPr>
              <w:jc w:val="both"/>
              <w:rPr>
                <w:rFonts w:cs="Calibri"/>
                <w:b/>
                <w:bCs/>
                <w:szCs w:val="22"/>
              </w:rPr>
            </w:pPr>
            <w:r w:rsidRPr="00A55CAF">
              <w:rPr>
                <w:rFonts w:cs="Calibri"/>
                <w:b/>
                <w:bCs/>
                <w:szCs w:val="22"/>
              </w:rPr>
              <w:t>Summary</w:t>
            </w:r>
          </w:p>
        </w:tc>
        <w:tc>
          <w:tcPr>
            <w:tcW w:w="1221" w:type="pct"/>
            <w:hideMark/>
          </w:tcPr>
          <w:p w14:paraId="4CF45831" w14:textId="77777777" w:rsidR="004D0DB2" w:rsidRPr="00A55CAF" w:rsidRDefault="004D0DB2" w:rsidP="00006876">
            <w:pPr>
              <w:jc w:val="both"/>
              <w:rPr>
                <w:rFonts w:cs="Calibri"/>
                <w:b/>
                <w:bCs/>
                <w:szCs w:val="22"/>
              </w:rPr>
            </w:pPr>
            <w:r w:rsidRPr="00A55CAF">
              <w:rPr>
                <w:rFonts w:cs="Calibri"/>
                <w:b/>
                <w:bCs/>
                <w:szCs w:val="22"/>
              </w:rPr>
              <w:t>CRAAP Notes</w:t>
            </w:r>
          </w:p>
        </w:tc>
        <w:tc>
          <w:tcPr>
            <w:tcW w:w="833" w:type="pct"/>
            <w:hideMark/>
          </w:tcPr>
          <w:p w14:paraId="54E83614" w14:textId="52DA3AD3" w:rsidR="004D0DB2" w:rsidRPr="00A55CAF" w:rsidRDefault="004D0DB2" w:rsidP="00006876">
            <w:pPr>
              <w:jc w:val="both"/>
              <w:rPr>
                <w:rFonts w:cs="Calibri"/>
                <w:b/>
                <w:bCs/>
                <w:szCs w:val="22"/>
              </w:rPr>
            </w:pPr>
            <w:r w:rsidRPr="00A55CAF">
              <w:rPr>
                <w:rFonts w:cs="Calibri"/>
                <w:b/>
                <w:bCs/>
                <w:szCs w:val="22"/>
              </w:rPr>
              <w:t xml:space="preserve">File Name / Link to Source </w:t>
            </w:r>
          </w:p>
        </w:tc>
      </w:tr>
      <w:tr w:rsidR="004D0DB2" w:rsidRPr="00A55CAF" w14:paraId="21D699EA" w14:textId="77777777" w:rsidTr="0028215F">
        <w:tc>
          <w:tcPr>
            <w:tcW w:w="303" w:type="pct"/>
            <w:hideMark/>
          </w:tcPr>
          <w:p w14:paraId="2DDFFC7E" w14:textId="77777777" w:rsidR="004D0DB2" w:rsidRPr="00A55CAF" w:rsidRDefault="004D0DB2" w:rsidP="00006876">
            <w:pPr>
              <w:jc w:val="both"/>
              <w:rPr>
                <w:rFonts w:cs="Calibri"/>
                <w:szCs w:val="22"/>
              </w:rPr>
            </w:pPr>
            <w:r w:rsidRPr="00A55CAF">
              <w:rPr>
                <w:rFonts w:cs="Calibri"/>
                <w:szCs w:val="22"/>
              </w:rPr>
              <w:t>Yes</w:t>
            </w:r>
          </w:p>
        </w:tc>
        <w:tc>
          <w:tcPr>
            <w:tcW w:w="661" w:type="pct"/>
            <w:hideMark/>
          </w:tcPr>
          <w:p w14:paraId="04E62D8B" w14:textId="622EB8E4" w:rsidR="004D0DB2" w:rsidRPr="00A55CAF" w:rsidRDefault="004D0DB2" w:rsidP="00006876">
            <w:pPr>
              <w:jc w:val="both"/>
              <w:rPr>
                <w:rFonts w:cs="Calibri"/>
                <w:szCs w:val="22"/>
              </w:rPr>
            </w:pPr>
            <w:r w:rsidRPr="00A55CAF">
              <w:rPr>
                <w:rFonts w:cs="Calibri"/>
                <w:szCs w:val="22"/>
              </w:rPr>
              <w:t xml:space="preserve">Kitole </w:t>
            </w:r>
            <w:r w:rsidR="00D10C9F" w:rsidRPr="00A55CAF">
              <w:rPr>
                <w:rFonts w:cs="Calibri"/>
                <w:szCs w:val="22"/>
              </w:rPr>
              <w:t>and</w:t>
            </w:r>
            <w:r w:rsidRPr="00A55CAF">
              <w:rPr>
                <w:rFonts w:cs="Calibri"/>
                <w:szCs w:val="22"/>
              </w:rPr>
              <w:t xml:space="preserve"> Shukla (2024)</w:t>
            </w:r>
          </w:p>
        </w:tc>
        <w:tc>
          <w:tcPr>
            <w:tcW w:w="813" w:type="pct"/>
            <w:hideMark/>
          </w:tcPr>
          <w:p w14:paraId="0D6DD0B7" w14:textId="77777777" w:rsidR="004D0DB2" w:rsidRPr="00A55CAF" w:rsidRDefault="004D0DB2" w:rsidP="00006876">
            <w:pPr>
              <w:jc w:val="both"/>
              <w:rPr>
                <w:rFonts w:cs="Calibri"/>
                <w:szCs w:val="22"/>
              </w:rPr>
            </w:pPr>
            <w:r w:rsidRPr="00A55CAF">
              <w:rPr>
                <w:rFonts w:cs="Calibri"/>
                <w:i/>
                <w:iCs/>
                <w:szCs w:val="22"/>
              </w:rPr>
              <w:t>Cloud Horizons: Strengthening Rural Healthcare Through Telemedicine’s Digital Canopy</w:t>
            </w:r>
          </w:p>
        </w:tc>
        <w:tc>
          <w:tcPr>
            <w:tcW w:w="1169" w:type="pct"/>
            <w:hideMark/>
          </w:tcPr>
          <w:p w14:paraId="48ECBE31" w14:textId="77777777" w:rsidR="004D0DB2" w:rsidRPr="00A55CAF" w:rsidRDefault="004D0DB2" w:rsidP="00006876">
            <w:pPr>
              <w:jc w:val="both"/>
              <w:rPr>
                <w:rFonts w:cs="Calibri"/>
                <w:szCs w:val="22"/>
              </w:rPr>
            </w:pPr>
            <w:r w:rsidRPr="00A55CAF">
              <w:rPr>
                <w:rFonts w:cs="Calibri"/>
                <w:szCs w:val="22"/>
              </w:rPr>
              <w:t>Tanzania rural district; cloud-based telemedicine determinants (demand/supply/institutional); reported access, timeliness, cost efficiency gains</w:t>
            </w:r>
          </w:p>
        </w:tc>
        <w:tc>
          <w:tcPr>
            <w:tcW w:w="1221" w:type="pct"/>
            <w:hideMark/>
          </w:tcPr>
          <w:p w14:paraId="3D49431B" w14:textId="77777777" w:rsidR="004D0DB2" w:rsidRPr="00A55CAF" w:rsidRDefault="004D0DB2" w:rsidP="00006876">
            <w:pPr>
              <w:jc w:val="both"/>
              <w:rPr>
                <w:rFonts w:cs="Calibri"/>
                <w:szCs w:val="22"/>
              </w:rPr>
            </w:pPr>
            <w:r w:rsidRPr="00A55CAF">
              <w:rPr>
                <w:rFonts w:cs="Calibri"/>
                <w:szCs w:val="22"/>
              </w:rPr>
              <w:t>C: 2024 high; R: rural LMIC + adoption/outcomes; A: peer-reviewed journal; Ac: mixed methods, clear factors; P: research/evaluation</w:t>
            </w:r>
          </w:p>
        </w:tc>
        <w:tc>
          <w:tcPr>
            <w:tcW w:w="833" w:type="pct"/>
            <w:hideMark/>
          </w:tcPr>
          <w:p w14:paraId="3EA02C77" w14:textId="77777777" w:rsidR="004D0DB2" w:rsidRPr="00A55CAF" w:rsidRDefault="004D0DB2" w:rsidP="00006876">
            <w:pPr>
              <w:jc w:val="both"/>
              <w:rPr>
                <w:rFonts w:cs="Calibri"/>
                <w:szCs w:val="22"/>
              </w:rPr>
            </w:pPr>
            <w:r w:rsidRPr="00A55CAF">
              <w:rPr>
                <w:rFonts w:cs="Calibri"/>
                <w:szCs w:val="22"/>
              </w:rPr>
              <w:t>D:\Dissertation\Sources\01_Kitole_Shukla_2024_CloudHorizons.pdf (DOI: 10.1177/11786329241284401)</w:t>
            </w:r>
          </w:p>
        </w:tc>
      </w:tr>
      <w:tr w:rsidR="004D0DB2" w:rsidRPr="00A55CAF" w14:paraId="2551147E" w14:textId="77777777" w:rsidTr="0028215F">
        <w:tc>
          <w:tcPr>
            <w:tcW w:w="303" w:type="pct"/>
            <w:hideMark/>
          </w:tcPr>
          <w:p w14:paraId="40DB60D4" w14:textId="77777777" w:rsidR="004D0DB2" w:rsidRPr="00A55CAF" w:rsidRDefault="004D0DB2" w:rsidP="00006876">
            <w:pPr>
              <w:jc w:val="both"/>
              <w:rPr>
                <w:rFonts w:cs="Calibri"/>
                <w:szCs w:val="22"/>
              </w:rPr>
            </w:pPr>
            <w:r w:rsidRPr="00A55CAF">
              <w:rPr>
                <w:rFonts w:cs="Calibri"/>
                <w:szCs w:val="22"/>
              </w:rPr>
              <w:t>Yes</w:t>
            </w:r>
          </w:p>
        </w:tc>
        <w:tc>
          <w:tcPr>
            <w:tcW w:w="661" w:type="pct"/>
            <w:hideMark/>
          </w:tcPr>
          <w:p w14:paraId="3B1E6F0C" w14:textId="77777777" w:rsidR="004D0DB2" w:rsidRPr="00A55CAF" w:rsidRDefault="004D0DB2" w:rsidP="00006876">
            <w:pPr>
              <w:jc w:val="both"/>
              <w:rPr>
                <w:rFonts w:cs="Calibri"/>
                <w:szCs w:val="22"/>
              </w:rPr>
            </w:pPr>
            <w:r w:rsidRPr="00A55CAF">
              <w:rPr>
                <w:rFonts w:cs="Calibri"/>
                <w:szCs w:val="22"/>
              </w:rPr>
              <w:t>Du et al. (2022)</w:t>
            </w:r>
          </w:p>
        </w:tc>
        <w:tc>
          <w:tcPr>
            <w:tcW w:w="813" w:type="pct"/>
            <w:hideMark/>
          </w:tcPr>
          <w:p w14:paraId="1996E485" w14:textId="77777777" w:rsidR="004D0DB2" w:rsidRPr="00A55CAF" w:rsidRDefault="004D0DB2" w:rsidP="00006876">
            <w:pPr>
              <w:jc w:val="both"/>
              <w:rPr>
                <w:rFonts w:cs="Calibri"/>
                <w:szCs w:val="22"/>
              </w:rPr>
            </w:pPr>
            <w:r w:rsidRPr="00A55CAF">
              <w:rPr>
                <w:rFonts w:cs="Calibri"/>
                <w:i/>
                <w:iCs/>
                <w:szCs w:val="22"/>
              </w:rPr>
              <w:t>Factors Influencing Adoption and Use of Telemedicine Services in Rural Areas of China</w:t>
            </w:r>
          </w:p>
        </w:tc>
        <w:tc>
          <w:tcPr>
            <w:tcW w:w="1169" w:type="pct"/>
            <w:hideMark/>
          </w:tcPr>
          <w:p w14:paraId="4CC98EE5" w14:textId="77777777" w:rsidR="004D0DB2" w:rsidRPr="00A55CAF" w:rsidRDefault="004D0DB2" w:rsidP="00006876">
            <w:pPr>
              <w:jc w:val="both"/>
              <w:rPr>
                <w:rFonts w:cs="Calibri"/>
                <w:szCs w:val="22"/>
              </w:rPr>
            </w:pPr>
            <w:r w:rsidRPr="00A55CAF">
              <w:rPr>
                <w:rFonts w:cs="Calibri"/>
                <w:szCs w:val="22"/>
              </w:rPr>
              <w:t>Rural China; extremely low telemedicine use; barriers: knowledge, trust, self-efficacy, support; mixed methods</w:t>
            </w:r>
          </w:p>
        </w:tc>
        <w:tc>
          <w:tcPr>
            <w:tcW w:w="1221" w:type="pct"/>
            <w:hideMark/>
          </w:tcPr>
          <w:p w14:paraId="6B7BB317" w14:textId="77777777" w:rsidR="004D0DB2" w:rsidRPr="00A55CAF" w:rsidRDefault="004D0DB2" w:rsidP="00006876">
            <w:pPr>
              <w:jc w:val="both"/>
              <w:rPr>
                <w:rFonts w:cs="Calibri"/>
                <w:szCs w:val="22"/>
              </w:rPr>
            </w:pPr>
            <w:r w:rsidRPr="00A55CAF">
              <w:rPr>
                <w:rFonts w:cs="Calibri"/>
                <w:szCs w:val="22"/>
              </w:rPr>
              <w:t>C: 2022 strong; R: rural adoption barriers; A: JMIR; Ac: survey + interviews; P: explanatory</w:t>
            </w:r>
          </w:p>
        </w:tc>
        <w:tc>
          <w:tcPr>
            <w:tcW w:w="833" w:type="pct"/>
            <w:hideMark/>
          </w:tcPr>
          <w:p w14:paraId="039279A3" w14:textId="77777777" w:rsidR="004D0DB2" w:rsidRPr="00A55CAF" w:rsidRDefault="004D0DB2" w:rsidP="00006876">
            <w:pPr>
              <w:jc w:val="both"/>
              <w:rPr>
                <w:rFonts w:cs="Calibri"/>
                <w:szCs w:val="22"/>
              </w:rPr>
            </w:pPr>
            <w:r w:rsidRPr="00A55CAF">
              <w:rPr>
                <w:rFonts w:cs="Calibri"/>
                <w:szCs w:val="22"/>
              </w:rPr>
              <w:t>D:\Dissertation\Sources\02_Du_etal_2022_RuralChina_TelemedicineAdoption.pdf (DOI: 10.2196/40771)</w:t>
            </w:r>
          </w:p>
        </w:tc>
      </w:tr>
      <w:tr w:rsidR="004D0DB2" w:rsidRPr="00A55CAF" w14:paraId="6FCDC527" w14:textId="77777777" w:rsidTr="0028215F">
        <w:tc>
          <w:tcPr>
            <w:tcW w:w="303" w:type="pct"/>
            <w:hideMark/>
          </w:tcPr>
          <w:p w14:paraId="328BFB0B" w14:textId="77777777" w:rsidR="004D0DB2" w:rsidRPr="00A55CAF" w:rsidRDefault="004D0DB2" w:rsidP="00006876">
            <w:pPr>
              <w:jc w:val="both"/>
              <w:rPr>
                <w:rFonts w:cs="Calibri"/>
                <w:szCs w:val="22"/>
              </w:rPr>
            </w:pPr>
            <w:r w:rsidRPr="00A55CAF">
              <w:rPr>
                <w:rFonts w:cs="Calibri"/>
                <w:szCs w:val="22"/>
              </w:rPr>
              <w:t>Yes</w:t>
            </w:r>
          </w:p>
        </w:tc>
        <w:tc>
          <w:tcPr>
            <w:tcW w:w="661" w:type="pct"/>
            <w:hideMark/>
          </w:tcPr>
          <w:p w14:paraId="3F2AA399" w14:textId="77777777" w:rsidR="004D0DB2" w:rsidRPr="00A55CAF" w:rsidRDefault="004D0DB2" w:rsidP="00006876">
            <w:pPr>
              <w:jc w:val="both"/>
              <w:rPr>
                <w:rFonts w:cs="Calibri"/>
                <w:szCs w:val="22"/>
              </w:rPr>
            </w:pPr>
            <w:r w:rsidRPr="00A55CAF">
              <w:rPr>
                <w:rFonts w:cs="Calibri"/>
                <w:szCs w:val="22"/>
              </w:rPr>
              <w:t>Yao et al. (2025)</w:t>
            </w:r>
          </w:p>
        </w:tc>
        <w:tc>
          <w:tcPr>
            <w:tcW w:w="813" w:type="pct"/>
            <w:hideMark/>
          </w:tcPr>
          <w:p w14:paraId="61D2ECD0" w14:textId="77777777" w:rsidR="004D0DB2" w:rsidRPr="00A55CAF" w:rsidRDefault="004D0DB2" w:rsidP="00006876">
            <w:pPr>
              <w:jc w:val="both"/>
              <w:rPr>
                <w:rFonts w:cs="Calibri"/>
                <w:szCs w:val="22"/>
              </w:rPr>
            </w:pPr>
            <w:r w:rsidRPr="00A55CAF">
              <w:rPr>
                <w:rFonts w:cs="Calibri"/>
                <w:i/>
                <w:iCs/>
                <w:szCs w:val="22"/>
              </w:rPr>
              <w:t>Factors influencing adoption… chronic conditions in rural China</w:t>
            </w:r>
          </w:p>
        </w:tc>
        <w:tc>
          <w:tcPr>
            <w:tcW w:w="1169" w:type="pct"/>
            <w:hideMark/>
          </w:tcPr>
          <w:p w14:paraId="73D3C54C" w14:textId="77777777" w:rsidR="004D0DB2" w:rsidRPr="00A55CAF" w:rsidRDefault="004D0DB2" w:rsidP="00006876">
            <w:pPr>
              <w:jc w:val="both"/>
              <w:rPr>
                <w:rFonts w:cs="Calibri"/>
                <w:szCs w:val="22"/>
              </w:rPr>
            </w:pPr>
            <w:r w:rsidRPr="00A55CAF">
              <w:rPr>
                <w:rFonts w:cs="Calibri"/>
                <w:szCs w:val="22"/>
              </w:rPr>
              <w:t>Rural older/chronic patients; HITAM/SEM; intention drivers: social influence, usefulness, attitude; education/income predictors</w:t>
            </w:r>
          </w:p>
        </w:tc>
        <w:tc>
          <w:tcPr>
            <w:tcW w:w="1221" w:type="pct"/>
            <w:hideMark/>
          </w:tcPr>
          <w:p w14:paraId="1E44D75E" w14:textId="77777777" w:rsidR="004D0DB2" w:rsidRPr="00A55CAF" w:rsidRDefault="004D0DB2" w:rsidP="00006876">
            <w:pPr>
              <w:jc w:val="both"/>
              <w:rPr>
                <w:rFonts w:cs="Calibri"/>
                <w:szCs w:val="22"/>
              </w:rPr>
            </w:pPr>
            <w:r w:rsidRPr="00A55CAF">
              <w:rPr>
                <w:rFonts w:cs="Calibri"/>
                <w:szCs w:val="22"/>
              </w:rPr>
              <w:t>C: 2025 very high; R: rural equity/adoption; A: BMC; Ac: multicentre + SEM/GLM; P: explanatory</w:t>
            </w:r>
          </w:p>
        </w:tc>
        <w:tc>
          <w:tcPr>
            <w:tcW w:w="833" w:type="pct"/>
            <w:hideMark/>
          </w:tcPr>
          <w:p w14:paraId="5206F40F" w14:textId="77777777" w:rsidR="004D0DB2" w:rsidRPr="00A55CAF" w:rsidRDefault="004D0DB2" w:rsidP="00006876">
            <w:pPr>
              <w:jc w:val="both"/>
              <w:rPr>
                <w:rFonts w:cs="Calibri"/>
                <w:szCs w:val="22"/>
              </w:rPr>
            </w:pPr>
            <w:r w:rsidRPr="00A55CAF">
              <w:rPr>
                <w:rFonts w:cs="Calibri"/>
                <w:szCs w:val="22"/>
              </w:rPr>
              <w:t xml:space="preserve">D:\Dissertation\Sources\03_Yao_etal_2025_HITAM_RuralChina_Chronic.pdf (DOI: </w:t>
            </w:r>
            <w:r w:rsidRPr="00A55CAF">
              <w:rPr>
                <w:rFonts w:cs="Calibri"/>
                <w:szCs w:val="22"/>
              </w:rPr>
              <w:lastRenderedPageBreak/>
              <w:t>10.1186/s12913-025-12931-2)</w:t>
            </w:r>
          </w:p>
        </w:tc>
      </w:tr>
      <w:tr w:rsidR="004D0DB2" w:rsidRPr="00A55CAF" w14:paraId="140EBA50" w14:textId="77777777" w:rsidTr="0028215F">
        <w:tc>
          <w:tcPr>
            <w:tcW w:w="303" w:type="pct"/>
            <w:hideMark/>
          </w:tcPr>
          <w:p w14:paraId="441163FA" w14:textId="77777777" w:rsidR="004D0DB2" w:rsidRPr="00A55CAF" w:rsidRDefault="004D0DB2" w:rsidP="00006876">
            <w:pPr>
              <w:jc w:val="both"/>
              <w:rPr>
                <w:rFonts w:cs="Calibri"/>
                <w:szCs w:val="22"/>
              </w:rPr>
            </w:pPr>
            <w:r w:rsidRPr="00A55CAF">
              <w:rPr>
                <w:rFonts w:cs="Calibri"/>
                <w:szCs w:val="22"/>
              </w:rPr>
              <w:t>Yes</w:t>
            </w:r>
          </w:p>
        </w:tc>
        <w:tc>
          <w:tcPr>
            <w:tcW w:w="661" w:type="pct"/>
            <w:hideMark/>
          </w:tcPr>
          <w:p w14:paraId="6A353C91" w14:textId="32E3CE35" w:rsidR="004D0DB2" w:rsidRPr="00A55CAF" w:rsidRDefault="004D0DB2" w:rsidP="00006876">
            <w:pPr>
              <w:jc w:val="both"/>
              <w:rPr>
                <w:rFonts w:cs="Calibri"/>
                <w:szCs w:val="22"/>
              </w:rPr>
            </w:pPr>
            <w:r w:rsidRPr="00A55CAF">
              <w:rPr>
                <w:rFonts w:cs="Calibri"/>
                <w:szCs w:val="22"/>
              </w:rPr>
              <w:t xml:space="preserve">Chen, Amaize </w:t>
            </w:r>
            <w:r w:rsidR="00D10C9F" w:rsidRPr="00A55CAF">
              <w:rPr>
                <w:rFonts w:cs="Calibri"/>
                <w:szCs w:val="22"/>
              </w:rPr>
              <w:t xml:space="preserve">and </w:t>
            </w:r>
            <w:r w:rsidRPr="00A55CAF">
              <w:rPr>
                <w:rFonts w:cs="Calibri"/>
                <w:szCs w:val="22"/>
              </w:rPr>
              <w:t>Barath (2020)</w:t>
            </w:r>
          </w:p>
        </w:tc>
        <w:tc>
          <w:tcPr>
            <w:tcW w:w="813" w:type="pct"/>
            <w:hideMark/>
          </w:tcPr>
          <w:p w14:paraId="17618336" w14:textId="77777777" w:rsidR="004D0DB2" w:rsidRPr="00A55CAF" w:rsidRDefault="004D0DB2" w:rsidP="00006876">
            <w:pPr>
              <w:jc w:val="both"/>
              <w:rPr>
                <w:rFonts w:cs="Calibri"/>
                <w:szCs w:val="22"/>
              </w:rPr>
            </w:pPr>
            <w:r w:rsidRPr="00A55CAF">
              <w:rPr>
                <w:rFonts w:cs="Calibri"/>
                <w:i/>
                <w:iCs/>
                <w:szCs w:val="22"/>
              </w:rPr>
              <w:t>Evaluating telehealth adoption and related barriers among hospitals located in rural and urban areas</w:t>
            </w:r>
          </w:p>
        </w:tc>
        <w:tc>
          <w:tcPr>
            <w:tcW w:w="1169" w:type="pct"/>
            <w:hideMark/>
          </w:tcPr>
          <w:p w14:paraId="12F35DC0" w14:textId="77777777" w:rsidR="004D0DB2" w:rsidRPr="00A55CAF" w:rsidRDefault="004D0DB2" w:rsidP="00006876">
            <w:pPr>
              <w:jc w:val="both"/>
              <w:rPr>
                <w:rFonts w:cs="Calibri"/>
                <w:szCs w:val="22"/>
              </w:rPr>
            </w:pPr>
            <w:r w:rsidRPr="00A55CAF">
              <w:rPr>
                <w:rFonts w:cs="Calibri"/>
                <w:szCs w:val="22"/>
              </w:rPr>
              <w:t>US hospital survey data; rural hospitals lower adoption; barriers: HIE capacity, patient engagement tools</w:t>
            </w:r>
          </w:p>
        </w:tc>
        <w:tc>
          <w:tcPr>
            <w:tcW w:w="1221" w:type="pct"/>
            <w:hideMark/>
          </w:tcPr>
          <w:p w14:paraId="1D604BE5" w14:textId="77777777" w:rsidR="004D0DB2" w:rsidRPr="00A55CAF" w:rsidRDefault="004D0DB2" w:rsidP="00006876">
            <w:pPr>
              <w:jc w:val="both"/>
              <w:rPr>
                <w:rFonts w:cs="Calibri"/>
                <w:szCs w:val="22"/>
              </w:rPr>
            </w:pPr>
            <w:r w:rsidRPr="00A55CAF">
              <w:rPr>
                <w:rFonts w:cs="Calibri"/>
                <w:szCs w:val="22"/>
              </w:rPr>
              <w:t>C: 2020 acceptable; R: rural vs urban systems barriers (SDG9); A: Journal of Rural Health; Ac: AHA dataset + robust methods; P: comparative</w:t>
            </w:r>
          </w:p>
        </w:tc>
        <w:tc>
          <w:tcPr>
            <w:tcW w:w="833" w:type="pct"/>
            <w:hideMark/>
          </w:tcPr>
          <w:p w14:paraId="124C4C10" w14:textId="77777777" w:rsidR="004D0DB2" w:rsidRPr="00A55CAF" w:rsidRDefault="004D0DB2" w:rsidP="00006876">
            <w:pPr>
              <w:jc w:val="both"/>
              <w:rPr>
                <w:rFonts w:cs="Calibri"/>
                <w:szCs w:val="22"/>
              </w:rPr>
            </w:pPr>
            <w:r w:rsidRPr="00A55CAF">
              <w:rPr>
                <w:rFonts w:cs="Calibri"/>
                <w:szCs w:val="22"/>
              </w:rPr>
              <w:t>D:\Dissertation\Sources\04_Chen_Amaize_Barath_2020_US_HospitalTelehealth.pdf (DOI: 10.1111/jrh.12534)</w:t>
            </w:r>
          </w:p>
        </w:tc>
      </w:tr>
      <w:tr w:rsidR="004D0DB2" w:rsidRPr="00A55CAF" w14:paraId="7D5BB6DD" w14:textId="77777777" w:rsidTr="0028215F">
        <w:tc>
          <w:tcPr>
            <w:tcW w:w="303" w:type="pct"/>
            <w:hideMark/>
          </w:tcPr>
          <w:p w14:paraId="140E40E5" w14:textId="77777777" w:rsidR="004D0DB2" w:rsidRPr="00A55CAF" w:rsidRDefault="004D0DB2" w:rsidP="00006876">
            <w:pPr>
              <w:jc w:val="both"/>
              <w:rPr>
                <w:rFonts w:cs="Calibri"/>
                <w:szCs w:val="22"/>
              </w:rPr>
            </w:pPr>
            <w:r w:rsidRPr="00A55CAF">
              <w:rPr>
                <w:rFonts w:cs="Calibri"/>
                <w:szCs w:val="22"/>
              </w:rPr>
              <w:t>Yes</w:t>
            </w:r>
          </w:p>
        </w:tc>
        <w:tc>
          <w:tcPr>
            <w:tcW w:w="661" w:type="pct"/>
            <w:hideMark/>
          </w:tcPr>
          <w:p w14:paraId="01DC3CA7" w14:textId="77777777" w:rsidR="004D0DB2" w:rsidRPr="00A55CAF" w:rsidRDefault="004D0DB2" w:rsidP="00006876">
            <w:pPr>
              <w:jc w:val="both"/>
              <w:rPr>
                <w:rFonts w:cs="Calibri"/>
                <w:szCs w:val="22"/>
              </w:rPr>
            </w:pPr>
            <w:r w:rsidRPr="00A55CAF">
              <w:rPr>
                <w:rFonts w:cs="Calibri"/>
                <w:szCs w:val="22"/>
              </w:rPr>
              <w:t>Chu et al. (2021)</w:t>
            </w:r>
          </w:p>
        </w:tc>
        <w:tc>
          <w:tcPr>
            <w:tcW w:w="813" w:type="pct"/>
            <w:hideMark/>
          </w:tcPr>
          <w:p w14:paraId="790F93A1" w14:textId="77777777" w:rsidR="004D0DB2" w:rsidRPr="00A55CAF" w:rsidRDefault="004D0DB2" w:rsidP="00006876">
            <w:pPr>
              <w:jc w:val="both"/>
              <w:rPr>
                <w:rFonts w:cs="Calibri"/>
                <w:szCs w:val="22"/>
              </w:rPr>
            </w:pPr>
            <w:r w:rsidRPr="00A55CAF">
              <w:rPr>
                <w:rFonts w:cs="Calibri"/>
                <w:i/>
                <w:iCs/>
                <w:szCs w:val="22"/>
              </w:rPr>
              <w:t>Rural telemedicine use before and during COVID-19… Ontario</w:t>
            </w:r>
          </w:p>
        </w:tc>
        <w:tc>
          <w:tcPr>
            <w:tcW w:w="1169" w:type="pct"/>
            <w:hideMark/>
          </w:tcPr>
          <w:p w14:paraId="659F73D6" w14:textId="77777777" w:rsidR="004D0DB2" w:rsidRPr="00A55CAF" w:rsidRDefault="004D0DB2" w:rsidP="00006876">
            <w:pPr>
              <w:jc w:val="both"/>
              <w:rPr>
                <w:rFonts w:cs="Calibri"/>
                <w:szCs w:val="22"/>
              </w:rPr>
            </w:pPr>
            <w:r w:rsidRPr="00A55CAF">
              <w:rPr>
                <w:rFonts w:cs="Calibri"/>
                <w:szCs w:val="22"/>
              </w:rPr>
              <w:t>Ontario administrative data; major COVID-era increase; less-rural &gt; more-rural uptake; age/sex differences</w:t>
            </w:r>
          </w:p>
        </w:tc>
        <w:tc>
          <w:tcPr>
            <w:tcW w:w="1221" w:type="pct"/>
            <w:hideMark/>
          </w:tcPr>
          <w:p w14:paraId="312BBC2C" w14:textId="77777777" w:rsidR="004D0DB2" w:rsidRPr="00A55CAF" w:rsidRDefault="004D0DB2" w:rsidP="00006876">
            <w:pPr>
              <w:jc w:val="both"/>
              <w:rPr>
                <w:rFonts w:cs="Calibri"/>
                <w:szCs w:val="22"/>
              </w:rPr>
            </w:pPr>
            <w:r w:rsidRPr="00A55CAF">
              <w:rPr>
                <w:rFonts w:cs="Calibri"/>
                <w:szCs w:val="22"/>
              </w:rPr>
              <w:t>C: 2021 strong; R: adoption shift + equity gradient; A: JMIR; Ac: population admin data; P: utilisation trends</w:t>
            </w:r>
          </w:p>
        </w:tc>
        <w:tc>
          <w:tcPr>
            <w:tcW w:w="833" w:type="pct"/>
            <w:hideMark/>
          </w:tcPr>
          <w:p w14:paraId="75DEBF3E" w14:textId="77777777" w:rsidR="004D0DB2" w:rsidRPr="00A55CAF" w:rsidRDefault="004D0DB2" w:rsidP="00006876">
            <w:pPr>
              <w:jc w:val="both"/>
              <w:rPr>
                <w:rFonts w:cs="Calibri"/>
                <w:szCs w:val="22"/>
              </w:rPr>
            </w:pPr>
            <w:r w:rsidRPr="00A55CAF">
              <w:rPr>
                <w:rFonts w:cs="Calibri"/>
                <w:szCs w:val="22"/>
              </w:rPr>
              <w:t>D:\Dissertation\Sources\05_Chu_etal_2021_Ontario_RuralTelemedicine_COVID.pdf (DOI: 10.2196/26960)</w:t>
            </w:r>
          </w:p>
        </w:tc>
      </w:tr>
      <w:tr w:rsidR="004D0DB2" w:rsidRPr="00A55CAF" w14:paraId="1D053F58" w14:textId="77777777" w:rsidTr="0028215F">
        <w:tc>
          <w:tcPr>
            <w:tcW w:w="303" w:type="pct"/>
            <w:hideMark/>
          </w:tcPr>
          <w:p w14:paraId="42833A8A" w14:textId="77777777" w:rsidR="004D0DB2" w:rsidRPr="00A55CAF" w:rsidRDefault="004D0DB2" w:rsidP="00006876">
            <w:pPr>
              <w:jc w:val="both"/>
              <w:rPr>
                <w:rFonts w:cs="Calibri"/>
                <w:szCs w:val="22"/>
              </w:rPr>
            </w:pPr>
            <w:r w:rsidRPr="00A55CAF">
              <w:rPr>
                <w:rFonts w:cs="Calibri"/>
                <w:szCs w:val="22"/>
              </w:rPr>
              <w:t>Yes</w:t>
            </w:r>
          </w:p>
        </w:tc>
        <w:tc>
          <w:tcPr>
            <w:tcW w:w="661" w:type="pct"/>
            <w:hideMark/>
          </w:tcPr>
          <w:p w14:paraId="3F699C85" w14:textId="77777777" w:rsidR="004D0DB2" w:rsidRPr="00A55CAF" w:rsidRDefault="004D0DB2" w:rsidP="00006876">
            <w:pPr>
              <w:jc w:val="both"/>
              <w:rPr>
                <w:rFonts w:cs="Calibri"/>
                <w:szCs w:val="22"/>
              </w:rPr>
            </w:pPr>
            <w:r w:rsidRPr="00A55CAF">
              <w:rPr>
                <w:rFonts w:cs="Calibri"/>
                <w:szCs w:val="22"/>
              </w:rPr>
              <w:t>Farre et al. (2023)</w:t>
            </w:r>
          </w:p>
        </w:tc>
        <w:tc>
          <w:tcPr>
            <w:tcW w:w="813" w:type="pct"/>
            <w:hideMark/>
          </w:tcPr>
          <w:p w14:paraId="51A672BB" w14:textId="77777777" w:rsidR="004D0DB2" w:rsidRPr="00A55CAF" w:rsidRDefault="004D0DB2" w:rsidP="00006876">
            <w:pPr>
              <w:jc w:val="both"/>
              <w:rPr>
                <w:rFonts w:cs="Calibri"/>
                <w:szCs w:val="22"/>
              </w:rPr>
            </w:pPr>
            <w:r w:rsidRPr="00A55CAF">
              <w:rPr>
                <w:rFonts w:cs="Calibri"/>
                <w:i/>
                <w:iCs/>
                <w:szCs w:val="22"/>
              </w:rPr>
              <w:t>Digital technology delivery with explicit consideration of health inequalities in UK: scoping review</w:t>
            </w:r>
          </w:p>
        </w:tc>
        <w:tc>
          <w:tcPr>
            <w:tcW w:w="1169" w:type="pct"/>
            <w:hideMark/>
          </w:tcPr>
          <w:p w14:paraId="798C56A8" w14:textId="77777777" w:rsidR="004D0DB2" w:rsidRPr="00A55CAF" w:rsidRDefault="004D0DB2" w:rsidP="00006876">
            <w:pPr>
              <w:jc w:val="both"/>
              <w:rPr>
                <w:rFonts w:cs="Calibri"/>
                <w:szCs w:val="22"/>
              </w:rPr>
            </w:pPr>
            <w:r w:rsidRPr="00A55CAF">
              <w:rPr>
                <w:rFonts w:cs="Calibri"/>
                <w:szCs w:val="22"/>
              </w:rPr>
              <w:t>UK scoping review; limited evidence on inequality impacts; provider-led focus; mixed implementation/effectiveness outcomes</w:t>
            </w:r>
          </w:p>
        </w:tc>
        <w:tc>
          <w:tcPr>
            <w:tcW w:w="1221" w:type="pct"/>
            <w:hideMark/>
          </w:tcPr>
          <w:p w14:paraId="17E56C5C" w14:textId="77777777" w:rsidR="004D0DB2" w:rsidRPr="00A55CAF" w:rsidRDefault="004D0DB2" w:rsidP="00006876">
            <w:pPr>
              <w:jc w:val="both"/>
              <w:rPr>
                <w:rFonts w:cs="Calibri"/>
                <w:szCs w:val="22"/>
              </w:rPr>
            </w:pPr>
            <w:r w:rsidRPr="00A55CAF">
              <w:rPr>
                <w:rFonts w:cs="Calibri"/>
                <w:szCs w:val="22"/>
              </w:rPr>
              <w:t>C: 2023 high; R: UK + inequalities (SDG10); A: peer-reviewed; Ac: systematic screening; P: mapping gaps</w:t>
            </w:r>
          </w:p>
        </w:tc>
        <w:tc>
          <w:tcPr>
            <w:tcW w:w="833" w:type="pct"/>
            <w:hideMark/>
          </w:tcPr>
          <w:p w14:paraId="577ACC87" w14:textId="77777777" w:rsidR="004D0DB2" w:rsidRPr="00A55CAF" w:rsidRDefault="004D0DB2" w:rsidP="00006876">
            <w:pPr>
              <w:jc w:val="both"/>
              <w:rPr>
                <w:rFonts w:cs="Calibri"/>
                <w:szCs w:val="22"/>
              </w:rPr>
            </w:pPr>
            <w:r w:rsidRPr="00A55CAF">
              <w:rPr>
                <w:rFonts w:cs="Calibri"/>
                <w:szCs w:val="22"/>
              </w:rPr>
              <w:t>D:\Dissertation\Sources\06_Farre_etal_2023_UK_Inequalities_ScopingReview.pdf (DOI: 10.1177/20552076231185442)</w:t>
            </w:r>
          </w:p>
        </w:tc>
      </w:tr>
      <w:tr w:rsidR="004D0DB2" w:rsidRPr="00A55CAF" w14:paraId="12909C4F" w14:textId="77777777" w:rsidTr="0028215F">
        <w:tc>
          <w:tcPr>
            <w:tcW w:w="303" w:type="pct"/>
            <w:hideMark/>
          </w:tcPr>
          <w:p w14:paraId="6D5BE6D0" w14:textId="77777777" w:rsidR="004D0DB2" w:rsidRPr="00A55CAF" w:rsidRDefault="004D0DB2" w:rsidP="00006876">
            <w:pPr>
              <w:jc w:val="both"/>
              <w:rPr>
                <w:rFonts w:cs="Calibri"/>
                <w:szCs w:val="22"/>
              </w:rPr>
            </w:pPr>
            <w:r w:rsidRPr="00A55CAF">
              <w:rPr>
                <w:rFonts w:cs="Calibri"/>
                <w:szCs w:val="22"/>
              </w:rPr>
              <w:t>Yes</w:t>
            </w:r>
          </w:p>
        </w:tc>
        <w:tc>
          <w:tcPr>
            <w:tcW w:w="661" w:type="pct"/>
            <w:hideMark/>
          </w:tcPr>
          <w:p w14:paraId="79B29D37" w14:textId="30868244" w:rsidR="004D0DB2" w:rsidRPr="00A55CAF" w:rsidRDefault="004D0DB2" w:rsidP="00006876">
            <w:pPr>
              <w:jc w:val="both"/>
              <w:rPr>
                <w:rFonts w:cs="Calibri"/>
                <w:szCs w:val="22"/>
              </w:rPr>
            </w:pPr>
            <w:r w:rsidRPr="00A55CAF">
              <w:rPr>
                <w:rFonts w:cs="Calibri"/>
                <w:szCs w:val="22"/>
              </w:rPr>
              <w:t xml:space="preserve">Geifman, Armes </w:t>
            </w:r>
            <w:r w:rsidR="007A027B" w:rsidRPr="00A55CAF">
              <w:rPr>
                <w:rFonts w:cs="Calibri"/>
                <w:szCs w:val="22"/>
              </w:rPr>
              <w:t xml:space="preserve">and </w:t>
            </w:r>
            <w:r w:rsidRPr="00A55CAF">
              <w:rPr>
                <w:rFonts w:cs="Calibri"/>
                <w:szCs w:val="22"/>
              </w:rPr>
              <w:t>Whetton (2023)</w:t>
            </w:r>
          </w:p>
        </w:tc>
        <w:tc>
          <w:tcPr>
            <w:tcW w:w="813" w:type="pct"/>
            <w:hideMark/>
          </w:tcPr>
          <w:p w14:paraId="54463726" w14:textId="77777777" w:rsidR="004D0DB2" w:rsidRPr="00A55CAF" w:rsidRDefault="004D0DB2" w:rsidP="00006876">
            <w:pPr>
              <w:jc w:val="both"/>
              <w:rPr>
                <w:rFonts w:cs="Calibri"/>
                <w:szCs w:val="22"/>
              </w:rPr>
            </w:pPr>
            <w:r w:rsidRPr="00A55CAF">
              <w:rPr>
                <w:rFonts w:cs="Calibri"/>
                <w:i/>
                <w:iCs/>
                <w:szCs w:val="22"/>
              </w:rPr>
              <w:t xml:space="preserve">Developments over a decade in the digital health and telemedicine </w:t>
            </w:r>
            <w:r w:rsidRPr="00A55CAF">
              <w:rPr>
                <w:rFonts w:cs="Calibri"/>
                <w:i/>
                <w:iCs/>
                <w:szCs w:val="22"/>
              </w:rPr>
              <w:lastRenderedPageBreak/>
              <w:t>landscape in the UK using text mining</w:t>
            </w:r>
          </w:p>
        </w:tc>
        <w:tc>
          <w:tcPr>
            <w:tcW w:w="1169" w:type="pct"/>
            <w:hideMark/>
          </w:tcPr>
          <w:p w14:paraId="24BE8380" w14:textId="77777777" w:rsidR="004D0DB2" w:rsidRPr="00A55CAF" w:rsidRDefault="004D0DB2" w:rsidP="00006876">
            <w:pPr>
              <w:jc w:val="both"/>
              <w:rPr>
                <w:rFonts w:cs="Calibri"/>
                <w:szCs w:val="22"/>
              </w:rPr>
            </w:pPr>
            <w:r w:rsidRPr="00A55CAF">
              <w:rPr>
                <w:rFonts w:cs="Calibri"/>
                <w:szCs w:val="22"/>
              </w:rPr>
              <w:lastRenderedPageBreak/>
              <w:t>UK landscape mapping; text-mining of publications; disease focus trends; COVID influence</w:t>
            </w:r>
          </w:p>
        </w:tc>
        <w:tc>
          <w:tcPr>
            <w:tcW w:w="1221" w:type="pct"/>
            <w:hideMark/>
          </w:tcPr>
          <w:p w14:paraId="3BC77F0C" w14:textId="77777777" w:rsidR="004D0DB2" w:rsidRPr="00A55CAF" w:rsidRDefault="004D0DB2" w:rsidP="00006876">
            <w:pPr>
              <w:jc w:val="both"/>
              <w:rPr>
                <w:rFonts w:cs="Calibri"/>
                <w:szCs w:val="22"/>
              </w:rPr>
            </w:pPr>
            <w:r w:rsidRPr="00A55CAF">
              <w:rPr>
                <w:rFonts w:cs="Calibri"/>
                <w:szCs w:val="22"/>
              </w:rPr>
              <w:t>C: 2023 high; R: UK context + trajectory; A: peer-reviewed; Ac: method fit (bibliometric); P: descriptive mapping</w:t>
            </w:r>
          </w:p>
        </w:tc>
        <w:tc>
          <w:tcPr>
            <w:tcW w:w="833" w:type="pct"/>
            <w:hideMark/>
          </w:tcPr>
          <w:p w14:paraId="6F61B604" w14:textId="77777777" w:rsidR="004D0DB2" w:rsidRPr="00A55CAF" w:rsidRDefault="004D0DB2" w:rsidP="00006876">
            <w:pPr>
              <w:jc w:val="both"/>
              <w:rPr>
                <w:rFonts w:cs="Calibri"/>
                <w:szCs w:val="22"/>
              </w:rPr>
            </w:pPr>
            <w:r w:rsidRPr="00A55CAF">
              <w:rPr>
                <w:rFonts w:cs="Calibri"/>
                <w:szCs w:val="22"/>
              </w:rPr>
              <w:t xml:space="preserve">D:\Dissertation\Sources\07_Geifman_Armes_Whetton_2023_UK_TextMining.pdf (DOI: </w:t>
            </w:r>
            <w:r w:rsidRPr="00A55CAF">
              <w:rPr>
                <w:rFonts w:cs="Calibri"/>
                <w:szCs w:val="22"/>
              </w:rPr>
              <w:lastRenderedPageBreak/>
              <w:t>10.3389/fdgth.2023.1092008)</w:t>
            </w:r>
          </w:p>
        </w:tc>
      </w:tr>
      <w:tr w:rsidR="004D0DB2" w:rsidRPr="00A55CAF" w14:paraId="3F228941" w14:textId="77777777" w:rsidTr="0028215F">
        <w:tc>
          <w:tcPr>
            <w:tcW w:w="303" w:type="pct"/>
            <w:hideMark/>
          </w:tcPr>
          <w:p w14:paraId="50C948E8" w14:textId="77777777" w:rsidR="004D0DB2" w:rsidRPr="00A55CAF" w:rsidRDefault="004D0DB2" w:rsidP="00006876">
            <w:pPr>
              <w:jc w:val="both"/>
              <w:rPr>
                <w:rFonts w:cs="Calibri"/>
                <w:szCs w:val="22"/>
              </w:rPr>
            </w:pPr>
            <w:r w:rsidRPr="00A55CAF">
              <w:rPr>
                <w:rFonts w:cs="Calibri"/>
                <w:szCs w:val="22"/>
              </w:rPr>
              <w:t>Yes</w:t>
            </w:r>
          </w:p>
        </w:tc>
        <w:tc>
          <w:tcPr>
            <w:tcW w:w="661" w:type="pct"/>
            <w:hideMark/>
          </w:tcPr>
          <w:p w14:paraId="54FECDB0" w14:textId="77777777" w:rsidR="004D0DB2" w:rsidRPr="00A55CAF" w:rsidRDefault="004D0DB2" w:rsidP="00006876">
            <w:pPr>
              <w:jc w:val="both"/>
              <w:rPr>
                <w:rFonts w:cs="Calibri"/>
                <w:szCs w:val="22"/>
              </w:rPr>
            </w:pPr>
            <w:r w:rsidRPr="00A55CAF">
              <w:rPr>
                <w:rFonts w:cs="Calibri"/>
                <w:szCs w:val="22"/>
              </w:rPr>
              <w:t>Ko et al. (2025)</w:t>
            </w:r>
          </w:p>
        </w:tc>
        <w:tc>
          <w:tcPr>
            <w:tcW w:w="813" w:type="pct"/>
            <w:hideMark/>
          </w:tcPr>
          <w:p w14:paraId="4E25B7DF" w14:textId="77777777" w:rsidR="004D0DB2" w:rsidRPr="00A55CAF" w:rsidRDefault="004D0DB2" w:rsidP="00006876">
            <w:pPr>
              <w:jc w:val="both"/>
              <w:rPr>
                <w:rFonts w:cs="Calibri"/>
                <w:szCs w:val="22"/>
              </w:rPr>
            </w:pPr>
            <w:r w:rsidRPr="00A55CAF">
              <w:rPr>
                <w:rFonts w:cs="Calibri"/>
                <w:i/>
                <w:iCs/>
                <w:szCs w:val="22"/>
              </w:rPr>
              <w:t>Telehealth and people with disabilities in the UK: scoping review</w:t>
            </w:r>
          </w:p>
        </w:tc>
        <w:tc>
          <w:tcPr>
            <w:tcW w:w="1169" w:type="pct"/>
            <w:hideMark/>
          </w:tcPr>
          <w:p w14:paraId="180BC52C" w14:textId="77777777" w:rsidR="004D0DB2" w:rsidRPr="00A55CAF" w:rsidRDefault="004D0DB2" w:rsidP="00006876">
            <w:pPr>
              <w:jc w:val="both"/>
              <w:rPr>
                <w:rFonts w:cs="Calibri"/>
                <w:szCs w:val="22"/>
              </w:rPr>
            </w:pPr>
            <w:r w:rsidRPr="00A55CAF">
              <w:rPr>
                <w:rFonts w:cs="Calibri"/>
                <w:szCs w:val="22"/>
              </w:rPr>
              <w:t>UK disability-focused evidence; themes: satisfaction, barriers, accessibility, provider concerns; hybrid care emphasis</w:t>
            </w:r>
          </w:p>
        </w:tc>
        <w:tc>
          <w:tcPr>
            <w:tcW w:w="1221" w:type="pct"/>
            <w:hideMark/>
          </w:tcPr>
          <w:p w14:paraId="1697F6B0" w14:textId="77777777" w:rsidR="004D0DB2" w:rsidRPr="00A55CAF" w:rsidRDefault="004D0DB2" w:rsidP="00006876">
            <w:pPr>
              <w:jc w:val="both"/>
              <w:rPr>
                <w:rFonts w:cs="Calibri"/>
                <w:szCs w:val="22"/>
              </w:rPr>
            </w:pPr>
            <w:r w:rsidRPr="00A55CAF">
              <w:rPr>
                <w:rFonts w:cs="Calibri"/>
                <w:szCs w:val="22"/>
              </w:rPr>
              <w:t>C: 2025 very high; R: disability equity (SDG10); A: peer-reviewed; Ac: PRISMA-ScR scoping; P: equity-focused</w:t>
            </w:r>
          </w:p>
        </w:tc>
        <w:tc>
          <w:tcPr>
            <w:tcW w:w="833" w:type="pct"/>
            <w:hideMark/>
          </w:tcPr>
          <w:p w14:paraId="5EDF7F46" w14:textId="77777777" w:rsidR="004D0DB2" w:rsidRPr="00A55CAF" w:rsidRDefault="004D0DB2" w:rsidP="00006876">
            <w:pPr>
              <w:jc w:val="both"/>
              <w:rPr>
                <w:rFonts w:cs="Calibri"/>
                <w:szCs w:val="22"/>
              </w:rPr>
            </w:pPr>
            <w:r w:rsidRPr="00A55CAF">
              <w:rPr>
                <w:rFonts w:cs="Calibri"/>
                <w:szCs w:val="22"/>
              </w:rPr>
              <w:t>D:\Dissertation\Sources\08_Ko_etal_2025_UK_Disability_Telehealth_Scoping.pdf (DOI: 10.3389/fpubh.2025.1504318)</w:t>
            </w:r>
          </w:p>
        </w:tc>
      </w:tr>
      <w:tr w:rsidR="004D0DB2" w:rsidRPr="00A55CAF" w14:paraId="7F3E98AF" w14:textId="77777777" w:rsidTr="0028215F">
        <w:tc>
          <w:tcPr>
            <w:tcW w:w="303" w:type="pct"/>
            <w:hideMark/>
          </w:tcPr>
          <w:p w14:paraId="2AF860E0" w14:textId="77777777" w:rsidR="004D0DB2" w:rsidRPr="00A55CAF" w:rsidRDefault="004D0DB2" w:rsidP="00006876">
            <w:pPr>
              <w:jc w:val="both"/>
              <w:rPr>
                <w:rFonts w:cs="Calibri"/>
                <w:szCs w:val="22"/>
              </w:rPr>
            </w:pPr>
            <w:r w:rsidRPr="00A55CAF">
              <w:rPr>
                <w:rFonts w:cs="Calibri"/>
                <w:szCs w:val="22"/>
              </w:rPr>
              <w:t>Yes</w:t>
            </w:r>
          </w:p>
        </w:tc>
        <w:tc>
          <w:tcPr>
            <w:tcW w:w="661" w:type="pct"/>
            <w:hideMark/>
          </w:tcPr>
          <w:p w14:paraId="15A9382F" w14:textId="77777777" w:rsidR="004D0DB2" w:rsidRPr="00A55CAF" w:rsidRDefault="004D0DB2" w:rsidP="00006876">
            <w:pPr>
              <w:jc w:val="both"/>
              <w:rPr>
                <w:rFonts w:cs="Calibri"/>
                <w:szCs w:val="22"/>
              </w:rPr>
            </w:pPr>
            <w:r w:rsidRPr="00A55CAF">
              <w:rPr>
                <w:rFonts w:cs="Calibri"/>
                <w:szCs w:val="22"/>
              </w:rPr>
              <w:t>Sheikh et al. (2021)</w:t>
            </w:r>
          </w:p>
        </w:tc>
        <w:tc>
          <w:tcPr>
            <w:tcW w:w="813" w:type="pct"/>
            <w:hideMark/>
          </w:tcPr>
          <w:p w14:paraId="17DD2F81" w14:textId="77777777" w:rsidR="004D0DB2" w:rsidRPr="00A55CAF" w:rsidRDefault="004D0DB2" w:rsidP="00006876">
            <w:pPr>
              <w:jc w:val="both"/>
              <w:rPr>
                <w:rFonts w:cs="Calibri"/>
                <w:szCs w:val="22"/>
              </w:rPr>
            </w:pPr>
            <w:r w:rsidRPr="00A55CAF">
              <w:rPr>
                <w:rFonts w:cs="Calibri"/>
                <w:i/>
                <w:iCs/>
                <w:szCs w:val="22"/>
              </w:rPr>
              <w:t>Health IT and Digital Innovation for National Learning Health and Care Systems</w:t>
            </w:r>
          </w:p>
        </w:tc>
        <w:tc>
          <w:tcPr>
            <w:tcW w:w="1169" w:type="pct"/>
            <w:hideMark/>
          </w:tcPr>
          <w:p w14:paraId="1B7425D5" w14:textId="77777777" w:rsidR="004D0DB2" w:rsidRPr="00A55CAF" w:rsidRDefault="004D0DB2" w:rsidP="00006876">
            <w:pPr>
              <w:jc w:val="both"/>
              <w:rPr>
                <w:rFonts w:cs="Calibri"/>
                <w:szCs w:val="22"/>
              </w:rPr>
            </w:pPr>
            <w:r w:rsidRPr="00A55CAF">
              <w:rPr>
                <w:rFonts w:cs="Calibri"/>
                <w:szCs w:val="22"/>
              </w:rPr>
              <w:t>UK learning health systems; interoperability, usability, privacy, inclusivity; governance priorities post-COVID</w:t>
            </w:r>
          </w:p>
        </w:tc>
        <w:tc>
          <w:tcPr>
            <w:tcW w:w="1221" w:type="pct"/>
            <w:hideMark/>
          </w:tcPr>
          <w:p w14:paraId="51DC182C" w14:textId="77777777" w:rsidR="004D0DB2" w:rsidRPr="00A55CAF" w:rsidRDefault="004D0DB2" w:rsidP="00006876">
            <w:pPr>
              <w:jc w:val="both"/>
              <w:rPr>
                <w:rFonts w:cs="Calibri"/>
                <w:szCs w:val="22"/>
              </w:rPr>
            </w:pPr>
            <w:r w:rsidRPr="00A55CAF">
              <w:rPr>
                <w:rFonts w:cs="Calibri"/>
                <w:szCs w:val="22"/>
              </w:rPr>
              <w:t>C: 2021 strong; R: SDG9/health system governance; A: Lancet Digital Health; Ac: conceptual synthesis; P: policy/strategy</w:t>
            </w:r>
          </w:p>
        </w:tc>
        <w:tc>
          <w:tcPr>
            <w:tcW w:w="833" w:type="pct"/>
            <w:hideMark/>
          </w:tcPr>
          <w:p w14:paraId="039827E1" w14:textId="77777777" w:rsidR="004D0DB2" w:rsidRPr="00A55CAF" w:rsidRDefault="004D0DB2" w:rsidP="00006876">
            <w:pPr>
              <w:jc w:val="both"/>
              <w:rPr>
                <w:rFonts w:cs="Calibri"/>
                <w:szCs w:val="22"/>
              </w:rPr>
            </w:pPr>
            <w:r w:rsidRPr="00A55CAF">
              <w:rPr>
                <w:rFonts w:cs="Calibri"/>
                <w:szCs w:val="22"/>
              </w:rPr>
              <w:t>D:\Dissertation\Sources\09_Sheikh_etal_2021_Lancet_LearningHealthSystems_UK.pdf</w:t>
            </w:r>
          </w:p>
        </w:tc>
      </w:tr>
      <w:tr w:rsidR="004D0DB2" w:rsidRPr="00A55CAF" w14:paraId="7A590648" w14:textId="77777777" w:rsidTr="0028215F">
        <w:tc>
          <w:tcPr>
            <w:tcW w:w="303" w:type="pct"/>
            <w:hideMark/>
          </w:tcPr>
          <w:p w14:paraId="1F746963" w14:textId="77777777" w:rsidR="004D0DB2" w:rsidRPr="00A55CAF" w:rsidRDefault="004D0DB2" w:rsidP="00006876">
            <w:pPr>
              <w:jc w:val="both"/>
              <w:rPr>
                <w:rFonts w:cs="Calibri"/>
                <w:szCs w:val="22"/>
              </w:rPr>
            </w:pPr>
            <w:r w:rsidRPr="00A55CAF">
              <w:rPr>
                <w:rFonts w:cs="Calibri"/>
                <w:szCs w:val="22"/>
              </w:rPr>
              <w:t>Yes</w:t>
            </w:r>
          </w:p>
        </w:tc>
        <w:tc>
          <w:tcPr>
            <w:tcW w:w="661" w:type="pct"/>
            <w:hideMark/>
          </w:tcPr>
          <w:p w14:paraId="4FFBBF86" w14:textId="77777777" w:rsidR="004D0DB2" w:rsidRPr="00A55CAF" w:rsidRDefault="004D0DB2" w:rsidP="00006876">
            <w:pPr>
              <w:jc w:val="both"/>
              <w:rPr>
                <w:rFonts w:cs="Calibri"/>
                <w:szCs w:val="22"/>
              </w:rPr>
            </w:pPr>
            <w:r w:rsidRPr="00A55CAF">
              <w:rPr>
                <w:rFonts w:cs="Calibri"/>
                <w:szCs w:val="22"/>
              </w:rPr>
              <w:t>Thorlu-Bangura et al. (2023)</w:t>
            </w:r>
          </w:p>
        </w:tc>
        <w:tc>
          <w:tcPr>
            <w:tcW w:w="813" w:type="pct"/>
            <w:hideMark/>
          </w:tcPr>
          <w:p w14:paraId="07EF593D" w14:textId="77777777" w:rsidR="004D0DB2" w:rsidRPr="00A55CAF" w:rsidRDefault="004D0DB2" w:rsidP="00006876">
            <w:pPr>
              <w:jc w:val="both"/>
              <w:rPr>
                <w:rFonts w:cs="Calibri"/>
                <w:szCs w:val="22"/>
              </w:rPr>
            </w:pPr>
            <w:r w:rsidRPr="00A55CAF">
              <w:rPr>
                <w:rFonts w:cs="Calibri"/>
                <w:i/>
                <w:iCs/>
                <w:szCs w:val="22"/>
              </w:rPr>
              <w:t>Digital health, cardiometabolic disease and ethnicity: UK policies 2010–2022</w:t>
            </w:r>
          </w:p>
        </w:tc>
        <w:tc>
          <w:tcPr>
            <w:tcW w:w="1169" w:type="pct"/>
            <w:hideMark/>
          </w:tcPr>
          <w:p w14:paraId="043F3FAC" w14:textId="77777777" w:rsidR="004D0DB2" w:rsidRPr="00A55CAF" w:rsidRDefault="004D0DB2" w:rsidP="00006876">
            <w:pPr>
              <w:jc w:val="both"/>
              <w:rPr>
                <w:rFonts w:cs="Calibri"/>
                <w:szCs w:val="22"/>
              </w:rPr>
            </w:pPr>
            <w:r w:rsidRPr="00A55CAF">
              <w:rPr>
                <w:rFonts w:cs="Calibri"/>
                <w:szCs w:val="22"/>
              </w:rPr>
              <w:t>UK policy analysis; digital health emphasis rising; ethnic inequalities not addressed sufficiently; inclusion recommendations</w:t>
            </w:r>
          </w:p>
        </w:tc>
        <w:tc>
          <w:tcPr>
            <w:tcW w:w="1221" w:type="pct"/>
            <w:hideMark/>
          </w:tcPr>
          <w:p w14:paraId="097A5A0B" w14:textId="77777777" w:rsidR="004D0DB2" w:rsidRPr="00A55CAF" w:rsidRDefault="004D0DB2" w:rsidP="00006876">
            <w:pPr>
              <w:jc w:val="both"/>
              <w:rPr>
                <w:rFonts w:cs="Calibri"/>
                <w:szCs w:val="22"/>
              </w:rPr>
            </w:pPr>
            <w:r w:rsidRPr="00A55CAF">
              <w:rPr>
                <w:rFonts w:cs="Calibri"/>
                <w:szCs w:val="22"/>
              </w:rPr>
              <w:t>C: 2023 high; R: policy + ethnicity (SDG10); A: peer-reviewed; Ac: systematic policy search; P: critical policy analysis</w:t>
            </w:r>
          </w:p>
        </w:tc>
        <w:tc>
          <w:tcPr>
            <w:tcW w:w="833" w:type="pct"/>
            <w:hideMark/>
          </w:tcPr>
          <w:p w14:paraId="35DD0015" w14:textId="77777777" w:rsidR="004D0DB2" w:rsidRPr="00A55CAF" w:rsidRDefault="004D0DB2" w:rsidP="00006876">
            <w:pPr>
              <w:jc w:val="both"/>
              <w:rPr>
                <w:rFonts w:cs="Calibri"/>
                <w:szCs w:val="22"/>
              </w:rPr>
            </w:pPr>
            <w:r w:rsidRPr="00A55CAF">
              <w:rPr>
                <w:rFonts w:cs="Calibri"/>
                <w:szCs w:val="22"/>
              </w:rPr>
              <w:t>D:\Dissertation\Sources\10_ThorluBangura_etal_2023_UK_Policy_Ethnicity_Cardiometabolic.pdf (DOI: 10.1057/s41271-023-00410-z)</w:t>
            </w:r>
          </w:p>
        </w:tc>
      </w:tr>
      <w:tr w:rsidR="004D0DB2" w:rsidRPr="00A55CAF" w14:paraId="450BE529" w14:textId="77777777" w:rsidTr="0028215F">
        <w:tc>
          <w:tcPr>
            <w:tcW w:w="303" w:type="pct"/>
            <w:hideMark/>
          </w:tcPr>
          <w:p w14:paraId="4453047F" w14:textId="77777777" w:rsidR="004D0DB2" w:rsidRPr="00A55CAF" w:rsidRDefault="004D0DB2" w:rsidP="00006876">
            <w:pPr>
              <w:jc w:val="both"/>
              <w:rPr>
                <w:rFonts w:cs="Calibri"/>
                <w:szCs w:val="22"/>
              </w:rPr>
            </w:pPr>
            <w:r w:rsidRPr="00A55CAF">
              <w:rPr>
                <w:rFonts w:cs="Calibri"/>
                <w:szCs w:val="22"/>
              </w:rPr>
              <w:t>Yes</w:t>
            </w:r>
          </w:p>
        </w:tc>
        <w:tc>
          <w:tcPr>
            <w:tcW w:w="661" w:type="pct"/>
            <w:hideMark/>
          </w:tcPr>
          <w:p w14:paraId="3FE05E38" w14:textId="414234CF" w:rsidR="004D0DB2" w:rsidRPr="00A55CAF" w:rsidRDefault="004D0DB2" w:rsidP="00006876">
            <w:pPr>
              <w:jc w:val="both"/>
              <w:rPr>
                <w:rFonts w:cs="Calibri"/>
                <w:szCs w:val="22"/>
              </w:rPr>
            </w:pPr>
            <w:r w:rsidRPr="00A55CAF">
              <w:rPr>
                <w:rFonts w:cs="Calibri"/>
                <w:szCs w:val="22"/>
              </w:rPr>
              <w:t xml:space="preserve">Rich, Miah </w:t>
            </w:r>
            <w:r w:rsidR="007A027B" w:rsidRPr="00A55CAF">
              <w:rPr>
                <w:rFonts w:cs="Calibri"/>
                <w:szCs w:val="22"/>
              </w:rPr>
              <w:t xml:space="preserve">and </w:t>
            </w:r>
            <w:r w:rsidRPr="00A55CAF">
              <w:rPr>
                <w:rFonts w:cs="Calibri"/>
                <w:szCs w:val="22"/>
              </w:rPr>
              <w:t>Lewis (2019)</w:t>
            </w:r>
          </w:p>
        </w:tc>
        <w:tc>
          <w:tcPr>
            <w:tcW w:w="813" w:type="pct"/>
            <w:hideMark/>
          </w:tcPr>
          <w:p w14:paraId="1D8B5B45" w14:textId="77777777" w:rsidR="004D0DB2" w:rsidRPr="00A55CAF" w:rsidRDefault="004D0DB2" w:rsidP="00006876">
            <w:pPr>
              <w:jc w:val="both"/>
              <w:rPr>
                <w:rFonts w:cs="Calibri"/>
                <w:szCs w:val="22"/>
              </w:rPr>
            </w:pPr>
            <w:r w:rsidRPr="00A55CAF">
              <w:rPr>
                <w:rFonts w:cs="Calibri"/>
                <w:i/>
                <w:iCs/>
                <w:szCs w:val="22"/>
              </w:rPr>
              <w:t xml:space="preserve">Is digital health care more equitable? </w:t>
            </w:r>
            <w:r w:rsidRPr="00A55CAF">
              <w:rPr>
                <w:rFonts w:cs="Calibri"/>
                <w:i/>
                <w:iCs/>
                <w:szCs w:val="22"/>
              </w:rPr>
              <w:lastRenderedPageBreak/>
              <w:t>Framing of inequalities in England’s digital health policy 2010–2017</w:t>
            </w:r>
          </w:p>
        </w:tc>
        <w:tc>
          <w:tcPr>
            <w:tcW w:w="1169" w:type="pct"/>
            <w:hideMark/>
          </w:tcPr>
          <w:p w14:paraId="06392024" w14:textId="77777777" w:rsidR="004D0DB2" w:rsidRPr="00A55CAF" w:rsidRDefault="004D0DB2" w:rsidP="00006876">
            <w:pPr>
              <w:jc w:val="both"/>
              <w:rPr>
                <w:rFonts w:cs="Calibri"/>
                <w:szCs w:val="22"/>
              </w:rPr>
            </w:pPr>
            <w:r w:rsidRPr="00A55CAF">
              <w:rPr>
                <w:rFonts w:cs="Calibri"/>
                <w:szCs w:val="22"/>
              </w:rPr>
              <w:lastRenderedPageBreak/>
              <w:t xml:space="preserve">Discourse analysis; equity framed via </w:t>
            </w:r>
            <w:r w:rsidRPr="00A55CAF">
              <w:rPr>
                <w:rFonts w:cs="Calibri"/>
                <w:szCs w:val="22"/>
              </w:rPr>
              <w:lastRenderedPageBreak/>
              <w:t>efficiency/empowerment/market logics; risks of exacerbating inequality</w:t>
            </w:r>
          </w:p>
        </w:tc>
        <w:tc>
          <w:tcPr>
            <w:tcW w:w="1221" w:type="pct"/>
            <w:hideMark/>
          </w:tcPr>
          <w:p w14:paraId="5892AFC9" w14:textId="77777777" w:rsidR="004D0DB2" w:rsidRPr="00A55CAF" w:rsidRDefault="004D0DB2" w:rsidP="00006876">
            <w:pPr>
              <w:jc w:val="both"/>
              <w:rPr>
                <w:rFonts w:cs="Calibri"/>
                <w:szCs w:val="22"/>
              </w:rPr>
            </w:pPr>
            <w:r w:rsidRPr="00A55CAF">
              <w:rPr>
                <w:rFonts w:cs="Calibri"/>
                <w:szCs w:val="22"/>
              </w:rPr>
              <w:lastRenderedPageBreak/>
              <w:t xml:space="preserve">C: 2019 acceptable (policy period); R: critical equity lens; A: Sociology </w:t>
            </w:r>
            <w:r w:rsidRPr="00A55CAF">
              <w:rPr>
                <w:rFonts w:cs="Calibri"/>
                <w:szCs w:val="22"/>
              </w:rPr>
              <w:lastRenderedPageBreak/>
              <w:t>of Health &amp; Illness; Ac: clear qualitative method; P: critical interpretation</w:t>
            </w:r>
          </w:p>
        </w:tc>
        <w:tc>
          <w:tcPr>
            <w:tcW w:w="833" w:type="pct"/>
            <w:hideMark/>
          </w:tcPr>
          <w:p w14:paraId="0E6EA064" w14:textId="77777777" w:rsidR="004D0DB2" w:rsidRPr="00A55CAF" w:rsidRDefault="004D0DB2" w:rsidP="00006876">
            <w:pPr>
              <w:jc w:val="both"/>
              <w:rPr>
                <w:rFonts w:cs="Calibri"/>
                <w:szCs w:val="22"/>
              </w:rPr>
            </w:pPr>
            <w:r w:rsidRPr="00A55CAF">
              <w:rPr>
                <w:rFonts w:cs="Calibri"/>
                <w:szCs w:val="22"/>
              </w:rPr>
              <w:lastRenderedPageBreak/>
              <w:t>D:\Dissertation\Sources\11_Rich_Miah_Lewis</w:t>
            </w:r>
            <w:r w:rsidRPr="00A55CAF">
              <w:rPr>
                <w:rFonts w:cs="Calibri"/>
                <w:szCs w:val="22"/>
              </w:rPr>
              <w:lastRenderedPageBreak/>
              <w:t>_2019_England_Policy_Equity_Framing.pdf (DOI: 10.1111/1467-9566.12980)</w:t>
            </w:r>
          </w:p>
        </w:tc>
      </w:tr>
      <w:tr w:rsidR="004D0DB2" w:rsidRPr="00A55CAF" w14:paraId="1E7C4E64" w14:textId="77777777" w:rsidTr="0028215F">
        <w:tc>
          <w:tcPr>
            <w:tcW w:w="303" w:type="pct"/>
            <w:hideMark/>
          </w:tcPr>
          <w:p w14:paraId="74631EA6" w14:textId="77777777" w:rsidR="004D0DB2" w:rsidRPr="00A55CAF" w:rsidRDefault="004D0DB2" w:rsidP="00006876">
            <w:pPr>
              <w:jc w:val="both"/>
              <w:rPr>
                <w:rFonts w:cs="Calibri"/>
                <w:szCs w:val="22"/>
              </w:rPr>
            </w:pPr>
            <w:r w:rsidRPr="00A55CAF">
              <w:rPr>
                <w:rFonts w:cs="Calibri"/>
                <w:szCs w:val="22"/>
              </w:rPr>
              <w:t>Yes</w:t>
            </w:r>
          </w:p>
        </w:tc>
        <w:tc>
          <w:tcPr>
            <w:tcW w:w="661" w:type="pct"/>
            <w:hideMark/>
          </w:tcPr>
          <w:p w14:paraId="199BAE75" w14:textId="6723A08B" w:rsidR="004D0DB2" w:rsidRPr="00A55CAF" w:rsidRDefault="004D0DB2" w:rsidP="00006876">
            <w:pPr>
              <w:jc w:val="both"/>
              <w:rPr>
                <w:rFonts w:cs="Calibri"/>
                <w:szCs w:val="22"/>
              </w:rPr>
            </w:pPr>
            <w:r w:rsidRPr="00A55CAF">
              <w:rPr>
                <w:rFonts w:cs="Calibri"/>
                <w:szCs w:val="22"/>
              </w:rPr>
              <w:t xml:space="preserve">Palozzi, Schettini </w:t>
            </w:r>
            <w:r w:rsidR="007A027B" w:rsidRPr="00A55CAF">
              <w:rPr>
                <w:rFonts w:cs="Calibri"/>
                <w:szCs w:val="22"/>
              </w:rPr>
              <w:t xml:space="preserve">and </w:t>
            </w:r>
            <w:r w:rsidRPr="00A55CAF">
              <w:rPr>
                <w:rFonts w:cs="Calibri"/>
                <w:szCs w:val="22"/>
              </w:rPr>
              <w:t>Chirico (2020)</w:t>
            </w:r>
          </w:p>
        </w:tc>
        <w:tc>
          <w:tcPr>
            <w:tcW w:w="813" w:type="pct"/>
            <w:hideMark/>
          </w:tcPr>
          <w:p w14:paraId="0480846A" w14:textId="77777777" w:rsidR="004D0DB2" w:rsidRPr="00A55CAF" w:rsidRDefault="004D0DB2" w:rsidP="00006876">
            <w:pPr>
              <w:jc w:val="both"/>
              <w:rPr>
                <w:rFonts w:cs="Calibri"/>
                <w:szCs w:val="22"/>
              </w:rPr>
            </w:pPr>
            <w:r w:rsidRPr="00A55CAF">
              <w:rPr>
                <w:rFonts w:cs="Calibri"/>
                <w:i/>
                <w:iCs/>
                <w:szCs w:val="22"/>
              </w:rPr>
              <w:t>Enhancing the sustainable goal of access to healthcare… telemedicine in rural areas</w:t>
            </w:r>
          </w:p>
        </w:tc>
        <w:tc>
          <w:tcPr>
            <w:tcW w:w="1169" w:type="pct"/>
            <w:hideMark/>
          </w:tcPr>
          <w:p w14:paraId="51649C0A" w14:textId="77777777" w:rsidR="004D0DB2" w:rsidRPr="00A55CAF" w:rsidRDefault="004D0DB2" w:rsidP="00006876">
            <w:pPr>
              <w:jc w:val="both"/>
              <w:rPr>
                <w:rFonts w:cs="Calibri"/>
                <w:szCs w:val="22"/>
              </w:rPr>
            </w:pPr>
            <w:r w:rsidRPr="00A55CAF">
              <w:rPr>
                <w:rFonts w:cs="Calibri"/>
                <w:szCs w:val="22"/>
              </w:rPr>
              <w:t>PRISMA-based review + bibliometrics; telemedicine linked to SDG3/10; coverage, cost, diagnostic/emergency benefits</w:t>
            </w:r>
          </w:p>
        </w:tc>
        <w:tc>
          <w:tcPr>
            <w:tcW w:w="1221" w:type="pct"/>
            <w:hideMark/>
          </w:tcPr>
          <w:p w14:paraId="1BC31B0E" w14:textId="77777777" w:rsidR="004D0DB2" w:rsidRPr="00A55CAF" w:rsidRDefault="004D0DB2" w:rsidP="00006876">
            <w:pPr>
              <w:jc w:val="both"/>
              <w:rPr>
                <w:rFonts w:cs="Calibri"/>
                <w:szCs w:val="22"/>
              </w:rPr>
            </w:pPr>
            <w:r w:rsidRPr="00A55CAF">
              <w:rPr>
                <w:rFonts w:cs="Calibri"/>
                <w:szCs w:val="22"/>
              </w:rPr>
              <w:t>C: 2020 acceptable; R: explicit SDG link; A: Sustainability journal; Ac: PRISMA + bibliometric; P: synthesis/advocacy tilt</w:t>
            </w:r>
          </w:p>
        </w:tc>
        <w:tc>
          <w:tcPr>
            <w:tcW w:w="833" w:type="pct"/>
            <w:hideMark/>
          </w:tcPr>
          <w:p w14:paraId="26F19F63" w14:textId="77777777" w:rsidR="004D0DB2" w:rsidRPr="00A55CAF" w:rsidRDefault="004D0DB2" w:rsidP="00006876">
            <w:pPr>
              <w:jc w:val="both"/>
              <w:rPr>
                <w:rFonts w:cs="Calibri"/>
                <w:szCs w:val="22"/>
              </w:rPr>
            </w:pPr>
            <w:r w:rsidRPr="00A55CAF">
              <w:rPr>
                <w:rFonts w:cs="Calibri"/>
                <w:szCs w:val="22"/>
              </w:rPr>
              <w:t>D:\Dissertation\Sources\12_Palozzi_Schettini_Chirico_2020_SDG_Telemedicine_RuralReview.pdf (DOI: 10.3390/su12083318)</w:t>
            </w:r>
          </w:p>
        </w:tc>
      </w:tr>
    </w:tbl>
    <w:p w14:paraId="649AD003" w14:textId="77777777" w:rsidR="0039311A" w:rsidRDefault="0039311A" w:rsidP="00006876">
      <w:pPr>
        <w:jc w:val="both"/>
        <w:rPr>
          <w:lang w:eastAsia="en-US"/>
        </w:rPr>
      </w:pPr>
    </w:p>
    <w:p w14:paraId="5E08111A" w14:textId="77777777" w:rsidR="001F1E02" w:rsidRDefault="001F1E02" w:rsidP="00006876">
      <w:pPr>
        <w:jc w:val="both"/>
        <w:rPr>
          <w:lang w:eastAsia="en-US"/>
        </w:rPr>
      </w:pPr>
    </w:p>
    <w:p w14:paraId="65A2D018" w14:textId="4BD696D7" w:rsidR="001F1E02" w:rsidRDefault="001F1E02" w:rsidP="001F1E02">
      <w:pPr>
        <w:pStyle w:val="Heading2"/>
      </w:pPr>
      <w:bookmarkStart w:id="51" w:name="_Toc220350685"/>
      <w:r>
        <w:t>Studies Finalised for Analysis</w:t>
      </w:r>
      <w:bookmarkEnd w:id="51"/>
    </w:p>
    <w:tbl>
      <w:tblPr>
        <w:tblStyle w:val="TableGrid"/>
        <w:tblW w:w="0" w:type="auto"/>
        <w:tblLook w:val="04A0" w:firstRow="1" w:lastRow="0" w:firstColumn="1" w:lastColumn="0" w:noHBand="0" w:noVBand="1"/>
      </w:tblPr>
      <w:tblGrid>
        <w:gridCol w:w="956"/>
        <w:gridCol w:w="1469"/>
        <w:gridCol w:w="1643"/>
        <w:gridCol w:w="1648"/>
        <w:gridCol w:w="1798"/>
        <w:gridCol w:w="2814"/>
        <w:gridCol w:w="1626"/>
        <w:gridCol w:w="1994"/>
      </w:tblGrid>
      <w:tr w:rsidR="0028215F" w:rsidRPr="00AE1436" w14:paraId="492B5752" w14:textId="77777777" w:rsidTr="00AE1436">
        <w:tc>
          <w:tcPr>
            <w:tcW w:w="0" w:type="auto"/>
            <w:hideMark/>
          </w:tcPr>
          <w:p w14:paraId="270F648F" w14:textId="77777777" w:rsidR="00AE1436" w:rsidRPr="00AE1436" w:rsidRDefault="00AE1436" w:rsidP="00AE1436">
            <w:pPr>
              <w:spacing w:line="240" w:lineRule="auto"/>
              <w:jc w:val="center"/>
              <w:rPr>
                <w:rFonts w:cs="Calibri"/>
                <w:b/>
                <w:bCs/>
                <w:szCs w:val="22"/>
              </w:rPr>
            </w:pPr>
            <w:r w:rsidRPr="00AE1436">
              <w:rPr>
                <w:rFonts w:cs="Calibri"/>
                <w:b/>
                <w:bCs/>
                <w:szCs w:val="22"/>
              </w:rPr>
              <w:t>Author &amp; Year</w:t>
            </w:r>
          </w:p>
        </w:tc>
        <w:tc>
          <w:tcPr>
            <w:tcW w:w="0" w:type="auto"/>
            <w:hideMark/>
          </w:tcPr>
          <w:p w14:paraId="14918204" w14:textId="77777777" w:rsidR="00AE1436" w:rsidRPr="00AE1436" w:rsidRDefault="00AE1436" w:rsidP="00AE1436">
            <w:pPr>
              <w:spacing w:line="240" w:lineRule="auto"/>
              <w:jc w:val="center"/>
              <w:rPr>
                <w:rFonts w:cs="Calibri"/>
                <w:b/>
                <w:bCs/>
                <w:szCs w:val="22"/>
              </w:rPr>
            </w:pPr>
            <w:r w:rsidRPr="00AE1436">
              <w:rPr>
                <w:rFonts w:cs="Calibri"/>
                <w:b/>
                <w:bCs/>
                <w:szCs w:val="22"/>
              </w:rPr>
              <w:t>Article Title</w:t>
            </w:r>
          </w:p>
        </w:tc>
        <w:tc>
          <w:tcPr>
            <w:tcW w:w="0" w:type="auto"/>
            <w:hideMark/>
          </w:tcPr>
          <w:p w14:paraId="2D35928B" w14:textId="77777777" w:rsidR="00AE1436" w:rsidRPr="00AE1436" w:rsidRDefault="00AE1436" w:rsidP="00AE1436">
            <w:pPr>
              <w:spacing w:line="240" w:lineRule="auto"/>
              <w:jc w:val="center"/>
              <w:rPr>
                <w:rFonts w:cs="Calibri"/>
                <w:b/>
                <w:bCs/>
                <w:szCs w:val="22"/>
              </w:rPr>
            </w:pPr>
            <w:r w:rsidRPr="00AE1436">
              <w:rPr>
                <w:rFonts w:cs="Calibri"/>
                <w:b/>
                <w:bCs/>
                <w:szCs w:val="22"/>
              </w:rPr>
              <w:t>Type of Study</w:t>
            </w:r>
          </w:p>
        </w:tc>
        <w:tc>
          <w:tcPr>
            <w:tcW w:w="0" w:type="auto"/>
            <w:hideMark/>
          </w:tcPr>
          <w:p w14:paraId="7B43B615" w14:textId="77777777" w:rsidR="00AE1436" w:rsidRPr="00AE1436" w:rsidRDefault="00AE1436" w:rsidP="00AE1436">
            <w:pPr>
              <w:spacing w:line="240" w:lineRule="auto"/>
              <w:jc w:val="center"/>
              <w:rPr>
                <w:rFonts w:cs="Calibri"/>
                <w:b/>
                <w:bCs/>
                <w:szCs w:val="22"/>
              </w:rPr>
            </w:pPr>
            <w:r w:rsidRPr="00AE1436">
              <w:rPr>
                <w:rFonts w:cs="Calibri"/>
                <w:b/>
                <w:bCs/>
                <w:szCs w:val="22"/>
              </w:rPr>
              <w:t>Research Method &amp; Sample Size</w:t>
            </w:r>
          </w:p>
        </w:tc>
        <w:tc>
          <w:tcPr>
            <w:tcW w:w="0" w:type="auto"/>
            <w:hideMark/>
          </w:tcPr>
          <w:p w14:paraId="6FAD50CB" w14:textId="7EEC6ADF" w:rsidR="00AE1436" w:rsidRPr="00AE1436" w:rsidRDefault="00AE1436" w:rsidP="00AE1436">
            <w:pPr>
              <w:spacing w:line="240" w:lineRule="auto"/>
              <w:jc w:val="center"/>
              <w:rPr>
                <w:rFonts w:cs="Calibri"/>
                <w:b/>
                <w:bCs/>
                <w:szCs w:val="22"/>
              </w:rPr>
            </w:pPr>
            <w:r w:rsidRPr="00AE1436">
              <w:rPr>
                <w:rFonts w:cs="Calibri"/>
                <w:b/>
                <w:bCs/>
                <w:szCs w:val="22"/>
              </w:rPr>
              <w:t xml:space="preserve">Strengths &amp; Limitations </w:t>
            </w:r>
          </w:p>
        </w:tc>
        <w:tc>
          <w:tcPr>
            <w:tcW w:w="0" w:type="auto"/>
            <w:hideMark/>
          </w:tcPr>
          <w:p w14:paraId="67015DAD" w14:textId="77777777" w:rsidR="00AE1436" w:rsidRPr="00AE1436" w:rsidRDefault="00AE1436" w:rsidP="00AE1436">
            <w:pPr>
              <w:spacing w:line="240" w:lineRule="auto"/>
              <w:jc w:val="center"/>
              <w:rPr>
                <w:rFonts w:cs="Calibri"/>
                <w:b/>
                <w:bCs/>
                <w:szCs w:val="22"/>
              </w:rPr>
            </w:pPr>
            <w:r w:rsidRPr="00AE1436">
              <w:rPr>
                <w:rFonts w:cs="Calibri"/>
                <w:b/>
                <w:bCs/>
                <w:szCs w:val="22"/>
              </w:rPr>
              <w:t>Main Findings</w:t>
            </w:r>
          </w:p>
        </w:tc>
        <w:tc>
          <w:tcPr>
            <w:tcW w:w="0" w:type="auto"/>
            <w:hideMark/>
          </w:tcPr>
          <w:p w14:paraId="3A739F46" w14:textId="43F88A1C" w:rsidR="00AE1436" w:rsidRPr="00AE1436" w:rsidRDefault="0028215F" w:rsidP="00AE1436">
            <w:pPr>
              <w:spacing w:line="240" w:lineRule="auto"/>
              <w:jc w:val="center"/>
              <w:rPr>
                <w:rFonts w:cs="Calibri"/>
                <w:b/>
                <w:bCs/>
                <w:szCs w:val="22"/>
              </w:rPr>
            </w:pPr>
            <w:r w:rsidRPr="00AE1436">
              <w:rPr>
                <w:rFonts w:cs="Calibri"/>
                <w:b/>
                <w:bCs/>
                <w:szCs w:val="22"/>
              </w:rPr>
              <w:t>Keywords &amp; codes</w:t>
            </w:r>
          </w:p>
        </w:tc>
        <w:tc>
          <w:tcPr>
            <w:tcW w:w="0" w:type="auto"/>
            <w:hideMark/>
          </w:tcPr>
          <w:p w14:paraId="00B209B7" w14:textId="77777777" w:rsidR="00AE1436" w:rsidRPr="00AE1436" w:rsidRDefault="00AE1436" w:rsidP="00AE1436">
            <w:pPr>
              <w:spacing w:line="240" w:lineRule="auto"/>
              <w:jc w:val="center"/>
              <w:rPr>
                <w:rFonts w:cs="Calibri"/>
                <w:b/>
                <w:bCs/>
                <w:szCs w:val="22"/>
              </w:rPr>
            </w:pPr>
            <w:r w:rsidRPr="00AE1436">
              <w:rPr>
                <w:rFonts w:cs="Calibri"/>
                <w:b/>
                <w:bCs/>
                <w:szCs w:val="22"/>
              </w:rPr>
              <w:t>Notes &amp; Comments</w:t>
            </w:r>
          </w:p>
        </w:tc>
      </w:tr>
      <w:tr w:rsidR="0028215F" w:rsidRPr="00AE1436" w14:paraId="25A21304" w14:textId="77777777" w:rsidTr="00AE1436">
        <w:tc>
          <w:tcPr>
            <w:tcW w:w="0" w:type="auto"/>
            <w:hideMark/>
          </w:tcPr>
          <w:p w14:paraId="1EC1B437" w14:textId="17A929CA" w:rsidR="00AE1436" w:rsidRPr="00AE1436" w:rsidRDefault="00AE1436" w:rsidP="00AE1436">
            <w:pPr>
              <w:spacing w:line="240" w:lineRule="auto"/>
              <w:rPr>
                <w:rFonts w:cs="Calibri"/>
                <w:szCs w:val="22"/>
              </w:rPr>
            </w:pPr>
            <w:r w:rsidRPr="00AE1436">
              <w:rPr>
                <w:rFonts w:cs="Calibri"/>
                <w:szCs w:val="22"/>
              </w:rPr>
              <w:t xml:space="preserve">Kitole </w:t>
            </w:r>
            <w:r w:rsidR="00FC59B7">
              <w:rPr>
                <w:rFonts w:cs="Calibri"/>
                <w:szCs w:val="22"/>
              </w:rPr>
              <w:t>and</w:t>
            </w:r>
            <w:r w:rsidRPr="00AE1436">
              <w:rPr>
                <w:rFonts w:cs="Calibri"/>
                <w:szCs w:val="22"/>
              </w:rPr>
              <w:t xml:space="preserve"> Shukla, 2024</w:t>
            </w:r>
          </w:p>
        </w:tc>
        <w:tc>
          <w:tcPr>
            <w:tcW w:w="0" w:type="auto"/>
            <w:hideMark/>
          </w:tcPr>
          <w:p w14:paraId="082B759B" w14:textId="77777777" w:rsidR="00AE1436" w:rsidRPr="00AE1436" w:rsidRDefault="00AE1436" w:rsidP="00AE1436">
            <w:pPr>
              <w:spacing w:line="240" w:lineRule="auto"/>
              <w:rPr>
                <w:rFonts w:cs="Calibri"/>
                <w:szCs w:val="22"/>
              </w:rPr>
            </w:pPr>
            <w:r w:rsidRPr="00AE1436">
              <w:rPr>
                <w:rFonts w:cs="Calibri"/>
                <w:szCs w:val="22"/>
              </w:rPr>
              <w:t>Cloud Horizons: Strengthening Rural Healthcare Through Telemedicine’s Digital Canopy</w:t>
            </w:r>
          </w:p>
        </w:tc>
        <w:tc>
          <w:tcPr>
            <w:tcW w:w="0" w:type="auto"/>
            <w:hideMark/>
          </w:tcPr>
          <w:p w14:paraId="064B63B3" w14:textId="77777777" w:rsidR="00AE1436" w:rsidRPr="00AE1436" w:rsidRDefault="00AE1436" w:rsidP="00AE1436">
            <w:pPr>
              <w:spacing w:line="240" w:lineRule="auto"/>
              <w:rPr>
                <w:rFonts w:cs="Calibri"/>
                <w:szCs w:val="22"/>
              </w:rPr>
            </w:pPr>
            <w:r w:rsidRPr="00AE1436">
              <w:rPr>
                <w:rFonts w:cs="Calibri"/>
                <w:szCs w:val="22"/>
              </w:rPr>
              <w:t>Mixed methods (field study)</w:t>
            </w:r>
          </w:p>
        </w:tc>
        <w:tc>
          <w:tcPr>
            <w:tcW w:w="0" w:type="auto"/>
            <w:hideMark/>
          </w:tcPr>
          <w:p w14:paraId="153C79D6" w14:textId="77777777" w:rsidR="00AE1436" w:rsidRPr="00AE1436" w:rsidRDefault="00AE1436" w:rsidP="00AE1436">
            <w:pPr>
              <w:spacing w:line="240" w:lineRule="auto"/>
              <w:rPr>
                <w:rFonts w:cs="Calibri"/>
                <w:szCs w:val="22"/>
              </w:rPr>
            </w:pPr>
            <w:r w:rsidRPr="00AE1436">
              <w:rPr>
                <w:rFonts w:cs="Calibri"/>
                <w:szCs w:val="22"/>
              </w:rPr>
              <w:t xml:space="preserve">Structured interviews + key informant interviews; descriptive stats + thematic analysis; </w:t>
            </w:r>
            <w:r w:rsidRPr="00AE1436">
              <w:rPr>
                <w:rFonts w:cs="Calibri"/>
                <w:b/>
                <w:bCs/>
                <w:szCs w:val="22"/>
              </w:rPr>
              <w:t xml:space="preserve">sample size not </w:t>
            </w:r>
            <w:r w:rsidRPr="00AE1436">
              <w:rPr>
                <w:rFonts w:cs="Calibri"/>
                <w:b/>
                <w:bCs/>
                <w:szCs w:val="22"/>
              </w:rPr>
              <w:lastRenderedPageBreak/>
              <w:t>stated in abstract</w:t>
            </w:r>
          </w:p>
        </w:tc>
        <w:tc>
          <w:tcPr>
            <w:tcW w:w="0" w:type="auto"/>
            <w:hideMark/>
          </w:tcPr>
          <w:p w14:paraId="4C1AB5DF" w14:textId="4ECCE678" w:rsidR="00AE1436" w:rsidRPr="00AE1436" w:rsidRDefault="00AE1436" w:rsidP="00AE1436">
            <w:pPr>
              <w:spacing w:line="240" w:lineRule="auto"/>
              <w:rPr>
                <w:rFonts w:cs="Calibri"/>
                <w:szCs w:val="22"/>
              </w:rPr>
            </w:pPr>
            <w:r w:rsidRPr="00AE1436">
              <w:rPr>
                <w:rFonts w:cs="Calibri"/>
                <w:b/>
                <w:bCs/>
                <w:szCs w:val="22"/>
              </w:rPr>
              <w:lastRenderedPageBreak/>
              <w:t>STR:</w:t>
            </w:r>
            <w:r w:rsidRPr="00AE1436">
              <w:rPr>
                <w:rFonts w:cs="Calibri"/>
                <w:szCs w:val="22"/>
              </w:rPr>
              <w:t xml:space="preserve">supply+demand lens; real-world rural setting </w:t>
            </w:r>
            <w:r w:rsidRPr="00AE1436">
              <w:rPr>
                <w:rFonts w:cs="Calibri"/>
                <w:b/>
                <w:bCs/>
                <w:szCs w:val="22"/>
              </w:rPr>
              <w:t>LIM:</w:t>
            </w:r>
            <w:r w:rsidRPr="00AE1436">
              <w:rPr>
                <w:rFonts w:cs="Calibri"/>
                <w:szCs w:val="22"/>
              </w:rPr>
              <w:t xml:space="preserve"> sample unclear; local generalisability</w:t>
            </w:r>
          </w:p>
        </w:tc>
        <w:tc>
          <w:tcPr>
            <w:tcW w:w="0" w:type="auto"/>
            <w:hideMark/>
          </w:tcPr>
          <w:p w14:paraId="37C00F84" w14:textId="77777777" w:rsidR="00AE1436" w:rsidRPr="00AE1436" w:rsidRDefault="00AE1436" w:rsidP="00AE1436">
            <w:pPr>
              <w:spacing w:line="240" w:lineRule="auto"/>
              <w:rPr>
                <w:rFonts w:cs="Calibri"/>
                <w:szCs w:val="22"/>
              </w:rPr>
            </w:pPr>
            <w:r w:rsidRPr="00AE1436">
              <w:rPr>
                <w:rFonts w:cs="Calibri"/>
                <w:szCs w:val="22"/>
              </w:rPr>
              <w:t>Use shaped by demand factors (benefits, cost, legal practice, affordability) and supply factors (innovation, finance); benefits reported for access, efficiency, timely consults, monitoring, prescriptions</w:t>
            </w:r>
          </w:p>
        </w:tc>
        <w:tc>
          <w:tcPr>
            <w:tcW w:w="0" w:type="auto"/>
            <w:hideMark/>
          </w:tcPr>
          <w:p w14:paraId="5E201D2F" w14:textId="493E0F89" w:rsidR="00AE1436" w:rsidRPr="00AE1436" w:rsidRDefault="0028215F" w:rsidP="00AE1436">
            <w:pPr>
              <w:spacing w:line="240" w:lineRule="auto"/>
              <w:rPr>
                <w:rFonts w:cs="Calibri"/>
                <w:szCs w:val="22"/>
              </w:rPr>
            </w:pPr>
            <w:r w:rsidRPr="00AE1436">
              <w:rPr>
                <w:rFonts w:cs="Calibri"/>
                <w:szCs w:val="22"/>
              </w:rPr>
              <w:t xml:space="preserve">Rural telemedicine; cloud platforms; privacy; </w:t>
            </w:r>
            <w:r w:rsidR="00AE1436" w:rsidRPr="00AE1436">
              <w:rPr>
                <w:rFonts w:cs="Calibri"/>
                <w:b/>
                <w:bCs/>
                <w:szCs w:val="22"/>
              </w:rPr>
              <w:t>codes:</w:t>
            </w:r>
            <w:r w:rsidR="00AE1436" w:rsidRPr="00AE1436">
              <w:rPr>
                <w:rFonts w:cs="Calibri"/>
                <w:szCs w:val="22"/>
              </w:rPr>
              <w:t xml:space="preserve"> “cost barrier”, “regulation”, “perceived benefit”, </w:t>
            </w:r>
            <w:r w:rsidR="00AE1436" w:rsidRPr="00AE1436">
              <w:rPr>
                <w:rFonts w:cs="Calibri"/>
                <w:szCs w:val="22"/>
              </w:rPr>
              <w:lastRenderedPageBreak/>
              <w:t>“resource limits”, “platform value”</w:t>
            </w:r>
          </w:p>
        </w:tc>
        <w:tc>
          <w:tcPr>
            <w:tcW w:w="0" w:type="auto"/>
            <w:hideMark/>
          </w:tcPr>
          <w:p w14:paraId="110C72F0" w14:textId="77777777" w:rsidR="00AE1436" w:rsidRPr="00AE1436" w:rsidRDefault="00AE1436" w:rsidP="00AE1436">
            <w:pPr>
              <w:spacing w:line="240" w:lineRule="auto"/>
              <w:rPr>
                <w:rFonts w:cs="Calibri"/>
                <w:szCs w:val="22"/>
              </w:rPr>
            </w:pPr>
            <w:r w:rsidRPr="00AE1436">
              <w:rPr>
                <w:rFonts w:cs="Calibri"/>
                <w:szCs w:val="22"/>
              </w:rPr>
              <w:lastRenderedPageBreak/>
              <w:t>Good for implementation and governance points (privacy, consent, registration rules).</w:t>
            </w:r>
          </w:p>
        </w:tc>
      </w:tr>
      <w:tr w:rsidR="0028215F" w:rsidRPr="00AE1436" w14:paraId="7271C939" w14:textId="77777777" w:rsidTr="00AE1436">
        <w:tc>
          <w:tcPr>
            <w:tcW w:w="0" w:type="auto"/>
            <w:hideMark/>
          </w:tcPr>
          <w:p w14:paraId="55C05246" w14:textId="77777777" w:rsidR="00AE1436" w:rsidRPr="00AE1436" w:rsidRDefault="00AE1436" w:rsidP="00AE1436">
            <w:pPr>
              <w:spacing w:line="240" w:lineRule="auto"/>
              <w:rPr>
                <w:rFonts w:cs="Calibri"/>
                <w:szCs w:val="22"/>
              </w:rPr>
            </w:pPr>
            <w:r w:rsidRPr="00AE1436">
              <w:rPr>
                <w:rFonts w:cs="Calibri"/>
                <w:szCs w:val="22"/>
              </w:rPr>
              <w:t>Du et al., 2022</w:t>
            </w:r>
          </w:p>
        </w:tc>
        <w:tc>
          <w:tcPr>
            <w:tcW w:w="0" w:type="auto"/>
            <w:hideMark/>
          </w:tcPr>
          <w:p w14:paraId="4E212EC1" w14:textId="77777777" w:rsidR="00AE1436" w:rsidRPr="00AE1436" w:rsidRDefault="00AE1436" w:rsidP="00AE1436">
            <w:pPr>
              <w:spacing w:line="240" w:lineRule="auto"/>
              <w:rPr>
                <w:rFonts w:cs="Calibri"/>
                <w:szCs w:val="22"/>
              </w:rPr>
            </w:pPr>
            <w:r w:rsidRPr="00AE1436">
              <w:rPr>
                <w:rFonts w:cs="Calibri"/>
                <w:szCs w:val="22"/>
              </w:rPr>
              <w:t>Factors Influencing Adoption and Use of Telemedicine Services in Rural Areas of China</w:t>
            </w:r>
          </w:p>
        </w:tc>
        <w:tc>
          <w:tcPr>
            <w:tcW w:w="0" w:type="auto"/>
            <w:hideMark/>
          </w:tcPr>
          <w:p w14:paraId="6A0B8E75" w14:textId="77777777" w:rsidR="00AE1436" w:rsidRPr="00AE1436" w:rsidRDefault="00AE1436" w:rsidP="00AE1436">
            <w:pPr>
              <w:spacing w:line="240" w:lineRule="auto"/>
              <w:rPr>
                <w:rFonts w:cs="Calibri"/>
                <w:szCs w:val="22"/>
              </w:rPr>
            </w:pPr>
            <w:r w:rsidRPr="00AE1436">
              <w:rPr>
                <w:rFonts w:cs="Calibri"/>
                <w:szCs w:val="22"/>
              </w:rPr>
              <w:t>Mixed methods</w:t>
            </w:r>
          </w:p>
        </w:tc>
        <w:tc>
          <w:tcPr>
            <w:tcW w:w="0" w:type="auto"/>
            <w:hideMark/>
          </w:tcPr>
          <w:p w14:paraId="5865115E" w14:textId="77777777" w:rsidR="00AE1436" w:rsidRPr="00AE1436" w:rsidRDefault="00AE1436" w:rsidP="00AE1436">
            <w:pPr>
              <w:spacing w:line="240" w:lineRule="auto"/>
              <w:rPr>
                <w:rFonts w:cs="Calibri"/>
                <w:szCs w:val="22"/>
              </w:rPr>
            </w:pPr>
            <w:r w:rsidRPr="00AE1436">
              <w:rPr>
                <w:rFonts w:cs="Calibri"/>
                <w:szCs w:val="22"/>
              </w:rPr>
              <w:t xml:space="preserve">Household survey + interviews; Firth logistic regression; thematic analysis (Social Cognitive Theory); </w:t>
            </w:r>
            <w:r w:rsidRPr="00AE1436">
              <w:rPr>
                <w:rFonts w:cs="Calibri"/>
                <w:b/>
                <w:bCs/>
                <w:szCs w:val="22"/>
              </w:rPr>
              <w:t>n=2,101 households</w:t>
            </w:r>
            <w:r w:rsidRPr="00AE1436">
              <w:rPr>
                <w:rFonts w:cs="Calibri"/>
                <w:szCs w:val="22"/>
              </w:rPr>
              <w:t xml:space="preserve">, </w:t>
            </w:r>
            <w:r w:rsidRPr="00AE1436">
              <w:rPr>
                <w:rFonts w:cs="Calibri"/>
                <w:b/>
                <w:bCs/>
                <w:szCs w:val="22"/>
              </w:rPr>
              <w:t>n=27 interviews</w:t>
            </w:r>
          </w:p>
        </w:tc>
        <w:tc>
          <w:tcPr>
            <w:tcW w:w="0" w:type="auto"/>
            <w:hideMark/>
          </w:tcPr>
          <w:p w14:paraId="38582E72" w14:textId="77777777" w:rsidR="00AE1436" w:rsidRPr="00AE1436" w:rsidRDefault="00AE1436" w:rsidP="00AE1436">
            <w:pPr>
              <w:spacing w:line="240" w:lineRule="auto"/>
              <w:rPr>
                <w:rFonts w:cs="Calibri"/>
                <w:szCs w:val="22"/>
              </w:rPr>
            </w:pPr>
            <w:r w:rsidRPr="00AE1436">
              <w:rPr>
                <w:rFonts w:cs="Calibri"/>
                <w:b/>
                <w:bCs/>
                <w:szCs w:val="22"/>
              </w:rPr>
              <w:t>STR:</w:t>
            </w:r>
            <w:r w:rsidRPr="00AE1436">
              <w:rPr>
                <w:rFonts w:cs="Calibri"/>
                <w:szCs w:val="22"/>
              </w:rPr>
              <w:t xml:space="preserve"> mixed methods; theory-guided qual; barrier detail </w:t>
            </w:r>
            <w:r w:rsidRPr="00AE1436">
              <w:rPr>
                <w:rFonts w:cs="Calibri"/>
                <w:b/>
                <w:bCs/>
                <w:szCs w:val="22"/>
              </w:rPr>
              <w:t>LIM:</w:t>
            </w:r>
            <w:r w:rsidRPr="00AE1436">
              <w:rPr>
                <w:rFonts w:cs="Calibri"/>
                <w:szCs w:val="22"/>
              </w:rPr>
              <w:t xml:space="preserve"> extremely low uptake limits modelling; regional scope</w:t>
            </w:r>
          </w:p>
        </w:tc>
        <w:tc>
          <w:tcPr>
            <w:tcW w:w="0" w:type="auto"/>
            <w:hideMark/>
          </w:tcPr>
          <w:p w14:paraId="29FAA973" w14:textId="77777777" w:rsidR="00AE1436" w:rsidRPr="00AE1436" w:rsidRDefault="00AE1436" w:rsidP="00AE1436">
            <w:pPr>
              <w:spacing w:line="240" w:lineRule="auto"/>
              <w:rPr>
                <w:rFonts w:cs="Calibri"/>
                <w:szCs w:val="22"/>
              </w:rPr>
            </w:pPr>
            <w:r w:rsidRPr="00AE1436">
              <w:rPr>
                <w:rFonts w:cs="Calibri"/>
                <w:szCs w:val="22"/>
              </w:rPr>
              <w:t>Telemedicine use was extremely low (&lt;1%); uptake linked to recent fever in household and device access; barriers: low knowledge, low trust, low demand, low self-efficacy, limited support</w:t>
            </w:r>
          </w:p>
        </w:tc>
        <w:tc>
          <w:tcPr>
            <w:tcW w:w="0" w:type="auto"/>
            <w:hideMark/>
          </w:tcPr>
          <w:p w14:paraId="1043790C" w14:textId="716B3454" w:rsidR="00AE1436" w:rsidRPr="00AE1436" w:rsidRDefault="0028215F" w:rsidP="00AE1436">
            <w:pPr>
              <w:spacing w:line="240" w:lineRule="auto"/>
              <w:rPr>
                <w:rFonts w:cs="Calibri"/>
                <w:szCs w:val="22"/>
              </w:rPr>
            </w:pPr>
            <w:r w:rsidRPr="00AE1436">
              <w:rPr>
                <w:rFonts w:cs="Calibri"/>
                <w:szCs w:val="22"/>
              </w:rPr>
              <w:t xml:space="preserve">Rural adoption; trust; self-efficacy; </w:t>
            </w:r>
            <w:r w:rsidR="00AE1436" w:rsidRPr="00AE1436">
              <w:rPr>
                <w:rFonts w:cs="Calibri"/>
                <w:b/>
                <w:bCs/>
                <w:szCs w:val="22"/>
              </w:rPr>
              <w:t>codes:</w:t>
            </w:r>
            <w:r w:rsidR="00AE1436" w:rsidRPr="00AE1436">
              <w:rPr>
                <w:rFonts w:cs="Calibri"/>
                <w:szCs w:val="22"/>
              </w:rPr>
              <w:t xml:space="preserve"> “low uptake”, “digital literacy”, “trust gap”, “self-efficacy”, “support needs”</w:t>
            </w:r>
          </w:p>
        </w:tc>
        <w:tc>
          <w:tcPr>
            <w:tcW w:w="0" w:type="auto"/>
            <w:hideMark/>
          </w:tcPr>
          <w:p w14:paraId="078773CA" w14:textId="77777777" w:rsidR="00AE1436" w:rsidRPr="00AE1436" w:rsidRDefault="00AE1436" w:rsidP="00AE1436">
            <w:pPr>
              <w:spacing w:line="240" w:lineRule="auto"/>
              <w:rPr>
                <w:rFonts w:cs="Calibri"/>
                <w:szCs w:val="22"/>
              </w:rPr>
            </w:pPr>
            <w:r w:rsidRPr="00AE1436">
              <w:rPr>
                <w:rFonts w:cs="Calibri"/>
                <w:szCs w:val="22"/>
              </w:rPr>
              <w:t>Strong evidence that “availability ≠ use” in low-resource settings.</w:t>
            </w:r>
          </w:p>
        </w:tc>
      </w:tr>
      <w:tr w:rsidR="0028215F" w:rsidRPr="00AE1436" w14:paraId="0D0AFED2" w14:textId="77777777" w:rsidTr="00AE1436">
        <w:tc>
          <w:tcPr>
            <w:tcW w:w="0" w:type="auto"/>
            <w:hideMark/>
          </w:tcPr>
          <w:p w14:paraId="12417C6E" w14:textId="77777777" w:rsidR="00AE1436" w:rsidRPr="00AE1436" w:rsidRDefault="00AE1436" w:rsidP="00AE1436">
            <w:pPr>
              <w:spacing w:line="240" w:lineRule="auto"/>
              <w:rPr>
                <w:rFonts w:cs="Calibri"/>
                <w:szCs w:val="22"/>
              </w:rPr>
            </w:pPr>
            <w:r w:rsidRPr="00AE1436">
              <w:rPr>
                <w:rFonts w:cs="Calibri"/>
                <w:szCs w:val="22"/>
              </w:rPr>
              <w:t>Yao et al., 2025</w:t>
            </w:r>
          </w:p>
        </w:tc>
        <w:tc>
          <w:tcPr>
            <w:tcW w:w="0" w:type="auto"/>
            <w:hideMark/>
          </w:tcPr>
          <w:p w14:paraId="754F5103" w14:textId="77777777" w:rsidR="00AE1436" w:rsidRPr="00AE1436" w:rsidRDefault="00AE1436" w:rsidP="00AE1436">
            <w:pPr>
              <w:spacing w:line="240" w:lineRule="auto"/>
              <w:rPr>
                <w:rFonts w:cs="Calibri"/>
                <w:szCs w:val="22"/>
              </w:rPr>
            </w:pPr>
            <w:r w:rsidRPr="00AE1436">
              <w:rPr>
                <w:rFonts w:cs="Calibri"/>
                <w:szCs w:val="22"/>
              </w:rPr>
              <w:t>Adoption of telemedicine among middle-aged/older patients with chronic conditions in rural China</w:t>
            </w:r>
          </w:p>
        </w:tc>
        <w:tc>
          <w:tcPr>
            <w:tcW w:w="0" w:type="auto"/>
            <w:hideMark/>
          </w:tcPr>
          <w:p w14:paraId="7EE3E41C" w14:textId="77777777" w:rsidR="00AE1436" w:rsidRPr="00AE1436" w:rsidRDefault="00AE1436" w:rsidP="00AE1436">
            <w:pPr>
              <w:spacing w:line="240" w:lineRule="auto"/>
              <w:rPr>
                <w:rFonts w:cs="Calibri"/>
                <w:szCs w:val="22"/>
              </w:rPr>
            </w:pPr>
            <w:r w:rsidRPr="00AE1436">
              <w:rPr>
                <w:rFonts w:cs="Calibri"/>
                <w:szCs w:val="22"/>
              </w:rPr>
              <w:t>Cross-sectional (multicentre)</w:t>
            </w:r>
          </w:p>
        </w:tc>
        <w:tc>
          <w:tcPr>
            <w:tcW w:w="0" w:type="auto"/>
            <w:hideMark/>
          </w:tcPr>
          <w:p w14:paraId="07B30853" w14:textId="77777777" w:rsidR="00AE1436" w:rsidRPr="00AE1436" w:rsidRDefault="00AE1436" w:rsidP="00AE1436">
            <w:pPr>
              <w:spacing w:line="240" w:lineRule="auto"/>
              <w:rPr>
                <w:rFonts w:cs="Calibri"/>
                <w:szCs w:val="22"/>
              </w:rPr>
            </w:pPr>
            <w:r w:rsidRPr="00AE1436">
              <w:rPr>
                <w:rFonts w:cs="Calibri"/>
                <w:szCs w:val="22"/>
              </w:rPr>
              <w:t xml:space="preserve">Survey (HITAM constructs) + SEM + GLM; </w:t>
            </w:r>
            <w:r w:rsidRPr="00AE1436">
              <w:rPr>
                <w:rFonts w:cs="Calibri"/>
                <w:b/>
                <w:bCs/>
                <w:szCs w:val="22"/>
              </w:rPr>
              <w:t>n=880</w:t>
            </w:r>
            <w:r w:rsidRPr="00AE1436">
              <w:rPr>
                <w:rFonts w:cs="Calibri"/>
                <w:szCs w:val="22"/>
              </w:rPr>
              <w:t xml:space="preserve"> (≥45, chronic conditions)</w:t>
            </w:r>
          </w:p>
        </w:tc>
        <w:tc>
          <w:tcPr>
            <w:tcW w:w="0" w:type="auto"/>
            <w:hideMark/>
          </w:tcPr>
          <w:p w14:paraId="7A531F42" w14:textId="77777777" w:rsidR="00AE1436" w:rsidRPr="00AE1436" w:rsidRDefault="00AE1436" w:rsidP="00AE1436">
            <w:pPr>
              <w:spacing w:line="240" w:lineRule="auto"/>
              <w:rPr>
                <w:rFonts w:cs="Calibri"/>
                <w:szCs w:val="22"/>
              </w:rPr>
            </w:pPr>
            <w:r w:rsidRPr="00AE1436">
              <w:rPr>
                <w:rFonts w:cs="Calibri"/>
                <w:b/>
                <w:bCs/>
                <w:szCs w:val="22"/>
              </w:rPr>
              <w:t>STR:</w:t>
            </w:r>
            <w:r w:rsidRPr="00AE1436">
              <w:rPr>
                <w:rFonts w:cs="Calibri"/>
                <w:szCs w:val="22"/>
              </w:rPr>
              <w:t xml:space="preserve"> theory model (HITAM); SEM pathways; clinic-based sample </w:t>
            </w:r>
            <w:r w:rsidRPr="00AE1436">
              <w:rPr>
                <w:rFonts w:cs="Calibri"/>
                <w:b/>
                <w:bCs/>
                <w:szCs w:val="22"/>
              </w:rPr>
              <w:t>LIM:</w:t>
            </w:r>
            <w:r w:rsidRPr="00AE1436">
              <w:rPr>
                <w:rFonts w:cs="Calibri"/>
                <w:szCs w:val="22"/>
              </w:rPr>
              <w:t xml:space="preserve"> cross-sectional; intention vs actual use; setting limited to 5 hospitals</w:t>
            </w:r>
          </w:p>
        </w:tc>
        <w:tc>
          <w:tcPr>
            <w:tcW w:w="0" w:type="auto"/>
            <w:hideMark/>
          </w:tcPr>
          <w:p w14:paraId="61E30F46" w14:textId="77777777" w:rsidR="00AE1436" w:rsidRPr="00AE1436" w:rsidRDefault="00AE1436" w:rsidP="00AE1436">
            <w:pPr>
              <w:spacing w:line="240" w:lineRule="auto"/>
              <w:rPr>
                <w:rFonts w:cs="Calibri"/>
                <w:szCs w:val="22"/>
              </w:rPr>
            </w:pPr>
            <w:r w:rsidRPr="00AE1436">
              <w:rPr>
                <w:rFonts w:cs="Calibri"/>
                <w:szCs w:val="22"/>
              </w:rPr>
              <w:t>Intention driven by social influence, usefulness, attitude; ease of use and usefulness act as core mediators; education/income predict intention; cancer diagnosis linked to lower intention</w:t>
            </w:r>
          </w:p>
        </w:tc>
        <w:tc>
          <w:tcPr>
            <w:tcW w:w="0" w:type="auto"/>
            <w:hideMark/>
          </w:tcPr>
          <w:p w14:paraId="5ECDEAA3" w14:textId="3CC687EC" w:rsidR="00AE1436" w:rsidRPr="00AE1436" w:rsidRDefault="0028215F" w:rsidP="00AE1436">
            <w:pPr>
              <w:spacing w:line="240" w:lineRule="auto"/>
              <w:rPr>
                <w:rFonts w:cs="Calibri"/>
                <w:szCs w:val="22"/>
              </w:rPr>
            </w:pPr>
            <w:r w:rsidRPr="00AE1436">
              <w:rPr>
                <w:rFonts w:cs="Calibri"/>
                <w:szCs w:val="22"/>
              </w:rPr>
              <w:t xml:space="preserve">Adoption </w:t>
            </w:r>
            <w:r w:rsidR="00AE1436" w:rsidRPr="00AE1436">
              <w:rPr>
                <w:rFonts w:cs="Calibri"/>
                <w:szCs w:val="22"/>
              </w:rPr>
              <w:t xml:space="preserve">intention; chronic disease; HITAM; </w:t>
            </w:r>
            <w:r w:rsidR="00AE1436" w:rsidRPr="00AE1436">
              <w:rPr>
                <w:rFonts w:cs="Calibri"/>
                <w:b/>
                <w:bCs/>
                <w:szCs w:val="22"/>
              </w:rPr>
              <w:t>codes:</w:t>
            </w:r>
            <w:r w:rsidR="00AE1436" w:rsidRPr="00AE1436">
              <w:rPr>
                <w:rFonts w:cs="Calibri"/>
                <w:szCs w:val="22"/>
              </w:rPr>
              <w:t xml:space="preserve"> “usefulness”, “ease of use”, “social influence”, “reliability”, “intention–behaviour”</w:t>
            </w:r>
          </w:p>
        </w:tc>
        <w:tc>
          <w:tcPr>
            <w:tcW w:w="0" w:type="auto"/>
            <w:hideMark/>
          </w:tcPr>
          <w:p w14:paraId="1CAF52DF" w14:textId="77777777" w:rsidR="00AE1436" w:rsidRPr="00AE1436" w:rsidRDefault="00AE1436" w:rsidP="00AE1436">
            <w:pPr>
              <w:spacing w:line="240" w:lineRule="auto"/>
              <w:rPr>
                <w:rFonts w:cs="Calibri"/>
                <w:szCs w:val="22"/>
              </w:rPr>
            </w:pPr>
            <w:r w:rsidRPr="00AE1436">
              <w:rPr>
                <w:rFonts w:cs="Calibri"/>
                <w:szCs w:val="22"/>
              </w:rPr>
              <w:t>Useful to explain “mechanisms” of adoption (beliefs → intention → behaviour).</w:t>
            </w:r>
          </w:p>
        </w:tc>
      </w:tr>
      <w:tr w:rsidR="0028215F" w:rsidRPr="00AE1436" w14:paraId="6F8EB77B" w14:textId="77777777" w:rsidTr="00AE1436">
        <w:tc>
          <w:tcPr>
            <w:tcW w:w="0" w:type="auto"/>
            <w:hideMark/>
          </w:tcPr>
          <w:p w14:paraId="79DE6E8A" w14:textId="475F4F7F" w:rsidR="00AE1436" w:rsidRPr="00AE1436" w:rsidRDefault="00AE1436" w:rsidP="00AE1436">
            <w:pPr>
              <w:spacing w:line="240" w:lineRule="auto"/>
              <w:rPr>
                <w:rFonts w:cs="Calibri"/>
                <w:szCs w:val="22"/>
              </w:rPr>
            </w:pPr>
            <w:r w:rsidRPr="00AE1436">
              <w:rPr>
                <w:rFonts w:cs="Calibri"/>
                <w:szCs w:val="22"/>
              </w:rPr>
              <w:t xml:space="preserve">Chen, Amaize </w:t>
            </w:r>
            <w:r w:rsidR="00CC6C43">
              <w:rPr>
                <w:rFonts w:cs="Calibri"/>
                <w:szCs w:val="22"/>
              </w:rPr>
              <w:t>and</w:t>
            </w:r>
            <w:r w:rsidR="00CC6C43" w:rsidRPr="00AE1436">
              <w:rPr>
                <w:rFonts w:cs="Calibri"/>
                <w:szCs w:val="22"/>
              </w:rPr>
              <w:t xml:space="preserve"> </w:t>
            </w:r>
            <w:r w:rsidRPr="00AE1436">
              <w:rPr>
                <w:rFonts w:cs="Calibri"/>
                <w:szCs w:val="22"/>
              </w:rPr>
              <w:lastRenderedPageBreak/>
              <w:t>Barath, 2020</w:t>
            </w:r>
          </w:p>
        </w:tc>
        <w:tc>
          <w:tcPr>
            <w:tcW w:w="0" w:type="auto"/>
            <w:hideMark/>
          </w:tcPr>
          <w:p w14:paraId="6543A36F" w14:textId="77777777" w:rsidR="00AE1436" w:rsidRPr="00AE1436" w:rsidRDefault="00AE1436" w:rsidP="00AE1436">
            <w:pPr>
              <w:spacing w:line="240" w:lineRule="auto"/>
              <w:rPr>
                <w:rFonts w:cs="Calibri"/>
                <w:szCs w:val="22"/>
              </w:rPr>
            </w:pPr>
            <w:r w:rsidRPr="00AE1436">
              <w:rPr>
                <w:rFonts w:cs="Calibri"/>
                <w:szCs w:val="22"/>
              </w:rPr>
              <w:lastRenderedPageBreak/>
              <w:t xml:space="preserve">Evaluating telehealth adoption and barriers </w:t>
            </w:r>
            <w:r w:rsidRPr="00AE1436">
              <w:rPr>
                <w:rFonts w:cs="Calibri"/>
                <w:szCs w:val="22"/>
              </w:rPr>
              <w:lastRenderedPageBreak/>
              <w:t>among rural vs urban hospitals</w:t>
            </w:r>
          </w:p>
        </w:tc>
        <w:tc>
          <w:tcPr>
            <w:tcW w:w="0" w:type="auto"/>
            <w:hideMark/>
          </w:tcPr>
          <w:p w14:paraId="6EE1CA8A" w14:textId="77777777" w:rsidR="00AE1436" w:rsidRPr="00AE1436" w:rsidRDefault="00AE1436" w:rsidP="00AE1436">
            <w:pPr>
              <w:spacing w:line="240" w:lineRule="auto"/>
              <w:rPr>
                <w:rFonts w:cs="Calibri"/>
                <w:szCs w:val="22"/>
              </w:rPr>
            </w:pPr>
            <w:r w:rsidRPr="00AE1436">
              <w:rPr>
                <w:rFonts w:cs="Calibri"/>
                <w:szCs w:val="22"/>
              </w:rPr>
              <w:lastRenderedPageBreak/>
              <w:t>Quantitative secondary analysis</w:t>
            </w:r>
          </w:p>
        </w:tc>
        <w:tc>
          <w:tcPr>
            <w:tcW w:w="0" w:type="auto"/>
            <w:hideMark/>
          </w:tcPr>
          <w:p w14:paraId="6723FB94" w14:textId="77777777" w:rsidR="00AE1436" w:rsidRPr="00AE1436" w:rsidRDefault="00AE1436" w:rsidP="00AE1436">
            <w:pPr>
              <w:spacing w:line="240" w:lineRule="auto"/>
              <w:rPr>
                <w:rFonts w:cs="Calibri"/>
                <w:szCs w:val="22"/>
              </w:rPr>
            </w:pPr>
            <w:r w:rsidRPr="00AE1436">
              <w:rPr>
                <w:rFonts w:cs="Calibri"/>
                <w:szCs w:val="22"/>
              </w:rPr>
              <w:t xml:space="preserve">AHA 2018 survey + IT supplement; multivariate + </w:t>
            </w:r>
            <w:r w:rsidRPr="00AE1436">
              <w:rPr>
                <w:rFonts w:cs="Calibri"/>
                <w:szCs w:val="22"/>
              </w:rPr>
              <w:lastRenderedPageBreak/>
              <w:t xml:space="preserve">Oaxaca decomposition; </w:t>
            </w:r>
            <w:r w:rsidRPr="00AE1436">
              <w:rPr>
                <w:rFonts w:cs="Calibri"/>
                <w:b/>
                <w:bCs/>
                <w:szCs w:val="22"/>
              </w:rPr>
              <w:t>hospital dataset (n not in abstract)</w:t>
            </w:r>
          </w:p>
        </w:tc>
        <w:tc>
          <w:tcPr>
            <w:tcW w:w="0" w:type="auto"/>
            <w:hideMark/>
          </w:tcPr>
          <w:p w14:paraId="6A7748BC" w14:textId="77777777" w:rsidR="00AE1436" w:rsidRPr="00AE1436" w:rsidRDefault="00AE1436" w:rsidP="00AE1436">
            <w:pPr>
              <w:spacing w:line="240" w:lineRule="auto"/>
              <w:rPr>
                <w:rFonts w:cs="Calibri"/>
                <w:szCs w:val="22"/>
              </w:rPr>
            </w:pPr>
            <w:r w:rsidRPr="00AE1436">
              <w:rPr>
                <w:rFonts w:cs="Calibri"/>
                <w:b/>
                <w:bCs/>
                <w:szCs w:val="22"/>
              </w:rPr>
              <w:lastRenderedPageBreak/>
              <w:t>STR:</w:t>
            </w:r>
            <w:r w:rsidRPr="00AE1436">
              <w:rPr>
                <w:rFonts w:cs="Calibri"/>
                <w:szCs w:val="22"/>
              </w:rPr>
              <w:t xml:space="preserve"> national hospital data; decomposition of rural/urban gap </w:t>
            </w:r>
            <w:r w:rsidRPr="00AE1436">
              <w:rPr>
                <w:rFonts w:cs="Calibri"/>
                <w:b/>
                <w:bCs/>
                <w:szCs w:val="22"/>
              </w:rPr>
              <w:lastRenderedPageBreak/>
              <w:t>LIM:</w:t>
            </w:r>
            <w:r w:rsidRPr="00AE1436">
              <w:rPr>
                <w:rFonts w:cs="Calibri"/>
                <w:szCs w:val="22"/>
              </w:rPr>
              <w:t xml:space="preserve"> survey measures; capability proxies; cross-sectional</w:t>
            </w:r>
          </w:p>
        </w:tc>
        <w:tc>
          <w:tcPr>
            <w:tcW w:w="0" w:type="auto"/>
            <w:hideMark/>
          </w:tcPr>
          <w:p w14:paraId="7D2E4AAE" w14:textId="77777777" w:rsidR="00AE1436" w:rsidRPr="00AE1436" w:rsidRDefault="00AE1436" w:rsidP="00AE1436">
            <w:pPr>
              <w:spacing w:line="240" w:lineRule="auto"/>
              <w:rPr>
                <w:rFonts w:cs="Calibri"/>
                <w:szCs w:val="22"/>
              </w:rPr>
            </w:pPr>
            <w:r w:rsidRPr="00AE1436">
              <w:rPr>
                <w:rFonts w:cs="Calibri"/>
                <w:szCs w:val="22"/>
              </w:rPr>
              <w:lastRenderedPageBreak/>
              <w:t xml:space="preserve">Rural hospitals had lowest adoption and weakest patient engagement + HIE capability; model explained </w:t>
            </w:r>
            <w:r w:rsidRPr="00AE1436">
              <w:rPr>
                <w:rFonts w:cs="Calibri"/>
                <w:szCs w:val="22"/>
              </w:rPr>
              <w:lastRenderedPageBreak/>
              <w:t>much of rural/urban adoption gap; key barriers include limited HIE and engagement features</w:t>
            </w:r>
          </w:p>
        </w:tc>
        <w:tc>
          <w:tcPr>
            <w:tcW w:w="0" w:type="auto"/>
            <w:hideMark/>
          </w:tcPr>
          <w:p w14:paraId="73F3F51C" w14:textId="23DACFEA" w:rsidR="00AE1436" w:rsidRPr="00AE1436" w:rsidRDefault="0028215F" w:rsidP="00AE1436">
            <w:pPr>
              <w:spacing w:line="240" w:lineRule="auto"/>
              <w:rPr>
                <w:rFonts w:cs="Calibri"/>
                <w:szCs w:val="22"/>
              </w:rPr>
            </w:pPr>
            <w:r w:rsidRPr="00AE1436">
              <w:rPr>
                <w:rFonts w:cs="Calibri"/>
                <w:szCs w:val="22"/>
              </w:rPr>
              <w:lastRenderedPageBreak/>
              <w:t xml:space="preserve">Telehealth </w:t>
            </w:r>
            <w:r w:rsidR="00AE1436" w:rsidRPr="00AE1436">
              <w:rPr>
                <w:rFonts w:cs="Calibri"/>
                <w:szCs w:val="22"/>
              </w:rPr>
              <w:t xml:space="preserve">adoption; HIE; patient engagement; </w:t>
            </w:r>
            <w:r w:rsidR="00AE1436" w:rsidRPr="00AE1436">
              <w:rPr>
                <w:rFonts w:cs="Calibri"/>
                <w:b/>
                <w:bCs/>
                <w:szCs w:val="22"/>
              </w:rPr>
              <w:lastRenderedPageBreak/>
              <w:t>codes:</w:t>
            </w:r>
            <w:r w:rsidR="00AE1436" w:rsidRPr="00AE1436">
              <w:rPr>
                <w:rFonts w:cs="Calibri"/>
                <w:szCs w:val="22"/>
              </w:rPr>
              <w:t xml:space="preserve"> “rural gap”, “HIE limits”, “engagement capability”, “infrastructure barrier”</w:t>
            </w:r>
          </w:p>
        </w:tc>
        <w:tc>
          <w:tcPr>
            <w:tcW w:w="0" w:type="auto"/>
            <w:hideMark/>
          </w:tcPr>
          <w:p w14:paraId="710F35C5" w14:textId="77777777" w:rsidR="00AE1436" w:rsidRPr="00AE1436" w:rsidRDefault="00AE1436" w:rsidP="00AE1436">
            <w:pPr>
              <w:spacing w:line="240" w:lineRule="auto"/>
              <w:rPr>
                <w:rFonts w:cs="Calibri"/>
                <w:szCs w:val="22"/>
              </w:rPr>
            </w:pPr>
            <w:r w:rsidRPr="00AE1436">
              <w:rPr>
                <w:rFonts w:cs="Calibri"/>
                <w:szCs w:val="22"/>
              </w:rPr>
              <w:lastRenderedPageBreak/>
              <w:t xml:space="preserve">Good for organisational/system-level constraints (not </w:t>
            </w:r>
            <w:r w:rsidRPr="00AE1436">
              <w:rPr>
                <w:rFonts w:cs="Calibri"/>
                <w:szCs w:val="22"/>
              </w:rPr>
              <w:lastRenderedPageBreak/>
              <w:t>just patient factors).</w:t>
            </w:r>
          </w:p>
        </w:tc>
      </w:tr>
      <w:tr w:rsidR="0028215F" w:rsidRPr="00AE1436" w14:paraId="0F226685" w14:textId="77777777" w:rsidTr="00AE1436">
        <w:tc>
          <w:tcPr>
            <w:tcW w:w="0" w:type="auto"/>
            <w:hideMark/>
          </w:tcPr>
          <w:p w14:paraId="5121DFB2" w14:textId="77777777" w:rsidR="00AE1436" w:rsidRPr="00AE1436" w:rsidRDefault="00AE1436" w:rsidP="00AE1436">
            <w:pPr>
              <w:spacing w:line="240" w:lineRule="auto"/>
              <w:rPr>
                <w:rFonts w:cs="Calibri"/>
                <w:szCs w:val="22"/>
              </w:rPr>
            </w:pPr>
            <w:r w:rsidRPr="00AE1436">
              <w:rPr>
                <w:rFonts w:cs="Calibri"/>
                <w:szCs w:val="22"/>
              </w:rPr>
              <w:t>Chu et al., 2021</w:t>
            </w:r>
          </w:p>
        </w:tc>
        <w:tc>
          <w:tcPr>
            <w:tcW w:w="0" w:type="auto"/>
            <w:hideMark/>
          </w:tcPr>
          <w:p w14:paraId="1B8F8CCD" w14:textId="77777777" w:rsidR="00AE1436" w:rsidRPr="00AE1436" w:rsidRDefault="00AE1436" w:rsidP="00AE1436">
            <w:pPr>
              <w:spacing w:line="240" w:lineRule="auto"/>
              <w:rPr>
                <w:rFonts w:cs="Calibri"/>
                <w:szCs w:val="22"/>
              </w:rPr>
            </w:pPr>
            <w:r w:rsidRPr="00AE1436">
              <w:rPr>
                <w:rFonts w:cs="Calibri"/>
                <w:szCs w:val="22"/>
              </w:rPr>
              <w:t>Rural telemedicine use before and during COVID-19 (Ontario)</w:t>
            </w:r>
          </w:p>
        </w:tc>
        <w:tc>
          <w:tcPr>
            <w:tcW w:w="0" w:type="auto"/>
            <w:hideMark/>
          </w:tcPr>
          <w:p w14:paraId="6D1965D8" w14:textId="77777777" w:rsidR="00AE1436" w:rsidRPr="00AE1436" w:rsidRDefault="00AE1436" w:rsidP="00AE1436">
            <w:pPr>
              <w:spacing w:line="240" w:lineRule="auto"/>
              <w:rPr>
                <w:rFonts w:cs="Calibri"/>
                <w:szCs w:val="22"/>
              </w:rPr>
            </w:pPr>
            <w:r w:rsidRPr="00AE1436">
              <w:rPr>
                <w:rFonts w:cs="Calibri"/>
                <w:szCs w:val="22"/>
              </w:rPr>
              <w:t>Repeated cross-sectional (population admin data)</w:t>
            </w:r>
          </w:p>
        </w:tc>
        <w:tc>
          <w:tcPr>
            <w:tcW w:w="0" w:type="auto"/>
            <w:hideMark/>
          </w:tcPr>
          <w:p w14:paraId="0264F35A" w14:textId="77777777" w:rsidR="00AE1436" w:rsidRPr="00AE1436" w:rsidRDefault="00AE1436" w:rsidP="00AE1436">
            <w:pPr>
              <w:spacing w:line="240" w:lineRule="auto"/>
              <w:rPr>
                <w:rFonts w:cs="Calibri"/>
                <w:szCs w:val="22"/>
              </w:rPr>
            </w:pPr>
            <w:r w:rsidRPr="00AE1436">
              <w:rPr>
                <w:rFonts w:cs="Calibri"/>
                <w:szCs w:val="22"/>
              </w:rPr>
              <w:t xml:space="preserve">Administrative visit data 2012–2020; monthly/quarterly trends; </w:t>
            </w:r>
            <w:r w:rsidRPr="00AE1436">
              <w:rPr>
                <w:rFonts w:cs="Calibri"/>
                <w:b/>
                <w:bCs/>
                <w:szCs w:val="22"/>
              </w:rPr>
              <w:t>population-level (very large; n not stated)</w:t>
            </w:r>
          </w:p>
        </w:tc>
        <w:tc>
          <w:tcPr>
            <w:tcW w:w="0" w:type="auto"/>
            <w:hideMark/>
          </w:tcPr>
          <w:p w14:paraId="75D87C1D" w14:textId="77777777" w:rsidR="00AE1436" w:rsidRPr="00AE1436" w:rsidRDefault="00AE1436" w:rsidP="00AE1436">
            <w:pPr>
              <w:spacing w:line="240" w:lineRule="auto"/>
              <w:rPr>
                <w:rFonts w:cs="Calibri"/>
                <w:szCs w:val="22"/>
              </w:rPr>
            </w:pPr>
            <w:r w:rsidRPr="00AE1436">
              <w:rPr>
                <w:rFonts w:cs="Calibri"/>
                <w:b/>
                <w:bCs/>
                <w:szCs w:val="22"/>
              </w:rPr>
              <w:t>STR:</w:t>
            </w:r>
            <w:r w:rsidRPr="00AE1436">
              <w:rPr>
                <w:rFonts w:cs="Calibri"/>
                <w:szCs w:val="22"/>
              </w:rPr>
              <w:t xml:space="preserve"> real-world utilisation; long pre-trend; pandemic comparison </w:t>
            </w:r>
            <w:r w:rsidRPr="00AE1436">
              <w:rPr>
                <w:rFonts w:cs="Calibri"/>
                <w:b/>
                <w:bCs/>
                <w:szCs w:val="22"/>
              </w:rPr>
              <w:t>LIM:</w:t>
            </w:r>
            <w:r w:rsidRPr="00AE1436">
              <w:rPr>
                <w:rFonts w:cs="Calibri"/>
                <w:szCs w:val="22"/>
              </w:rPr>
              <w:t xml:space="preserve"> preprint label; outcomes not assessed; context Canada</w:t>
            </w:r>
          </w:p>
        </w:tc>
        <w:tc>
          <w:tcPr>
            <w:tcW w:w="0" w:type="auto"/>
            <w:hideMark/>
          </w:tcPr>
          <w:p w14:paraId="0D1E5C20" w14:textId="77777777" w:rsidR="00AE1436" w:rsidRPr="00AE1436" w:rsidRDefault="00AE1436" w:rsidP="00AE1436">
            <w:pPr>
              <w:spacing w:line="240" w:lineRule="auto"/>
              <w:rPr>
                <w:rFonts w:cs="Calibri"/>
                <w:szCs w:val="22"/>
              </w:rPr>
            </w:pPr>
            <w:r w:rsidRPr="00AE1436">
              <w:rPr>
                <w:rFonts w:cs="Calibri"/>
                <w:szCs w:val="22"/>
              </w:rPr>
              <w:t>Telemedicine rose sharply during COVID-19 in rural and urban areas; growth larger in urban and “less rural” areas; high rates among ≥65; lowest proportion of users in &lt;18 and ≥80</w:t>
            </w:r>
          </w:p>
        </w:tc>
        <w:tc>
          <w:tcPr>
            <w:tcW w:w="0" w:type="auto"/>
            <w:hideMark/>
          </w:tcPr>
          <w:p w14:paraId="60C0FE21" w14:textId="3A9D8341" w:rsidR="00AE1436" w:rsidRPr="00AE1436" w:rsidRDefault="0028215F" w:rsidP="00AE1436">
            <w:pPr>
              <w:spacing w:line="240" w:lineRule="auto"/>
              <w:rPr>
                <w:rFonts w:cs="Calibri"/>
                <w:szCs w:val="22"/>
              </w:rPr>
            </w:pPr>
            <w:r w:rsidRPr="00AE1436">
              <w:rPr>
                <w:rFonts w:cs="Calibri"/>
                <w:szCs w:val="22"/>
              </w:rPr>
              <w:t xml:space="preserve">Utilisation </w:t>
            </w:r>
            <w:r w:rsidR="00AE1436" w:rsidRPr="00AE1436">
              <w:rPr>
                <w:rFonts w:cs="Calibri"/>
                <w:szCs w:val="22"/>
              </w:rPr>
              <w:t xml:space="preserve">trends; COVID shift; rurality gradient; </w:t>
            </w:r>
            <w:r w:rsidR="00AE1436" w:rsidRPr="00AE1436">
              <w:rPr>
                <w:rFonts w:cs="Calibri"/>
                <w:b/>
                <w:bCs/>
                <w:szCs w:val="22"/>
              </w:rPr>
              <w:t>codes:</w:t>
            </w:r>
            <w:r w:rsidR="00AE1436" w:rsidRPr="00AE1436">
              <w:rPr>
                <w:rFonts w:cs="Calibri"/>
                <w:szCs w:val="22"/>
              </w:rPr>
              <w:t xml:space="preserve"> “pandemic surge”, “urban advantage”, “age pattern”, “access gradient”</w:t>
            </w:r>
          </w:p>
        </w:tc>
        <w:tc>
          <w:tcPr>
            <w:tcW w:w="0" w:type="auto"/>
            <w:hideMark/>
          </w:tcPr>
          <w:p w14:paraId="66E23544" w14:textId="77777777" w:rsidR="00AE1436" w:rsidRPr="00AE1436" w:rsidRDefault="00AE1436" w:rsidP="00AE1436">
            <w:pPr>
              <w:spacing w:line="240" w:lineRule="auto"/>
              <w:rPr>
                <w:rFonts w:cs="Calibri"/>
                <w:szCs w:val="22"/>
              </w:rPr>
            </w:pPr>
            <w:r w:rsidRPr="00AE1436">
              <w:rPr>
                <w:rFonts w:cs="Calibri"/>
                <w:szCs w:val="22"/>
              </w:rPr>
              <w:t>Useful for equity analysis: expansion can still widen gaps by rurality.</w:t>
            </w:r>
          </w:p>
        </w:tc>
      </w:tr>
      <w:tr w:rsidR="0028215F" w:rsidRPr="00AE1436" w14:paraId="397AC2FE" w14:textId="77777777" w:rsidTr="00AE1436">
        <w:tc>
          <w:tcPr>
            <w:tcW w:w="0" w:type="auto"/>
            <w:hideMark/>
          </w:tcPr>
          <w:p w14:paraId="35C3B69D" w14:textId="77777777" w:rsidR="00AE1436" w:rsidRPr="00AE1436" w:rsidRDefault="00AE1436" w:rsidP="00AE1436">
            <w:pPr>
              <w:spacing w:line="240" w:lineRule="auto"/>
              <w:rPr>
                <w:rFonts w:cs="Calibri"/>
                <w:szCs w:val="22"/>
              </w:rPr>
            </w:pPr>
            <w:r w:rsidRPr="00AE1436">
              <w:rPr>
                <w:rFonts w:cs="Calibri"/>
                <w:szCs w:val="22"/>
              </w:rPr>
              <w:t>Farre et al., 2023</w:t>
            </w:r>
          </w:p>
        </w:tc>
        <w:tc>
          <w:tcPr>
            <w:tcW w:w="0" w:type="auto"/>
            <w:hideMark/>
          </w:tcPr>
          <w:p w14:paraId="304164A7" w14:textId="77777777" w:rsidR="00AE1436" w:rsidRPr="00AE1436" w:rsidRDefault="00AE1436" w:rsidP="00AE1436">
            <w:pPr>
              <w:spacing w:line="240" w:lineRule="auto"/>
              <w:rPr>
                <w:rFonts w:cs="Calibri"/>
                <w:szCs w:val="22"/>
              </w:rPr>
            </w:pPr>
            <w:r w:rsidRPr="00AE1436">
              <w:rPr>
                <w:rFonts w:cs="Calibri"/>
                <w:szCs w:val="22"/>
              </w:rPr>
              <w:t>Digital technology to deliver healthcare with health inequalities focus in UK: scoping review</w:t>
            </w:r>
          </w:p>
        </w:tc>
        <w:tc>
          <w:tcPr>
            <w:tcW w:w="0" w:type="auto"/>
            <w:hideMark/>
          </w:tcPr>
          <w:p w14:paraId="57BF164F" w14:textId="77777777" w:rsidR="00AE1436" w:rsidRPr="00AE1436" w:rsidRDefault="00AE1436" w:rsidP="00AE1436">
            <w:pPr>
              <w:spacing w:line="240" w:lineRule="auto"/>
              <w:rPr>
                <w:rFonts w:cs="Calibri"/>
                <w:szCs w:val="22"/>
              </w:rPr>
            </w:pPr>
            <w:r w:rsidRPr="00AE1436">
              <w:rPr>
                <w:rFonts w:cs="Calibri"/>
                <w:szCs w:val="22"/>
              </w:rPr>
              <w:t>Scoping review (UK)</w:t>
            </w:r>
          </w:p>
        </w:tc>
        <w:tc>
          <w:tcPr>
            <w:tcW w:w="0" w:type="auto"/>
            <w:hideMark/>
          </w:tcPr>
          <w:p w14:paraId="58C7C504" w14:textId="77777777" w:rsidR="00AE1436" w:rsidRPr="00AE1436" w:rsidRDefault="00AE1436" w:rsidP="00AE1436">
            <w:pPr>
              <w:spacing w:line="240" w:lineRule="auto"/>
              <w:rPr>
                <w:rFonts w:cs="Calibri"/>
                <w:szCs w:val="22"/>
              </w:rPr>
            </w:pPr>
            <w:r w:rsidRPr="00AE1436">
              <w:rPr>
                <w:rFonts w:cs="Calibri"/>
                <w:szCs w:val="22"/>
              </w:rPr>
              <w:t xml:space="preserve">Systematic search 2013–2021; </w:t>
            </w:r>
            <w:r w:rsidRPr="00AE1436">
              <w:rPr>
                <w:rFonts w:cs="Calibri"/>
                <w:b/>
                <w:bCs/>
                <w:szCs w:val="22"/>
              </w:rPr>
              <w:t>11 articles</w:t>
            </w:r>
            <w:r w:rsidRPr="00AE1436">
              <w:rPr>
                <w:rFonts w:cs="Calibri"/>
                <w:szCs w:val="22"/>
              </w:rPr>
              <w:t xml:space="preserve">, </w:t>
            </w:r>
            <w:r w:rsidRPr="00AE1436">
              <w:rPr>
                <w:rFonts w:cs="Calibri"/>
                <w:b/>
                <w:bCs/>
                <w:szCs w:val="22"/>
              </w:rPr>
              <w:t>9 interventions</w:t>
            </w:r>
            <w:r w:rsidRPr="00AE1436">
              <w:rPr>
                <w:rFonts w:cs="Calibri"/>
                <w:szCs w:val="22"/>
              </w:rPr>
              <w:t>; narrative synthesis</w:t>
            </w:r>
          </w:p>
        </w:tc>
        <w:tc>
          <w:tcPr>
            <w:tcW w:w="0" w:type="auto"/>
            <w:hideMark/>
          </w:tcPr>
          <w:p w14:paraId="02DE0F03" w14:textId="77777777" w:rsidR="00AE1436" w:rsidRPr="00AE1436" w:rsidRDefault="00AE1436" w:rsidP="00AE1436">
            <w:pPr>
              <w:spacing w:line="240" w:lineRule="auto"/>
              <w:rPr>
                <w:rFonts w:cs="Calibri"/>
                <w:szCs w:val="22"/>
              </w:rPr>
            </w:pPr>
            <w:r w:rsidRPr="00AE1436">
              <w:rPr>
                <w:rFonts w:cs="Calibri"/>
                <w:b/>
                <w:bCs/>
                <w:szCs w:val="22"/>
              </w:rPr>
              <w:t>STR:</w:t>
            </w:r>
            <w:r w:rsidRPr="00AE1436">
              <w:rPr>
                <w:rFonts w:cs="Calibri"/>
                <w:szCs w:val="22"/>
              </w:rPr>
              <w:t xml:space="preserve"> explicit inequality lens; UK-wide sources </w:t>
            </w:r>
            <w:r w:rsidRPr="00AE1436">
              <w:rPr>
                <w:rFonts w:cs="Calibri"/>
                <w:b/>
                <w:bCs/>
                <w:szCs w:val="22"/>
              </w:rPr>
              <w:t>LIM:</w:t>
            </w:r>
            <w:r w:rsidRPr="00AE1436">
              <w:rPr>
                <w:rFonts w:cs="Calibri"/>
                <w:szCs w:val="22"/>
              </w:rPr>
              <w:t xml:space="preserve"> small evidence base; mixed quality; limited effectiveness data</w:t>
            </w:r>
          </w:p>
        </w:tc>
        <w:tc>
          <w:tcPr>
            <w:tcW w:w="0" w:type="auto"/>
            <w:hideMark/>
          </w:tcPr>
          <w:p w14:paraId="1BF2906D" w14:textId="77777777" w:rsidR="00AE1436" w:rsidRPr="00AE1436" w:rsidRDefault="00AE1436" w:rsidP="00AE1436">
            <w:pPr>
              <w:spacing w:line="240" w:lineRule="auto"/>
              <w:rPr>
                <w:rFonts w:cs="Calibri"/>
                <w:szCs w:val="22"/>
              </w:rPr>
            </w:pPr>
            <w:r w:rsidRPr="00AE1436">
              <w:rPr>
                <w:rFonts w:cs="Calibri"/>
                <w:szCs w:val="22"/>
              </w:rPr>
              <w:t>Evidence underdeveloped; most interventions driven by provider/system needs; limited proof of cost-effectiveness; risk digital health may worsen inequalities without design changes</w:t>
            </w:r>
          </w:p>
        </w:tc>
        <w:tc>
          <w:tcPr>
            <w:tcW w:w="0" w:type="auto"/>
            <w:hideMark/>
          </w:tcPr>
          <w:p w14:paraId="439B7121" w14:textId="77777777" w:rsidR="00AE1436" w:rsidRPr="00AE1436" w:rsidRDefault="00AE1436" w:rsidP="00AE1436">
            <w:pPr>
              <w:spacing w:line="240" w:lineRule="auto"/>
              <w:rPr>
                <w:rFonts w:cs="Calibri"/>
                <w:szCs w:val="22"/>
              </w:rPr>
            </w:pPr>
            <w:r w:rsidRPr="00AE1436">
              <w:rPr>
                <w:rFonts w:cs="Calibri"/>
                <w:szCs w:val="22"/>
              </w:rPr>
              <w:t xml:space="preserve">UK digital health; inequalities; implementation; </w:t>
            </w:r>
            <w:r w:rsidRPr="00AE1436">
              <w:rPr>
                <w:rFonts w:cs="Calibri"/>
                <w:b/>
                <w:bCs/>
                <w:szCs w:val="22"/>
              </w:rPr>
              <w:t>codes:</w:t>
            </w:r>
            <w:r w:rsidRPr="00AE1436">
              <w:rPr>
                <w:rFonts w:cs="Calibri"/>
                <w:szCs w:val="22"/>
              </w:rPr>
              <w:t xml:space="preserve"> “equity gap”, “acceptability”, “feasibility”, “provider-led”, “inequality risk”</w:t>
            </w:r>
          </w:p>
        </w:tc>
        <w:tc>
          <w:tcPr>
            <w:tcW w:w="0" w:type="auto"/>
            <w:hideMark/>
          </w:tcPr>
          <w:p w14:paraId="3D4FCD10" w14:textId="77777777" w:rsidR="00AE1436" w:rsidRPr="00AE1436" w:rsidRDefault="00AE1436" w:rsidP="00AE1436">
            <w:pPr>
              <w:spacing w:line="240" w:lineRule="auto"/>
              <w:rPr>
                <w:rFonts w:cs="Calibri"/>
                <w:szCs w:val="22"/>
              </w:rPr>
            </w:pPr>
            <w:r w:rsidRPr="00AE1436">
              <w:rPr>
                <w:rFonts w:cs="Calibri"/>
                <w:szCs w:val="22"/>
              </w:rPr>
              <w:t>Strong for critique: “digital first” can exclude disadvantaged groups.</w:t>
            </w:r>
          </w:p>
        </w:tc>
      </w:tr>
      <w:tr w:rsidR="0028215F" w:rsidRPr="00AE1436" w14:paraId="0C96DFE7" w14:textId="77777777" w:rsidTr="00AE1436">
        <w:tc>
          <w:tcPr>
            <w:tcW w:w="0" w:type="auto"/>
            <w:hideMark/>
          </w:tcPr>
          <w:p w14:paraId="35975E7E" w14:textId="06E8286E" w:rsidR="00AE1436" w:rsidRPr="00AE1436" w:rsidRDefault="00AE1436" w:rsidP="00AE1436">
            <w:pPr>
              <w:spacing w:line="240" w:lineRule="auto"/>
              <w:rPr>
                <w:rFonts w:cs="Calibri"/>
                <w:szCs w:val="22"/>
              </w:rPr>
            </w:pPr>
            <w:r w:rsidRPr="00AE1436">
              <w:rPr>
                <w:rFonts w:cs="Calibri"/>
                <w:szCs w:val="22"/>
              </w:rPr>
              <w:t xml:space="preserve">Geifman, Armes </w:t>
            </w:r>
            <w:r w:rsidR="00CC6C43">
              <w:rPr>
                <w:rFonts w:cs="Calibri"/>
                <w:szCs w:val="22"/>
              </w:rPr>
              <w:t>and</w:t>
            </w:r>
            <w:r w:rsidR="00CC6C43" w:rsidRPr="00AE1436">
              <w:rPr>
                <w:rFonts w:cs="Calibri"/>
                <w:szCs w:val="22"/>
              </w:rPr>
              <w:t xml:space="preserve"> </w:t>
            </w:r>
            <w:r w:rsidRPr="00AE1436">
              <w:rPr>
                <w:rFonts w:cs="Calibri"/>
                <w:szCs w:val="22"/>
              </w:rPr>
              <w:lastRenderedPageBreak/>
              <w:t>Whetton, 2023</w:t>
            </w:r>
          </w:p>
        </w:tc>
        <w:tc>
          <w:tcPr>
            <w:tcW w:w="0" w:type="auto"/>
            <w:hideMark/>
          </w:tcPr>
          <w:p w14:paraId="0B10E7E9" w14:textId="77777777" w:rsidR="00AE1436" w:rsidRPr="00AE1436" w:rsidRDefault="00AE1436" w:rsidP="00AE1436">
            <w:pPr>
              <w:spacing w:line="240" w:lineRule="auto"/>
              <w:rPr>
                <w:rFonts w:cs="Calibri"/>
                <w:szCs w:val="22"/>
              </w:rPr>
            </w:pPr>
            <w:r w:rsidRPr="00AE1436">
              <w:rPr>
                <w:rFonts w:cs="Calibri"/>
                <w:szCs w:val="22"/>
              </w:rPr>
              <w:lastRenderedPageBreak/>
              <w:t>UK digital health and telemedicine development</w:t>
            </w:r>
            <w:r w:rsidRPr="00AE1436">
              <w:rPr>
                <w:rFonts w:cs="Calibri"/>
                <w:szCs w:val="22"/>
              </w:rPr>
              <w:lastRenderedPageBreak/>
              <w:t>s via text mining</w:t>
            </w:r>
          </w:p>
        </w:tc>
        <w:tc>
          <w:tcPr>
            <w:tcW w:w="0" w:type="auto"/>
            <w:hideMark/>
          </w:tcPr>
          <w:p w14:paraId="229D8AD9" w14:textId="77777777" w:rsidR="00AE1436" w:rsidRPr="00AE1436" w:rsidRDefault="00AE1436" w:rsidP="00AE1436">
            <w:pPr>
              <w:spacing w:line="240" w:lineRule="auto"/>
              <w:rPr>
                <w:rFonts w:cs="Calibri"/>
                <w:szCs w:val="22"/>
              </w:rPr>
            </w:pPr>
            <w:r w:rsidRPr="00AE1436">
              <w:rPr>
                <w:rFonts w:cs="Calibri"/>
                <w:szCs w:val="22"/>
              </w:rPr>
              <w:lastRenderedPageBreak/>
              <w:t>Quantitative text-mining study</w:t>
            </w:r>
          </w:p>
        </w:tc>
        <w:tc>
          <w:tcPr>
            <w:tcW w:w="0" w:type="auto"/>
            <w:hideMark/>
          </w:tcPr>
          <w:p w14:paraId="10E458F6" w14:textId="77777777" w:rsidR="00AE1436" w:rsidRPr="00AE1436" w:rsidRDefault="00AE1436" w:rsidP="00AE1436">
            <w:pPr>
              <w:spacing w:line="240" w:lineRule="auto"/>
              <w:rPr>
                <w:rFonts w:cs="Calibri"/>
                <w:szCs w:val="22"/>
              </w:rPr>
            </w:pPr>
            <w:r w:rsidRPr="00AE1436">
              <w:rPr>
                <w:rFonts w:cs="Calibri"/>
                <w:szCs w:val="22"/>
              </w:rPr>
              <w:t xml:space="preserve">Informatics/text mining of published works; </w:t>
            </w:r>
            <w:r w:rsidRPr="00AE1436">
              <w:rPr>
                <w:rFonts w:cs="Calibri"/>
                <w:b/>
                <w:bCs/>
                <w:szCs w:val="22"/>
              </w:rPr>
              <w:t xml:space="preserve">sample </w:t>
            </w:r>
            <w:r w:rsidRPr="00AE1436">
              <w:rPr>
                <w:rFonts w:cs="Calibri"/>
                <w:b/>
                <w:bCs/>
                <w:szCs w:val="22"/>
              </w:rPr>
              <w:lastRenderedPageBreak/>
              <w:t>= corpus of publications (size not in abstract)</w:t>
            </w:r>
          </w:p>
        </w:tc>
        <w:tc>
          <w:tcPr>
            <w:tcW w:w="0" w:type="auto"/>
            <w:hideMark/>
          </w:tcPr>
          <w:p w14:paraId="23359CB3" w14:textId="77777777" w:rsidR="00AE1436" w:rsidRPr="00AE1436" w:rsidRDefault="00AE1436" w:rsidP="00AE1436">
            <w:pPr>
              <w:spacing w:line="240" w:lineRule="auto"/>
              <w:rPr>
                <w:rFonts w:cs="Calibri"/>
                <w:szCs w:val="22"/>
              </w:rPr>
            </w:pPr>
            <w:r w:rsidRPr="00AE1436">
              <w:rPr>
                <w:rFonts w:cs="Calibri"/>
                <w:b/>
                <w:bCs/>
                <w:szCs w:val="22"/>
              </w:rPr>
              <w:lastRenderedPageBreak/>
              <w:t>STR:</w:t>
            </w:r>
            <w:r w:rsidRPr="00AE1436">
              <w:rPr>
                <w:rFonts w:cs="Calibri"/>
                <w:szCs w:val="22"/>
              </w:rPr>
              <w:t xml:space="preserve"> objective trend mapping; broad landscape view </w:t>
            </w:r>
            <w:r w:rsidRPr="00AE1436">
              <w:rPr>
                <w:rFonts w:cs="Calibri"/>
                <w:b/>
                <w:bCs/>
                <w:szCs w:val="22"/>
              </w:rPr>
              <w:t>LIM:</w:t>
            </w:r>
            <w:r w:rsidRPr="00AE1436">
              <w:rPr>
                <w:rFonts w:cs="Calibri"/>
                <w:szCs w:val="22"/>
              </w:rPr>
              <w:t xml:space="preserve"> </w:t>
            </w:r>
            <w:r w:rsidRPr="00AE1436">
              <w:rPr>
                <w:rFonts w:cs="Calibri"/>
                <w:szCs w:val="22"/>
              </w:rPr>
              <w:lastRenderedPageBreak/>
              <w:t>publication bias; not outcomes or adoption</w:t>
            </w:r>
          </w:p>
        </w:tc>
        <w:tc>
          <w:tcPr>
            <w:tcW w:w="0" w:type="auto"/>
            <w:hideMark/>
          </w:tcPr>
          <w:p w14:paraId="5AC955DE" w14:textId="77777777" w:rsidR="00AE1436" w:rsidRPr="00AE1436" w:rsidRDefault="00AE1436" w:rsidP="00AE1436">
            <w:pPr>
              <w:spacing w:line="240" w:lineRule="auto"/>
              <w:rPr>
                <w:rFonts w:cs="Calibri"/>
                <w:szCs w:val="22"/>
              </w:rPr>
            </w:pPr>
            <w:r w:rsidRPr="00AE1436">
              <w:rPr>
                <w:rFonts w:cs="Calibri"/>
                <w:szCs w:val="22"/>
              </w:rPr>
              <w:lastRenderedPageBreak/>
              <w:t xml:space="preserve">Identifies growth areas and disease focus (cardiovascular, stroke, hypertension); reflects </w:t>
            </w:r>
            <w:r w:rsidRPr="00AE1436">
              <w:rPr>
                <w:rFonts w:cs="Calibri"/>
                <w:szCs w:val="22"/>
              </w:rPr>
              <w:lastRenderedPageBreak/>
              <w:t>COVID-era acceleration in digital health themes</w:t>
            </w:r>
          </w:p>
        </w:tc>
        <w:tc>
          <w:tcPr>
            <w:tcW w:w="0" w:type="auto"/>
            <w:hideMark/>
          </w:tcPr>
          <w:p w14:paraId="78F0137D" w14:textId="59B842F5" w:rsidR="00AE1436" w:rsidRPr="00AE1436" w:rsidRDefault="0028215F" w:rsidP="00AE1436">
            <w:pPr>
              <w:spacing w:line="240" w:lineRule="auto"/>
              <w:rPr>
                <w:rFonts w:cs="Calibri"/>
                <w:szCs w:val="22"/>
              </w:rPr>
            </w:pPr>
            <w:r w:rsidRPr="00AE1436">
              <w:rPr>
                <w:rFonts w:cs="Calibri"/>
                <w:szCs w:val="22"/>
              </w:rPr>
              <w:lastRenderedPageBreak/>
              <w:t xml:space="preserve">Digital </w:t>
            </w:r>
            <w:r w:rsidR="00AE1436" w:rsidRPr="00AE1436">
              <w:rPr>
                <w:rFonts w:cs="Calibri"/>
                <w:szCs w:val="22"/>
              </w:rPr>
              <w:t xml:space="preserve">health landscape; research trends; </w:t>
            </w:r>
            <w:r w:rsidR="00AE1436" w:rsidRPr="00AE1436">
              <w:rPr>
                <w:rFonts w:cs="Calibri"/>
                <w:b/>
                <w:bCs/>
                <w:szCs w:val="22"/>
              </w:rPr>
              <w:t>codes:</w:t>
            </w:r>
            <w:r w:rsidR="00AE1436" w:rsidRPr="00AE1436">
              <w:rPr>
                <w:rFonts w:cs="Calibri"/>
                <w:szCs w:val="22"/>
              </w:rPr>
              <w:t xml:space="preserve"> </w:t>
            </w:r>
            <w:r w:rsidR="00AE1436" w:rsidRPr="00AE1436">
              <w:rPr>
                <w:rFonts w:cs="Calibri"/>
                <w:szCs w:val="22"/>
              </w:rPr>
              <w:lastRenderedPageBreak/>
              <w:t>“trend mapping”, “disease focus”, “COVID acceleration”</w:t>
            </w:r>
          </w:p>
        </w:tc>
        <w:tc>
          <w:tcPr>
            <w:tcW w:w="0" w:type="auto"/>
            <w:hideMark/>
          </w:tcPr>
          <w:p w14:paraId="2D28AD8E" w14:textId="77777777" w:rsidR="00AE1436" w:rsidRPr="00AE1436" w:rsidRDefault="00AE1436" w:rsidP="00AE1436">
            <w:pPr>
              <w:spacing w:line="240" w:lineRule="auto"/>
              <w:rPr>
                <w:rFonts w:cs="Calibri"/>
                <w:szCs w:val="22"/>
              </w:rPr>
            </w:pPr>
            <w:r w:rsidRPr="00AE1436">
              <w:rPr>
                <w:rFonts w:cs="Calibri"/>
                <w:szCs w:val="22"/>
              </w:rPr>
              <w:lastRenderedPageBreak/>
              <w:t xml:space="preserve">Useful for background and “what areas </w:t>
            </w:r>
            <w:r w:rsidRPr="00AE1436">
              <w:rPr>
                <w:rFonts w:cs="Calibri"/>
                <w:szCs w:val="22"/>
              </w:rPr>
              <w:lastRenderedPageBreak/>
              <w:t>dominate” rather than effectiveness.</w:t>
            </w:r>
          </w:p>
        </w:tc>
      </w:tr>
      <w:tr w:rsidR="0028215F" w:rsidRPr="00AE1436" w14:paraId="42A66AF9" w14:textId="77777777" w:rsidTr="00AE1436">
        <w:tc>
          <w:tcPr>
            <w:tcW w:w="0" w:type="auto"/>
            <w:hideMark/>
          </w:tcPr>
          <w:p w14:paraId="1318670E" w14:textId="77777777" w:rsidR="00AE1436" w:rsidRPr="00AE1436" w:rsidRDefault="00AE1436" w:rsidP="00AE1436">
            <w:pPr>
              <w:spacing w:line="240" w:lineRule="auto"/>
              <w:rPr>
                <w:rFonts w:cs="Calibri"/>
                <w:szCs w:val="22"/>
              </w:rPr>
            </w:pPr>
            <w:r w:rsidRPr="00AE1436">
              <w:rPr>
                <w:rFonts w:cs="Calibri"/>
                <w:szCs w:val="22"/>
              </w:rPr>
              <w:t>Ko et al., 2025</w:t>
            </w:r>
          </w:p>
        </w:tc>
        <w:tc>
          <w:tcPr>
            <w:tcW w:w="0" w:type="auto"/>
            <w:hideMark/>
          </w:tcPr>
          <w:p w14:paraId="2A36382A" w14:textId="77777777" w:rsidR="00AE1436" w:rsidRPr="00AE1436" w:rsidRDefault="00AE1436" w:rsidP="00AE1436">
            <w:pPr>
              <w:spacing w:line="240" w:lineRule="auto"/>
              <w:rPr>
                <w:rFonts w:cs="Calibri"/>
                <w:szCs w:val="22"/>
              </w:rPr>
            </w:pPr>
            <w:r w:rsidRPr="00AE1436">
              <w:rPr>
                <w:rFonts w:cs="Calibri"/>
                <w:szCs w:val="22"/>
              </w:rPr>
              <w:t>Telehealth and people with disabilities in the UK: scoping review</w:t>
            </w:r>
          </w:p>
        </w:tc>
        <w:tc>
          <w:tcPr>
            <w:tcW w:w="0" w:type="auto"/>
            <w:hideMark/>
          </w:tcPr>
          <w:p w14:paraId="7D155FF2" w14:textId="77777777" w:rsidR="00AE1436" w:rsidRPr="00AE1436" w:rsidRDefault="00AE1436" w:rsidP="00AE1436">
            <w:pPr>
              <w:spacing w:line="240" w:lineRule="auto"/>
              <w:rPr>
                <w:rFonts w:cs="Calibri"/>
                <w:szCs w:val="22"/>
              </w:rPr>
            </w:pPr>
            <w:r w:rsidRPr="00AE1436">
              <w:rPr>
                <w:rFonts w:cs="Calibri"/>
                <w:szCs w:val="22"/>
              </w:rPr>
              <w:t>Scoping review (UK)</w:t>
            </w:r>
          </w:p>
        </w:tc>
        <w:tc>
          <w:tcPr>
            <w:tcW w:w="0" w:type="auto"/>
            <w:hideMark/>
          </w:tcPr>
          <w:p w14:paraId="380ECC10" w14:textId="77777777" w:rsidR="00AE1436" w:rsidRPr="00AE1436" w:rsidRDefault="00AE1436" w:rsidP="00AE1436">
            <w:pPr>
              <w:spacing w:line="240" w:lineRule="auto"/>
              <w:rPr>
                <w:rFonts w:cs="Calibri"/>
                <w:szCs w:val="22"/>
              </w:rPr>
            </w:pPr>
            <w:r w:rsidRPr="00AE1436">
              <w:rPr>
                <w:rFonts w:cs="Calibri"/>
                <w:szCs w:val="22"/>
              </w:rPr>
              <w:t xml:space="preserve">PRISMA-ScR; </w:t>
            </w:r>
            <w:r w:rsidRPr="00AE1436">
              <w:rPr>
                <w:rFonts w:cs="Calibri"/>
                <w:b/>
                <w:bCs/>
                <w:szCs w:val="22"/>
              </w:rPr>
              <w:t>10 studies</w:t>
            </w:r>
            <w:r w:rsidRPr="00AE1436">
              <w:rPr>
                <w:rFonts w:cs="Calibri"/>
                <w:szCs w:val="22"/>
              </w:rPr>
              <w:t>; thematic synthesis (5 themes)</w:t>
            </w:r>
          </w:p>
        </w:tc>
        <w:tc>
          <w:tcPr>
            <w:tcW w:w="0" w:type="auto"/>
            <w:hideMark/>
          </w:tcPr>
          <w:p w14:paraId="2AB7531C" w14:textId="77777777" w:rsidR="00AE1436" w:rsidRPr="00AE1436" w:rsidRDefault="00AE1436" w:rsidP="00AE1436">
            <w:pPr>
              <w:spacing w:line="240" w:lineRule="auto"/>
              <w:rPr>
                <w:rFonts w:cs="Calibri"/>
                <w:szCs w:val="22"/>
              </w:rPr>
            </w:pPr>
            <w:r w:rsidRPr="00AE1436">
              <w:rPr>
                <w:rFonts w:cs="Calibri"/>
                <w:b/>
                <w:bCs/>
                <w:szCs w:val="22"/>
              </w:rPr>
              <w:t>STR:</w:t>
            </w:r>
            <w:r w:rsidRPr="00AE1436">
              <w:rPr>
                <w:rFonts w:cs="Calibri"/>
                <w:szCs w:val="22"/>
              </w:rPr>
              <w:t xml:space="preserve"> disability equity focus; theme structure </w:t>
            </w:r>
            <w:r w:rsidRPr="00AE1436">
              <w:rPr>
                <w:rFonts w:cs="Calibri"/>
                <w:b/>
                <w:bCs/>
                <w:szCs w:val="22"/>
              </w:rPr>
              <w:t>LIM:</w:t>
            </w:r>
            <w:r w:rsidRPr="00AE1436">
              <w:rPr>
                <w:rFonts w:cs="Calibri"/>
                <w:szCs w:val="22"/>
              </w:rPr>
              <w:t xml:space="preserve"> small study base; heterogeneity across disabilities/tech</w:t>
            </w:r>
          </w:p>
        </w:tc>
        <w:tc>
          <w:tcPr>
            <w:tcW w:w="0" w:type="auto"/>
            <w:hideMark/>
          </w:tcPr>
          <w:p w14:paraId="55FC3615" w14:textId="77777777" w:rsidR="00AE1436" w:rsidRPr="00AE1436" w:rsidRDefault="00AE1436" w:rsidP="00AE1436">
            <w:pPr>
              <w:spacing w:line="240" w:lineRule="auto"/>
              <w:rPr>
                <w:rFonts w:cs="Calibri"/>
                <w:szCs w:val="22"/>
              </w:rPr>
            </w:pPr>
            <w:r w:rsidRPr="00AE1436">
              <w:rPr>
                <w:rFonts w:cs="Calibri"/>
                <w:szCs w:val="22"/>
              </w:rPr>
              <w:t>Mixed experiences: convenience and access benefits, but preference for in-person remains; barriers include connectivity, device access, digital skills, sensory impairment issues; providers note rapport/assessment limits</w:t>
            </w:r>
          </w:p>
        </w:tc>
        <w:tc>
          <w:tcPr>
            <w:tcW w:w="0" w:type="auto"/>
            <w:hideMark/>
          </w:tcPr>
          <w:p w14:paraId="47B3A676" w14:textId="11A65E9E" w:rsidR="00AE1436" w:rsidRPr="00AE1436" w:rsidRDefault="0028215F" w:rsidP="00AE1436">
            <w:pPr>
              <w:spacing w:line="240" w:lineRule="auto"/>
              <w:rPr>
                <w:rFonts w:cs="Calibri"/>
                <w:szCs w:val="22"/>
              </w:rPr>
            </w:pPr>
            <w:r w:rsidRPr="00AE1436">
              <w:rPr>
                <w:rFonts w:cs="Calibri"/>
                <w:szCs w:val="22"/>
              </w:rPr>
              <w:t xml:space="preserve">Disability; accessibility; hybrid care; </w:t>
            </w:r>
            <w:r w:rsidR="00AE1436" w:rsidRPr="00AE1436">
              <w:rPr>
                <w:rFonts w:cs="Calibri"/>
                <w:b/>
                <w:bCs/>
                <w:szCs w:val="22"/>
              </w:rPr>
              <w:t>codes:</w:t>
            </w:r>
            <w:r w:rsidR="00AE1436" w:rsidRPr="00AE1436">
              <w:rPr>
                <w:rFonts w:cs="Calibri"/>
                <w:szCs w:val="22"/>
              </w:rPr>
              <w:t xml:space="preserve"> “access benefit”, “tech barrier”, “sensory barrier”, “rapport challenge”, “hybrid model”</w:t>
            </w:r>
          </w:p>
        </w:tc>
        <w:tc>
          <w:tcPr>
            <w:tcW w:w="0" w:type="auto"/>
            <w:hideMark/>
          </w:tcPr>
          <w:p w14:paraId="5205C6BF" w14:textId="77777777" w:rsidR="00AE1436" w:rsidRPr="00AE1436" w:rsidRDefault="00AE1436" w:rsidP="00AE1436">
            <w:pPr>
              <w:spacing w:line="240" w:lineRule="auto"/>
              <w:rPr>
                <w:rFonts w:cs="Calibri"/>
                <w:szCs w:val="22"/>
              </w:rPr>
            </w:pPr>
            <w:r w:rsidRPr="00AE1436">
              <w:rPr>
                <w:rFonts w:cs="Calibri"/>
                <w:szCs w:val="22"/>
              </w:rPr>
              <w:t>Strong for “digital inclusion must be designed, not assumed.”</w:t>
            </w:r>
          </w:p>
        </w:tc>
      </w:tr>
      <w:tr w:rsidR="0028215F" w:rsidRPr="00AE1436" w14:paraId="4C951BC4" w14:textId="77777777" w:rsidTr="00AE1436">
        <w:tc>
          <w:tcPr>
            <w:tcW w:w="0" w:type="auto"/>
            <w:hideMark/>
          </w:tcPr>
          <w:p w14:paraId="0562A748" w14:textId="77777777" w:rsidR="00AE1436" w:rsidRPr="00AE1436" w:rsidRDefault="00AE1436" w:rsidP="00AE1436">
            <w:pPr>
              <w:spacing w:line="240" w:lineRule="auto"/>
              <w:rPr>
                <w:rFonts w:cs="Calibri"/>
                <w:szCs w:val="22"/>
              </w:rPr>
            </w:pPr>
            <w:r w:rsidRPr="00AE1436">
              <w:rPr>
                <w:rFonts w:cs="Calibri"/>
                <w:szCs w:val="22"/>
              </w:rPr>
              <w:t>Sheikh et al., 2021</w:t>
            </w:r>
          </w:p>
        </w:tc>
        <w:tc>
          <w:tcPr>
            <w:tcW w:w="0" w:type="auto"/>
            <w:hideMark/>
          </w:tcPr>
          <w:p w14:paraId="34B819F2" w14:textId="77777777" w:rsidR="00AE1436" w:rsidRPr="00AE1436" w:rsidRDefault="00AE1436" w:rsidP="00AE1436">
            <w:pPr>
              <w:spacing w:line="240" w:lineRule="auto"/>
              <w:rPr>
                <w:rFonts w:cs="Calibri"/>
                <w:szCs w:val="22"/>
              </w:rPr>
            </w:pPr>
            <w:r w:rsidRPr="00AE1436">
              <w:rPr>
                <w:rFonts w:cs="Calibri"/>
                <w:szCs w:val="22"/>
              </w:rPr>
              <w:t>Health IT and digital innovation for national learning health and care systems</w:t>
            </w:r>
          </w:p>
        </w:tc>
        <w:tc>
          <w:tcPr>
            <w:tcW w:w="0" w:type="auto"/>
            <w:hideMark/>
          </w:tcPr>
          <w:p w14:paraId="15C839E0" w14:textId="77777777" w:rsidR="00AE1436" w:rsidRPr="00AE1436" w:rsidRDefault="00AE1436" w:rsidP="00AE1436">
            <w:pPr>
              <w:spacing w:line="240" w:lineRule="auto"/>
              <w:rPr>
                <w:rFonts w:cs="Calibri"/>
                <w:szCs w:val="22"/>
              </w:rPr>
            </w:pPr>
            <w:r w:rsidRPr="00AE1436">
              <w:rPr>
                <w:rFonts w:cs="Calibri"/>
                <w:szCs w:val="22"/>
              </w:rPr>
              <w:t>Narrative/position paper (policy/strategy)</w:t>
            </w:r>
          </w:p>
        </w:tc>
        <w:tc>
          <w:tcPr>
            <w:tcW w:w="0" w:type="auto"/>
            <w:hideMark/>
          </w:tcPr>
          <w:p w14:paraId="3D60FB80" w14:textId="77777777" w:rsidR="00AE1436" w:rsidRPr="00AE1436" w:rsidRDefault="00AE1436" w:rsidP="00AE1436">
            <w:pPr>
              <w:spacing w:line="240" w:lineRule="auto"/>
              <w:rPr>
                <w:rFonts w:cs="Calibri"/>
                <w:szCs w:val="22"/>
              </w:rPr>
            </w:pPr>
            <w:r w:rsidRPr="00AE1436">
              <w:rPr>
                <w:rFonts w:cs="Calibri"/>
                <w:szCs w:val="22"/>
              </w:rPr>
              <w:t xml:space="preserve">Conceptual analysis using UK COVID experience; </w:t>
            </w:r>
            <w:r w:rsidRPr="00AE1436">
              <w:rPr>
                <w:rFonts w:cs="Calibri"/>
                <w:b/>
                <w:bCs/>
                <w:szCs w:val="22"/>
              </w:rPr>
              <w:t>no sample</w:t>
            </w:r>
          </w:p>
        </w:tc>
        <w:tc>
          <w:tcPr>
            <w:tcW w:w="0" w:type="auto"/>
            <w:hideMark/>
          </w:tcPr>
          <w:p w14:paraId="4C9D2F06" w14:textId="77777777" w:rsidR="00AE1436" w:rsidRPr="00AE1436" w:rsidRDefault="00AE1436" w:rsidP="00AE1436">
            <w:pPr>
              <w:spacing w:line="240" w:lineRule="auto"/>
              <w:rPr>
                <w:rFonts w:cs="Calibri"/>
                <w:szCs w:val="22"/>
              </w:rPr>
            </w:pPr>
            <w:r w:rsidRPr="00AE1436">
              <w:rPr>
                <w:rFonts w:cs="Calibri"/>
                <w:b/>
                <w:bCs/>
                <w:szCs w:val="22"/>
              </w:rPr>
              <w:t>STR:</w:t>
            </w:r>
            <w:r w:rsidRPr="00AE1436">
              <w:rPr>
                <w:rFonts w:cs="Calibri"/>
                <w:szCs w:val="22"/>
              </w:rPr>
              <w:t xml:space="preserve"> systems-level priorities; policy relevance </w:t>
            </w:r>
            <w:r w:rsidRPr="00AE1436">
              <w:rPr>
                <w:rFonts w:cs="Calibri"/>
                <w:b/>
                <w:bCs/>
                <w:szCs w:val="22"/>
              </w:rPr>
              <w:t>LIM:</w:t>
            </w:r>
            <w:r w:rsidRPr="00AE1436">
              <w:rPr>
                <w:rFonts w:cs="Calibri"/>
                <w:szCs w:val="22"/>
              </w:rPr>
              <w:t xml:space="preserve"> not empirical evaluation</w:t>
            </w:r>
          </w:p>
        </w:tc>
        <w:tc>
          <w:tcPr>
            <w:tcW w:w="0" w:type="auto"/>
            <w:hideMark/>
          </w:tcPr>
          <w:p w14:paraId="4521C4A2" w14:textId="77777777" w:rsidR="00AE1436" w:rsidRPr="00AE1436" w:rsidRDefault="00AE1436" w:rsidP="00AE1436">
            <w:pPr>
              <w:spacing w:line="240" w:lineRule="auto"/>
              <w:rPr>
                <w:rFonts w:cs="Calibri"/>
                <w:szCs w:val="22"/>
              </w:rPr>
            </w:pPr>
            <w:r w:rsidRPr="00AE1436">
              <w:rPr>
                <w:rFonts w:cs="Calibri"/>
                <w:szCs w:val="22"/>
              </w:rPr>
              <w:t>Priorities: interoperability, usability, data capacity, privacy/security, digital inclusion; balance top-down and bottom-up; ethical risks need governance</w:t>
            </w:r>
          </w:p>
        </w:tc>
        <w:tc>
          <w:tcPr>
            <w:tcW w:w="0" w:type="auto"/>
            <w:hideMark/>
          </w:tcPr>
          <w:p w14:paraId="3B815152" w14:textId="2D550070" w:rsidR="00AE1436" w:rsidRPr="00AE1436" w:rsidRDefault="0028215F" w:rsidP="00AE1436">
            <w:pPr>
              <w:spacing w:line="240" w:lineRule="auto"/>
              <w:rPr>
                <w:rFonts w:cs="Calibri"/>
                <w:szCs w:val="22"/>
              </w:rPr>
            </w:pPr>
            <w:r w:rsidRPr="00AE1436">
              <w:rPr>
                <w:rFonts w:cs="Calibri"/>
                <w:szCs w:val="22"/>
              </w:rPr>
              <w:t xml:space="preserve">Learning health system; interoperability; ethics; </w:t>
            </w:r>
            <w:r w:rsidR="00AE1436" w:rsidRPr="00AE1436">
              <w:rPr>
                <w:rFonts w:cs="Calibri"/>
                <w:b/>
                <w:bCs/>
                <w:szCs w:val="22"/>
              </w:rPr>
              <w:t>codes:</w:t>
            </w:r>
            <w:r w:rsidR="00AE1436" w:rsidRPr="00AE1436">
              <w:rPr>
                <w:rFonts w:cs="Calibri"/>
                <w:szCs w:val="22"/>
              </w:rPr>
              <w:t xml:space="preserve"> “data infrastructure”, “interoperability”, “privacy”, “digital inclusion”, “governance”</w:t>
            </w:r>
          </w:p>
        </w:tc>
        <w:tc>
          <w:tcPr>
            <w:tcW w:w="0" w:type="auto"/>
            <w:hideMark/>
          </w:tcPr>
          <w:p w14:paraId="6B1981CA" w14:textId="77777777" w:rsidR="00AE1436" w:rsidRPr="00AE1436" w:rsidRDefault="00AE1436" w:rsidP="00AE1436">
            <w:pPr>
              <w:spacing w:line="240" w:lineRule="auto"/>
              <w:rPr>
                <w:rFonts w:cs="Calibri"/>
                <w:szCs w:val="22"/>
              </w:rPr>
            </w:pPr>
            <w:r w:rsidRPr="00AE1436">
              <w:rPr>
                <w:rFonts w:cs="Calibri"/>
                <w:szCs w:val="22"/>
              </w:rPr>
              <w:t>Useful for policy framing and implementation risks in NHS context.</w:t>
            </w:r>
          </w:p>
        </w:tc>
      </w:tr>
      <w:tr w:rsidR="0028215F" w:rsidRPr="00AE1436" w14:paraId="3695E8DC" w14:textId="77777777" w:rsidTr="00AE1436">
        <w:tc>
          <w:tcPr>
            <w:tcW w:w="0" w:type="auto"/>
            <w:hideMark/>
          </w:tcPr>
          <w:p w14:paraId="0F5711F0" w14:textId="77777777" w:rsidR="00AE1436" w:rsidRPr="00AE1436" w:rsidRDefault="00AE1436" w:rsidP="00AE1436">
            <w:pPr>
              <w:spacing w:line="240" w:lineRule="auto"/>
              <w:rPr>
                <w:rFonts w:cs="Calibri"/>
                <w:szCs w:val="22"/>
              </w:rPr>
            </w:pPr>
            <w:r w:rsidRPr="00AE1436">
              <w:rPr>
                <w:rFonts w:cs="Calibri"/>
                <w:szCs w:val="22"/>
              </w:rPr>
              <w:t>Thorlu-Bangura et al., 2023</w:t>
            </w:r>
          </w:p>
        </w:tc>
        <w:tc>
          <w:tcPr>
            <w:tcW w:w="0" w:type="auto"/>
            <w:hideMark/>
          </w:tcPr>
          <w:p w14:paraId="1A57CE99" w14:textId="77777777" w:rsidR="00AE1436" w:rsidRPr="00AE1436" w:rsidRDefault="00AE1436" w:rsidP="00AE1436">
            <w:pPr>
              <w:spacing w:line="240" w:lineRule="auto"/>
              <w:rPr>
                <w:rFonts w:cs="Calibri"/>
                <w:szCs w:val="22"/>
              </w:rPr>
            </w:pPr>
            <w:r w:rsidRPr="00AE1436">
              <w:rPr>
                <w:rFonts w:cs="Calibri"/>
                <w:szCs w:val="22"/>
              </w:rPr>
              <w:t xml:space="preserve">Digital health, cardiometabolic disease and ethnicity: UK policy </w:t>
            </w:r>
            <w:r w:rsidRPr="00AE1436">
              <w:rPr>
                <w:rFonts w:cs="Calibri"/>
                <w:szCs w:val="22"/>
              </w:rPr>
              <w:lastRenderedPageBreak/>
              <w:t>analysis 2010–2022</w:t>
            </w:r>
          </w:p>
        </w:tc>
        <w:tc>
          <w:tcPr>
            <w:tcW w:w="0" w:type="auto"/>
            <w:hideMark/>
          </w:tcPr>
          <w:p w14:paraId="359D9614" w14:textId="77777777" w:rsidR="00AE1436" w:rsidRPr="00AE1436" w:rsidRDefault="00AE1436" w:rsidP="00AE1436">
            <w:pPr>
              <w:spacing w:line="240" w:lineRule="auto"/>
              <w:rPr>
                <w:rFonts w:cs="Calibri"/>
                <w:szCs w:val="22"/>
              </w:rPr>
            </w:pPr>
            <w:r w:rsidRPr="00AE1436">
              <w:rPr>
                <w:rFonts w:cs="Calibri"/>
                <w:szCs w:val="22"/>
              </w:rPr>
              <w:lastRenderedPageBreak/>
              <w:t>Policy document analysis</w:t>
            </w:r>
          </w:p>
        </w:tc>
        <w:tc>
          <w:tcPr>
            <w:tcW w:w="0" w:type="auto"/>
            <w:hideMark/>
          </w:tcPr>
          <w:p w14:paraId="79935694" w14:textId="77777777" w:rsidR="00AE1436" w:rsidRPr="00AE1436" w:rsidRDefault="00AE1436" w:rsidP="00AE1436">
            <w:pPr>
              <w:spacing w:line="240" w:lineRule="auto"/>
              <w:rPr>
                <w:rFonts w:cs="Calibri"/>
                <w:szCs w:val="22"/>
              </w:rPr>
            </w:pPr>
            <w:r w:rsidRPr="00AE1436">
              <w:rPr>
                <w:rFonts w:cs="Calibri"/>
                <w:szCs w:val="22"/>
              </w:rPr>
              <w:t xml:space="preserve">Systematic search; </w:t>
            </w:r>
            <w:r w:rsidRPr="00AE1436">
              <w:rPr>
                <w:rFonts w:cs="Calibri"/>
                <w:b/>
                <w:bCs/>
                <w:szCs w:val="22"/>
              </w:rPr>
              <w:t>87 policy documents</w:t>
            </w:r>
            <w:r w:rsidRPr="00AE1436">
              <w:rPr>
                <w:rFonts w:cs="Calibri"/>
                <w:szCs w:val="22"/>
              </w:rPr>
              <w:t>; analytic review</w:t>
            </w:r>
          </w:p>
        </w:tc>
        <w:tc>
          <w:tcPr>
            <w:tcW w:w="0" w:type="auto"/>
            <w:hideMark/>
          </w:tcPr>
          <w:p w14:paraId="246D5963" w14:textId="77777777" w:rsidR="00AE1436" w:rsidRPr="00AE1436" w:rsidRDefault="00AE1436" w:rsidP="00AE1436">
            <w:pPr>
              <w:spacing w:line="240" w:lineRule="auto"/>
              <w:rPr>
                <w:rFonts w:cs="Calibri"/>
                <w:szCs w:val="22"/>
              </w:rPr>
            </w:pPr>
            <w:r w:rsidRPr="00AE1436">
              <w:rPr>
                <w:rFonts w:cs="Calibri"/>
                <w:b/>
                <w:bCs/>
                <w:szCs w:val="22"/>
              </w:rPr>
              <w:t>STR:</w:t>
            </w:r>
            <w:r w:rsidRPr="00AE1436">
              <w:rPr>
                <w:rFonts w:cs="Calibri"/>
                <w:szCs w:val="22"/>
              </w:rPr>
              <w:t xml:space="preserve"> long policy window; inequality focus </w:t>
            </w:r>
            <w:r w:rsidRPr="00AE1436">
              <w:rPr>
                <w:rFonts w:cs="Calibri"/>
                <w:b/>
                <w:bCs/>
                <w:szCs w:val="22"/>
              </w:rPr>
              <w:t>LIM:</w:t>
            </w:r>
            <w:r w:rsidRPr="00AE1436">
              <w:rPr>
                <w:rFonts w:cs="Calibri"/>
                <w:szCs w:val="22"/>
              </w:rPr>
              <w:t xml:space="preserve"> policy text ≠ practice; disease exemplar limits</w:t>
            </w:r>
          </w:p>
        </w:tc>
        <w:tc>
          <w:tcPr>
            <w:tcW w:w="0" w:type="auto"/>
            <w:hideMark/>
          </w:tcPr>
          <w:p w14:paraId="120AFAEB" w14:textId="77777777" w:rsidR="00AE1436" w:rsidRPr="00AE1436" w:rsidRDefault="00AE1436" w:rsidP="00AE1436">
            <w:pPr>
              <w:spacing w:line="240" w:lineRule="auto"/>
              <w:rPr>
                <w:rFonts w:cs="Calibri"/>
                <w:szCs w:val="22"/>
              </w:rPr>
            </w:pPr>
            <w:r w:rsidRPr="00AE1436">
              <w:rPr>
                <w:rFonts w:cs="Calibri"/>
                <w:szCs w:val="22"/>
              </w:rPr>
              <w:t xml:space="preserve">Digital health emphasis increased; some focus on inequalities and access; no policies addressed ethnic inequalities in digital health </w:t>
            </w:r>
            <w:r w:rsidRPr="00AE1436">
              <w:rPr>
                <w:rFonts w:cs="Calibri"/>
                <w:szCs w:val="22"/>
              </w:rPr>
              <w:lastRenderedPageBreak/>
              <w:t>for cardiometabolic disease; COVID amplified inequalities</w:t>
            </w:r>
          </w:p>
        </w:tc>
        <w:tc>
          <w:tcPr>
            <w:tcW w:w="0" w:type="auto"/>
            <w:hideMark/>
          </w:tcPr>
          <w:p w14:paraId="4A48B594" w14:textId="325D95D9" w:rsidR="00AE1436" w:rsidRPr="00AE1436" w:rsidRDefault="0028215F" w:rsidP="00AE1436">
            <w:pPr>
              <w:spacing w:line="240" w:lineRule="auto"/>
              <w:rPr>
                <w:rFonts w:cs="Calibri"/>
                <w:szCs w:val="22"/>
              </w:rPr>
            </w:pPr>
            <w:r w:rsidRPr="00AE1436">
              <w:rPr>
                <w:rFonts w:cs="Calibri"/>
                <w:szCs w:val="22"/>
              </w:rPr>
              <w:lastRenderedPageBreak/>
              <w:t>Policy</w:t>
            </w:r>
            <w:r w:rsidR="00AE1436" w:rsidRPr="00AE1436">
              <w:rPr>
                <w:rFonts w:cs="Calibri"/>
                <w:szCs w:val="22"/>
              </w:rPr>
              <w:t xml:space="preserve">; ethnicity; cardiometabolic; </w:t>
            </w:r>
            <w:r w:rsidR="00AE1436" w:rsidRPr="00AE1436">
              <w:rPr>
                <w:rFonts w:cs="Calibri"/>
                <w:b/>
                <w:bCs/>
                <w:szCs w:val="22"/>
              </w:rPr>
              <w:t>codes:</w:t>
            </w:r>
            <w:r w:rsidR="00AE1436" w:rsidRPr="00AE1436">
              <w:rPr>
                <w:rFonts w:cs="Calibri"/>
                <w:szCs w:val="22"/>
              </w:rPr>
              <w:t xml:space="preserve"> “policy gap”, “ethnic </w:t>
            </w:r>
            <w:r w:rsidR="00AE1436" w:rsidRPr="00AE1436">
              <w:rPr>
                <w:rFonts w:cs="Calibri"/>
                <w:szCs w:val="22"/>
              </w:rPr>
              <w:lastRenderedPageBreak/>
              <w:t>inequality”, “digital access”, “COVID amplification”</w:t>
            </w:r>
          </w:p>
        </w:tc>
        <w:tc>
          <w:tcPr>
            <w:tcW w:w="0" w:type="auto"/>
            <w:hideMark/>
          </w:tcPr>
          <w:p w14:paraId="626ACF0C" w14:textId="77777777" w:rsidR="00AE1436" w:rsidRPr="00AE1436" w:rsidRDefault="00AE1436" w:rsidP="00AE1436">
            <w:pPr>
              <w:spacing w:line="240" w:lineRule="auto"/>
              <w:rPr>
                <w:rFonts w:cs="Calibri"/>
                <w:szCs w:val="22"/>
              </w:rPr>
            </w:pPr>
            <w:r w:rsidRPr="00AE1436">
              <w:rPr>
                <w:rFonts w:cs="Calibri"/>
                <w:szCs w:val="22"/>
              </w:rPr>
              <w:lastRenderedPageBreak/>
              <w:t>Strong critique: policy attention exists, but ethnicity-specific action missing.</w:t>
            </w:r>
          </w:p>
        </w:tc>
      </w:tr>
      <w:tr w:rsidR="0028215F" w:rsidRPr="00AE1436" w14:paraId="2E6EEA25" w14:textId="77777777" w:rsidTr="00AE1436">
        <w:tc>
          <w:tcPr>
            <w:tcW w:w="0" w:type="auto"/>
            <w:hideMark/>
          </w:tcPr>
          <w:p w14:paraId="3013102C" w14:textId="749AC8AF" w:rsidR="00AE1436" w:rsidRPr="00AE1436" w:rsidRDefault="00AE1436" w:rsidP="00AE1436">
            <w:pPr>
              <w:spacing w:line="240" w:lineRule="auto"/>
              <w:rPr>
                <w:rFonts w:cs="Calibri"/>
                <w:szCs w:val="22"/>
              </w:rPr>
            </w:pPr>
            <w:r w:rsidRPr="00AE1436">
              <w:rPr>
                <w:rFonts w:cs="Calibri"/>
                <w:szCs w:val="22"/>
              </w:rPr>
              <w:t xml:space="preserve">Rich, Miah </w:t>
            </w:r>
            <w:r w:rsidR="00CC6C43">
              <w:rPr>
                <w:rFonts w:cs="Calibri"/>
                <w:szCs w:val="22"/>
              </w:rPr>
              <w:t>and</w:t>
            </w:r>
            <w:r w:rsidR="00CC6C43" w:rsidRPr="00AE1436">
              <w:rPr>
                <w:rFonts w:cs="Calibri"/>
                <w:szCs w:val="22"/>
              </w:rPr>
              <w:t xml:space="preserve"> </w:t>
            </w:r>
            <w:r w:rsidRPr="00AE1436">
              <w:rPr>
                <w:rFonts w:cs="Calibri"/>
                <w:szCs w:val="22"/>
              </w:rPr>
              <w:t>Lewis, 2019</w:t>
            </w:r>
          </w:p>
        </w:tc>
        <w:tc>
          <w:tcPr>
            <w:tcW w:w="0" w:type="auto"/>
            <w:hideMark/>
          </w:tcPr>
          <w:p w14:paraId="66603010" w14:textId="77777777" w:rsidR="00AE1436" w:rsidRPr="00AE1436" w:rsidRDefault="00AE1436" w:rsidP="00AE1436">
            <w:pPr>
              <w:spacing w:line="240" w:lineRule="auto"/>
              <w:rPr>
                <w:rFonts w:cs="Calibri"/>
                <w:szCs w:val="22"/>
              </w:rPr>
            </w:pPr>
            <w:r w:rsidRPr="00AE1436">
              <w:rPr>
                <w:rFonts w:cs="Calibri"/>
                <w:szCs w:val="22"/>
              </w:rPr>
              <w:t>Is digital health care more equitable? Framing of inequalities in England policy 2010–2017</w:t>
            </w:r>
          </w:p>
        </w:tc>
        <w:tc>
          <w:tcPr>
            <w:tcW w:w="0" w:type="auto"/>
            <w:hideMark/>
          </w:tcPr>
          <w:p w14:paraId="1320CBFA" w14:textId="77777777" w:rsidR="00AE1436" w:rsidRPr="00AE1436" w:rsidRDefault="00AE1436" w:rsidP="00AE1436">
            <w:pPr>
              <w:spacing w:line="240" w:lineRule="auto"/>
              <w:rPr>
                <w:rFonts w:cs="Calibri"/>
                <w:szCs w:val="22"/>
              </w:rPr>
            </w:pPr>
            <w:r w:rsidRPr="00AE1436">
              <w:rPr>
                <w:rFonts w:cs="Calibri"/>
                <w:szCs w:val="22"/>
              </w:rPr>
              <w:t>Discourse analysis (policy)</w:t>
            </w:r>
          </w:p>
        </w:tc>
        <w:tc>
          <w:tcPr>
            <w:tcW w:w="0" w:type="auto"/>
            <w:hideMark/>
          </w:tcPr>
          <w:p w14:paraId="6C3DFA74" w14:textId="77777777" w:rsidR="00AE1436" w:rsidRPr="00AE1436" w:rsidRDefault="00AE1436" w:rsidP="00AE1436">
            <w:pPr>
              <w:spacing w:line="240" w:lineRule="auto"/>
              <w:rPr>
                <w:rFonts w:cs="Calibri"/>
                <w:szCs w:val="22"/>
              </w:rPr>
            </w:pPr>
            <w:r w:rsidRPr="00AE1436">
              <w:rPr>
                <w:rFonts w:cs="Calibri"/>
                <w:szCs w:val="22"/>
              </w:rPr>
              <w:t xml:space="preserve">Qualitative discourse analysis of key policy docs; </w:t>
            </w:r>
            <w:r w:rsidRPr="00AE1436">
              <w:rPr>
                <w:rFonts w:cs="Calibri"/>
                <w:b/>
                <w:bCs/>
                <w:szCs w:val="22"/>
              </w:rPr>
              <w:t>no sample size</w:t>
            </w:r>
          </w:p>
        </w:tc>
        <w:tc>
          <w:tcPr>
            <w:tcW w:w="0" w:type="auto"/>
            <w:hideMark/>
          </w:tcPr>
          <w:p w14:paraId="20BE1CAB" w14:textId="77777777" w:rsidR="00AE1436" w:rsidRPr="00AE1436" w:rsidRDefault="00AE1436" w:rsidP="00AE1436">
            <w:pPr>
              <w:spacing w:line="240" w:lineRule="auto"/>
              <w:rPr>
                <w:rFonts w:cs="Calibri"/>
                <w:szCs w:val="22"/>
              </w:rPr>
            </w:pPr>
            <w:r w:rsidRPr="00AE1436">
              <w:rPr>
                <w:rFonts w:cs="Calibri"/>
                <w:b/>
                <w:bCs/>
                <w:szCs w:val="22"/>
              </w:rPr>
              <w:t>STR:</w:t>
            </w:r>
            <w:r w:rsidRPr="00AE1436">
              <w:rPr>
                <w:rFonts w:cs="Calibri"/>
                <w:szCs w:val="22"/>
              </w:rPr>
              <w:t xml:space="preserve"> deep policy framing critique </w:t>
            </w:r>
            <w:r w:rsidRPr="00AE1436">
              <w:rPr>
                <w:rFonts w:cs="Calibri"/>
                <w:b/>
                <w:bCs/>
                <w:szCs w:val="22"/>
              </w:rPr>
              <w:t>LIM:</w:t>
            </w:r>
            <w:r w:rsidRPr="00AE1436">
              <w:rPr>
                <w:rFonts w:cs="Calibri"/>
                <w:szCs w:val="22"/>
              </w:rPr>
              <w:t xml:space="preserve"> interpretive; not outcome-based</w:t>
            </w:r>
          </w:p>
        </w:tc>
        <w:tc>
          <w:tcPr>
            <w:tcW w:w="0" w:type="auto"/>
            <w:hideMark/>
          </w:tcPr>
          <w:p w14:paraId="385E8E95" w14:textId="77777777" w:rsidR="00AE1436" w:rsidRPr="00AE1436" w:rsidRDefault="00AE1436" w:rsidP="00AE1436">
            <w:pPr>
              <w:spacing w:line="240" w:lineRule="auto"/>
              <w:rPr>
                <w:rFonts w:cs="Calibri"/>
                <w:szCs w:val="22"/>
              </w:rPr>
            </w:pPr>
            <w:r w:rsidRPr="00AE1436">
              <w:rPr>
                <w:rFonts w:cs="Calibri"/>
                <w:szCs w:val="22"/>
              </w:rPr>
              <w:t>Equity framed through efficiency/empowerment/market logics; inclusion is stated priority but framing may reproduce inequalities</w:t>
            </w:r>
          </w:p>
        </w:tc>
        <w:tc>
          <w:tcPr>
            <w:tcW w:w="0" w:type="auto"/>
            <w:hideMark/>
          </w:tcPr>
          <w:p w14:paraId="1E90C864" w14:textId="01843884" w:rsidR="00AE1436" w:rsidRPr="00AE1436" w:rsidRDefault="0028215F" w:rsidP="00AE1436">
            <w:pPr>
              <w:spacing w:line="240" w:lineRule="auto"/>
              <w:rPr>
                <w:rFonts w:cs="Calibri"/>
                <w:szCs w:val="22"/>
              </w:rPr>
            </w:pPr>
            <w:r w:rsidRPr="00AE1436">
              <w:rPr>
                <w:rFonts w:cs="Calibri"/>
                <w:szCs w:val="22"/>
              </w:rPr>
              <w:t xml:space="preserve">Policy framing; neoliberal; equity; </w:t>
            </w:r>
            <w:r w:rsidR="00AE1436" w:rsidRPr="00AE1436">
              <w:rPr>
                <w:rFonts w:cs="Calibri"/>
                <w:b/>
                <w:bCs/>
                <w:szCs w:val="22"/>
              </w:rPr>
              <w:t>codes:</w:t>
            </w:r>
            <w:r w:rsidR="00AE1436" w:rsidRPr="00AE1436">
              <w:rPr>
                <w:rFonts w:cs="Calibri"/>
                <w:szCs w:val="22"/>
              </w:rPr>
              <w:t xml:space="preserve"> “efficiency framing”, “empowerment narrative”, “solutionism”, “inequality risk”</w:t>
            </w:r>
          </w:p>
        </w:tc>
        <w:tc>
          <w:tcPr>
            <w:tcW w:w="0" w:type="auto"/>
            <w:hideMark/>
          </w:tcPr>
          <w:p w14:paraId="33646B23" w14:textId="77777777" w:rsidR="00AE1436" w:rsidRPr="00AE1436" w:rsidRDefault="00AE1436" w:rsidP="00AE1436">
            <w:pPr>
              <w:spacing w:line="240" w:lineRule="auto"/>
              <w:rPr>
                <w:rFonts w:cs="Calibri"/>
                <w:szCs w:val="22"/>
              </w:rPr>
            </w:pPr>
            <w:r w:rsidRPr="00AE1436">
              <w:rPr>
                <w:rFonts w:cs="Calibri"/>
                <w:szCs w:val="22"/>
              </w:rPr>
              <w:t>Useful for critical discussion on “how policy talks about equity” vs real inclusion.</w:t>
            </w:r>
          </w:p>
        </w:tc>
      </w:tr>
      <w:tr w:rsidR="0028215F" w:rsidRPr="00AE1436" w14:paraId="16338BEB" w14:textId="77777777" w:rsidTr="00AE1436">
        <w:tc>
          <w:tcPr>
            <w:tcW w:w="0" w:type="auto"/>
            <w:hideMark/>
          </w:tcPr>
          <w:p w14:paraId="70194B68" w14:textId="52F604BC" w:rsidR="00AE1436" w:rsidRPr="00AE1436" w:rsidRDefault="00AE1436" w:rsidP="00AE1436">
            <w:pPr>
              <w:spacing w:line="240" w:lineRule="auto"/>
              <w:rPr>
                <w:rFonts w:cs="Calibri"/>
                <w:szCs w:val="22"/>
              </w:rPr>
            </w:pPr>
            <w:r w:rsidRPr="00AE1436">
              <w:rPr>
                <w:rFonts w:cs="Calibri"/>
                <w:szCs w:val="22"/>
              </w:rPr>
              <w:t xml:space="preserve">Palozzi, Schettini </w:t>
            </w:r>
            <w:r w:rsidR="00CC6C43">
              <w:rPr>
                <w:rFonts w:cs="Calibri"/>
                <w:szCs w:val="22"/>
              </w:rPr>
              <w:t>and</w:t>
            </w:r>
            <w:r w:rsidR="00CC6C43" w:rsidRPr="00AE1436">
              <w:rPr>
                <w:rFonts w:cs="Calibri"/>
                <w:szCs w:val="22"/>
              </w:rPr>
              <w:t xml:space="preserve"> </w:t>
            </w:r>
            <w:r w:rsidRPr="00AE1436">
              <w:rPr>
                <w:rFonts w:cs="Calibri"/>
                <w:szCs w:val="22"/>
              </w:rPr>
              <w:t>Chirico, 2020</w:t>
            </w:r>
          </w:p>
        </w:tc>
        <w:tc>
          <w:tcPr>
            <w:tcW w:w="0" w:type="auto"/>
            <w:hideMark/>
          </w:tcPr>
          <w:p w14:paraId="156EB6F1" w14:textId="77777777" w:rsidR="00AE1436" w:rsidRPr="00AE1436" w:rsidRDefault="00AE1436" w:rsidP="00AE1436">
            <w:pPr>
              <w:spacing w:line="240" w:lineRule="auto"/>
              <w:rPr>
                <w:rFonts w:cs="Calibri"/>
                <w:szCs w:val="22"/>
              </w:rPr>
            </w:pPr>
            <w:r w:rsidRPr="00AE1436">
              <w:rPr>
                <w:rFonts w:cs="Calibri"/>
                <w:szCs w:val="22"/>
              </w:rPr>
              <w:t>Telemedicine in rural areas: SDG access to healthcare (review)</w:t>
            </w:r>
          </w:p>
        </w:tc>
        <w:tc>
          <w:tcPr>
            <w:tcW w:w="0" w:type="auto"/>
            <w:hideMark/>
          </w:tcPr>
          <w:p w14:paraId="536CED14" w14:textId="77777777" w:rsidR="00AE1436" w:rsidRPr="00AE1436" w:rsidRDefault="00AE1436" w:rsidP="00AE1436">
            <w:pPr>
              <w:spacing w:line="240" w:lineRule="auto"/>
              <w:rPr>
                <w:rFonts w:cs="Calibri"/>
                <w:szCs w:val="22"/>
              </w:rPr>
            </w:pPr>
            <w:r w:rsidRPr="00AE1436">
              <w:rPr>
                <w:rFonts w:cs="Calibri"/>
                <w:szCs w:val="22"/>
              </w:rPr>
              <w:t>Literature review (PRISMA-based) + bibliometric</w:t>
            </w:r>
          </w:p>
        </w:tc>
        <w:tc>
          <w:tcPr>
            <w:tcW w:w="0" w:type="auto"/>
            <w:hideMark/>
          </w:tcPr>
          <w:p w14:paraId="14CFF495" w14:textId="77777777" w:rsidR="00AE1436" w:rsidRPr="00AE1436" w:rsidRDefault="00AE1436" w:rsidP="00AE1436">
            <w:pPr>
              <w:spacing w:line="240" w:lineRule="auto"/>
              <w:rPr>
                <w:rFonts w:cs="Calibri"/>
                <w:szCs w:val="22"/>
              </w:rPr>
            </w:pPr>
            <w:r w:rsidRPr="00AE1436">
              <w:rPr>
                <w:rFonts w:cs="Calibri"/>
                <w:szCs w:val="22"/>
              </w:rPr>
              <w:t xml:space="preserve">Scopus search 1973–2019; bibliometric </w:t>
            </w:r>
            <w:r w:rsidRPr="00AE1436">
              <w:rPr>
                <w:rFonts w:cs="Calibri"/>
                <w:b/>
                <w:bCs/>
                <w:szCs w:val="22"/>
              </w:rPr>
              <w:t>2,267 papers</w:t>
            </w:r>
            <w:r w:rsidRPr="00AE1436">
              <w:rPr>
                <w:rFonts w:cs="Calibri"/>
                <w:szCs w:val="22"/>
              </w:rPr>
              <w:t xml:space="preserve"> + narrative on </w:t>
            </w:r>
            <w:r w:rsidRPr="00AE1436">
              <w:rPr>
                <w:rFonts w:cs="Calibri"/>
                <w:b/>
                <w:bCs/>
                <w:szCs w:val="22"/>
              </w:rPr>
              <w:t>30 key papers</w:t>
            </w:r>
          </w:p>
        </w:tc>
        <w:tc>
          <w:tcPr>
            <w:tcW w:w="0" w:type="auto"/>
            <w:hideMark/>
          </w:tcPr>
          <w:p w14:paraId="08E6A337" w14:textId="77777777" w:rsidR="00AE1436" w:rsidRPr="00AE1436" w:rsidRDefault="00AE1436" w:rsidP="00AE1436">
            <w:pPr>
              <w:spacing w:line="240" w:lineRule="auto"/>
              <w:rPr>
                <w:rFonts w:cs="Calibri"/>
                <w:szCs w:val="22"/>
              </w:rPr>
            </w:pPr>
            <w:r w:rsidRPr="00AE1436">
              <w:rPr>
                <w:rFonts w:cs="Calibri"/>
                <w:b/>
                <w:bCs/>
                <w:szCs w:val="22"/>
              </w:rPr>
              <w:t>STR:</w:t>
            </w:r>
            <w:r w:rsidRPr="00AE1436">
              <w:rPr>
                <w:rFonts w:cs="Calibri"/>
                <w:szCs w:val="22"/>
              </w:rPr>
              <w:t xml:space="preserve"> very broad mapping; SDG framing </w:t>
            </w:r>
            <w:r w:rsidRPr="00AE1436">
              <w:rPr>
                <w:rFonts w:cs="Calibri"/>
                <w:b/>
                <w:bCs/>
                <w:szCs w:val="22"/>
              </w:rPr>
              <w:t>LIM:</w:t>
            </w:r>
            <w:r w:rsidRPr="00AE1436">
              <w:rPr>
                <w:rFonts w:cs="Calibri"/>
                <w:szCs w:val="22"/>
              </w:rPr>
              <w:t xml:space="preserve"> Scopus-only; “top 30” selection subjectivity</w:t>
            </w:r>
          </w:p>
        </w:tc>
        <w:tc>
          <w:tcPr>
            <w:tcW w:w="0" w:type="auto"/>
            <w:hideMark/>
          </w:tcPr>
          <w:p w14:paraId="13103978" w14:textId="77777777" w:rsidR="00AE1436" w:rsidRPr="00AE1436" w:rsidRDefault="00AE1436" w:rsidP="00AE1436">
            <w:pPr>
              <w:spacing w:line="240" w:lineRule="auto"/>
              <w:rPr>
                <w:rFonts w:cs="Calibri"/>
                <w:szCs w:val="22"/>
              </w:rPr>
            </w:pPr>
            <w:r w:rsidRPr="00AE1436">
              <w:rPr>
                <w:rFonts w:cs="Calibri"/>
                <w:szCs w:val="22"/>
              </w:rPr>
              <w:t>Telemedicine supports rural access by lowering cost, expanding specialist coverage, improving service quality; links to SDG 3 and 10 goals</w:t>
            </w:r>
          </w:p>
        </w:tc>
        <w:tc>
          <w:tcPr>
            <w:tcW w:w="0" w:type="auto"/>
            <w:hideMark/>
          </w:tcPr>
          <w:p w14:paraId="707964D1" w14:textId="0908EFB2" w:rsidR="00AE1436" w:rsidRPr="00AE1436" w:rsidRDefault="0028215F" w:rsidP="00AE1436">
            <w:pPr>
              <w:spacing w:line="240" w:lineRule="auto"/>
              <w:rPr>
                <w:rFonts w:cs="Calibri"/>
                <w:szCs w:val="22"/>
              </w:rPr>
            </w:pPr>
            <w:r w:rsidRPr="00AE1436">
              <w:rPr>
                <w:rFonts w:cs="Calibri"/>
                <w:szCs w:val="22"/>
              </w:rPr>
              <w:t xml:space="preserve">Rural </w:t>
            </w:r>
            <w:r w:rsidR="00AE1436" w:rsidRPr="00AE1436">
              <w:rPr>
                <w:rFonts w:cs="Calibri"/>
                <w:szCs w:val="22"/>
              </w:rPr>
              <w:t xml:space="preserve">access; </w:t>
            </w:r>
            <w:r w:rsidRPr="00AE1436">
              <w:rPr>
                <w:rFonts w:cs="Calibri"/>
                <w:szCs w:val="22"/>
              </w:rPr>
              <w:t>sdgs</w:t>
            </w:r>
            <w:r w:rsidR="00AE1436" w:rsidRPr="00AE1436">
              <w:rPr>
                <w:rFonts w:cs="Calibri"/>
                <w:szCs w:val="22"/>
              </w:rPr>
              <w:t xml:space="preserve">; sustainability; </w:t>
            </w:r>
            <w:r w:rsidR="00AE1436" w:rsidRPr="00AE1436">
              <w:rPr>
                <w:rFonts w:cs="Calibri"/>
                <w:b/>
                <w:bCs/>
                <w:szCs w:val="22"/>
              </w:rPr>
              <w:t>codes:</w:t>
            </w:r>
            <w:r w:rsidR="00AE1436" w:rsidRPr="00AE1436">
              <w:rPr>
                <w:rFonts w:cs="Calibri"/>
                <w:szCs w:val="22"/>
              </w:rPr>
              <w:t xml:space="preserve"> “access”, “cost efficiency”, “coverage”, “sustainability”</w:t>
            </w:r>
          </w:p>
        </w:tc>
        <w:tc>
          <w:tcPr>
            <w:tcW w:w="0" w:type="auto"/>
            <w:hideMark/>
          </w:tcPr>
          <w:p w14:paraId="7C1D96EA" w14:textId="77777777" w:rsidR="00AE1436" w:rsidRPr="00AE1436" w:rsidRDefault="00AE1436" w:rsidP="00AE1436">
            <w:pPr>
              <w:spacing w:line="240" w:lineRule="auto"/>
              <w:rPr>
                <w:rFonts w:cs="Calibri"/>
                <w:szCs w:val="22"/>
              </w:rPr>
            </w:pPr>
            <w:r w:rsidRPr="00AE1436">
              <w:rPr>
                <w:rFonts w:cs="Calibri"/>
                <w:szCs w:val="22"/>
              </w:rPr>
              <w:t>Best for macro-level benefits claims; less specific about implementation barriers.</w:t>
            </w:r>
          </w:p>
        </w:tc>
      </w:tr>
    </w:tbl>
    <w:p w14:paraId="0C72B28C" w14:textId="77777777" w:rsidR="001F1E02" w:rsidRPr="001F1E02" w:rsidRDefault="001F1E02" w:rsidP="001F1E02">
      <w:pPr>
        <w:rPr>
          <w:lang w:eastAsia="en-US"/>
        </w:rPr>
      </w:pPr>
    </w:p>
    <w:sectPr w:rsidR="001F1E02" w:rsidRPr="001F1E02" w:rsidSect="0028215F">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E6B986" w14:textId="77777777" w:rsidR="00E02899" w:rsidRDefault="00E02899" w:rsidP="0099694B">
      <w:pPr>
        <w:spacing w:line="240" w:lineRule="auto"/>
      </w:pPr>
      <w:r>
        <w:separator/>
      </w:r>
    </w:p>
  </w:endnote>
  <w:endnote w:type="continuationSeparator" w:id="0">
    <w:p w14:paraId="1CC61268" w14:textId="77777777" w:rsidR="00E02899" w:rsidRDefault="00E02899" w:rsidP="009969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11106595"/>
      <w:docPartObj>
        <w:docPartGallery w:val="Page Numbers (Bottom of Page)"/>
        <w:docPartUnique/>
      </w:docPartObj>
    </w:sdtPr>
    <w:sdtContent>
      <w:p w14:paraId="3646F118" w14:textId="29B13046" w:rsidR="0099694B" w:rsidRDefault="0099694B" w:rsidP="0083654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4AEC52E" w14:textId="77777777" w:rsidR="0099694B" w:rsidRDefault="0099694B" w:rsidP="0099694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27214258"/>
      <w:docPartObj>
        <w:docPartGallery w:val="Page Numbers (Bottom of Page)"/>
        <w:docPartUnique/>
      </w:docPartObj>
    </w:sdtPr>
    <w:sdtContent>
      <w:p w14:paraId="2FC67653" w14:textId="1ABEE187" w:rsidR="0099694B" w:rsidRDefault="0099694B" w:rsidP="0083654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FE95D5C" w14:textId="77777777" w:rsidR="0099694B" w:rsidRDefault="0099694B" w:rsidP="0099694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3E06F2" w14:textId="77777777" w:rsidR="00E02899" w:rsidRDefault="00E02899" w:rsidP="0099694B">
      <w:pPr>
        <w:spacing w:line="240" w:lineRule="auto"/>
      </w:pPr>
      <w:r>
        <w:separator/>
      </w:r>
    </w:p>
  </w:footnote>
  <w:footnote w:type="continuationSeparator" w:id="0">
    <w:p w14:paraId="6C0E15AB" w14:textId="77777777" w:rsidR="00E02899" w:rsidRDefault="00E02899" w:rsidP="0099694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6B5456"/>
    <w:multiLevelType w:val="multilevel"/>
    <w:tmpl w:val="723CF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14B27AD"/>
    <w:multiLevelType w:val="hybridMultilevel"/>
    <w:tmpl w:val="ABA0CC4C"/>
    <w:lvl w:ilvl="0" w:tplc="5CBC152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8599838">
    <w:abstractNumId w:val="0"/>
  </w:num>
  <w:num w:numId="2" w16cid:durableId="4347934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A46"/>
    <w:rsid w:val="00006876"/>
    <w:rsid w:val="0002334F"/>
    <w:rsid w:val="00031A4E"/>
    <w:rsid w:val="00032546"/>
    <w:rsid w:val="000363C5"/>
    <w:rsid w:val="00043682"/>
    <w:rsid w:val="00045772"/>
    <w:rsid w:val="0005192A"/>
    <w:rsid w:val="00057D1F"/>
    <w:rsid w:val="00074D6C"/>
    <w:rsid w:val="00075905"/>
    <w:rsid w:val="00090E26"/>
    <w:rsid w:val="00091D89"/>
    <w:rsid w:val="000A0E08"/>
    <w:rsid w:val="000A3CA6"/>
    <w:rsid w:val="000B1DBD"/>
    <w:rsid w:val="000B26B4"/>
    <w:rsid w:val="000B68FC"/>
    <w:rsid w:val="000B743B"/>
    <w:rsid w:val="000C2C65"/>
    <w:rsid w:val="000C6471"/>
    <w:rsid w:val="000E714F"/>
    <w:rsid w:val="000F29C1"/>
    <w:rsid w:val="000F2CFA"/>
    <w:rsid w:val="000F3399"/>
    <w:rsid w:val="000F7A77"/>
    <w:rsid w:val="00105989"/>
    <w:rsid w:val="0011670A"/>
    <w:rsid w:val="00120DFE"/>
    <w:rsid w:val="00122A48"/>
    <w:rsid w:val="00125C44"/>
    <w:rsid w:val="00127034"/>
    <w:rsid w:val="00131D7D"/>
    <w:rsid w:val="00136CAF"/>
    <w:rsid w:val="001413F1"/>
    <w:rsid w:val="00143963"/>
    <w:rsid w:val="00147EF6"/>
    <w:rsid w:val="00150A7D"/>
    <w:rsid w:val="00160EB4"/>
    <w:rsid w:val="001707A7"/>
    <w:rsid w:val="0018010D"/>
    <w:rsid w:val="001954F4"/>
    <w:rsid w:val="001B3B30"/>
    <w:rsid w:val="001C02E3"/>
    <w:rsid w:val="001C3C13"/>
    <w:rsid w:val="001C771F"/>
    <w:rsid w:val="001C7D06"/>
    <w:rsid w:val="001D23AA"/>
    <w:rsid w:val="001E0621"/>
    <w:rsid w:val="001E1A81"/>
    <w:rsid w:val="001E33B2"/>
    <w:rsid w:val="001F1E02"/>
    <w:rsid w:val="001F2B9A"/>
    <w:rsid w:val="0020269D"/>
    <w:rsid w:val="00210D99"/>
    <w:rsid w:val="0024667C"/>
    <w:rsid w:val="00250E61"/>
    <w:rsid w:val="00251382"/>
    <w:rsid w:val="0026054D"/>
    <w:rsid w:val="00262768"/>
    <w:rsid w:val="002677B8"/>
    <w:rsid w:val="002801B0"/>
    <w:rsid w:val="0028135C"/>
    <w:rsid w:val="0028215F"/>
    <w:rsid w:val="0028256F"/>
    <w:rsid w:val="002874B4"/>
    <w:rsid w:val="002A221C"/>
    <w:rsid w:val="002A5235"/>
    <w:rsid w:val="002A6881"/>
    <w:rsid w:val="002A708C"/>
    <w:rsid w:val="002B1845"/>
    <w:rsid w:val="002B69C0"/>
    <w:rsid w:val="002C4CA2"/>
    <w:rsid w:val="002D50B8"/>
    <w:rsid w:val="002D5F05"/>
    <w:rsid w:val="00314FE7"/>
    <w:rsid w:val="00324FA6"/>
    <w:rsid w:val="003305E3"/>
    <w:rsid w:val="0033318A"/>
    <w:rsid w:val="003333EE"/>
    <w:rsid w:val="0033535C"/>
    <w:rsid w:val="00336377"/>
    <w:rsid w:val="00337B2D"/>
    <w:rsid w:val="00340028"/>
    <w:rsid w:val="00340DB6"/>
    <w:rsid w:val="003424AB"/>
    <w:rsid w:val="00344E21"/>
    <w:rsid w:val="00355A5F"/>
    <w:rsid w:val="00356EE4"/>
    <w:rsid w:val="00365C2E"/>
    <w:rsid w:val="00366D79"/>
    <w:rsid w:val="00370EE0"/>
    <w:rsid w:val="00371ED2"/>
    <w:rsid w:val="00373D7A"/>
    <w:rsid w:val="003876AF"/>
    <w:rsid w:val="00390182"/>
    <w:rsid w:val="00390486"/>
    <w:rsid w:val="0039311A"/>
    <w:rsid w:val="00393583"/>
    <w:rsid w:val="003949EF"/>
    <w:rsid w:val="003A6C73"/>
    <w:rsid w:val="003D3F2E"/>
    <w:rsid w:val="003E255C"/>
    <w:rsid w:val="003F056A"/>
    <w:rsid w:val="003F06A3"/>
    <w:rsid w:val="003F2246"/>
    <w:rsid w:val="003F4B75"/>
    <w:rsid w:val="003F5C0C"/>
    <w:rsid w:val="00406BCB"/>
    <w:rsid w:val="0041093D"/>
    <w:rsid w:val="004109DC"/>
    <w:rsid w:val="00413588"/>
    <w:rsid w:val="00421F54"/>
    <w:rsid w:val="00423CEE"/>
    <w:rsid w:val="00423EE3"/>
    <w:rsid w:val="00430BE3"/>
    <w:rsid w:val="00436C80"/>
    <w:rsid w:val="00437888"/>
    <w:rsid w:val="00442A00"/>
    <w:rsid w:val="0045619D"/>
    <w:rsid w:val="00461624"/>
    <w:rsid w:val="00461B5C"/>
    <w:rsid w:val="00465220"/>
    <w:rsid w:val="00477B0D"/>
    <w:rsid w:val="004878C1"/>
    <w:rsid w:val="00490B06"/>
    <w:rsid w:val="00497FB9"/>
    <w:rsid w:val="004A386A"/>
    <w:rsid w:val="004B2036"/>
    <w:rsid w:val="004B7A93"/>
    <w:rsid w:val="004C132E"/>
    <w:rsid w:val="004C26FC"/>
    <w:rsid w:val="004C275D"/>
    <w:rsid w:val="004C33C2"/>
    <w:rsid w:val="004C3883"/>
    <w:rsid w:val="004C46A0"/>
    <w:rsid w:val="004C775E"/>
    <w:rsid w:val="004D0DB2"/>
    <w:rsid w:val="004D20C5"/>
    <w:rsid w:val="004D26D7"/>
    <w:rsid w:val="004E386B"/>
    <w:rsid w:val="004F4D44"/>
    <w:rsid w:val="00503651"/>
    <w:rsid w:val="00510E6E"/>
    <w:rsid w:val="00515F35"/>
    <w:rsid w:val="005264A9"/>
    <w:rsid w:val="005267D2"/>
    <w:rsid w:val="005312E4"/>
    <w:rsid w:val="005323C3"/>
    <w:rsid w:val="00536EE7"/>
    <w:rsid w:val="005509E8"/>
    <w:rsid w:val="00550A91"/>
    <w:rsid w:val="005527BB"/>
    <w:rsid w:val="00557E56"/>
    <w:rsid w:val="005664AF"/>
    <w:rsid w:val="005705A1"/>
    <w:rsid w:val="005771A2"/>
    <w:rsid w:val="00592530"/>
    <w:rsid w:val="00593B9B"/>
    <w:rsid w:val="00594D4A"/>
    <w:rsid w:val="005962AF"/>
    <w:rsid w:val="005B01C3"/>
    <w:rsid w:val="005B771F"/>
    <w:rsid w:val="005C11C8"/>
    <w:rsid w:val="005D07F4"/>
    <w:rsid w:val="005D4939"/>
    <w:rsid w:val="005E3108"/>
    <w:rsid w:val="005F0821"/>
    <w:rsid w:val="005F1728"/>
    <w:rsid w:val="005F2F05"/>
    <w:rsid w:val="00604057"/>
    <w:rsid w:val="00604669"/>
    <w:rsid w:val="00605FD0"/>
    <w:rsid w:val="00613282"/>
    <w:rsid w:val="00613A88"/>
    <w:rsid w:val="006176D4"/>
    <w:rsid w:val="0063410A"/>
    <w:rsid w:val="0064245D"/>
    <w:rsid w:val="006431FA"/>
    <w:rsid w:val="00644954"/>
    <w:rsid w:val="006559C8"/>
    <w:rsid w:val="00660767"/>
    <w:rsid w:val="006662CB"/>
    <w:rsid w:val="00673E51"/>
    <w:rsid w:val="00676DF3"/>
    <w:rsid w:val="006A05AD"/>
    <w:rsid w:val="006B693D"/>
    <w:rsid w:val="006E3C36"/>
    <w:rsid w:val="006E4075"/>
    <w:rsid w:val="006F156F"/>
    <w:rsid w:val="00706816"/>
    <w:rsid w:val="00742762"/>
    <w:rsid w:val="00744D27"/>
    <w:rsid w:val="007536ED"/>
    <w:rsid w:val="00761BF1"/>
    <w:rsid w:val="0076356B"/>
    <w:rsid w:val="007830F7"/>
    <w:rsid w:val="007945FA"/>
    <w:rsid w:val="007A027B"/>
    <w:rsid w:val="007B0244"/>
    <w:rsid w:val="007C13CC"/>
    <w:rsid w:val="007C2B8E"/>
    <w:rsid w:val="007C3A33"/>
    <w:rsid w:val="007D679F"/>
    <w:rsid w:val="007F1958"/>
    <w:rsid w:val="007F3847"/>
    <w:rsid w:val="007F5F2C"/>
    <w:rsid w:val="00804503"/>
    <w:rsid w:val="0081322B"/>
    <w:rsid w:val="00814762"/>
    <w:rsid w:val="00824AAB"/>
    <w:rsid w:val="008265C9"/>
    <w:rsid w:val="008308AF"/>
    <w:rsid w:val="00830B1F"/>
    <w:rsid w:val="00831A75"/>
    <w:rsid w:val="00831E83"/>
    <w:rsid w:val="00856BF7"/>
    <w:rsid w:val="00865B2F"/>
    <w:rsid w:val="00881579"/>
    <w:rsid w:val="00886F55"/>
    <w:rsid w:val="00887082"/>
    <w:rsid w:val="008975E4"/>
    <w:rsid w:val="008B4698"/>
    <w:rsid w:val="008B577A"/>
    <w:rsid w:val="008B5F15"/>
    <w:rsid w:val="008B7086"/>
    <w:rsid w:val="008C1243"/>
    <w:rsid w:val="008C1D4B"/>
    <w:rsid w:val="008E3E83"/>
    <w:rsid w:val="008E7729"/>
    <w:rsid w:val="00905CCA"/>
    <w:rsid w:val="009062C4"/>
    <w:rsid w:val="009137B6"/>
    <w:rsid w:val="009207AF"/>
    <w:rsid w:val="009370E2"/>
    <w:rsid w:val="009462A1"/>
    <w:rsid w:val="00951F43"/>
    <w:rsid w:val="009534B6"/>
    <w:rsid w:val="00960829"/>
    <w:rsid w:val="00960C10"/>
    <w:rsid w:val="00966D35"/>
    <w:rsid w:val="00967F99"/>
    <w:rsid w:val="00983883"/>
    <w:rsid w:val="0099694B"/>
    <w:rsid w:val="009B14D7"/>
    <w:rsid w:val="009B3877"/>
    <w:rsid w:val="009B6888"/>
    <w:rsid w:val="009E0B21"/>
    <w:rsid w:val="009E5C37"/>
    <w:rsid w:val="009F4313"/>
    <w:rsid w:val="00A00A39"/>
    <w:rsid w:val="00A01CA4"/>
    <w:rsid w:val="00A045FD"/>
    <w:rsid w:val="00A065EE"/>
    <w:rsid w:val="00A10780"/>
    <w:rsid w:val="00A14C69"/>
    <w:rsid w:val="00A21DD0"/>
    <w:rsid w:val="00A25196"/>
    <w:rsid w:val="00A31D95"/>
    <w:rsid w:val="00A3227A"/>
    <w:rsid w:val="00A3328C"/>
    <w:rsid w:val="00A362AF"/>
    <w:rsid w:val="00A37C80"/>
    <w:rsid w:val="00A40E4C"/>
    <w:rsid w:val="00A529DA"/>
    <w:rsid w:val="00A55CAF"/>
    <w:rsid w:val="00A564C6"/>
    <w:rsid w:val="00A57D24"/>
    <w:rsid w:val="00A60516"/>
    <w:rsid w:val="00A614AC"/>
    <w:rsid w:val="00A75838"/>
    <w:rsid w:val="00A76FED"/>
    <w:rsid w:val="00A77021"/>
    <w:rsid w:val="00AA0849"/>
    <w:rsid w:val="00AA2044"/>
    <w:rsid w:val="00AA3D6C"/>
    <w:rsid w:val="00AB0D8D"/>
    <w:rsid w:val="00AC00DE"/>
    <w:rsid w:val="00AD3044"/>
    <w:rsid w:val="00AE1436"/>
    <w:rsid w:val="00AE3094"/>
    <w:rsid w:val="00AE380D"/>
    <w:rsid w:val="00AE6F31"/>
    <w:rsid w:val="00AF161F"/>
    <w:rsid w:val="00AF3CF5"/>
    <w:rsid w:val="00B00D0A"/>
    <w:rsid w:val="00B32D88"/>
    <w:rsid w:val="00B365DE"/>
    <w:rsid w:val="00B40390"/>
    <w:rsid w:val="00B44BEF"/>
    <w:rsid w:val="00B534CA"/>
    <w:rsid w:val="00B616FE"/>
    <w:rsid w:val="00B62E89"/>
    <w:rsid w:val="00B66C46"/>
    <w:rsid w:val="00B75998"/>
    <w:rsid w:val="00B76361"/>
    <w:rsid w:val="00B80E97"/>
    <w:rsid w:val="00B86E38"/>
    <w:rsid w:val="00B95E5D"/>
    <w:rsid w:val="00BA0049"/>
    <w:rsid w:val="00BA0811"/>
    <w:rsid w:val="00BA2A8C"/>
    <w:rsid w:val="00BB1EDC"/>
    <w:rsid w:val="00BB3010"/>
    <w:rsid w:val="00BD5B75"/>
    <w:rsid w:val="00BE4882"/>
    <w:rsid w:val="00BF27B4"/>
    <w:rsid w:val="00C116CC"/>
    <w:rsid w:val="00C23559"/>
    <w:rsid w:val="00C25896"/>
    <w:rsid w:val="00C26B94"/>
    <w:rsid w:val="00C33FE7"/>
    <w:rsid w:val="00C375DF"/>
    <w:rsid w:val="00C43894"/>
    <w:rsid w:val="00C46449"/>
    <w:rsid w:val="00C5277C"/>
    <w:rsid w:val="00C62CF7"/>
    <w:rsid w:val="00C65806"/>
    <w:rsid w:val="00C67A46"/>
    <w:rsid w:val="00C7504F"/>
    <w:rsid w:val="00C813FB"/>
    <w:rsid w:val="00C835D6"/>
    <w:rsid w:val="00C94DB6"/>
    <w:rsid w:val="00CA488A"/>
    <w:rsid w:val="00CA7D9C"/>
    <w:rsid w:val="00CB5FA6"/>
    <w:rsid w:val="00CC4B64"/>
    <w:rsid w:val="00CC6C43"/>
    <w:rsid w:val="00CE0573"/>
    <w:rsid w:val="00CE1B5A"/>
    <w:rsid w:val="00CF674F"/>
    <w:rsid w:val="00D06F35"/>
    <w:rsid w:val="00D07BB3"/>
    <w:rsid w:val="00D10C9F"/>
    <w:rsid w:val="00D354A6"/>
    <w:rsid w:val="00D358D9"/>
    <w:rsid w:val="00D55D15"/>
    <w:rsid w:val="00D566AD"/>
    <w:rsid w:val="00D60A08"/>
    <w:rsid w:val="00D61C58"/>
    <w:rsid w:val="00D65078"/>
    <w:rsid w:val="00D652D3"/>
    <w:rsid w:val="00D66D1E"/>
    <w:rsid w:val="00D70FEC"/>
    <w:rsid w:val="00D71527"/>
    <w:rsid w:val="00D7249A"/>
    <w:rsid w:val="00D745DE"/>
    <w:rsid w:val="00D815C2"/>
    <w:rsid w:val="00D8685B"/>
    <w:rsid w:val="00D87922"/>
    <w:rsid w:val="00D90A0B"/>
    <w:rsid w:val="00D917CF"/>
    <w:rsid w:val="00D91805"/>
    <w:rsid w:val="00D95A10"/>
    <w:rsid w:val="00DA27DE"/>
    <w:rsid w:val="00DB3241"/>
    <w:rsid w:val="00DB495E"/>
    <w:rsid w:val="00DB5713"/>
    <w:rsid w:val="00DD7999"/>
    <w:rsid w:val="00DE7D0E"/>
    <w:rsid w:val="00E02899"/>
    <w:rsid w:val="00E029D0"/>
    <w:rsid w:val="00E030E2"/>
    <w:rsid w:val="00E04550"/>
    <w:rsid w:val="00E05230"/>
    <w:rsid w:val="00E065A5"/>
    <w:rsid w:val="00E13E7E"/>
    <w:rsid w:val="00E209EB"/>
    <w:rsid w:val="00E50EDB"/>
    <w:rsid w:val="00E51000"/>
    <w:rsid w:val="00E63185"/>
    <w:rsid w:val="00E655BF"/>
    <w:rsid w:val="00E734E0"/>
    <w:rsid w:val="00E8234A"/>
    <w:rsid w:val="00E8361A"/>
    <w:rsid w:val="00E84AAA"/>
    <w:rsid w:val="00E87EB2"/>
    <w:rsid w:val="00E90620"/>
    <w:rsid w:val="00E947F1"/>
    <w:rsid w:val="00E97363"/>
    <w:rsid w:val="00EA337A"/>
    <w:rsid w:val="00EB6E1A"/>
    <w:rsid w:val="00EC7E20"/>
    <w:rsid w:val="00EC7E28"/>
    <w:rsid w:val="00ED173A"/>
    <w:rsid w:val="00ED4A77"/>
    <w:rsid w:val="00EF0D03"/>
    <w:rsid w:val="00F00813"/>
    <w:rsid w:val="00F04C0B"/>
    <w:rsid w:val="00F07C35"/>
    <w:rsid w:val="00F1142B"/>
    <w:rsid w:val="00F12622"/>
    <w:rsid w:val="00F12FCC"/>
    <w:rsid w:val="00F1598D"/>
    <w:rsid w:val="00F20BDA"/>
    <w:rsid w:val="00F24F7F"/>
    <w:rsid w:val="00F326B3"/>
    <w:rsid w:val="00F326FC"/>
    <w:rsid w:val="00F32785"/>
    <w:rsid w:val="00F47838"/>
    <w:rsid w:val="00F5135E"/>
    <w:rsid w:val="00F64F33"/>
    <w:rsid w:val="00F65E7F"/>
    <w:rsid w:val="00F717EA"/>
    <w:rsid w:val="00F744E2"/>
    <w:rsid w:val="00F757E5"/>
    <w:rsid w:val="00F9151E"/>
    <w:rsid w:val="00FA0153"/>
    <w:rsid w:val="00FA2303"/>
    <w:rsid w:val="00FA5617"/>
    <w:rsid w:val="00FB6C67"/>
    <w:rsid w:val="00FB7750"/>
    <w:rsid w:val="00FC59B7"/>
    <w:rsid w:val="00FD3C99"/>
    <w:rsid w:val="00FD5142"/>
    <w:rsid w:val="00FE3A1F"/>
    <w:rsid w:val="00FE5A9A"/>
    <w:rsid w:val="00FE5D4A"/>
    <w:rsid w:val="00FF275E"/>
    <w:rsid w:val="00FF4685"/>
    <w:rsid w:val="00FF7350"/>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0A3BB"/>
  <w15:chartTrackingRefBased/>
  <w15:docId w15:val="{6E1B1F58-DA3D-6A44-AD15-D7575C5E25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6816"/>
    <w:pPr>
      <w:spacing w:after="0" w:line="360" w:lineRule="auto"/>
    </w:pPr>
    <w:rPr>
      <w:rFonts w:ascii="Calibri" w:eastAsia="Times New Roman" w:hAnsi="Calibri" w:cs="Times New Roman"/>
      <w:kern w:val="0"/>
      <w:sz w:val="22"/>
      <w:lang w:eastAsia="en-GB"/>
      <w14:ligatures w14:val="none"/>
    </w:rPr>
  </w:style>
  <w:style w:type="paragraph" w:styleId="Heading1">
    <w:name w:val="heading 1"/>
    <w:basedOn w:val="Normal"/>
    <w:next w:val="Normal"/>
    <w:link w:val="Heading1Char"/>
    <w:uiPriority w:val="9"/>
    <w:qFormat/>
    <w:rsid w:val="00461624"/>
    <w:pPr>
      <w:keepNext/>
      <w:keepLines/>
      <w:spacing w:before="360" w:after="80"/>
      <w:outlineLvl w:val="0"/>
    </w:pPr>
    <w:rPr>
      <w:rFonts w:eastAsiaTheme="majorEastAsia" w:cstheme="majorBidi"/>
      <w:b/>
      <w:color w:val="0F4761" w:themeColor="accent1" w:themeShade="BF"/>
      <w:kern w:val="2"/>
      <w:sz w:val="28"/>
      <w:szCs w:val="40"/>
      <w:lang w:eastAsia="en-US"/>
      <w14:ligatures w14:val="standardContextual"/>
    </w:rPr>
  </w:style>
  <w:style w:type="paragraph" w:styleId="Heading2">
    <w:name w:val="heading 2"/>
    <w:basedOn w:val="Normal"/>
    <w:next w:val="Normal"/>
    <w:link w:val="Heading2Char"/>
    <w:uiPriority w:val="9"/>
    <w:unhideWhenUsed/>
    <w:qFormat/>
    <w:rsid w:val="00FB6C67"/>
    <w:pPr>
      <w:keepNext/>
      <w:keepLines/>
      <w:spacing w:before="160" w:after="80"/>
      <w:outlineLvl w:val="1"/>
    </w:pPr>
    <w:rPr>
      <w:rFonts w:eastAsiaTheme="majorEastAsia" w:cstheme="majorBidi"/>
      <w:b/>
      <w:color w:val="0F4761" w:themeColor="accent1" w:themeShade="BF"/>
      <w:kern w:val="2"/>
      <w:szCs w:val="32"/>
      <w:lang w:eastAsia="en-US"/>
      <w14:ligatures w14:val="standardContextual"/>
    </w:rPr>
  </w:style>
  <w:style w:type="paragraph" w:styleId="Heading3">
    <w:name w:val="heading 3"/>
    <w:basedOn w:val="Normal"/>
    <w:next w:val="Normal"/>
    <w:link w:val="Heading3Char"/>
    <w:uiPriority w:val="9"/>
    <w:unhideWhenUsed/>
    <w:qFormat/>
    <w:rsid w:val="00BE4882"/>
    <w:pPr>
      <w:keepNext/>
      <w:keepLines/>
      <w:spacing w:before="160" w:after="80"/>
      <w:outlineLvl w:val="2"/>
    </w:pPr>
    <w:rPr>
      <w:rFonts w:eastAsiaTheme="majorEastAsia" w:cstheme="majorBidi"/>
      <w:b/>
      <w:i/>
      <w:color w:val="0F4761" w:themeColor="accent1" w:themeShade="BF"/>
      <w:kern w:val="2"/>
      <w:szCs w:val="28"/>
      <w:lang w:eastAsia="en-US"/>
      <w14:ligatures w14:val="standardContextual"/>
    </w:rPr>
  </w:style>
  <w:style w:type="paragraph" w:styleId="Heading4">
    <w:name w:val="heading 4"/>
    <w:basedOn w:val="Normal"/>
    <w:next w:val="Normal"/>
    <w:link w:val="Heading4Char"/>
    <w:uiPriority w:val="9"/>
    <w:unhideWhenUsed/>
    <w:qFormat/>
    <w:rsid w:val="00C67A46"/>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C67A46"/>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C67A46"/>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C67A46"/>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C67A46"/>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C67A46"/>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1624"/>
    <w:rPr>
      <w:rFonts w:asciiTheme="majorBidi" w:eastAsiaTheme="majorEastAsia" w:hAnsiTheme="majorBidi" w:cstheme="majorBidi"/>
      <w:b/>
      <w:color w:val="0F4761" w:themeColor="accent1" w:themeShade="BF"/>
      <w:sz w:val="28"/>
      <w:szCs w:val="40"/>
    </w:rPr>
  </w:style>
  <w:style w:type="character" w:customStyle="1" w:styleId="Heading2Char">
    <w:name w:val="Heading 2 Char"/>
    <w:basedOn w:val="DefaultParagraphFont"/>
    <w:link w:val="Heading2"/>
    <w:uiPriority w:val="9"/>
    <w:rsid w:val="00FB6C67"/>
    <w:rPr>
      <w:rFonts w:asciiTheme="majorBidi" w:eastAsiaTheme="majorEastAsia" w:hAnsiTheme="majorBidi" w:cstheme="majorBidi"/>
      <w:b/>
      <w:color w:val="0F4761" w:themeColor="accent1" w:themeShade="BF"/>
      <w:szCs w:val="32"/>
    </w:rPr>
  </w:style>
  <w:style w:type="character" w:customStyle="1" w:styleId="Heading3Char">
    <w:name w:val="Heading 3 Char"/>
    <w:basedOn w:val="DefaultParagraphFont"/>
    <w:link w:val="Heading3"/>
    <w:uiPriority w:val="9"/>
    <w:rsid w:val="00BE4882"/>
    <w:rPr>
      <w:rFonts w:asciiTheme="majorBidi" w:eastAsiaTheme="majorEastAsia" w:hAnsiTheme="majorBidi" w:cstheme="majorBidi"/>
      <w:b/>
      <w:i/>
      <w:color w:val="0F4761" w:themeColor="accent1" w:themeShade="BF"/>
      <w:szCs w:val="28"/>
    </w:rPr>
  </w:style>
  <w:style w:type="character" w:customStyle="1" w:styleId="Heading4Char">
    <w:name w:val="Heading 4 Char"/>
    <w:basedOn w:val="DefaultParagraphFont"/>
    <w:link w:val="Heading4"/>
    <w:uiPriority w:val="9"/>
    <w:rsid w:val="00C67A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7A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7A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7A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7A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7A46"/>
    <w:rPr>
      <w:rFonts w:eastAsiaTheme="majorEastAsia" w:cstheme="majorBidi"/>
      <w:color w:val="272727" w:themeColor="text1" w:themeTint="D8"/>
    </w:rPr>
  </w:style>
  <w:style w:type="paragraph" w:styleId="Title">
    <w:name w:val="Title"/>
    <w:basedOn w:val="Normal"/>
    <w:next w:val="Normal"/>
    <w:link w:val="TitleChar"/>
    <w:uiPriority w:val="10"/>
    <w:qFormat/>
    <w:rsid w:val="00C67A46"/>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C67A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7A46"/>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C67A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7A46"/>
    <w:pPr>
      <w:spacing w:before="160" w:after="160"/>
      <w:jc w:val="center"/>
    </w:pPr>
    <w:rPr>
      <w:rFonts w:eastAsia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C67A46"/>
    <w:rPr>
      <w:rFonts w:asciiTheme="majorBidi" w:hAnsiTheme="majorBidi"/>
      <w:i/>
      <w:iCs/>
      <w:color w:val="404040" w:themeColor="text1" w:themeTint="BF"/>
    </w:rPr>
  </w:style>
  <w:style w:type="paragraph" w:styleId="ListParagraph">
    <w:name w:val="List Paragraph"/>
    <w:basedOn w:val="Normal"/>
    <w:uiPriority w:val="34"/>
    <w:qFormat/>
    <w:rsid w:val="00C67A46"/>
    <w:pPr>
      <w:spacing w:after="160"/>
      <w:ind w:left="720"/>
      <w:contextualSpacing/>
    </w:pPr>
    <w:rPr>
      <w:rFonts w:eastAsiaTheme="minorHAnsi" w:cstheme="minorBidi"/>
      <w:kern w:val="2"/>
      <w:lang w:eastAsia="en-US"/>
      <w14:ligatures w14:val="standardContextual"/>
    </w:rPr>
  </w:style>
  <w:style w:type="character" w:styleId="IntenseEmphasis">
    <w:name w:val="Intense Emphasis"/>
    <w:basedOn w:val="DefaultParagraphFont"/>
    <w:uiPriority w:val="21"/>
    <w:qFormat/>
    <w:rsid w:val="00C67A46"/>
    <w:rPr>
      <w:i/>
      <w:iCs/>
      <w:color w:val="0F4761" w:themeColor="accent1" w:themeShade="BF"/>
    </w:rPr>
  </w:style>
  <w:style w:type="paragraph" w:styleId="IntenseQuote">
    <w:name w:val="Intense Quote"/>
    <w:basedOn w:val="Normal"/>
    <w:next w:val="Normal"/>
    <w:link w:val="IntenseQuoteChar"/>
    <w:uiPriority w:val="30"/>
    <w:qFormat/>
    <w:rsid w:val="00C67A46"/>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C67A46"/>
    <w:rPr>
      <w:rFonts w:asciiTheme="majorBidi" w:hAnsiTheme="majorBidi"/>
      <w:i/>
      <w:iCs/>
      <w:color w:val="0F4761" w:themeColor="accent1" w:themeShade="BF"/>
    </w:rPr>
  </w:style>
  <w:style w:type="character" w:styleId="IntenseReference">
    <w:name w:val="Intense Reference"/>
    <w:basedOn w:val="DefaultParagraphFont"/>
    <w:uiPriority w:val="32"/>
    <w:qFormat/>
    <w:rsid w:val="00C67A46"/>
    <w:rPr>
      <w:b/>
      <w:bCs/>
      <w:smallCaps/>
      <w:color w:val="0F4761" w:themeColor="accent1" w:themeShade="BF"/>
      <w:spacing w:val="5"/>
    </w:rPr>
  </w:style>
  <w:style w:type="paragraph" w:styleId="NormalWeb">
    <w:name w:val="Normal (Web)"/>
    <w:basedOn w:val="Normal"/>
    <w:uiPriority w:val="99"/>
    <w:unhideWhenUsed/>
    <w:rsid w:val="00B86E38"/>
    <w:pPr>
      <w:spacing w:before="100" w:beforeAutospacing="1" w:after="100" w:afterAutospacing="1"/>
    </w:pPr>
  </w:style>
  <w:style w:type="character" w:styleId="Strong">
    <w:name w:val="Strong"/>
    <w:basedOn w:val="DefaultParagraphFont"/>
    <w:uiPriority w:val="22"/>
    <w:qFormat/>
    <w:rsid w:val="00B86E38"/>
    <w:rPr>
      <w:b/>
      <w:bCs/>
    </w:rPr>
  </w:style>
  <w:style w:type="character" w:styleId="Emphasis">
    <w:name w:val="Emphasis"/>
    <w:basedOn w:val="DefaultParagraphFont"/>
    <w:uiPriority w:val="20"/>
    <w:qFormat/>
    <w:rsid w:val="00C813FB"/>
    <w:rPr>
      <w:i/>
      <w:iCs/>
    </w:rPr>
  </w:style>
  <w:style w:type="table" w:styleId="TableGrid">
    <w:name w:val="Table Grid"/>
    <w:basedOn w:val="TableNormal"/>
    <w:uiPriority w:val="39"/>
    <w:rsid w:val="000A3C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65220"/>
    <w:pPr>
      <w:spacing w:after="200"/>
    </w:pPr>
    <w:rPr>
      <w:rFonts w:eastAsiaTheme="minorHAnsi" w:cstheme="minorBidi"/>
      <w:i/>
      <w:iCs/>
      <w:color w:val="0E2841" w:themeColor="text2"/>
      <w:kern w:val="2"/>
      <w:sz w:val="18"/>
      <w:szCs w:val="18"/>
      <w:lang w:eastAsia="en-US"/>
      <w14:ligatures w14:val="standardContextual"/>
    </w:rPr>
  </w:style>
  <w:style w:type="paragraph" w:styleId="z-TopofForm">
    <w:name w:val="HTML Top of Form"/>
    <w:basedOn w:val="Normal"/>
    <w:next w:val="Normal"/>
    <w:link w:val="z-TopofFormChar"/>
    <w:hidden/>
    <w:uiPriority w:val="99"/>
    <w:semiHidden/>
    <w:unhideWhenUsed/>
    <w:rsid w:val="008265C9"/>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8265C9"/>
    <w:rPr>
      <w:rFonts w:ascii="Arial" w:eastAsia="Times New Roman" w:hAnsi="Arial" w:cs="Arial"/>
      <w:vanish/>
      <w:kern w:val="0"/>
      <w:sz w:val="16"/>
      <w:szCs w:val="16"/>
      <w:lang w:eastAsia="en-GB"/>
      <w14:ligatures w14:val="none"/>
    </w:rPr>
  </w:style>
  <w:style w:type="paragraph" w:customStyle="1" w:styleId="placeholder">
    <w:name w:val="placeholder"/>
    <w:basedOn w:val="Normal"/>
    <w:rsid w:val="008265C9"/>
    <w:pPr>
      <w:spacing w:before="100" w:beforeAutospacing="1" w:after="100" w:afterAutospacing="1"/>
    </w:pPr>
  </w:style>
  <w:style w:type="paragraph" w:styleId="z-BottomofForm">
    <w:name w:val="HTML Bottom of Form"/>
    <w:basedOn w:val="Normal"/>
    <w:next w:val="Normal"/>
    <w:link w:val="z-BottomofFormChar"/>
    <w:hidden/>
    <w:uiPriority w:val="99"/>
    <w:semiHidden/>
    <w:unhideWhenUsed/>
    <w:rsid w:val="008265C9"/>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8265C9"/>
    <w:rPr>
      <w:rFonts w:ascii="Arial" w:eastAsia="Times New Roman" w:hAnsi="Arial" w:cs="Arial"/>
      <w:vanish/>
      <w:kern w:val="0"/>
      <w:sz w:val="16"/>
      <w:szCs w:val="16"/>
      <w:lang w:eastAsia="en-GB"/>
      <w14:ligatures w14:val="none"/>
    </w:rPr>
  </w:style>
  <w:style w:type="paragraph" w:styleId="Header">
    <w:name w:val="header"/>
    <w:basedOn w:val="Normal"/>
    <w:link w:val="HeaderChar"/>
    <w:uiPriority w:val="99"/>
    <w:unhideWhenUsed/>
    <w:rsid w:val="0099694B"/>
    <w:pPr>
      <w:tabs>
        <w:tab w:val="center" w:pos="4513"/>
        <w:tab w:val="right" w:pos="9026"/>
      </w:tabs>
      <w:spacing w:line="240" w:lineRule="auto"/>
    </w:pPr>
  </w:style>
  <w:style w:type="character" w:customStyle="1" w:styleId="HeaderChar">
    <w:name w:val="Header Char"/>
    <w:basedOn w:val="DefaultParagraphFont"/>
    <w:link w:val="Header"/>
    <w:uiPriority w:val="99"/>
    <w:rsid w:val="0099694B"/>
    <w:rPr>
      <w:rFonts w:ascii="Calibri" w:eastAsia="Times New Roman" w:hAnsi="Calibri" w:cs="Times New Roman"/>
      <w:kern w:val="0"/>
      <w:sz w:val="22"/>
      <w:lang w:eastAsia="en-GB"/>
      <w14:ligatures w14:val="none"/>
    </w:rPr>
  </w:style>
  <w:style w:type="paragraph" w:styleId="Footer">
    <w:name w:val="footer"/>
    <w:basedOn w:val="Normal"/>
    <w:link w:val="FooterChar"/>
    <w:uiPriority w:val="99"/>
    <w:unhideWhenUsed/>
    <w:rsid w:val="0099694B"/>
    <w:pPr>
      <w:tabs>
        <w:tab w:val="center" w:pos="4513"/>
        <w:tab w:val="right" w:pos="9026"/>
      </w:tabs>
      <w:spacing w:line="240" w:lineRule="auto"/>
    </w:pPr>
  </w:style>
  <w:style w:type="character" w:customStyle="1" w:styleId="FooterChar">
    <w:name w:val="Footer Char"/>
    <w:basedOn w:val="DefaultParagraphFont"/>
    <w:link w:val="Footer"/>
    <w:uiPriority w:val="99"/>
    <w:rsid w:val="0099694B"/>
    <w:rPr>
      <w:rFonts w:ascii="Calibri" w:eastAsia="Times New Roman" w:hAnsi="Calibri" w:cs="Times New Roman"/>
      <w:kern w:val="0"/>
      <w:sz w:val="22"/>
      <w:lang w:eastAsia="en-GB"/>
      <w14:ligatures w14:val="none"/>
    </w:rPr>
  </w:style>
  <w:style w:type="character" w:styleId="PageNumber">
    <w:name w:val="page number"/>
    <w:basedOn w:val="DefaultParagraphFont"/>
    <w:uiPriority w:val="99"/>
    <w:semiHidden/>
    <w:unhideWhenUsed/>
    <w:rsid w:val="0099694B"/>
  </w:style>
  <w:style w:type="paragraph" w:styleId="TOCHeading">
    <w:name w:val="TOC Heading"/>
    <w:basedOn w:val="Heading1"/>
    <w:next w:val="Normal"/>
    <w:uiPriority w:val="39"/>
    <w:unhideWhenUsed/>
    <w:qFormat/>
    <w:rsid w:val="00FD3C99"/>
    <w:pPr>
      <w:spacing w:before="480" w:after="0" w:line="276" w:lineRule="auto"/>
      <w:outlineLvl w:val="9"/>
    </w:pPr>
    <w:rPr>
      <w:rFonts w:asciiTheme="majorHAnsi" w:hAnsiTheme="majorHAnsi"/>
      <w:bCs/>
      <w:kern w:val="0"/>
      <w:szCs w:val="28"/>
      <w:lang w:val="en-US"/>
      <w14:ligatures w14:val="none"/>
    </w:rPr>
  </w:style>
  <w:style w:type="paragraph" w:styleId="TOC1">
    <w:name w:val="toc 1"/>
    <w:basedOn w:val="Normal"/>
    <w:next w:val="Normal"/>
    <w:autoRedefine/>
    <w:uiPriority w:val="39"/>
    <w:unhideWhenUsed/>
    <w:rsid w:val="00FD3C99"/>
    <w:pPr>
      <w:spacing w:before="240" w:after="120"/>
    </w:pPr>
    <w:rPr>
      <w:rFonts w:asciiTheme="minorHAnsi" w:hAnsiTheme="minorHAnsi"/>
      <w:b/>
      <w:bCs/>
      <w:sz w:val="20"/>
    </w:rPr>
  </w:style>
  <w:style w:type="paragraph" w:styleId="TOC2">
    <w:name w:val="toc 2"/>
    <w:basedOn w:val="Normal"/>
    <w:next w:val="Normal"/>
    <w:autoRedefine/>
    <w:uiPriority w:val="39"/>
    <w:unhideWhenUsed/>
    <w:rsid w:val="00FD3C99"/>
    <w:pPr>
      <w:spacing w:before="120"/>
      <w:ind w:left="220"/>
    </w:pPr>
    <w:rPr>
      <w:rFonts w:asciiTheme="minorHAnsi" w:hAnsiTheme="minorHAnsi"/>
      <w:i/>
      <w:iCs/>
      <w:sz w:val="20"/>
    </w:rPr>
  </w:style>
  <w:style w:type="paragraph" w:styleId="TOC3">
    <w:name w:val="toc 3"/>
    <w:basedOn w:val="Normal"/>
    <w:next w:val="Normal"/>
    <w:autoRedefine/>
    <w:uiPriority w:val="39"/>
    <w:unhideWhenUsed/>
    <w:rsid w:val="00FD3C99"/>
    <w:pPr>
      <w:ind w:left="440"/>
    </w:pPr>
    <w:rPr>
      <w:rFonts w:asciiTheme="minorHAnsi" w:hAnsiTheme="minorHAnsi"/>
      <w:sz w:val="20"/>
    </w:rPr>
  </w:style>
  <w:style w:type="character" w:styleId="Hyperlink">
    <w:name w:val="Hyperlink"/>
    <w:basedOn w:val="DefaultParagraphFont"/>
    <w:uiPriority w:val="99"/>
    <w:unhideWhenUsed/>
    <w:rsid w:val="00FD3C99"/>
    <w:rPr>
      <w:color w:val="467886" w:themeColor="hyperlink"/>
      <w:u w:val="single"/>
    </w:rPr>
  </w:style>
  <w:style w:type="paragraph" w:styleId="TOC4">
    <w:name w:val="toc 4"/>
    <w:basedOn w:val="Normal"/>
    <w:next w:val="Normal"/>
    <w:autoRedefine/>
    <w:uiPriority w:val="39"/>
    <w:semiHidden/>
    <w:unhideWhenUsed/>
    <w:rsid w:val="00FD3C99"/>
    <w:pPr>
      <w:ind w:left="660"/>
    </w:pPr>
    <w:rPr>
      <w:rFonts w:asciiTheme="minorHAnsi" w:hAnsiTheme="minorHAnsi"/>
      <w:sz w:val="20"/>
    </w:rPr>
  </w:style>
  <w:style w:type="paragraph" w:styleId="TOC5">
    <w:name w:val="toc 5"/>
    <w:basedOn w:val="Normal"/>
    <w:next w:val="Normal"/>
    <w:autoRedefine/>
    <w:uiPriority w:val="39"/>
    <w:semiHidden/>
    <w:unhideWhenUsed/>
    <w:rsid w:val="00FD3C99"/>
    <w:pPr>
      <w:ind w:left="880"/>
    </w:pPr>
    <w:rPr>
      <w:rFonts w:asciiTheme="minorHAnsi" w:hAnsiTheme="minorHAnsi"/>
      <w:sz w:val="20"/>
    </w:rPr>
  </w:style>
  <w:style w:type="paragraph" w:styleId="TOC6">
    <w:name w:val="toc 6"/>
    <w:basedOn w:val="Normal"/>
    <w:next w:val="Normal"/>
    <w:autoRedefine/>
    <w:uiPriority w:val="39"/>
    <w:semiHidden/>
    <w:unhideWhenUsed/>
    <w:rsid w:val="00FD3C99"/>
    <w:pPr>
      <w:ind w:left="1100"/>
    </w:pPr>
    <w:rPr>
      <w:rFonts w:asciiTheme="minorHAnsi" w:hAnsiTheme="minorHAnsi"/>
      <w:sz w:val="20"/>
    </w:rPr>
  </w:style>
  <w:style w:type="paragraph" w:styleId="TOC7">
    <w:name w:val="toc 7"/>
    <w:basedOn w:val="Normal"/>
    <w:next w:val="Normal"/>
    <w:autoRedefine/>
    <w:uiPriority w:val="39"/>
    <w:semiHidden/>
    <w:unhideWhenUsed/>
    <w:rsid w:val="00FD3C99"/>
    <w:pPr>
      <w:ind w:left="1320"/>
    </w:pPr>
    <w:rPr>
      <w:rFonts w:asciiTheme="minorHAnsi" w:hAnsiTheme="minorHAnsi"/>
      <w:sz w:val="20"/>
    </w:rPr>
  </w:style>
  <w:style w:type="paragraph" w:styleId="TOC8">
    <w:name w:val="toc 8"/>
    <w:basedOn w:val="Normal"/>
    <w:next w:val="Normal"/>
    <w:autoRedefine/>
    <w:uiPriority w:val="39"/>
    <w:semiHidden/>
    <w:unhideWhenUsed/>
    <w:rsid w:val="00FD3C99"/>
    <w:pPr>
      <w:ind w:left="1540"/>
    </w:pPr>
    <w:rPr>
      <w:rFonts w:asciiTheme="minorHAnsi" w:hAnsiTheme="minorHAnsi"/>
      <w:sz w:val="20"/>
    </w:rPr>
  </w:style>
  <w:style w:type="paragraph" w:styleId="TOC9">
    <w:name w:val="toc 9"/>
    <w:basedOn w:val="Normal"/>
    <w:next w:val="Normal"/>
    <w:autoRedefine/>
    <w:uiPriority w:val="39"/>
    <w:semiHidden/>
    <w:unhideWhenUsed/>
    <w:rsid w:val="00FD3C99"/>
    <w:pPr>
      <w:ind w:left="1760"/>
    </w:pPr>
    <w:rPr>
      <w:rFonts w:asciiTheme="minorHAnsi" w:hAnsiTheme="minorHAnsi"/>
      <w:sz w:val="20"/>
    </w:rPr>
  </w:style>
  <w:style w:type="paragraph" w:styleId="TableofFigures">
    <w:name w:val="table of figures"/>
    <w:basedOn w:val="Normal"/>
    <w:next w:val="Normal"/>
    <w:uiPriority w:val="99"/>
    <w:unhideWhenUsed/>
    <w:rsid w:val="00BD5B75"/>
  </w:style>
  <w:style w:type="paragraph" w:styleId="BodyText">
    <w:name w:val="Body Text"/>
    <w:basedOn w:val="Normal"/>
    <w:link w:val="BodyTextChar"/>
    <w:uiPriority w:val="1"/>
    <w:unhideWhenUsed/>
    <w:qFormat/>
    <w:rsid w:val="00091D89"/>
    <w:pPr>
      <w:widowControl w:val="0"/>
      <w:autoSpaceDE w:val="0"/>
      <w:autoSpaceDN w:val="0"/>
      <w:spacing w:line="240" w:lineRule="auto"/>
    </w:pPr>
    <w:rPr>
      <w:rFonts w:ascii="Arial" w:eastAsia="Calibri Light" w:hAnsi="Arial" w:cs="Calibri Light"/>
      <w:szCs w:val="22"/>
      <w:lang w:val="en-GB" w:bidi="en-GB"/>
    </w:rPr>
  </w:style>
  <w:style w:type="character" w:customStyle="1" w:styleId="BodyTextChar">
    <w:name w:val="Body Text Char"/>
    <w:basedOn w:val="DefaultParagraphFont"/>
    <w:link w:val="BodyText"/>
    <w:uiPriority w:val="1"/>
    <w:rsid w:val="00091D89"/>
    <w:rPr>
      <w:rFonts w:ascii="Arial" w:eastAsia="Calibri Light" w:hAnsi="Arial" w:cs="Calibri Light"/>
      <w:kern w:val="0"/>
      <w:sz w:val="22"/>
      <w:szCs w:val="22"/>
      <w:lang w:val="en-GB" w:eastAsia="en-GB" w:bidi="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A627AF-0939-AA48-A497-8BA50CC6A7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159</TotalTime>
  <Pages>57</Pages>
  <Words>16739</Words>
  <Characters>95414</Characters>
  <Application>Microsoft Office Word</Application>
  <DocSecurity>0</DocSecurity>
  <Lines>795</Lines>
  <Paragraphs>223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WORD FILE</dc:creator>
  <cp:keywords/>
  <dc:description/>
  <cp:lastModifiedBy>Naqi Mir</cp:lastModifiedBy>
  <cp:revision>389</cp:revision>
  <dcterms:created xsi:type="dcterms:W3CDTF">2025-12-01T12:05:00Z</dcterms:created>
  <dcterms:modified xsi:type="dcterms:W3CDTF">2026-03-28T14:53:00Z</dcterms:modified>
</cp:coreProperties>
</file>