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C29CC" w14:textId="77777777" w:rsidR="00862C06" w:rsidRDefault="00862C06"/>
    <w:p w14:paraId="456C4077" w14:textId="77777777" w:rsidR="00862C06" w:rsidRDefault="00862C06">
      <w:r>
        <w:t>Student Name: Justyna Szweda</w:t>
      </w:r>
    </w:p>
    <w:p w14:paraId="64F1F6C9" w14:textId="77777777" w:rsidR="00862C06" w:rsidRDefault="00862C06">
      <w:r>
        <w:t>Student Number: 2435764</w:t>
      </w:r>
    </w:p>
    <w:p w14:paraId="319569E4" w14:textId="77777777" w:rsidR="00862C06" w:rsidRDefault="00862C06">
      <w:r>
        <w:t>Module: LCHS4008 Introduction to Public Health</w:t>
      </w:r>
    </w:p>
    <w:p w14:paraId="4C0C26BF" w14:textId="77777777" w:rsidR="00862C06" w:rsidRDefault="00862C06">
      <w:r>
        <w:t>Lecturer: Hajra Mustasim</w:t>
      </w:r>
    </w:p>
    <w:p w14:paraId="09373BD7" w14:textId="77777777" w:rsidR="00862C06" w:rsidRDefault="00862C06">
      <w:r>
        <w:t>Submission Date: 18 November 2025</w:t>
      </w:r>
    </w:p>
    <w:p w14:paraId="1EEDBDDC" w14:textId="77777777" w:rsidR="003A30D6" w:rsidRDefault="003A30D6"/>
    <w:p w14:paraId="1577FA00" w14:textId="77777777" w:rsidR="003A30D6" w:rsidRDefault="003A30D6"/>
    <w:p w14:paraId="48D68B2E" w14:textId="77777777" w:rsidR="003A30D6" w:rsidRDefault="003A30D6"/>
    <w:p w14:paraId="271038DE" w14:textId="77777777" w:rsidR="003A30D6" w:rsidRDefault="003A30D6"/>
    <w:p w14:paraId="3AF369EF" w14:textId="77777777" w:rsidR="003A30D6" w:rsidRDefault="003A30D6"/>
    <w:p w14:paraId="0AD1F180" w14:textId="77777777" w:rsidR="003A30D6" w:rsidRDefault="003A30D6"/>
    <w:p w14:paraId="7F5A6E32" w14:textId="77777777" w:rsidR="003A30D6" w:rsidRDefault="003A30D6"/>
    <w:p w14:paraId="4C52301B" w14:textId="77777777" w:rsidR="003A30D6" w:rsidRDefault="003A30D6"/>
    <w:p w14:paraId="5DABA28D" w14:textId="77777777" w:rsidR="003A30D6" w:rsidRDefault="003A30D6"/>
    <w:p w14:paraId="24026198" w14:textId="77777777" w:rsidR="003A30D6" w:rsidRDefault="003A30D6"/>
    <w:p w14:paraId="273C58CE" w14:textId="77777777" w:rsidR="003A30D6" w:rsidRDefault="003A30D6"/>
    <w:p w14:paraId="77283741" w14:textId="77777777" w:rsidR="003A30D6" w:rsidRDefault="003A30D6"/>
    <w:p w14:paraId="19AB2743" w14:textId="77777777" w:rsidR="003A30D6" w:rsidRDefault="003A30D6"/>
    <w:p w14:paraId="6E28116A" w14:textId="77777777" w:rsidR="003A30D6" w:rsidRDefault="003A30D6"/>
    <w:p w14:paraId="7E2EF68E" w14:textId="77777777" w:rsidR="003A30D6" w:rsidRDefault="003A30D6"/>
    <w:p w14:paraId="544A37DA" w14:textId="77777777" w:rsidR="003A30D6" w:rsidRDefault="003A30D6"/>
    <w:p w14:paraId="403833CB" w14:textId="77777777" w:rsidR="003A30D6" w:rsidRDefault="003A30D6"/>
    <w:p w14:paraId="5B7ED812" w14:textId="77777777" w:rsidR="003A30D6" w:rsidRDefault="003A30D6"/>
    <w:p w14:paraId="26FF6167" w14:textId="77777777" w:rsidR="00862C06" w:rsidRDefault="00862C06"/>
    <w:p w14:paraId="2E486C09" w14:textId="77777777" w:rsidR="00862C06" w:rsidRDefault="00862C06"/>
    <w:p w14:paraId="251EEAE1" w14:textId="77777777" w:rsidR="005A67BB" w:rsidRDefault="005A67BB"/>
    <w:p w14:paraId="2B6550EA" w14:textId="77777777" w:rsidR="00862C06" w:rsidRDefault="00862C06"/>
    <w:p w14:paraId="68DDEAF6" w14:textId="77777777" w:rsidR="00862C06" w:rsidRDefault="00862C06">
      <w:r>
        <w:lastRenderedPageBreak/>
        <w:t>Table of Contents</w:t>
      </w:r>
    </w:p>
    <w:p w14:paraId="248BC3EC" w14:textId="77777777" w:rsidR="00862C06" w:rsidRDefault="00862C06"/>
    <w:p w14:paraId="20E8056F" w14:textId="77777777" w:rsidR="00862C06" w:rsidRDefault="00862C06">
      <w:r>
        <w:t>1.0 Introduction</w:t>
      </w:r>
    </w:p>
    <w:p w14:paraId="00253EDB" w14:textId="77777777" w:rsidR="00862C06" w:rsidRDefault="00862C06">
      <w:r>
        <w:t>2.0 Main Body</w:t>
      </w:r>
    </w:p>
    <w:p w14:paraId="2FE90EA2" w14:textId="77777777" w:rsidR="00862C06" w:rsidRDefault="00862C06">
      <w:r>
        <w:t> 2.1 Consequences for the Community and NHS</w:t>
      </w:r>
    </w:p>
    <w:p w14:paraId="1AE323BD" w14:textId="77777777" w:rsidR="00862C06" w:rsidRDefault="00862C06">
      <w:r>
        <w:t> 2.2 Control and Prevention of the Disease</w:t>
      </w:r>
    </w:p>
    <w:p w14:paraId="16DEC515" w14:textId="77777777" w:rsidR="00862C06" w:rsidRDefault="00862C06">
      <w:r>
        <w:t> 2.3 Factors Influencing Health and Wellbeing</w:t>
      </w:r>
    </w:p>
    <w:p w14:paraId="7B3B6BAD" w14:textId="77777777" w:rsidR="00862C06" w:rsidRDefault="00862C06">
      <w:r>
        <w:t>3.0 Conclusion</w:t>
      </w:r>
    </w:p>
    <w:p w14:paraId="319EBCC4" w14:textId="77777777" w:rsidR="00862C06" w:rsidRDefault="00862C06">
      <w:r>
        <w:t>4.0 References</w:t>
      </w:r>
    </w:p>
    <w:p w14:paraId="4E96A1C7" w14:textId="77777777" w:rsidR="003A30D6" w:rsidRDefault="003A30D6"/>
    <w:p w14:paraId="5AA5A7B5" w14:textId="77777777" w:rsidR="003A30D6" w:rsidRDefault="003A30D6"/>
    <w:p w14:paraId="7AE2D6E7" w14:textId="77777777" w:rsidR="003A30D6" w:rsidRDefault="003A30D6"/>
    <w:p w14:paraId="2957751E" w14:textId="77777777" w:rsidR="003A30D6" w:rsidRDefault="003A30D6"/>
    <w:p w14:paraId="5108AD94" w14:textId="77777777" w:rsidR="003A30D6" w:rsidRDefault="003A30D6"/>
    <w:p w14:paraId="134037B8" w14:textId="77777777" w:rsidR="003A30D6" w:rsidRDefault="003A30D6"/>
    <w:p w14:paraId="2F452065" w14:textId="77777777" w:rsidR="003A30D6" w:rsidRDefault="003A30D6"/>
    <w:p w14:paraId="31BC7ADA" w14:textId="77777777" w:rsidR="00862C06" w:rsidRDefault="00862C06"/>
    <w:p w14:paraId="63C0E196" w14:textId="77777777" w:rsidR="003A30D6" w:rsidRDefault="003A30D6"/>
    <w:p w14:paraId="52445E61" w14:textId="77777777" w:rsidR="003A30D6" w:rsidRDefault="003A30D6"/>
    <w:p w14:paraId="38D10A0A" w14:textId="77777777" w:rsidR="003A30D6" w:rsidRDefault="003A30D6"/>
    <w:p w14:paraId="77A95BA4" w14:textId="77777777" w:rsidR="003A30D6" w:rsidRDefault="003A30D6"/>
    <w:p w14:paraId="6DDE97FC" w14:textId="77777777" w:rsidR="003A30D6" w:rsidRDefault="003A30D6"/>
    <w:p w14:paraId="46FA2703" w14:textId="77777777" w:rsidR="003A30D6" w:rsidRDefault="003A30D6"/>
    <w:p w14:paraId="6B9D4A54" w14:textId="77777777" w:rsidR="003A30D6" w:rsidRDefault="003A30D6"/>
    <w:p w14:paraId="10218753" w14:textId="77777777" w:rsidR="003A30D6" w:rsidRDefault="003A30D6"/>
    <w:p w14:paraId="5598A414" w14:textId="77777777" w:rsidR="003A30D6" w:rsidRDefault="003A30D6"/>
    <w:p w14:paraId="0C123531" w14:textId="77777777" w:rsidR="003A30D6" w:rsidRDefault="003A30D6"/>
    <w:p w14:paraId="26C1DA42" w14:textId="77777777" w:rsidR="00862C06" w:rsidRDefault="00862C06"/>
    <w:p w14:paraId="0648ED33" w14:textId="77777777" w:rsidR="00F05BA0" w:rsidRDefault="00F05BA0"/>
    <w:p w14:paraId="632B8715" w14:textId="77777777" w:rsidR="00E7703A" w:rsidRPr="00E7703A" w:rsidRDefault="00E7703A" w:rsidP="00E7703A">
      <w:pPr>
        <w:rPr>
          <w:b/>
          <w:bCs/>
        </w:rPr>
      </w:pPr>
      <w:r w:rsidRPr="00E7703A">
        <w:rPr>
          <w:b/>
          <w:bCs/>
        </w:rPr>
        <w:t>Whooping Cough (Pertussis): Impact, Control and Public Health Implications in the UK</w:t>
      </w:r>
    </w:p>
    <w:p w14:paraId="745E5D3B" w14:textId="77777777" w:rsidR="00E7703A" w:rsidRDefault="00E7703A"/>
    <w:p w14:paraId="0252D13E" w14:textId="71D228AD" w:rsidR="00862C06" w:rsidRDefault="00862C06" w:rsidP="00862C06">
      <w:pPr>
        <w:pStyle w:val="ListParagraph"/>
        <w:numPr>
          <w:ilvl w:val="0"/>
          <w:numId w:val="1"/>
        </w:numPr>
      </w:pPr>
      <w:r>
        <w:t>Introduction</w:t>
      </w:r>
    </w:p>
    <w:p w14:paraId="5FBDCF6A" w14:textId="77777777" w:rsidR="008B630B" w:rsidRDefault="008B630B" w:rsidP="008B630B"/>
    <w:p w14:paraId="3E31EF7F" w14:textId="77777777" w:rsidR="00862C06" w:rsidRDefault="00862C06">
      <w:r>
        <w:t>Whooping cough, medically known as pertussis, is a highly contagious bacterial infection of the respiratory system caused by Bordetella pertussis. The condition is characterised by severe coughing fits that produce a distinctive “whooping” sound, vomiting after coughing, and breathing difficulties, particularly in infants. According to the World Health Organization (2023), pertussis remains a significant cause of morbidity worldwide, with an estimated 24 million cases annually and approximately 160,000 deaths, mostly among unvaccinated children. In the United Kingdom, despite high immunisation coverage, cyclical outbreaks occur every three to five years (UK Health Security Agency, 2024). Infants under one year and pregnant women are particularly at risk. This report examines the public health impact of whooping cough in the UK, its consequences for individuals and the healthcare system, the national prevention and control strategies, and key social and environmental factors influencing health and wellbeing.</w:t>
      </w:r>
    </w:p>
    <w:p w14:paraId="1CBDA8EB" w14:textId="77777777" w:rsidR="00862C06" w:rsidRDefault="00862C06"/>
    <w:p w14:paraId="3305F851" w14:textId="77777777" w:rsidR="00862C06" w:rsidRDefault="00862C06"/>
    <w:p w14:paraId="07141711" w14:textId="7C7F5640" w:rsidR="00862C06" w:rsidRDefault="00862C06" w:rsidP="008B630B">
      <w:pPr>
        <w:pStyle w:val="ListParagraph"/>
        <w:numPr>
          <w:ilvl w:val="0"/>
          <w:numId w:val="2"/>
        </w:numPr>
      </w:pPr>
      <w:r>
        <w:t>Main Body</w:t>
      </w:r>
    </w:p>
    <w:p w14:paraId="28C5A046" w14:textId="77777777" w:rsidR="00862C06" w:rsidRDefault="00862C06"/>
    <w:p w14:paraId="40A260A4" w14:textId="271566D0" w:rsidR="00862C06" w:rsidRDefault="008B630B" w:rsidP="008B630B">
      <w:pPr>
        <w:ind w:left="708"/>
      </w:pPr>
      <w:r>
        <w:t xml:space="preserve">2.1 </w:t>
      </w:r>
      <w:r w:rsidR="00862C06">
        <w:t>Consequences for the Community and NHS</w:t>
      </w:r>
    </w:p>
    <w:p w14:paraId="30624ACC" w14:textId="77777777" w:rsidR="00862C06" w:rsidRDefault="00862C06" w:rsidP="008B630B">
      <w:pPr>
        <w:pStyle w:val="ListParagraph"/>
        <w:ind w:left="1082"/>
      </w:pPr>
    </w:p>
    <w:p w14:paraId="45DC3812" w14:textId="77777777" w:rsidR="00862C06" w:rsidRDefault="00862C06">
      <w:r>
        <w:t>Although largely preventable, whooping cough continues to pose challenges for public health in the UK. The infection can lead to serious complications such as pneumonia, seizures, encephalopathy, and in rare cases, death, especially among unvaccinated infants (NHS, 2024). The community burden extends beyond direct health effects, as outbreaks cause anxiety among parents and disrupt education and childcare.</w:t>
      </w:r>
    </w:p>
    <w:p w14:paraId="2C5FDAB7" w14:textId="77777777" w:rsidR="00862C06" w:rsidRDefault="00862C06"/>
    <w:p w14:paraId="74565F97" w14:textId="77777777" w:rsidR="00862C06" w:rsidRDefault="00862C06">
      <w:r>
        <w:t xml:space="preserve">The UK Health Security Agency (2024) reports that around 70% of hospital admissions for pertussis occur in babies under three months old, highlighting the vulnerability of those too young to be fully immunised. The disease also places strain on healthcare </w:t>
      </w:r>
      <w:r>
        <w:lastRenderedPageBreak/>
        <w:t>resources through emergency admissions, prolonged hospital stays, and follow-up care. NHS Digital data from 2023 show periodic increases in paediatric admissions during outbreak years, leading to additional workload for paediatric and public health teams.</w:t>
      </w:r>
    </w:p>
    <w:p w14:paraId="309E1E24" w14:textId="77777777" w:rsidR="00862C06" w:rsidRDefault="00862C06"/>
    <w:p w14:paraId="3CF70F57" w14:textId="77777777" w:rsidR="00862C06" w:rsidRDefault="00862C06">
      <w:r>
        <w:t>From a public health perspective, pertussis outbreaks highlight the importance of maintaining high vaccination coverage and robust surveillance systems. Each outbreak prompts local health protection teams to trace contacts, review vaccination records, and provide prophylactic antibiotics to household members. These interventions require substantial coordination and funding. As Marmot (2020) points out, infectious disease control must be considered within the wider framework of health inequalities: families from deprived areas may have less access to healthcare and are more likely to experience incomplete immunisation.</w:t>
      </w:r>
    </w:p>
    <w:p w14:paraId="6D144249" w14:textId="77777777" w:rsidR="00862C06" w:rsidRDefault="00862C06"/>
    <w:p w14:paraId="3D3FE7E0" w14:textId="77777777" w:rsidR="00862C06" w:rsidRDefault="00862C06">
      <w:r>
        <w:t>Furthermore, misinformation about vaccines continues to contribute to localised declines in uptake. Public Health England (2020) observed that social media misinformation during the pandemic correlated with reduced maternal vaccination rates. Consequently, communication strategies are critical for maintaining public confidence in vaccination programmes.</w:t>
      </w:r>
    </w:p>
    <w:p w14:paraId="57AF51DE" w14:textId="77777777" w:rsidR="00862C06" w:rsidRDefault="00862C06"/>
    <w:p w14:paraId="7BE49526" w14:textId="77777777" w:rsidR="00862C06" w:rsidRDefault="00862C06"/>
    <w:p w14:paraId="6BFFB6FD" w14:textId="1CC77AD0" w:rsidR="00862C06" w:rsidRDefault="00862C06" w:rsidP="008B630B">
      <w:pPr>
        <w:pStyle w:val="ListParagraph"/>
        <w:numPr>
          <w:ilvl w:val="1"/>
          <w:numId w:val="3"/>
        </w:numPr>
      </w:pPr>
      <w:r>
        <w:t>Control and Prevention of the Disease</w:t>
      </w:r>
    </w:p>
    <w:p w14:paraId="1FAC5E06" w14:textId="77777777" w:rsidR="008B630B" w:rsidRDefault="008B630B" w:rsidP="008B630B">
      <w:pPr>
        <w:pStyle w:val="ListParagraph"/>
        <w:ind w:left="1068"/>
      </w:pPr>
    </w:p>
    <w:p w14:paraId="4C1BE712" w14:textId="77777777" w:rsidR="00862C06" w:rsidRDefault="00862C06">
      <w:r>
        <w:t>Whooping cough control relies heavily on vaccination. The UK’s National Immunisation Programme includes the DTaP/IPV/Hib/HepB combined vaccine offered to infants at 8, 12 and 16 weeks, followed by a preschool booster (UKHSA, 2024). In addition, since 2012, the NHS has offered pertussis vaccination to pregnant women between 20 and 32 weeks of gestation, which provides passive immunity to newborns. According to NHS England (2023), this maternal immunisation programme has prevented hundreds of infant deaths.</w:t>
      </w:r>
    </w:p>
    <w:p w14:paraId="657C6B3D" w14:textId="77777777" w:rsidR="00862C06" w:rsidRDefault="00862C06"/>
    <w:p w14:paraId="712AEADC" w14:textId="77777777" w:rsidR="00862C06" w:rsidRDefault="00862C06">
      <w:r>
        <w:t>The Immunisation Green Book (UKHSA, 2024) outlines the importance of maintaining herd immunity through sustained vaccine uptake above 90%. Continuous monitoring through the COVER (Cover of Vaccination Evaluated Rapidly) programme ensures national oversight. Surveillance data are reported to Public Health England (now UKHSA), allowing rapid responses to local outbreaks.</w:t>
      </w:r>
    </w:p>
    <w:p w14:paraId="1680E2C0" w14:textId="77777777" w:rsidR="00862C06" w:rsidRDefault="00862C06"/>
    <w:p w14:paraId="698797B8" w14:textId="77777777" w:rsidR="00862C06" w:rsidRDefault="00862C06">
      <w:r>
        <w:lastRenderedPageBreak/>
        <w:t>Other preventive measures include prompt diagnosis, antibiotic treatment, and post-exposure prophylaxis for close contacts. Schools and nurseries play an important role by enforcing exclusion periods for infected children and ensuring parents are informed about vaccination schedules. Health visitors and midwives also play a key role in health education, explaining to families the benefits of vaccination and how maternal immunisation protects infants in the first few weeks of life.</w:t>
      </w:r>
    </w:p>
    <w:p w14:paraId="11D461FC" w14:textId="77777777" w:rsidR="00862C06" w:rsidRDefault="00862C06"/>
    <w:p w14:paraId="1BBFC8DB" w14:textId="77777777" w:rsidR="00862C06" w:rsidRDefault="00862C06">
      <w:r>
        <w:t>Public health campaigns have reinforced these messages. The “Protect Your Baby from Whooping Cough” campaign targeted pregnant women through GP practices and maternity units. NICE (2018) also recommends tailored communication approaches for communities with lower immunisation rates.</w:t>
      </w:r>
    </w:p>
    <w:p w14:paraId="278937E7" w14:textId="77777777" w:rsidR="00862C06" w:rsidRDefault="00862C06"/>
    <w:p w14:paraId="56325130" w14:textId="77777777" w:rsidR="00862C06" w:rsidRDefault="00862C06">
      <w:r>
        <w:t>However, barriers to effective control persist. Vaccine hesitancy, access difficulties for migrant families, and unequal healthcare engagement contribute to disparities. Marmot et al. (2010) identified social determinants such as education, housing, and income as key influences on health behaviour. People in lower socioeconomic groups may face challenges attending GP appointments or understanding official health messages. To address this, the NHS has promoted community-based outreach, use of interpreters, and reminder systems for missed appointments (NHS England, 2024).</w:t>
      </w:r>
    </w:p>
    <w:p w14:paraId="63618816" w14:textId="77777777" w:rsidR="00862C06" w:rsidRDefault="00862C06"/>
    <w:p w14:paraId="2FAE922E" w14:textId="77777777" w:rsidR="00862C06" w:rsidRDefault="00862C06">
      <w:r>
        <w:t>Additionally, ongoing research focuses on the waning immunity of existing vaccines. Studies published in The Lancet Infectious Diseases (2022) show that immunity can decrease five to ten years after the last dose, prompting discussion of booster campaigns for adolescents and adults. The UKHSA continues to review vaccine policy in light of these findings.</w:t>
      </w:r>
    </w:p>
    <w:p w14:paraId="572AAE8C" w14:textId="77777777" w:rsidR="00862C06" w:rsidRDefault="00862C06"/>
    <w:p w14:paraId="1B7727C6" w14:textId="77777777" w:rsidR="00862C06" w:rsidRDefault="00862C06"/>
    <w:p w14:paraId="453D9485" w14:textId="77777777" w:rsidR="00862C06" w:rsidRDefault="00862C06">
      <w:r>
        <w:t>2.3 Factors Influencing Health and Wellbeing</w:t>
      </w:r>
    </w:p>
    <w:p w14:paraId="667797FE" w14:textId="77777777" w:rsidR="00862C06" w:rsidRDefault="00862C06"/>
    <w:p w14:paraId="150ED7C6" w14:textId="77777777" w:rsidR="00862C06" w:rsidRDefault="00862C06">
      <w:r>
        <w:t>Health and wellbeing are shaped by biological, social, and environmental determinants (Orme, Powell and Taylor, 2017). Biologically, infants are most at risk because they cannot be fully immunised until several months old, leaving a critical period of vulnerability. Pregnant women and individuals with compromised immune systems also face higher risks of complications.</w:t>
      </w:r>
    </w:p>
    <w:p w14:paraId="75787B00" w14:textId="77777777" w:rsidR="00862C06" w:rsidRDefault="00862C06"/>
    <w:p w14:paraId="2A13B86C" w14:textId="77777777" w:rsidR="00862C06" w:rsidRDefault="00862C06">
      <w:r>
        <w:lastRenderedPageBreak/>
        <w:t>Behavioural factors play a major role. Parents’ understanding of vaccination schedules and their attitudes toward healthcare services influence uptake. Studies indicate that families who receive clear, empathetic communication from healthcare professionals are more likely to adhere to vaccination advice (Ewles and Simnett, 2019). Conversely, misinformation and cultural beliefs may reduce trust in immunisation.</w:t>
      </w:r>
    </w:p>
    <w:p w14:paraId="5196BFA8" w14:textId="77777777" w:rsidR="00862C06" w:rsidRDefault="00862C06"/>
    <w:p w14:paraId="1F436141" w14:textId="77777777" w:rsidR="00862C06" w:rsidRDefault="00862C06">
      <w:r>
        <w:t>Social and economic factors are equally important. According to ONS (2023) data, vaccination uptake in the most deprived areas of England is approximately 8% lower than in affluent regions. These disparities reflect broader inequalities in access to healthcare, education, and employment. The Marmot Review (2010) emphasises that improving social conditions and empowering communities are essential to reducing health inequalities, including those affecting vaccine uptake.</w:t>
      </w:r>
    </w:p>
    <w:p w14:paraId="76F6D08E" w14:textId="77777777" w:rsidR="00862C06" w:rsidRDefault="00862C06"/>
    <w:p w14:paraId="75ABBE89" w14:textId="77777777" w:rsidR="00862C06" w:rsidRDefault="00862C06">
      <w:r>
        <w:t>Environmental conditions such as overcrowded housing and urban air quality can increase the spread of respiratory infections. Children attending nurseries or large households are more likely to contract pertussis if not fully immunised. Public health measures that address housing and community infrastructure therefore also contribute to disease prevention.</w:t>
      </w:r>
    </w:p>
    <w:p w14:paraId="58B97DA3" w14:textId="77777777" w:rsidR="00862C06" w:rsidRDefault="00862C06"/>
    <w:p w14:paraId="5F15B765" w14:textId="77777777" w:rsidR="00862C06" w:rsidRDefault="00862C06">
      <w:r>
        <w:t>Finally, the psychological and emotional burden of whooping cough on families should not be underestimated. Parents of affected infants often report distress and exhaustion, and long-term coughing in children can lead to school absences and social isolation. Providing accurate information, emotional support, and reassurance through healthcare professionals can mitigate these effects.</w:t>
      </w:r>
    </w:p>
    <w:p w14:paraId="5F298E15" w14:textId="77777777" w:rsidR="00862C06" w:rsidRDefault="00862C06"/>
    <w:p w14:paraId="583CA726" w14:textId="77777777" w:rsidR="00862C06" w:rsidRDefault="00862C06">
      <w:r>
        <w:t>Overall, a combination of biological vulnerability, behavioural choices, and social inequalities shapes the incidence and impact of whooping cough. Strengthening public trust, ensuring equitable access to vaccination, and addressing broader determinants of health are crucial for sustained disease control.</w:t>
      </w:r>
    </w:p>
    <w:p w14:paraId="29E54FBF" w14:textId="77777777" w:rsidR="00862C06" w:rsidRDefault="00862C06"/>
    <w:p w14:paraId="5D311E4A" w14:textId="77777777" w:rsidR="00862C06" w:rsidRDefault="00862C06"/>
    <w:p w14:paraId="4063D6CC" w14:textId="77777777" w:rsidR="00862C06" w:rsidRDefault="00862C06">
      <w:r>
        <w:t>3.0 Conclusion</w:t>
      </w:r>
    </w:p>
    <w:p w14:paraId="513428C0" w14:textId="77777777" w:rsidR="00862C06" w:rsidRDefault="00862C06"/>
    <w:p w14:paraId="590C2304" w14:textId="77777777" w:rsidR="00862C06" w:rsidRDefault="00862C06">
      <w:r>
        <w:t xml:space="preserve">Whooping cough remains a preventable yet recurring infectious disease with serious implications for infants and vulnerable populations in the UK. Despite a strong </w:t>
      </w:r>
      <w:r>
        <w:lastRenderedPageBreak/>
        <w:t>immunisation programme, periodic outbreaks highlight the need for continuous surveillance, public education, and equitable access to healthcare. The NHS and UKHSA play vital roles in monitoring coverage and responding to outbreaks, while healthcare professionals contribute through communication and advocacy for vaccination. Addressing misinformation and social inequalities identified in the Marmot Review is essential for achieving consistent vaccine uptake across all communities. Ultimately, effective prevention of whooping cough depends on integrating medical, educational, and social strategies to safeguard population health and reduce the burden on the NHS.</w:t>
      </w:r>
    </w:p>
    <w:p w14:paraId="71B1811A" w14:textId="77777777" w:rsidR="00E7703A" w:rsidRDefault="00E7703A"/>
    <w:p w14:paraId="7F080CE6" w14:textId="77777777" w:rsidR="00E7703A" w:rsidRDefault="00E7703A"/>
    <w:p w14:paraId="261D8F3B" w14:textId="77777777" w:rsidR="00E7703A" w:rsidRDefault="00E7703A"/>
    <w:p w14:paraId="1ACD65B1" w14:textId="77777777" w:rsidR="00E7703A" w:rsidRDefault="00E7703A"/>
    <w:p w14:paraId="557EDCE9" w14:textId="77777777" w:rsidR="00E7703A" w:rsidRDefault="00E7703A"/>
    <w:p w14:paraId="024A37AF" w14:textId="77777777" w:rsidR="00E7703A" w:rsidRDefault="00E7703A"/>
    <w:p w14:paraId="60777E6E" w14:textId="77777777" w:rsidR="00E7703A" w:rsidRDefault="00E7703A"/>
    <w:p w14:paraId="473819EC" w14:textId="77777777" w:rsidR="00E7703A" w:rsidRDefault="00E7703A"/>
    <w:p w14:paraId="1E350D64" w14:textId="77777777" w:rsidR="00E7703A" w:rsidRDefault="00E7703A"/>
    <w:p w14:paraId="2682AC5A" w14:textId="77777777" w:rsidR="00E7703A" w:rsidRDefault="00E7703A"/>
    <w:p w14:paraId="656AAAAF" w14:textId="77777777" w:rsidR="00E7703A" w:rsidRDefault="00E7703A"/>
    <w:p w14:paraId="7B6D94A9" w14:textId="77777777" w:rsidR="00E7703A" w:rsidRDefault="00E7703A"/>
    <w:p w14:paraId="6125778E" w14:textId="77777777" w:rsidR="00E7703A" w:rsidRDefault="00E7703A"/>
    <w:p w14:paraId="4240D5A7" w14:textId="77777777" w:rsidR="00E7703A" w:rsidRDefault="00E7703A"/>
    <w:p w14:paraId="6689D008" w14:textId="77777777" w:rsidR="00E7703A" w:rsidRDefault="00E7703A"/>
    <w:p w14:paraId="78B5BBB0" w14:textId="77777777" w:rsidR="00E7703A" w:rsidRDefault="00E7703A"/>
    <w:p w14:paraId="48F157B8" w14:textId="77777777" w:rsidR="00E7703A" w:rsidRDefault="00E7703A"/>
    <w:p w14:paraId="555A0D73" w14:textId="77777777" w:rsidR="00E7703A" w:rsidRDefault="00E7703A"/>
    <w:p w14:paraId="2271278D" w14:textId="77777777" w:rsidR="00E7703A" w:rsidRDefault="00E7703A"/>
    <w:p w14:paraId="2A94BBCE" w14:textId="77777777" w:rsidR="00E7703A" w:rsidRDefault="00E7703A"/>
    <w:p w14:paraId="41A8456B" w14:textId="77777777" w:rsidR="00862C06" w:rsidRDefault="00862C06"/>
    <w:p w14:paraId="6F7BE219" w14:textId="77777777" w:rsidR="00862C06" w:rsidRDefault="00862C06"/>
    <w:p w14:paraId="7E9DDD2D" w14:textId="19141F2A" w:rsidR="00862C06" w:rsidRDefault="00862C06">
      <w:r>
        <w:lastRenderedPageBreak/>
        <w:t xml:space="preserve">4.0 References </w:t>
      </w:r>
    </w:p>
    <w:p w14:paraId="093B108C" w14:textId="77777777" w:rsidR="00862C06" w:rsidRDefault="00862C06"/>
    <w:p w14:paraId="39F66E73" w14:textId="23177717" w:rsidR="00862C06" w:rsidRDefault="00862C06">
      <w:r>
        <w:t>Ewles, M. And Simnett, J. (2019) Introduction to Public Health. 6th edn. Harlow: Pearson Education.</w:t>
      </w:r>
    </w:p>
    <w:p w14:paraId="3DF81655" w14:textId="77777777" w:rsidR="00862C06" w:rsidRDefault="00862C06">
      <w:r>
        <w:t>Marmot, M. (2020) Health Equity in England: The Marmot Review 10 Years On. London: Institute of Health Equity.</w:t>
      </w:r>
    </w:p>
    <w:p w14:paraId="717D8B93" w14:textId="7F53D719" w:rsidR="00862C06" w:rsidRDefault="00862C06">
      <w:r>
        <w:t>Marmot, M. Et al. (2010) Fair Society, Healthy Lives. London: The Marmot Review.</w:t>
      </w:r>
    </w:p>
    <w:p w14:paraId="7860784A" w14:textId="77777777" w:rsidR="00862C06" w:rsidRDefault="00862C06">
      <w:r>
        <w:t>National Health Service (NHS) (2024) Whooping Cough (Pertussis). London: NHS.</w:t>
      </w:r>
    </w:p>
    <w:p w14:paraId="27F3B2AF" w14:textId="77777777" w:rsidR="00862C06" w:rsidRDefault="00862C06">
      <w:r>
        <w:t>National Health Service England (2023) Vaccination and Immunisation Programme Report. London: NHS England.</w:t>
      </w:r>
    </w:p>
    <w:p w14:paraId="4B1AAA88" w14:textId="77777777" w:rsidR="00862C06" w:rsidRDefault="00862C06">
      <w:r>
        <w:t>National Health Service England (2024) Community Outreach and Vaccination Uptake Strategy. London: NHS England.</w:t>
      </w:r>
    </w:p>
    <w:p w14:paraId="590CFDC5" w14:textId="77777777" w:rsidR="00862C06" w:rsidRDefault="00862C06">
      <w:r>
        <w:t>National Institute for Health and Care Excellence (NICE) (2018) Vaccine Uptake: Tailored Communication Approaches. London: NICE.</w:t>
      </w:r>
    </w:p>
    <w:p w14:paraId="62704AA7" w14:textId="77777777" w:rsidR="00862C06" w:rsidRDefault="00862C06">
      <w:r>
        <w:t>Office for National Statistics (ONS) (2023) Vaccination Coverage and Health Inequalities in England. Newport: ONS.</w:t>
      </w:r>
    </w:p>
    <w:p w14:paraId="08ECCB94" w14:textId="77777777" w:rsidR="00862C06" w:rsidRDefault="00862C06">
      <w:r>
        <w:t>Public Health England (2020) Pertussis Vaccination in Pregnancy: Guidance for Healthcare Professionals. London: PHE.</w:t>
      </w:r>
    </w:p>
    <w:p w14:paraId="7F4A973F" w14:textId="77777777" w:rsidR="00862C06" w:rsidRDefault="00862C06">
      <w:r>
        <w:t>UK Health Security Agency (UKHSA) (2024) Immunisation Against Infectious Disease: The Green Book. London: UKHSA.</w:t>
      </w:r>
    </w:p>
    <w:p w14:paraId="6B994BB6" w14:textId="77777777" w:rsidR="00862C06" w:rsidRDefault="00862C06">
      <w:r>
        <w:t>World Health Organization (WHO) (2023) Global Health Estimates: Pertussis Mortality and Morbidity. Geneva: WHO.</w:t>
      </w:r>
    </w:p>
    <w:p w14:paraId="72FA80AC" w14:textId="77777777" w:rsidR="00862C06" w:rsidRDefault="00862C06">
      <w:r>
        <w:t>The Lancet Infectious Diseases (2022) ‘Duration of Pertussis Vaccine-Induced Immunity,’ 22(3), pp. 241–252.</w:t>
      </w:r>
    </w:p>
    <w:p w14:paraId="5A917417" w14:textId="77777777" w:rsidR="00862C06" w:rsidRDefault="00862C06"/>
    <w:sectPr w:rsidR="00862C0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D02CF" w14:textId="77777777" w:rsidR="003809C3" w:rsidRDefault="003809C3" w:rsidP="003A30D6">
      <w:pPr>
        <w:spacing w:after="0" w:line="240" w:lineRule="auto"/>
      </w:pPr>
      <w:r>
        <w:separator/>
      </w:r>
    </w:p>
  </w:endnote>
  <w:endnote w:type="continuationSeparator" w:id="0">
    <w:p w14:paraId="3C5EEC83" w14:textId="77777777" w:rsidR="003809C3" w:rsidRDefault="003809C3" w:rsidP="003A3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0B896" w14:textId="77777777" w:rsidR="003809C3" w:rsidRDefault="003809C3" w:rsidP="003A30D6">
      <w:pPr>
        <w:spacing w:after="0" w:line="240" w:lineRule="auto"/>
      </w:pPr>
      <w:r>
        <w:separator/>
      </w:r>
    </w:p>
  </w:footnote>
  <w:footnote w:type="continuationSeparator" w:id="0">
    <w:p w14:paraId="296A3263" w14:textId="77777777" w:rsidR="003809C3" w:rsidRDefault="003809C3" w:rsidP="003A3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E1893"/>
    <w:multiLevelType w:val="multilevel"/>
    <w:tmpl w:val="FFFFFFFF"/>
    <w:lvl w:ilvl="0">
      <w:start w:val="2"/>
      <w:numFmt w:val="decimal"/>
      <w:lvlText w:val="%1"/>
      <w:lvlJc w:val="left"/>
      <w:pPr>
        <w:ind w:left="360" w:hanging="360"/>
      </w:pPr>
      <w:rPr>
        <w:rFonts w:hint="default"/>
      </w:rPr>
    </w:lvl>
    <w:lvl w:ilvl="1">
      <w:start w:val="2"/>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1" w15:restartNumberingAfterBreak="0">
    <w:nsid w:val="6E17299D"/>
    <w:multiLevelType w:val="multilevel"/>
    <w:tmpl w:val="FFFFFFFF"/>
    <w:lvl w:ilvl="0">
      <w:start w:val="1"/>
      <w:numFmt w:val="decimal"/>
      <w:lvlText w:val="%1.0"/>
      <w:lvlJc w:val="left"/>
      <w:pPr>
        <w:ind w:left="374" w:hanging="374"/>
      </w:pPr>
      <w:rPr>
        <w:rFonts w:hint="default"/>
      </w:rPr>
    </w:lvl>
    <w:lvl w:ilvl="1">
      <w:start w:val="1"/>
      <w:numFmt w:val="decimal"/>
      <w:lvlText w:val="%1.%2"/>
      <w:lvlJc w:val="left"/>
      <w:pPr>
        <w:ind w:left="1082" w:hanging="374"/>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2" w15:restartNumberingAfterBreak="0">
    <w:nsid w:val="79451467"/>
    <w:multiLevelType w:val="multilevel"/>
    <w:tmpl w:val="FFFFFFFF"/>
    <w:lvl w:ilvl="0">
      <w:start w:val="2"/>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num w:numId="1" w16cid:durableId="610089494">
    <w:abstractNumId w:val="1"/>
  </w:num>
  <w:num w:numId="2" w16cid:durableId="1804081284">
    <w:abstractNumId w:val="2"/>
  </w:num>
  <w:num w:numId="3" w16cid:durableId="1741515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C06"/>
    <w:rsid w:val="00352F8B"/>
    <w:rsid w:val="003809C3"/>
    <w:rsid w:val="003A30D6"/>
    <w:rsid w:val="005A67BB"/>
    <w:rsid w:val="00862C06"/>
    <w:rsid w:val="008B630B"/>
    <w:rsid w:val="00B23D0A"/>
    <w:rsid w:val="00E7703A"/>
    <w:rsid w:val="00F05BA0"/>
  </w:rsids>
  <m:mathPr>
    <m:mathFont m:val="Cambria Math"/>
    <m:brkBin m:val="before"/>
    <m:brkBinSub m:val="--"/>
    <m:smallFrac m:val="0"/>
    <m:dispDef/>
    <m:lMargin m:val="0"/>
    <m:rMargin m:val="0"/>
    <m:defJc m:val="centerGroup"/>
    <m:wrapIndent m:val="1440"/>
    <m:intLim m:val="subSup"/>
    <m:naryLim m:val="undOvr"/>
  </m:mathPr>
  <w:themeFontLang w:val="pl-PL"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436B9A"/>
  <w15:chartTrackingRefBased/>
  <w15:docId w15:val="{42929F22-DBAD-0A42-86F6-2432D8F61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C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2C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C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2C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2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2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2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2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C06"/>
    <w:rPr>
      <w:rFonts w:eastAsiaTheme="majorEastAsia" w:cstheme="majorBidi"/>
      <w:color w:val="272727" w:themeColor="text1" w:themeTint="D8"/>
    </w:rPr>
  </w:style>
  <w:style w:type="paragraph" w:styleId="Title">
    <w:name w:val="Title"/>
    <w:basedOn w:val="Normal"/>
    <w:next w:val="Normal"/>
    <w:link w:val="TitleChar"/>
    <w:uiPriority w:val="10"/>
    <w:qFormat/>
    <w:rsid w:val="00862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C06"/>
    <w:pPr>
      <w:spacing w:before="160"/>
      <w:jc w:val="center"/>
    </w:pPr>
    <w:rPr>
      <w:i/>
      <w:iCs/>
      <w:color w:val="404040" w:themeColor="text1" w:themeTint="BF"/>
    </w:rPr>
  </w:style>
  <w:style w:type="character" w:customStyle="1" w:styleId="QuoteChar">
    <w:name w:val="Quote Char"/>
    <w:basedOn w:val="DefaultParagraphFont"/>
    <w:link w:val="Quote"/>
    <w:uiPriority w:val="29"/>
    <w:rsid w:val="00862C06"/>
    <w:rPr>
      <w:i/>
      <w:iCs/>
      <w:color w:val="404040" w:themeColor="text1" w:themeTint="BF"/>
    </w:rPr>
  </w:style>
  <w:style w:type="paragraph" w:styleId="ListParagraph">
    <w:name w:val="List Paragraph"/>
    <w:basedOn w:val="Normal"/>
    <w:uiPriority w:val="34"/>
    <w:qFormat/>
    <w:rsid w:val="00862C06"/>
    <w:pPr>
      <w:ind w:left="720"/>
      <w:contextualSpacing/>
    </w:pPr>
  </w:style>
  <w:style w:type="character" w:styleId="IntenseEmphasis">
    <w:name w:val="Intense Emphasis"/>
    <w:basedOn w:val="DefaultParagraphFont"/>
    <w:uiPriority w:val="21"/>
    <w:qFormat/>
    <w:rsid w:val="00862C06"/>
    <w:rPr>
      <w:i/>
      <w:iCs/>
      <w:color w:val="0F4761" w:themeColor="accent1" w:themeShade="BF"/>
    </w:rPr>
  </w:style>
  <w:style w:type="paragraph" w:styleId="IntenseQuote">
    <w:name w:val="Intense Quote"/>
    <w:basedOn w:val="Normal"/>
    <w:next w:val="Normal"/>
    <w:link w:val="IntenseQuoteChar"/>
    <w:uiPriority w:val="30"/>
    <w:qFormat/>
    <w:rsid w:val="00862C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2C06"/>
    <w:rPr>
      <w:i/>
      <w:iCs/>
      <w:color w:val="0F4761" w:themeColor="accent1" w:themeShade="BF"/>
    </w:rPr>
  </w:style>
  <w:style w:type="character" w:styleId="IntenseReference">
    <w:name w:val="Intense Reference"/>
    <w:basedOn w:val="DefaultParagraphFont"/>
    <w:uiPriority w:val="32"/>
    <w:qFormat/>
    <w:rsid w:val="00862C06"/>
    <w:rPr>
      <w:b/>
      <w:bCs/>
      <w:smallCaps/>
      <w:color w:val="0F4761" w:themeColor="accent1" w:themeShade="BF"/>
      <w:spacing w:val="5"/>
    </w:rPr>
  </w:style>
  <w:style w:type="paragraph" w:styleId="Header">
    <w:name w:val="header"/>
    <w:basedOn w:val="Normal"/>
    <w:link w:val="HeaderChar"/>
    <w:uiPriority w:val="99"/>
    <w:unhideWhenUsed/>
    <w:rsid w:val="003A30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30D6"/>
  </w:style>
  <w:style w:type="paragraph" w:styleId="Footer">
    <w:name w:val="footer"/>
    <w:basedOn w:val="Normal"/>
    <w:link w:val="FooterChar"/>
    <w:uiPriority w:val="99"/>
    <w:unhideWhenUsed/>
    <w:rsid w:val="003A30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1592</Words>
  <Characters>9080</Characters>
  <Application>Microsoft Office Word</Application>
  <DocSecurity>0</DocSecurity>
  <Lines>75</Lines>
  <Paragraphs>21</Paragraphs>
  <ScaleCrop>false</ScaleCrop>
  <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Szweda</dc:creator>
  <cp:keywords/>
  <dc:description/>
  <cp:lastModifiedBy>Justyna Anna Szweda (2435764)</cp:lastModifiedBy>
  <cp:revision>8</cp:revision>
  <dcterms:created xsi:type="dcterms:W3CDTF">2025-11-13T10:12:00Z</dcterms:created>
  <dcterms:modified xsi:type="dcterms:W3CDTF">2025-11-13T13:47:00Z</dcterms:modified>
</cp:coreProperties>
</file>