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3.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4.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5.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6.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7.xml" ContentType="application/vnd.openxmlformats-officedocument.themeOverrid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theme/themeOverride8.xml" ContentType="application/vnd.openxmlformats-officedocument.themeOverrid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theme/themeOverride9.xml" ContentType="application/vnd.openxmlformats-officedocument.themeOverrid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theme/themeOverride10.xml" ContentType="application/vnd.openxmlformats-officedocument.themeOverrid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theme/themeOverride11.xml" ContentType="application/vnd.openxmlformats-officedocument.themeOverrid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theme/themeOverride12.xml" ContentType="application/vnd.openxmlformats-officedocument.themeOverrid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theme/themeOverride13.xml" ContentType="application/vnd.openxmlformats-officedocument.themeOverrid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theme/themeOverride14.xml" ContentType="application/vnd.openxmlformats-officedocument.themeOverrid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theme/themeOverride15.xml" ContentType="application/vnd.openxmlformats-officedocument.themeOverrid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theme/themeOverride16.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4B1367" w14:textId="77777777" w:rsidR="001031CA" w:rsidRDefault="001031CA" w:rsidP="001031CA">
      <w:pPr>
        <w:spacing w:line="360" w:lineRule="auto"/>
        <w:rPr>
          <w:rFonts w:ascii="Cambria Math" w:hAnsi="Cambria Math" w:cs="Times New Roman"/>
          <w:color w:val="000000" w:themeColor="text1"/>
          <w:sz w:val="40"/>
          <w:szCs w:val="40"/>
          <w:lang w:val="en-US"/>
        </w:rPr>
      </w:pPr>
    </w:p>
    <w:p w14:paraId="577F589B" w14:textId="5EFFCE7C" w:rsidR="001031CA" w:rsidRDefault="001031CA" w:rsidP="001031CA">
      <w:pPr>
        <w:spacing w:line="360" w:lineRule="auto"/>
        <w:rPr>
          <w:rFonts w:ascii="Cambria Math" w:hAnsi="Cambria Math" w:cs="Times New Roman"/>
          <w:color w:val="000000" w:themeColor="text1"/>
          <w:sz w:val="40"/>
          <w:szCs w:val="40"/>
          <w:lang w:val="en-US"/>
        </w:rPr>
      </w:pPr>
      <w:r>
        <w:rPr>
          <w:b/>
          <w:noProof/>
          <w:lang w:eastAsia="en-GB"/>
        </w:rPr>
        <w:drawing>
          <wp:anchor distT="0" distB="0" distL="114300" distR="114300" simplePos="0" relativeHeight="251658240" behindDoc="0" locked="0" layoutInCell="1" allowOverlap="1" wp14:anchorId="4E3DDAA1" wp14:editId="27B56FEF">
            <wp:simplePos x="914400" y="914400"/>
            <wp:positionH relativeFrom="column">
              <wp:align>left</wp:align>
            </wp:positionH>
            <wp:positionV relativeFrom="paragraph">
              <wp:align>top</wp:align>
            </wp:positionV>
            <wp:extent cx="2096475" cy="704850"/>
            <wp:effectExtent l="0" t="0" r="0" b="0"/>
            <wp:wrapSquare wrapText="bothSides"/>
            <wp:docPr id="59" name="Picture 59"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96475" cy="704850"/>
                    </a:xfrm>
                    <a:prstGeom prst="rect">
                      <a:avLst/>
                    </a:prstGeom>
                    <a:noFill/>
                    <a:ln w="9525">
                      <a:noFill/>
                      <a:miter lim="800000"/>
                      <a:headEnd/>
                      <a:tailEnd/>
                    </a:ln>
                  </pic:spPr>
                </pic:pic>
              </a:graphicData>
            </a:graphic>
          </wp:anchor>
        </w:drawing>
      </w:r>
      <w:r>
        <w:rPr>
          <w:rFonts w:ascii="Cambria Math" w:hAnsi="Cambria Math" w:cs="Times New Roman"/>
          <w:color w:val="000000" w:themeColor="text1"/>
          <w:sz w:val="40"/>
          <w:szCs w:val="40"/>
          <w:lang w:val="en-US"/>
        </w:rPr>
        <w:br w:type="textWrapping" w:clear="all"/>
      </w:r>
    </w:p>
    <w:p w14:paraId="16A158AB" w14:textId="77777777" w:rsidR="001031CA" w:rsidRDefault="001031CA" w:rsidP="001031CA">
      <w:pPr>
        <w:spacing w:line="360" w:lineRule="auto"/>
        <w:rPr>
          <w:rFonts w:ascii="Cambria Math" w:hAnsi="Cambria Math" w:cs="Times New Roman"/>
          <w:color w:val="000000" w:themeColor="text1"/>
          <w:sz w:val="40"/>
          <w:szCs w:val="40"/>
          <w:lang w:val="en-US"/>
        </w:rPr>
      </w:pPr>
    </w:p>
    <w:p w14:paraId="33E2BF68" w14:textId="77777777" w:rsidR="001031CA" w:rsidRDefault="001031CA" w:rsidP="007C6BD1">
      <w:pPr>
        <w:spacing w:line="360" w:lineRule="auto"/>
        <w:jc w:val="center"/>
        <w:rPr>
          <w:rFonts w:ascii="Cambria Math" w:hAnsi="Cambria Math" w:cs="Times New Roman"/>
          <w:color w:val="000000" w:themeColor="text1"/>
          <w:sz w:val="40"/>
          <w:szCs w:val="40"/>
          <w:lang w:val="en-US"/>
        </w:rPr>
      </w:pPr>
    </w:p>
    <w:p w14:paraId="10AE154B" w14:textId="0895FBAF" w:rsidR="00DB23D3" w:rsidRPr="007C6BD1" w:rsidRDefault="00DB23D3" w:rsidP="007C6BD1">
      <w:pPr>
        <w:spacing w:line="360" w:lineRule="auto"/>
        <w:jc w:val="center"/>
        <w:rPr>
          <w:rFonts w:ascii="Cambria Math" w:hAnsi="Cambria Math" w:cs="Times New Roman"/>
          <w:color w:val="000000" w:themeColor="text1"/>
          <w:sz w:val="40"/>
          <w:szCs w:val="40"/>
          <w:lang w:val="en-US"/>
        </w:rPr>
      </w:pPr>
      <w:r w:rsidRPr="007C6BD1">
        <w:rPr>
          <w:rFonts w:ascii="Cambria Math" w:hAnsi="Cambria Math" w:cs="Times New Roman"/>
          <w:color w:val="000000" w:themeColor="text1"/>
          <w:sz w:val="40"/>
          <w:szCs w:val="40"/>
          <w:lang w:val="en-US"/>
        </w:rPr>
        <w:t xml:space="preserve">Module: Financial Management </w:t>
      </w:r>
    </w:p>
    <w:p w14:paraId="0173A7E8" w14:textId="77777777" w:rsidR="00D9546D" w:rsidRPr="007C6BD1" w:rsidRDefault="00DB23D3" w:rsidP="007C6BD1">
      <w:pPr>
        <w:spacing w:line="360" w:lineRule="auto"/>
        <w:jc w:val="center"/>
        <w:rPr>
          <w:rFonts w:ascii="Cambria Math" w:hAnsi="Cambria Math" w:cs="Times New Roman"/>
          <w:color w:val="000000" w:themeColor="text1"/>
          <w:sz w:val="40"/>
          <w:szCs w:val="40"/>
          <w:lang w:val="en-US"/>
        </w:rPr>
      </w:pPr>
      <w:r w:rsidRPr="007C6BD1">
        <w:rPr>
          <w:rFonts w:ascii="Cambria Math" w:hAnsi="Cambria Math" w:cs="Times New Roman"/>
          <w:color w:val="000000" w:themeColor="text1"/>
          <w:sz w:val="40"/>
          <w:szCs w:val="40"/>
          <w:lang w:val="en-US"/>
        </w:rPr>
        <w:t>Module code: LCMB7002</w:t>
      </w:r>
    </w:p>
    <w:p w14:paraId="4CFD1199" w14:textId="39AD7B00" w:rsidR="00D9546D" w:rsidRDefault="00D9546D" w:rsidP="007C6BD1">
      <w:pPr>
        <w:spacing w:line="360" w:lineRule="auto"/>
        <w:jc w:val="both"/>
        <w:rPr>
          <w:rFonts w:ascii="Times New Roman" w:hAnsi="Times New Roman" w:cs="Times New Roman"/>
          <w:sz w:val="24"/>
          <w:szCs w:val="24"/>
          <w:lang w:val="en-US"/>
        </w:rPr>
      </w:pPr>
    </w:p>
    <w:p w14:paraId="4F54895D" w14:textId="792690DE" w:rsidR="001031CA" w:rsidRDefault="001031CA" w:rsidP="007C6BD1">
      <w:pPr>
        <w:spacing w:line="360" w:lineRule="auto"/>
        <w:jc w:val="both"/>
        <w:rPr>
          <w:rFonts w:ascii="Times New Roman" w:hAnsi="Times New Roman" w:cs="Times New Roman"/>
          <w:sz w:val="24"/>
          <w:szCs w:val="24"/>
          <w:lang w:val="en-US"/>
        </w:rPr>
      </w:pPr>
    </w:p>
    <w:p w14:paraId="63875652" w14:textId="50E71E2D" w:rsidR="001031CA" w:rsidRDefault="001031CA" w:rsidP="007C6BD1">
      <w:pPr>
        <w:spacing w:line="360" w:lineRule="auto"/>
        <w:jc w:val="both"/>
        <w:rPr>
          <w:rFonts w:ascii="Times New Roman" w:hAnsi="Times New Roman" w:cs="Times New Roman"/>
          <w:sz w:val="24"/>
          <w:szCs w:val="24"/>
          <w:lang w:val="en-US"/>
        </w:rPr>
      </w:pPr>
    </w:p>
    <w:p w14:paraId="4D7D8DEC" w14:textId="77777777" w:rsidR="001031CA" w:rsidRDefault="001031CA" w:rsidP="007C6BD1">
      <w:pPr>
        <w:spacing w:line="360" w:lineRule="auto"/>
        <w:jc w:val="both"/>
        <w:rPr>
          <w:rFonts w:ascii="Times New Roman" w:hAnsi="Times New Roman" w:cs="Times New Roman"/>
          <w:sz w:val="24"/>
          <w:szCs w:val="24"/>
          <w:lang w:val="en-US"/>
        </w:rPr>
      </w:pPr>
    </w:p>
    <w:p w14:paraId="2398FBC4" w14:textId="597A0954" w:rsidR="00D9546D" w:rsidRDefault="00315D01" w:rsidP="007C6BD1">
      <w:pPr>
        <w:spacing w:line="360" w:lineRule="auto"/>
        <w:jc w:val="both"/>
        <w:rPr>
          <w:rFonts w:ascii="Times New Roman" w:hAnsi="Times New Roman" w:cs="Times New Roman"/>
          <w:sz w:val="24"/>
          <w:szCs w:val="24"/>
          <w:lang w:val="en-US"/>
        </w:rPr>
      </w:pPr>
      <w:r w:rsidRPr="001A08A0">
        <w:rPr>
          <w:rFonts w:ascii="Times New Roman" w:hAnsi="Times New Roman" w:cs="Times New Roman"/>
          <w:b/>
          <w:bCs/>
          <w:sz w:val="24"/>
          <w:szCs w:val="24"/>
          <w:lang w:val="en-US"/>
        </w:rPr>
        <w:t>Student</w:t>
      </w:r>
      <w:r>
        <w:rPr>
          <w:rFonts w:ascii="Times New Roman" w:hAnsi="Times New Roman" w:cs="Times New Roman"/>
          <w:sz w:val="24"/>
          <w:szCs w:val="24"/>
          <w:lang w:val="en-US"/>
        </w:rPr>
        <w:t xml:space="preserve"> </w:t>
      </w:r>
      <w:r w:rsidRPr="001A08A0">
        <w:rPr>
          <w:rFonts w:ascii="Times New Roman" w:hAnsi="Times New Roman" w:cs="Times New Roman"/>
          <w:b/>
          <w:bCs/>
          <w:sz w:val="24"/>
          <w:szCs w:val="24"/>
          <w:lang w:val="en-US"/>
        </w:rPr>
        <w:t>Name</w:t>
      </w:r>
      <w:r>
        <w:rPr>
          <w:rFonts w:ascii="Times New Roman" w:hAnsi="Times New Roman" w:cs="Times New Roman"/>
          <w:sz w:val="24"/>
          <w:szCs w:val="24"/>
          <w:lang w:val="en-US"/>
        </w:rPr>
        <w:t>: Leanne Lawrence</w:t>
      </w:r>
    </w:p>
    <w:p w14:paraId="39C4C324" w14:textId="1FD21032" w:rsidR="00315D01" w:rsidRDefault="00315D01" w:rsidP="007C6BD1">
      <w:pPr>
        <w:spacing w:line="360" w:lineRule="auto"/>
        <w:jc w:val="both"/>
        <w:rPr>
          <w:rFonts w:ascii="Times New Roman" w:hAnsi="Times New Roman" w:cs="Times New Roman"/>
          <w:sz w:val="24"/>
          <w:szCs w:val="24"/>
          <w:lang w:val="en-US"/>
        </w:rPr>
      </w:pPr>
      <w:r w:rsidRPr="001A08A0">
        <w:rPr>
          <w:rFonts w:ascii="Times New Roman" w:hAnsi="Times New Roman" w:cs="Times New Roman"/>
          <w:b/>
          <w:bCs/>
          <w:sz w:val="24"/>
          <w:szCs w:val="24"/>
          <w:lang w:val="en-US"/>
        </w:rPr>
        <w:t>Student</w:t>
      </w:r>
      <w:r>
        <w:rPr>
          <w:rFonts w:ascii="Times New Roman" w:hAnsi="Times New Roman" w:cs="Times New Roman"/>
          <w:sz w:val="24"/>
          <w:szCs w:val="24"/>
          <w:lang w:val="en-US"/>
        </w:rPr>
        <w:t xml:space="preserve"> </w:t>
      </w:r>
      <w:r w:rsidRPr="001A08A0">
        <w:rPr>
          <w:rFonts w:ascii="Times New Roman" w:hAnsi="Times New Roman" w:cs="Times New Roman"/>
          <w:b/>
          <w:bCs/>
          <w:sz w:val="24"/>
          <w:szCs w:val="24"/>
          <w:lang w:val="en-US"/>
        </w:rPr>
        <w:t>ID</w:t>
      </w:r>
      <w:r>
        <w:rPr>
          <w:rFonts w:ascii="Times New Roman" w:hAnsi="Times New Roman" w:cs="Times New Roman"/>
          <w:sz w:val="24"/>
          <w:szCs w:val="24"/>
          <w:lang w:val="en-US"/>
        </w:rPr>
        <w:t>: 1711795</w:t>
      </w:r>
    </w:p>
    <w:p w14:paraId="58C41C03" w14:textId="31C7F8D0" w:rsidR="00315D01" w:rsidRDefault="00EC326C" w:rsidP="007C6BD1">
      <w:pPr>
        <w:spacing w:line="360" w:lineRule="auto"/>
        <w:jc w:val="both"/>
        <w:rPr>
          <w:rFonts w:ascii="Times New Roman" w:hAnsi="Times New Roman" w:cs="Times New Roman"/>
          <w:sz w:val="24"/>
          <w:szCs w:val="24"/>
          <w:lang w:val="en-US"/>
        </w:rPr>
      </w:pPr>
      <w:r w:rsidRPr="001A08A0">
        <w:rPr>
          <w:rFonts w:ascii="Times New Roman" w:hAnsi="Times New Roman" w:cs="Times New Roman"/>
          <w:b/>
          <w:bCs/>
          <w:sz w:val="24"/>
          <w:szCs w:val="24"/>
          <w:lang w:val="en-US"/>
        </w:rPr>
        <w:t>Module</w:t>
      </w:r>
      <w:r>
        <w:rPr>
          <w:rFonts w:ascii="Times New Roman" w:hAnsi="Times New Roman" w:cs="Times New Roman"/>
          <w:sz w:val="24"/>
          <w:szCs w:val="24"/>
          <w:lang w:val="en-US"/>
        </w:rPr>
        <w:t xml:space="preserve"> </w:t>
      </w:r>
      <w:r w:rsidRPr="001A08A0">
        <w:rPr>
          <w:rFonts w:ascii="Times New Roman" w:hAnsi="Times New Roman" w:cs="Times New Roman"/>
          <w:b/>
          <w:bCs/>
          <w:sz w:val="24"/>
          <w:szCs w:val="24"/>
          <w:lang w:val="en-US"/>
        </w:rPr>
        <w:t>Name</w:t>
      </w:r>
      <w:r w:rsidR="00917470">
        <w:rPr>
          <w:rFonts w:ascii="Times New Roman" w:hAnsi="Times New Roman" w:cs="Times New Roman"/>
          <w:sz w:val="24"/>
          <w:szCs w:val="24"/>
          <w:lang w:val="en-US"/>
        </w:rPr>
        <w:t xml:space="preserve">: </w:t>
      </w:r>
      <w:r w:rsidR="00345A51">
        <w:rPr>
          <w:rFonts w:ascii="Times New Roman" w:hAnsi="Times New Roman" w:cs="Times New Roman"/>
          <w:sz w:val="24"/>
          <w:szCs w:val="24"/>
          <w:lang w:val="en-US"/>
        </w:rPr>
        <w:t xml:space="preserve">Financial Management </w:t>
      </w:r>
    </w:p>
    <w:p w14:paraId="689A1202" w14:textId="67E91927" w:rsidR="00917470" w:rsidRDefault="001A08A0" w:rsidP="007C6BD1">
      <w:pPr>
        <w:spacing w:line="360" w:lineRule="auto"/>
        <w:jc w:val="both"/>
        <w:rPr>
          <w:rFonts w:ascii="Times New Roman" w:hAnsi="Times New Roman" w:cs="Times New Roman"/>
          <w:sz w:val="24"/>
          <w:szCs w:val="24"/>
          <w:lang w:val="en-US"/>
        </w:rPr>
      </w:pPr>
      <w:r w:rsidRPr="001A08A0">
        <w:rPr>
          <w:rFonts w:ascii="Times New Roman" w:hAnsi="Times New Roman" w:cs="Times New Roman"/>
          <w:b/>
          <w:bCs/>
          <w:sz w:val="24"/>
          <w:szCs w:val="24"/>
          <w:lang w:val="en-US"/>
        </w:rPr>
        <w:t>Module</w:t>
      </w:r>
      <w:r w:rsidR="00917470">
        <w:rPr>
          <w:rFonts w:ascii="Times New Roman" w:hAnsi="Times New Roman" w:cs="Times New Roman"/>
          <w:sz w:val="24"/>
          <w:szCs w:val="24"/>
          <w:lang w:val="en-US"/>
        </w:rPr>
        <w:t xml:space="preserve"> </w:t>
      </w:r>
      <w:r w:rsidR="001031CA" w:rsidRPr="001A08A0">
        <w:rPr>
          <w:rFonts w:ascii="Times New Roman" w:hAnsi="Times New Roman" w:cs="Times New Roman"/>
          <w:b/>
          <w:bCs/>
          <w:sz w:val="24"/>
          <w:szCs w:val="24"/>
          <w:lang w:val="en-US"/>
        </w:rPr>
        <w:t>Code</w:t>
      </w:r>
      <w:r w:rsidR="001031CA">
        <w:rPr>
          <w:rFonts w:ascii="Times New Roman" w:hAnsi="Times New Roman" w:cs="Times New Roman"/>
          <w:sz w:val="24"/>
          <w:szCs w:val="24"/>
          <w:lang w:val="en-US"/>
        </w:rPr>
        <w:t>: LCMB</w:t>
      </w:r>
      <w:r w:rsidR="00C751EB">
        <w:rPr>
          <w:rFonts w:ascii="Times New Roman" w:hAnsi="Times New Roman" w:cs="Times New Roman"/>
          <w:sz w:val="24"/>
          <w:szCs w:val="24"/>
          <w:lang w:val="en-US"/>
        </w:rPr>
        <w:t>7002</w:t>
      </w:r>
    </w:p>
    <w:p w14:paraId="03707815" w14:textId="2EE17C69" w:rsidR="00917470" w:rsidRDefault="00384281" w:rsidP="007C6BD1">
      <w:pPr>
        <w:spacing w:line="360" w:lineRule="auto"/>
        <w:jc w:val="both"/>
        <w:rPr>
          <w:rFonts w:ascii="Times New Roman" w:hAnsi="Times New Roman" w:cs="Times New Roman"/>
          <w:sz w:val="24"/>
          <w:szCs w:val="24"/>
          <w:lang w:val="en-US"/>
        </w:rPr>
      </w:pPr>
      <w:r w:rsidRPr="001A08A0">
        <w:rPr>
          <w:rFonts w:ascii="Times New Roman" w:hAnsi="Times New Roman" w:cs="Times New Roman"/>
          <w:b/>
          <w:bCs/>
          <w:sz w:val="24"/>
          <w:szCs w:val="24"/>
          <w:lang w:val="en-US"/>
        </w:rPr>
        <w:t>Tutor</w:t>
      </w:r>
      <w:r>
        <w:rPr>
          <w:rFonts w:ascii="Times New Roman" w:hAnsi="Times New Roman" w:cs="Times New Roman"/>
          <w:sz w:val="24"/>
          <w:szCs w:val="24"/>
          <w:lang w:val="en-US"/>
        </w:rPr>
        <w:t>:</w:t>
      </w:r>
      <w:r w:rsidR="00343993">
        <w:rPr>
          <w:rFonts w:ascii="Times New Roman" w:hAnsi="Times New Roman" w:cs="Times New Roman"/>
          <w:sz w:val="24"/>
          <w:szCs w:val="24"/>
          <w:lang w:val="en-US"/>
        </w:rPr>
        <w:t xml:space="preserve"> Jia Miao</w:t>
      </w:r>
    </w:p>
    <w:p w14:paraId="7D7AAF2E" w14:textId="461BF020" w:rsidR="00384281" w:rsidRDefault="00CA5FE4" w:rsidP="007C6BD1">
      <w:pPr>
        <w:spacing w:line="360" w:lineRule="auto"/>
        <w:jc w:val="both"/>
        <w:rPr>
          <w:rFonts w:ascii="Times New Roman" w:hAnsi="Times New Roman" w:cs="Times New Roman"/>
          <w:sz w:val="24"/>
          <w:szCs w:val="24"/>
          <w:lang w:val="en-US"/>
        </w:rPr>
      </w:pPr>
      <w:r w:rsidRPr="001A08A0">
        <w:rPr>
          <w:rFonts w:ascii="Times New Roman" w:hAnsi="Times New Roman" w:cs="Times New Roman"/>
          <w:b/>
          <w:bCs/>
          <w:sz w:val="24"/>
          <w:szCs w:val="24"/>
          <w:lang w:val="en-US"/>
        </w:rPr>
        <w:t>Assignment</w:t>
      </w:r>
      <w:r>
        <w:rPr>
          <w:rFonts w:ascii="Times New Roman" w:hAnsi="Times New Roman" w:cs="Times New Roman"/>
          <w:sz w:val="24"/>
          <w:szCs w:val="24"/>
          <w:lang w:val="en-US"/>
        </w:rPr>
        <w:t xml:space="preserve"> </w:t>
      </w:r>
      <w:r w:rsidRPr="001A08A0">
        <w:rPr>
          <w:rFonts w:ascii="Times New Roman" w:hAnsi="Times New Roman" w:cs="Times New Roman"/>
          <w:b/>
          <w:bCs/>
          <w:sz w:val="24"/>
          <w:szCs w:val="24"/>
          <w:lang w:val="en-US"/>
        </w:rPr>
        <w:t>Title</w:t>
      </w:r>
      <w:r>
        <w:rPr>
          <w:rFonts w:ascii="Times New Roman" w:hAnsi="Times New Roman" w:cs="Times New Roman"/>
          <w:sz w:val="24"/>
          <w:szCs w:val="24"/>
          <w:lang w:val="en-US"/>
        </w:rPr>
        <w:t xml:space="preserve">: Assessment </w:t>
      </w:r>
    </w:p>
    <w:p w14:paraId="3649B2D6" w14:textId="39BADE18" w:rsidR="00D9546D" w:rsidRDefault="00E20173" w:rsidP="007C6BD1">
      <w:pPr>
        <w:spacing w:line="360" w:lineRule="auto"/>
        <w:jc w:val="both"/>
        <w:rPr>
          <w:rFonts w:ascii="Times New Roman" w:hAnsi="Times New Roman" w:cs="Times New Roman"/>
          <w:sz w:val="24"/>
          <w:szCs w:val="24"/>
          <w:lang w:val="en-US"/>
        </w:rPr>
      </w:pPr>
      <w:r w:rsidRPr="001A08A0">
        <w:rPr>
          <w:rFonts w:ascii="Times New Roman" w:hAnsi="Times New Roman" w:cs="Times New Roman"/>
          <w:b/>
          <w:bCs/>
          <w:sz w:val="24"/>
          <w:szCs w:val="24"/>
          <w:lang w:val="en-US"/>
        </w:rPr>
        <w:t>Module</w:t>
      </w:r>
      <w:r w:rsidR="00917470">
        <w:rPr>
          <w:rFonts w:ascii="Times New Roman" w:hAnsi="Times New Roman" w:cs="Times New Roman"/>
          <w:sz w:val="24"/>
          <w:szCs w:val="24"/>
          <w:lang w:val="en-US"/>
        </w:rPr>
        <w:t xml:space="preserve"> </w:t>
      </w:r>
      <w:r w:rsidR="00917470" w:rsidRPr="001A08A0">
        <w:rPr>
          <w:rFonts w:ascii="Times New Roman" w:hAnsi="Times New Roman" w:cs="Times New Roman"/>
          <w:b/>
          <w:bCs/>
          <w:sz w:val="24"/>
          <w:szCs w:val="24"/>
          <w:lang w:val="en-US"/>
        </w:rPr>
        <w:t>Sub</w:t>
      </w:r>
      <w:r w:rsidR="00917470">
        <w:rPr>
          <w:rFonts w:ascii="Times New Roman" w:hAnsi="Times New Roman" w:cs="Times New Roman"/>
          <w:sz w:val="24"/>
          <w:szCs w:val="24"/>
          <w:lang w:val="en-US"/>
        </w:rPr>
        <w:t>-</w:t>
      </w:r>
      <w:r w:rsidR="00917470" w:rsidRPr="001A08A0">
        <w:rPr>
          <w:rFonts w:ascii="Times New Roman" w:hAnsi="Times New Roman" w:cs="Times New Roman"/>
          <w:b/>
          <w:bCs/>
          <w:sz w:val="24"/>
          <w:szCs w:val="24"/>
          <w:lang w:val="en-US"/>
        </w:rPr>
        <w:t>Topic</w:t>
      </w:r>
      <w:r w:rsidR="00917470">
        <w:rPr>
          <w:rFonts w:ascii="Times New Roman" w:hAnsi="Times New Roman" w:cs="Times New Roman"/>
          <w:sz w:val="24"/>
          <w:szCs w:val="24"/>
          <w:lang w:val="en-US"/>
        </w:rPr>
        <w:t>:</w:t>
      </w:r>
      <w:r w:rsidR="00DA6750">
        <w:rPr>
          <w:rFonts w:ascii="Times New Roman" w:hAnsi="Times New Roman" w:cs="Times New Roman"/>
          <w:sz w:val="24"/>
          <w:szCs w:val="24"/>
          <w:lang w:val="en-US"/>
        </w:rPr>
        <w:t xml:space="preserve"> MBA-Master of</w:t>
      </w:r>
      <w:r w:rsidR="00640863">
        <w:rPr>
          <w:rFonts w:ascii="Times New Roman" w:hAnsi="Times New Roman" w:cs="Times New Roman"/>
          <w:sz w:val="24"/>
          <w:szCs w:val="24"/>
          <w:lang w:val="en-US"/>
        </w:rPr>
        <w:t xml:space="preserve"> </w:t>
      </w:r>
      <w:r w:rsidR="00DD5F73">
        <w:rPr>
          <w:rFonts w:ascii="Times New Roman" w:hAnsi="Times New Roman" w:cs="Times New Roman"/>
          <w:sz w:val="24"/>
          <w:szCs w:val="24"/>
          <w:lang w:val="en-US"/>
        </w:rPr>
        <w:t>Business Administration</w:t>
      </w:r>
    </w:p>
    <w:sdt>
      <w:sdtPr>
        <w:rPr>
          <w:rFonts w:asciiTheme="minorHAnsi" w:eastAsiaTheme="minorHAnsi" w:hAnsiTheme="minorHAnsi" w:cstheme="minorBidi"/>
          <w:color w:val="auto"/>
          <w:sz w:val="22"/>
          <w:szCs w:val="22"/>
          <w:lang w:val="en-GB"/>
        </w:rPr>
        <w:id w:val="743068295"/>
        <w:docPartObj>
          <w:docPartGallery w:val="Table of Contents"/>
          <w:docPartUnique/>
        </w:docPartObj>
      </w:sdtPr>
      <w:sdtEndPr>
        <w:rPr>
          <w:b/>
          <w:bCs/>
          <w:noProof/>
        </w:rPr>
      </w:sdtEndPr>
      <w:sdtContent>
        <w:p w14:paraId="78BD67E8" w14:textId="77777777" w:rsidR="00580C99" w:rsidRDefault="00580C99" w:rsidP="007C6BD1">
          <w:pPr>
            <w:pStyle w:val="TOCHeading"/>
            <w:spacing w:line="360" w:lineRule="auto"/>
          </w:pPr>
          <w:r>
            <w:t>Contents</w:t>
          </w:r>
        </w:p>
        <w:p w14:paraId="15481BDB" w14:textId="77777777" w:rsidR="004E4086" w:rsidRDefault="00580C99" w:rsidP="007C6BD1">
          <w:pPr>
            <w:pStyle w:val="TOC1"/>
            <w:tabs>
              <w:tab w:val="right" w:leader="dot" w:pos="9350"/>
            </w:tabs>
            <w:spacing w:line="360" w:lineRule="auto"/>
            <w:rPr>
              <w:rFonts w:eastAsiaTheme="minorEastAsia"/>
              <w:noProof/>
              <w:lang w:val="en-US"/>
            </w:rPr>
          </w:pPr>
          <w:r>
            <w:fldChar w:fldCharType="begin"/>
          </w:r>
          <w:r>
            <w:instrText xml:space="preserve"> TOC \o "1-3" \h \z \u </w:instrText>
          </w:r>
          <w:r>
            <w:fldChar w:fldCharType="separate"/>
          </w:r>
          <w:hyperlink w:anchor="_Toc69159402" w:history="1">
            <w:r w:rsidR="004E4086" w:rsidRPr="00C77746">
              <w:rPr>
                <w:rStyle w:val="Hyperlink"/>
                <w:b/>
                <w:noProof/>
                <w:lang w:val="en-US"/>
              </w:rPr>
              <w:t>Introduction:</w:t>
            </w:r>
            <w:r w:rsidR="004E4086">
              <w:rPr>
                <w:noProof/>
                <w:webHidden/>
              </w:rPr>
              <w:tab/>
            </w:r>
            <w:r w:rsidR="004E4086">
              <w:rPr>
                <w:noProof/>
                <w:webHidden/>
              </w:rPr>
              <w:fldChar w:fldCharType="begin"/>
            </w:r>
            <w:r w:rsidR="004E4086">
              <w:rPr>
                <w:noProof/>
                <w:webHidden/>
              </w:rPr>
              <w:instrText xml:space="preserve"> PAGEREF _Toc69159402 \h </w:instrText>
            </w:r>
            <w:r w:rsidR="004E4086">
              <w:rPr>
                <w:noProof/>
                <w:webHidden/>
              </w:rPr>
            </w:r>
            <w:r w:rsidR="004E4086">
              <w:rPr>
                <w:noProof/>
                <w:webHidden/>
              </w:rPr>
              <w:fldChar w:fldCharType="separate"/>
            </w:r>
            <w:r w:rsidR="004E4086">
              <w:rPr>
                <w:noProof/>
                <w:webHidden/>
              </w:rPr>
              <w:t>3</w:t>
            </w:r>
            <w:r w:rsidR="004E4086">
              <w:rPr>
                <w:noProof/>
                <w:webHidden/>
              </w:rPr>
              <w:fldChar w:fldCharType="end"/>
            </w:r>
          </w:hyperlink>
        </w:p>
        <w:p w14:paraId="0A615BAE" w14:textId="77777777" w:rsidR="004E4086" w:rsidRDefault="0006341C" w:rsidP="007C6BD1">
          <w:pPr>
            <w:pStyle w:val="TOC1"/>
            <w:tabs>
              <w:tab w:val="right" w:leader="dot" w:pos="9350"/>
            </w:tabs>
            <w:spacing w:line="360" w:lineRule="auto"/>
            <w:rPr>
              <w:rFonts w:eastAsiaTheme="minorEastAsia"/>
              <w:noProof/>
              <w:lang w:val="en-US"/>
            </w:rPr>
          </w:pPr>
          <w:hyperlink w:anchor="_Toc69159403" w:history="1">
            <w:r w:rsidR="004E4086" w:rsidRPr="00C77746">
              <w:rPr>
                <w:rStyle w:val="Hyperlink"/>
                <w:b/>
                <w:noProof/>
                <w:lang w:val="en-US"/>
              </w:rPr>
              <w:t>Part-A: Brief History of Unilever</w:t>
            </w:r>
            <w:r w:rsidR="004E4086">
              <w:rPr>
                <w:noProof/>
                <w:webHidden/>
              </w:rPr>
              <w:tab/>
            </w:r>
            <w:r w:rsidR="004E4086">
              <w:rPr>
                <w:noProof/>
                <w:webHidden/>
              </w:rPr>
              <w:fldChar w:fldCharType="begin"/>
            </w:r>
            <w:r w:rsidR="004E4086">
              <w:rPr>
                <w:noProof/>
                <w:webHidden/>
              </w:rPr>
              <w:instrText xml:space="preserve"> PAGEREF _Toc69159403 \h </w:instrText>
            </w:r>
            <w:r w:rsidR="004E4086">
              <w:rPr>
                <w:noProof/>
                <w:webHidden/>
              </w:rPr>
            </w:r>
            <w:r w:rsidR="004E4086">
              <w:rPr>
                <w:noProof/>
                <w:webHidden/>
              </w:rPr>
              <w:fldChar w:fldCharType="separate"/>
            </w:r>
            <w:r w:rsidR="004E4086">
              <w:rPr>
                <w:noProof/>
                <w:webHidden/>
              </w:rPr>
              <w:t>4</w:t>
            </w:r>
            <w:r w:rsidR="004E4086">
              <w:rPr>
                <w:noProof/>
                <w:webHidden/>
              </w:rPr>
              <w:fldChar w:fldCharType="end"/>
            </w:r>
          </w:hyperlink>
        </w:p>
        <w:p w14:paraId="5406E1C0" w14:textId="04A95EF4" w:rsidR="004E4086" w:rsidRDefault="0006341C" w:rsidP="007C6BD1">
          <w:pPr>
            <w:pStyle w:val="TOC1"/>
            <w:tabs>
              <w:tab w:val="right" w:leader="dot" w:pos="9350"/>
            </w:tabs>
            <w:spacing w:line="360" w:lineRule="auto"/>
            <w:rPr>
              <w:rFonts w:eastAsiaTheme="minorEastAsia"/>
              <w:noProof/>
              <w:lang w:val="en-US"/>
            </w:rPr>
          </w:pPr>
          <w:hyperlink w:anchor="_Toc69159404" w:history="1">
            <w:r w:rsidR="004E4086" w:rsidRPr="00C77746">
              <w:rPr>
                <w:rStyle w:val="Hyperlink"/>
                <w:rFonts w:cstheme="majorHAnsi"/>
                <w:b/>
                <w:noProof/>
                <w:lang w:val="en-US"/>
              </w:rPr>
              <w:t xml:space="preserve">Part- B: A </w:t>
            </w:r>
            <w:r w:rsidR="004E4086" w:rsidRPr="00C77746">
              <w:rPr>
                <w:rStyle w:val="Hyperlink"/>
                <w:rFonts w:cstheme="majorHAnsi"/>
                <w:b/>
                <w:noProof/>
              </w:rPr>
              <w:t>Critical Review of Unilever’s Financial Performances</w:t>
            </w:r>
            <w:r w:rsidR="004E4086">
              <w:rPr>
                <w:noProof/>
                <w:webHidden/>
              </w:rPr>
              <w:tab/>
            </w:r>
            <w:r w:rsidR="00A53CEE">
              <w:rPr>
                <w:noProof/>
                <w:webHidden/>
              </w:rPr>
              <w:t>8</w:t>
            </w:r>
          </w:hyperlink>
        </w:p>
        <w:p w14:paraId="270F5DCA" w14:textId="77777777" w:rsidR="004E4086" w:rsidRDefault="0006341C" w:rsidP="007C6BD1">
          <w:pPr>
            <w:pStyle w:val="TOC2"/>
            <w:tabs>
              <w:tab w:val="right" w:leader="dot" w:pos="9350"/>
            </w:tabs>
            <w:spacing w:line="360" w:lineRule="auto"/>
            <w:rPr>
              <w:rFonts w:eastAsiaTheme="minorEastAsia"/>
              <w:noProof/>
              <w:lang w:val="en-US"/>
            </w:rPr>
          </w:pPr>
          <w:hyperlink w:anchor="_Toc69159405" w:history="1">
            <w:r w:rsidR="004E4086" w:rsidRPr="00C77746">
              <w:rPr>
                <w:rStyle w:val="Hyperlink"/>
                <w:b/>
                <w:noProof/>
                <w:lang w:val="en-US"/>
              </w:rPr>
              <w:t>Liquidity Ratios:</w:t>
            </w:r>
            <w:r w:rsidR="004E4086">
              <w:rPr>
                <w:noProof/>
                <w:webHidden/>
              </w:rPr>
              <w:tab/>
            </w:r>
            <w:r w:rsidR="004E4086">
              <w:rPr>
                <w:noProof/>
                <w:webHidden/>
              </w:rPr>
              <w:fldChar w:fldCharType="begin"/>
            </w:r>
            <w:r w:rsidR="004E4086">
              <w:rPr>
                <w:noProof/>
                <w:webHidden/>
              </w:rPr>
              <w:instrText xml:space="preserve"> PAGEREF _Toc69159405 \h </w:instrText>
            </w:r>
            <w:r w:rsidR="004E4086">
              <w:rPr>
                <w:noProof/>
                <w:webHidden/>
              </w:rPr>
            </w:r>
            <w:r w:rsidR="004E4086">
              <w:rPr>
                <w:noProof/>
                <w:webHidden/>
              </w:rPr>
              <w:fldChar w:fldCharType="separate"/>
            </w:r>
            <w:r w:rsidR="004E4086">
              <w:rPr>
                <w:noProof/>
                <w:webHidden/>
              </w:rPr>
              <w:t>8</w:t>
            </w:r>
            <w:r w:rsidR="004E4086">
              <w:rPr>
                <w:noProof/>
                <w:webHidden/>
              </w:rPr>
              <w:fldChar w:fldCharType="end"/>
            </w:r>
          </w:hyperlink>
        </w:p>
        <w:p w14:paraId="138DDC76" w14:textId="77777777" w:rsidR="004E4086" w:rsidRDefault="0006341C" w:rsidP="007C6BD1">
          <w:pPr>
            <w:pStyle w:val="TOC2"/>
            <w:tabs>
              <w:tab w:val="right" w:leader="dot" w:pos="9350"/>
            </w:tabs>
            <w:spacing w:line="360" w:lineRule="auto"/>
            <w:rPr>
              <w:rFonts w:eastAsiaTheme="minorEastAsia"/>
              <w:noProof/>
              <w:lang w:val="en-US"/>
            </w:rPr>
          </w:pPr>
          <w:hyperlink w:anchor="_Toc69159406" w:history="1">
            <w:r w:rsidR="004E4086" w:rsidRPr="00C77746">
              <w:rPr>
                <w:rStyle w:val="Hyperlink"/>
                <w:b/>
                <w:noProof/>
                <w:lang w:val="en-US"/>
              </w:rPr>
              <w:t>Profitability Ratios:</w:t>
            </w:r>
            <w:r w:rsidR="004E4086">
              <w:rPr>
                <w:noProof/>
                <w:webHidden/>
              </w:rPr>
              <w:tab/>
            </w:r>
            <w:r w:rsidR="004E4086">
              <w:rPr>
                <w:noProof/>
                <w:webHidden/>
              </w:rPr>
              <w:fldChar w:fldCharType="begin"/>
            </w:r>
            <w:r w:rsidR="004E4086">
              <w:rPr>
                <w:noProof/>
                <w:webHidden/>
              </w:rPr>
              <w:instrText xml:space="preserve"> PAGEREF _Toc69159406 \h </w:instrText>
            </w:r>
            <w:r w:rsidR="004E4086">
              <w:rPr>
                <w:noProof/>
                <w:webHidden/>
              </w:rPr>
            </w:r>
            <w:r w:rsidR="004E4086">
              <w:rPr>
                <w:noProof/>
                <w:webHidden/>
              </w:rPr>
              <w:fldChar w:fldCharType="separate"/>
            </w:r>
            <w:r w:rsidR="004E4086">
              <w:rPr>
                <w:noProof/>
                <w:webHidden/>
              </w:rPr>
              <w:t>13</w:t>
            </w:r>
            <w:r w:rsidR="004E4086">
              <w:rPr>
                <w:noProof/>
                <w:webHidden/>
              </w:rPr>
              <w:fldChar w:fldCharType="end"/>
            </w:r>
          </w:hyperlink>
        </w:p>
        <w:p w14:paraId="444F58AF" w14:textId="24A22525" w:rsidR="004E4086" w:rsidRDefault="0006341C" w:rsidP="007C6BD1">
          <w:pPr>
            <w:pStyle w:val="TOC2"/>
            <w:tabs>
              <w:tab w:val="right" w:leader="dot" w:pos="9350"/>
            </w:tabs>
            <w:spacing w:line="360" w:lineRule="auto"/>
            <w:rPr>
              <w:rFonts w:eastAsiaTheme="minorEastAsia"/>
              <w:noProof/>
              <w:lang w:val="en-US"/>
            </w:rPr>
          </w:pPr>
          <w:hyperlink w:anchor="_Toc69159407" w:history="1">
            <w:r w:rsidR="004E4086" w:rsidRPr="00C77746">
              <w:rPr>
                <w:rStyle w:val="Hyperlink"/>
                <w:b/>
                <w:noProof/>
                <w:lang w:val="en-US"/>
              </w:rPr>
              <w:t>Efficiency Ratios:</w:t>
            </w:r>
            <w:r w:rsidR="004E4086">
              <w:rPr>
                <w:noProof/>
                <w:webHidden/>
              </w:rPr>
              <w:tab/>
            </w:r>
            <w:r w:rsidR="00A53CEE">
              <w:rPr>
                <w:noProof/>
                <w:webHidden/>
              </w:rPr>
              <w:t>23</w:t>
            </w:r>
          </w:hyperlink>
        </w:p>
        <w:p w14:paraId="330A05CB" w14:textId="4B0EA0E5" w:rsidR="004E4086" w:rsidRDefault="0006341C" w:rsidP="007C6BD1">
          <w:pPr>
            <w:pStyle w:val="TOC2"/>
            <w:tabs>
              <w:tab w:val="right" w:leader="dot" w:pos="9350"/>
            </w:tabs>
            <w:spacing w:line="360" w:lineRule="auto"/>
            <w:rPr>
              <w:rFonts w:eastAsiaTheme="minorEastAsia"/>
              <w:noProof/>
              <w:lang w:val="en-US"/>
            </w:rPr>
          </w:pPr>
          <w:hyperlink w:anchor="_Toc69159408" w:history="1">
            <w:r w:rsidR="004E4086" w:rsidRPr="00C77746">
              <w:rPr>
                <w:rStyle w:val="Hyperlink"/>
                <w:b/>
                <w:noProof/>
                <w:lang w:val="en-US"/>
              </w:rPr>
              <w:t>Gearing Ratios:</w:t>
            </w:r>
            <w:r w:rsidR="004E4086">
              <w:rPr>
                <w:noProof/>
                <w:webHidden/>
              </w:rPr>
              <w:tab/>
            </w:r>
            <w:r w:rsidR="00A53CEE">
              <w:rPr>
                <w:noProof/>
                <w:webHidden/>
              </w:rPr>
              <w:t>28</w:t>
            </w:r>
          </w:hyperlink>
        </w:p>
        <w:p w14:paraId="228D1CE2" w14:textId="3C93AC0E" w:rsidR="004E4086" w:rsidRDefault="0006341C" w:rsidP="007C6BD1">
          <w:pPr>
            <w:pStyle w:val="TOC1"/>
            <w:tabs>
              <w:tab w:val="right" w:leader="dot" w:pos="9350"/>
            </w:tabs>
            <w:spacing w:line="360" w:lineRule="auto"/>
            <w:rPr>
              <w:rFonts w:eastAsiaTheme="minorEastAsia"/>
              <w:noProof/>
              <w:lang w:val="en-US"/>
            </w:rPr>
          </w:pPr>
          <w:hyperlink w:anchor="_Toc69159409" w:history="1">
            <w:r w:rsidR="004E4086" w:rsidRPr="00C77746">
              <w:rPr>
                <w:rStyle w:val="Hyperlink"/>
                <w:b/>
                <w:noProof/>
                <w:lang w:val="en-US"/>
              </w:rPr>
              <w:t>Part-C: Capital Budgeting Analysis</w:t>
            </w:r>
            <w:r w:rsidR="004E4086">
              <w:rPr>
                <w:noProof/>
                <w:webHidden/>
              </w:rPr>
              <w:tab/>
            </w:r>
            <w:r w:rsidR="00A53CEE">
              <w:rPr>
                <w:noProof/>
                <w:webHidden/>
              </w:rPr>
              <w:t>33</w:t>
            </w:r>
          </w:hyperlink>
        </w:p>
        <w:p w14:paraId="1A99BF4E" w14:textId="5D52086F" w:rsidR="004E4086" w:rsidRDefault="0006341C" w:rsidP="007C6BD1">
          <w:pPr>
            <w:pStyle w:val="TOC2"/>
            <w:tabs>
              <w:tab w:val="left" w:pos="660"/>
              <w:tab w:val="right" w:leader="dot" w:pos="9350"/>
            </w:tabs>
            <w:spacing w:line="360" w:lineRule="auto"/>
            <w:rPr>
              <w:rFonts w:eastAsiaTheme="minorEastAsia"/>
              <w:noProof/>
              <w:lang w:val="en-US"/>
            </w:rPr>
          </w:pPr>
          <w:hyperlink w:anchor="_Toc69159410" w:history="1">
            <w:r w:rsidR="004E4086" w:rsidRPr="00C77746">
              <w:rPr>
                <w:rStyle w:val="Hyperlink"/>
                <w:b/>
                <w:noProof/>
                <w:lang w:val="en-US"/>
              </w:rPr>
              <w:t>1)</w:t>
            </w:r>
            <w:r w:rsidR="004E4086">
              <w:rPr>
                <w:rFonts w:eastAsiaTheme="minorEastAsia"/>
                <w:noProof/>
                <w:lang w:val="en-US"/>
              </w:rPr>
              <w:tab/>
            </w:r>
            <w:r w:rsidR="004E4086" w:rsidRPr="00C77746">
              <w:rPr>
                <w:rStyle w:val="Hyperlink"/>
                <w:b/>
                <w:noProof/>
              </w:rPr>
              <w:t>Calculation of the Payback Period (PBP), Accounting Rate of Return (ARR) and the Net Present Value (NPV) of the project</w:t>
            </w:r>
            <w:r w:rsidR="004E4086">
              <w:rPr>
                <w:noProof/>
                <w:webHidden/>
              </w:rPr>
              <w:tab/>
            </w:r>
            <w:r w:rsidR="00A53CEE">
              <w:rPr>
                <w:noProof/>
                <w:webHidden/>
              </w:rPr>
              <w:t>34</w:t>
            </w:r>
          </w:hyperlink>
        </w:p>
        <w:p w14:paraId="174CC577" w14:textId="6B38263D" w:rsidR="004E4086" w:rsidRDefault="0006341C" w:rsidP="007C6BD1">
          <w:pPr>
            <w:pStyle w:val="TOC2"/>
            <w:tabs>
              <w:tab w:val="left" w:pos="660"/>
              <w:tab w:val="right" w:leader="dot" w:pos="9350"/>
            </w:tabs>
            <w:spacing w:line="360" w:lineRule="auto"/>
            <w:rPr>
              <w:rFonts w:eastAsiaTheme="minorEastAsia"/>
              <w:noProof/>
              <w:lang w:val="en-US"/>
            </w:rPr>
          </w:pPr>
          <w:hyperlink w:anchor="_Toc69159411" w:history="1">
            <w:r w:rsidR="004E4086" w:rsidRPr="00C77746">
              <w:rPr>
                <w:rStyle w:val="Hyperlink"/>
                <w:b/>
                <w:noProof/>
              </w:rPr>
              <w:t>2)</w:t>
            </w:r>
            <w:r w:rsidR="004E4086">
              <w:rPr>
                <w:rFonts w:eastAsiaTheme="minorEastAsia"/>
                <w:noProof/>
                <w:lang w:val="en-US"/>
              </w:rPr>
              <w:tab/>
            </w:r>
            <w:r w:rsidR="004E4086" w:rsidRPr="00C77746">
              <w:rPr>
                <w:rStyle w:val="Hyperlink"/>
                <w:b/>
                <w:noProof/>
              </w:rPr>
              <w:t>Advantages and shortcomings of the PBP, ARR and NPV techniques.</w:t>
            </w:r>
            <w:r w:rsidR="004E4086">
              <w:rPr>
                <w:noProof/>
                <w:webHidden/>
              </w:rPr>
              <w:tab/>
            </w:r>
            <w:r w:rsidR="00A53CEE">
              <w:rPr>
                <w:noProof/>
                <w:webHidden/>
              </w:rPr>
              <w:t>39</w:t>
            </w:r>
          </w:hyperlink>
        </w:p>
        <w:p w14:paraId="77402D8F" w14:textId="173D42E5" w:rsidR="004E4086" w:rsidRDefault="0006341C" w:rsidP="007C6BD1">
          <w:pPr>
            <w:pStyle w:val="TOC1"/>
            <w:tabs>
              <w:tab w:val="right" w:leader="dot" w:pos="9350"/>
            </w:tabs>
            <w:spacing w:line="360" w:lineRule="auto"/>
            <w:rPr>
              <w:noProof/>
            </w:rPr>
          </w:pPr>
          <w:hyperlink w:anchor="_Toc69159412" w:history="1">
            <w:r w:rsidR="004E4086" w:rsidRPr="00C77746">
              <w:rPr>
                <w:rStyle w:val="Hyperlink"/>
                <w:b/>
                <w:noProof/>
                <w:lang w:val="en-US"/>
              </w:rPr>
              <w:t>Conclusion:</w:t>
            </w:r>
            <w:r w:rsidR="004E4086">
              <w:rPr>
                <w:noProof/>
                <w:webHidden/>
              </w:rPr>
              <w:tab/>
            </w:r>
            <w:r w:rsidR="00A53CEE">
              <w:rPr>
                <w:noProof/>
                <w:webHidden/>
              </w:rPr>
              <w:t>42</w:t>
            </w:r>
          </w:hyperlink>
        </w:p>
        <w:p w14:paraId="243BFFB8" w14:textId="4FF99610" w:rsidR="00A53CEE" w:rsidRPr="00A53CEE" w:rsidRDefault="00A53CEE" w:rsidP="00A53CEE">
          <w:r w:rsidRPr="00A53CEE">
            <w:rPr>
              <w:b/>
              <w:bCs/>
            </w:rPr>
            <w:t>References</w:t>
          </w:r>
          <w:r>
            <w:t>:……………………………………………………………………………………………………………………………………………43</w:t>
          </w:r>
        </w:p>
        <w:p w14:paraId="7420C427" w14:textId="77777777" w:rsidR="00580C99" w:rsidRDefault="00580C99" w:rsidP="007C6BD1">
          <w:pPr>
            <w:spacing w:line="360" w:lineRule="auto"/>
          </w:pPr>
          <w:r>
            <w:rPr>
              <w:b/>
              <w:bCs/>
              <w:noProof/>
            </w:rPr>
            <w:fldChar w:fldCharType="end"/>
          </w:r>
        </w:p>
      </w:sdtContent>
    </w:sdt>
    <w:p w14:paraId="2811FA17" w14:textId="77777777" w:rsidR="00D9546D" w:rsidRDefault="00D9546D" w:rsidP="007C6BD1">
      <w:pPr>
        <w:spacing w:line="360" w:lineRule="auto"/>
        <w:jc w:val="both"/>
        <w:rPr>
          <w:rFonts w:ascii="Times New Roman" w:hAnsi="Times New Roman" w:cs="Times New Roman"/>
          <w:sz w:val="24"/>
          <w:szCs w:val="24"/>
          <w:lang w:val="en-US"/>
        </w:rPr>
      </w:pPr>
    </w:p>
    <w:p w14:paraId="54B409D0" w14:textId="77777777" w:rsidR="00D9546D" w:rsidRDefault="00D9546D" w:rsidP="007C6BD1">
      <w:pPr>
        <w:spacing w:line="360" w:lineRule="auto"/>
        <w:jc w:val="both"/>
        <w:rPr>
          <w:rFonts w:ascii="Times New Roman" w:hAnsi="Times New Roman" w:cs="Times New Roman"/>
          <w:sz w:val="24"/>
          <w:szCs w:val="24"/>
          <w:lang w:val="en-US"/>
        </w:rPr>
      </w:pPr>
    </w:p>
    <w:p w14:paraId="19E95904" w14:textId="77777777" w:rsidR="00D9546D" w:rsidRDefault="00D9546D" w:rsidP="007C6BD1">
      <w:pPr>
        <w:spacing w:line="360" w:lineRule="auto"/>
        <w:jc w:val="both"/>
        <w:rPr>
          <w:rFonts w:ascii="Times New Roman" w:hAnsi="Times New Roman" w:cs="Times New Roman"/>
          <w:sz w:val="24"/>
          <w:szCs w:val="24"/>
          <w:lang w:val="en-US"/>
        </w:rPr>
      </w:pPr>
    </w:p>
    <w:p w14:paraId="2808A9E0" w14:textId="77777777" w:rsidR="00D9546D" w:rsidRDefault="00D9546D" w:rsidP="007C6BD1">
      <w:pPr>
        <w:spacing w:line="360" w:lineRule="auto"/>
        <w:jc w:val="both"/>
        <w:rPr>
          <w:rFonts w:ascii="Times New Roman" w:hAnsi="Times New Roman" w:cs="Times New Roman"/>
          <w:sz w:val="24"/>
          <w:szCs w:val="24"/>
          <w:lang w:val="en-US"/>
        </w:rPr>
      </w:pPr>
    </w:p>
    <w:p w14:paraId="6F69AB6C" w14:textId="77777777" w:rsidR="00D9546D" w:rsidRDefault="00D9546D" w:rsidP="007C6BD1">
      <w:pPr>
        <w:spacing w:line="360" w:lineRule="auto"/>
        <w:jc w:val="both"/>
        <w:rPr>
          <w:rFonts w:ascii="Times New Roman" w:hAnsi="Times New Roman" w:cs="Times New Roman"/>
          <w:sz w:val="24"/>
          <w:szCs w:val="24"/>
          <w:lang w:val="en-US"/>
        </w:rPr>
      </w:pPr>
    </w:p>
    <w:p w14:paraId="43E23F27" w14:textId="77777777" w:rsidR="00D9546D" w:rsidRDefault="00D9546D" w:rsidP="007C6BD1">
      <w:pPr>
        <w:spacing w:line="360" w:lineRule="auto"/>
        <w:jc w:val="both"/>
        <w:rPr>
          <w:rFonts w:ascii="Times New Roman" w:hAnsi="Times New Roman" w:cs="Times New Roman"/>
          <w:sz w:val="24"/>
          <w:szCs w:val="24"/>
          <w:lang w:val="en-US"/>
        </w:rPr>
      </w:pPr>
    </w:p>
    <w:p w14:paraId="599D8AD1" w14:textId="77777777" w:rsidR="00D9546D" w:rsidRDefault="00D9546D" w:rsidP="007C6BD1">
      <w:pPr>
        <w:spacing w:line="360" w:lineRule="auto"/>
        <w:jc w:val="both"/>
        <w:rPr>
          <w:rFonts w:ascii="Times New Roman" w:hAnsi="Times New Roman" w:cs="Times New Roman"/>
          <w:sz w:val="24"/>
          <w:szCs w:val="24"/>
          <w:lang w:val="en-US"/>
        </w:rPr>
      </w:pPr>
    </w:p>
    <w:p w14:paraId="478AE6C5" w14:textId="77777777" w:rsidR="00D9546D" w:rsidRDefault="00D9546D" w:rsidP="007C6BD1">
      <w:pPr>
        <w:spacing w:line="360" w:lineRule="auto"/>
        <w:jc w:val="both"/>
        <w:rPr>
          <w:rFonts w:ascii="Times New Roman" w:hAnsi="Times New Roman" w:cs="Times New Roman"/>
          <w:sz w:val="24"/>
          <w:szCs w:val="24"/>
          <w:lang w:val="en-US"/>
        </w:rPr>
      </w:pPr>
    </w:p>
    <w:p w14:paraId="14F34668" w14:textId="77777777" w:rsidR="00D9546D" w:rsidRDefault="00D9546D" w:rsidP="007C6BD1">
      <w:pPr>
        <w:spacing w:line="360" w:lineRule="auto"/>
        <w:jc w:val="both"/>
        <w:rPr>
          <w:rFonts w:ascii="Times New Roman" w:hAnsi="Times New Roman" w:cs="Times New Roman"/>
          <w:sz w:val="24"/>
          <w:szCs w:val="24"/>
          <w:lang w:val="en-US"/>
        </w:rPr>
      </w:pPr>
    </w:p>
    <w:p w14:paraId="53E0B48F" w14:textId="77777777" w:rsidR="00D9546D" w:rsidRPr="00580C99" w:rsidRDefault="00D9546D" w:rsidP="007C6BD1">
      <w:pPr>
        <w:pStyle w:val="Heading1"/>
        <w:spacing w:line="360" w:lineRule="auto"/>
        <w:rPr>
          <w:b/>
          <w:lang w:val="en-US"/>
        </w:rPr>
      </w:pPr>
      <w:bookmarkStart w:id="0" w:name="_Toc69159402"/>
      <w:r w:rsidRPr="00580C99">
        <w:rPr>
          <w:b/>
          <w:lang w:val="en-US"/>
        </w:rPr>
        <w:lastRenderedPageBreak/>
        <w:t>Introduction:</w:t>
      </w:r>
      <w:bookmarkEnd w:id="0"/>
    </w:p>
    <w:p w14:paraId="6E7BB54D" w14:textId="0E414C6F" w:rsidR="00D9546D" w:rsidRDefault="00D9546D" w:rsidP="007C6BD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Financial management is essential for facilitating the financing, investment, working capital and dividend decision of a firm</w:t>
      </w:r>
      <w:r w:rsidR="00185A5B">
        <w:rPr>
          <w:rFonts w:ascii="Times New Roman" w:hAnsi="Times New Roman" w:cs="Times New Roman"/>
          <w:sz w:val="24"/>
          <w:szCs w:val="24"/>
          <w:lang w:val="en-US"/>
        </w:rPr>
        <w:t xml:space="preserve"> (</w:t>
      </w:r>
      <w:r w:rsidR="00185A5B" w:rsidRPr="00185A5B">
        <w:rPr>
          <w:rFonts w:ascii="Times New Roman" w:hAnsi="Times New Roman" w:cs="Times New Roman"/>
          <w:color w:val="222222"/>
          <w:sz w:val="24"/>
          <w:szCs w:val="24"/>
          <w:shd w:val="clear" w:color="auto" w:fill="FFFFFF"/>
        </w:rPr>
        <w:t>Berk</w:t>
      </w:r>
      <w:r w:rsidR="00185A5B">
        <w:rPr>
          <w:rFonts w:ascii="Times New Roman" w:hAnsi="Times New Roman" w:cs="Times New Roman"/>
          <w:color w:val="222222"/>
          <w:sz w:val="24"/>
          <w:szCs w:val="24"/>
          <w:shd w:val="clear" w:color="auto" w:fill="FFFFFF"/>
        </w:rPr>
        <w:t xml:space="preserve"> et al., 2013)</w:t>
      </w:r>
      <w:r>
        <w:rPr>
          <w:rFonts w:ascii="Times New Roman" w:hAnsi="Times New Roman" w:cs="Times New Roman"/>
          <w:sz w:val="24"/>
          <w:szCs w:val="24"/>
          <w:lang w:val="en-US"/>
        </w:rPr>
        <w:t xml:space="preserve">. This report is concerned </w:t>
      </w:r>
      <w:r w:rsidR="00A273B4">
        <w:rPr>
          <w:rFonts w:ascii="Times New Roman" w:hAnsi="Times New Roman" w:cs="Times New Roman"/>
          <w:sz w:val="24"/>
          <w:szCs w:val="24"/>
          <w:lang w:val="en-US"/>
        </w:rPr>
        <w:t xml:space="preserve">within </w:t>
      </w:r>
      <w:r>
        <w:rPr>
          <w:rFonts w:ascii="Times New Roman" w:hAnsi="Times New Roman" w:cs="Times New Roman"/>
          <w:sz w:val="24"/>
          <w:szCs w:val="24"/>
          <w:lang w:val="en-US"/>
        </w:rPr>
        <w:t xml:space="preserve">the financial ratio analysis of Unilever, a global consumer manufacturing giant, for the purpose of assessing the </w:t>
      </w:r>
      <w:r w:rsidR="00A53CEE">
        <w:rPr>
          <w:rFonts w:ascii="Times New Roman" w:hAnsi="Times New Roman" w:cs="Times New Roman"/>
          <w:sz w:val="24"/>
          <w:szCs w:val="24"/>
          <w:lang w:val="en-US"/>
        </w:rPr>
        <w:t>short-term</w:t>
      </w:r>
      <w:r>
        <w:rPr>
          <w:rFonts w:ascii="Times New Roman" w:hAnsi="Times New Roman" w:cs="Times New Roman"/>
          <w:sz w:val="24"/>
          <w:szCs w:val="24"/>
          <w:lang w:val="en-US"/>
        </w:rPr>
        <w:t xml:space="preserve"> solvency, profitability, operating efficient and </w:t>
      </w:r>
      <w:r w:rsidR="001A08A0">
        <w:rPr>
          <w:rFonts w:ascii="Times New Roman" w:hAnsi="Times New Roman" w:cs="Times New Roman"/>
          <w:sz w:val="24"/>
          <w:szCs w:val="24"/>
          <w:lang w:val="en-US"/>
        </w:rPr>
        <w:t>long-term</w:t>
      </w:r>
      <w:r>
        <w:rPr>
          <w:rFonts w:ascii="Times New Roman" w:hAnsi="Times New Roman" w:cs="Times New Roman"/>
          <w:sz w:val="24"/>
          <w:szCs w:val="24"/>
          <w:lang w:val="en-US"/>
        </w:rPr>
        <w:t xml:space="preserve"> solvency of Unilever </w:t>
      </w:r>
      <w:r w:rsidR="00077EE2">
        <w:rPr>
          <w:rFonts w:ascii="Times New Roman" w:hAnsi="Times New Roman" w:cs="Times New Roman"/>
          <w:sz w:val="24"/>
          <w:szCs w:val="24"/>
          <w:lang w:val="en-US"/>
        </w:rPr>
        <w:t xml:space="preserve">within </w:t>
      </w:r>
      <w:r>
        <w:rPr>
          <w:rFonts w:ascii="Times New Roman" w:hAnsi="Times New Roman" w:cs="Times New Roman"/>
          <w:sz w:val="24"/>
          <w:szCs w:val="24"/>
          <w:lang w:val="en-US"/>
        </w:rPr>
        <w:t xml:space="preserve">the last five years. </w:t>
      </w:r>
    </w:p>
    <w:p w14:paraId="1AE745A2" w14:textId="77777777" w:rsidR="00D9546D" w:rsidRDefault="00D9546D" w:rsidP="007C6BD1">
      <w:pPr>
        <w:spacing w:line="360" w:lineRule="auto"/>
        <w:jc w:val="both"/>
        <w:rPr>
          <w:rFonts w:ascii="Times New Roman" w:hAnsi="Times New Roman" w:cs="Times New Roman"/>
          <w:sz w:val="24"/>
          <w:szCs w:val="24"/>
          <w:lang w:val="en-US"/>
        </w:rPr>
      </w:pPr>
    </w:p>
    <w:p w14:paraId="356718AA" w14:textId="77777777" w:rsidR="00D9546D" w:rsidRDefault="00D9546D" w:rsidP="007C6BD1">
      <w:pPr>
        <w:spacing w:line="360" w:lineRule="auto"/>
        <w:jc w:val="both"/>
        <w:rPr>
          <w:rFonts w:ascii="Times New Roman" w:hAnsi="Times New Roman" w:cs="Times New Roman"/>
          <w:sz w:val="24"/>
          <w:szCs w:val="24"/>
          <w:lang w:val="en-US"/>
        </w:rPr>
      </w:pPr>
    </w:p>
    <w:p w14:paraId="4F2A102B" w14:textId="77777777" w:rsidR="00D9546D" w:rsidRDefault="00D9546D" w:rsidP="007C6BD1">
      <w:pPr>
        <w:spacing w:line="360" w:lineRule="auto"/>
        <w:jc w:val="both"/>
        <w:rPr>
          <w:rFonts w:ascii="Times New Roman" w:hAnsi="Times New Roman" w:cs="Times New Roman"/>
          <w:sz w:val="24"/>
          <w:szCs w:val="24"/>
          <w:lang w:val="en-US"/>
        </w:rPr>
      </w:pPr>
    </w:p>
    <w:p w14:paraId="1BBB165E" w14:textId="77777777" w:rsidR="00D9546D" w:rsidRDefault="00D9546D" w:rsidP="007C6BD1">
      <w:pPr>
        <w:spacing w:line="360" w:lineRule="auto"/>
        <w:jc w:val="both"/>
        <w:rPr>
          <w:rFonts w:ascii="Times New Roman" w:hAnsi="Times New Roman" w:cs="Times New Roman"/>
          <w:sz w:val="24"/>
          <w:szCs w:val="24"/>
          <w:lang w:val="en-US"/>
        </w:rPr>
      </w:pPr>
    </w:p>
    <w:p w14:paraId="7355D855" w14:textId="77777777" w:rsidR="00D9546D" w:rsidRDefault="00D9546D" w:rsidP="007C6BD1">
      <w:pPr>
        <w:spacing w:line="360" w:lineRule="auto"/>
        <w:jc w:val="both"/>
        <w:rPr>
          <w:rFonts w:ascii="Times New Roman" w:hAnsi="Times New Roman" w:cs="Times New Roman"/>
          <w:sz w:val="24"/>
          <w:szCs w:val="24"/>
          <w:lang w:val="en-US"/>
        </w:rPr>
      </w:pPr>
    </w:p>
    <w:p w14:paraId="3F5919F5" w14:textId="77777777" w:rsidR="00D9546D" w:rsidRDefault="00D9546D" w:rsidP="007C6BD1">
      <w:pPr>
        <w:spacing w:line="360" w:lineRule="auto"/>
        <w:jc w:val="both"/>
        <w:rPr>
          <w:rFonts w:ascii="Times New Roman" w:hAnsi="Times New Roman" w:cs="Times New Roman"/>
          <w:sz w:val="24"/>
          <w:szCs w:val="24"/>
          <w:lang w:val="en-US"/>
        </w:rPr>
      </w:pPr>
    </w:p>
    <w:p w14:paraId="5845A731" w14:textId="77777777" w:rsidR="00D9546D" w:rsidRDefault="00D9546D" w:rsidP="007C6BD1">
      <w:pPr>
        <w:spacing w:line="360" w:lineRule="auto"/>
        <w:jc w:val="both"/>
        <w:rPr>
          <w:rFonts w:ascii="Times New Roman" w:hAnsi="Times New Roman" w:cs="Times New Roman"/>
          <w:sz w:val="24"/>
          <w:szCs w:val="24"/>
          <w:lang w:val="en-US"/>
        </w:rPr>
      </w:pPr>
    </w:p>
    <w:p w14:paraId="032BDED1" w14:textId="77777777" w:rsidR="00D9546D" w:rsidRDefault="00D9546D" w:rsidP="007C6BD1">
      <w:pPr>
        <w:spacing w:line="360" w:lineRule="auto"/>
        <w:jc w:val="both"/>
        <w:rPr>
          <w:rFonts w:ascii="Times New Roman" w:hAnsi="Times New Roman" w:cs="Times New Roman"/>
          <w:sz w:val="24"/>
          <w:szCs w:val="24"/>
          <w:lang w:val="en-US"/>
        </w:rPr>
      </w:pPr>
    </w:p>
    <w:p w14:paraId="450FAD80" w14:textId="77777777" w:rsidR="00D9546D" w:rsidRDefault="00D9546D" w:rsidP="007C6BD1">
      <w:pPr>
        <w:spacing w:line="360" w:lineRule="auto"/>
        <w:jc w:val="both"/>
        <w:rPr>
          <w:rFonts w:ascii="Times New Roman" w:hAnsi="Times New Roman" w:cs="Times New Roman"/>
          <w:sz w:val="24"/>
          <w:szCs w:val="24"/>
          <w:lang w:val="en-US"/>
        </w:rPr>
      </w:pPr>
    </w:p>
    <w:p w14:paraId="057FDC7A" w14:textId="77777777" w:rsidR="00D9546D" w:rsidRDefault="00D9546D" w:rsidP="007C6BD1">
      <w:pPr>
        <w:spacing w:line="360" w:lineRule="auto"/>
        <w:jc w:val="both"/>
        <w:rPr>
          <w:rFonts w:ascii="Times New Roman" w:hAnsi="Times New Roman" w:cs="Times New Roman"/>
          <w:sz w:val="24"/>
          <w:szCs w:val="24"/>
          <w:lang w:val="en-US"/>
        </w:rPr>
      </w:pPr>
    </w:p>
    <w:p w14:paraId="1539D7B0" w14:textId="77777777" w:rsidR="00D9546D" w:rsidRDefault="00D9546D" w:rsidP="007C6BD1">
      <w:pPr>
        <w:spacing w:line="360" w:lineRule="auto"/>
        <w:jc w:val="both"/>
        <w:rPr>
          <w:rFonts w:ascii="Times New Roman" w:hAnsi="Times New Roman" w:cs="Times New Roman"/>
          <w:sz w:val="24"/>
          <w:szCs w:val="24"/>
          <w:lang w:val="en-US"/>
        </w:rPr>
      </w:pPr>
    </w:p>
    <w:p w14:paraId="67144A96" w14:textId="77777777" w:rsidR="00D9546D" w:rsidRDefault="00D9546D" w:rsidP="007C6BD1">
      <w:pPr>
        <w:spacing w:line="360" w:lineRule="auto"/>
        <w:jc w:val="both"/>
        <w:rPr>
          <w:rFonts w:ascii="Times New Roman" w:hAnsi="Times New Roman" w:cs="Times New Roman"/>
          <w:sz w:val="24"/>
          <w:szCs w:val="24"/>
          <w:lang w:val="en-US"/>
        </w:rPr>
      </w:pPr>
    </w:p>
    <w:p w14:paraId="107E398E" w14:textId="77777777" w:rsidR="00D9546D" w:rsidRDefault="00D9546D" w:rsidP="007C6BD1">
      <w:pPr>
        <w:spacing w:line="360" w:lineRule="auto"/>
        <w:jc w:val="both"/>
        <w:rPr>
          <w:rFonts w:ascii="Times New Roman" w:hAnsi="Times New Roman" w:cs="Times New Roman"/>
          <w:sz w:val="24"/>
          <w:szCs w:val="24"/>
          <w:lang w:val="en-US"/>
        </w:rPr>
      </w:pPr>
    </w:p>
    <w:p w14:paraId="5572C6FD" w14:textId="77777777" w:rsidR="00D9546D" w:rsidRDefault="00D9546D" w:rsidP="007C6BD1">
      <w:pPr>
        <w:spacing w:line="360" w:lineRule="auto"/>
        <w:jc w:val="both"/>
        <w:rPr>
          <w:rFonts w:ascii="Times New Roman" w:hAnsi="Times New Roman" w:cs="Times New Roman"/>
          <w:sz w:val="24"/>
          <w:szCs w:val="24"/>
          <w:lang w:val="en-US"/>
        </w:rPr>
      </w:pPr>
    </w:p>
    <w:p w14:paraId="2F48BFE9" w14:textId="77777777" w:rsidR="00D9546D" w:rsidRDefault="00D9546D" w:rsidP="007C6BD1">
      <w:pPr>
        <w:spacing w:line="360" w:lineRule="auto"/>
        <w:jc w:val="both"/>
        <w:rPr>
          <w:rFonts w:ascii="Times New Roman" w:hAnsi="Times New Roman" w:cs="Times New Roman"/>
          <w:sz w:val="24"/>
          <w:szCs w:val="24"/>
          <w:lang w:val="en-US"/>
        </w:rPr>
      </w:pPr>
    </w:p>
    <w:p w14:paraId="14F72BFB" w14:textId="77777777" w:rsidR="00D9546D" w:rsidRDefault="00D9546D" w:rsidP="007C6BD1">
      <w:pPr>
        <w:spacing w:line="360" w:lineRule="auto"/>
        <w:jc w:val="both"/>
        <w:rPr>
          <w:rFonts w:ascii="Times New Roman" w:hAnsi="Times New Roman" w:cs="Times New Roman"/>
          <w:sz w:val="24"/>
          <w:szCs w:val="24"/>
          <w:lang w:val="en-US"/>
        </w:rPr>
      </w:pPr>
    </w:p>
    <w:p w14:paraId="695F09F5" w14:textId="77777777" w:rsidR="00D9546D" w:rsidRDefault="00D9546D" w:rsidP="007C6BD1">
      <w:pPr>
        <w:spacing w:line="360" w:lineRule="auto"/>
        <w:jc w:val="both"/>
        <w:rPr>
          <w:rFonts w:ascii="Times New Roman" w:hAnsi="Times New Roman" w:cs="Times New Roman"/>
          <w:sz w:val="24"/>
          <w:szCs w:val="24"/>
          <w:lang w:val="en-US"/>
        </w:rPr>
      </w:pPr>
    </w:p>
    <w:p w14:paraId="1DF9657C" w14:textId="77777777" w:rsidR="00D9546D" w:rsidRDefault="00D9546D" w:rsidP="007C6BD1">
      <w:pPr>
        <w:spacing w:line="360" w:lineRule="auto"/>
        <w:jc w:val="both"/>
        <w:rPr>
          <w:rFonts w:ascii="Times New Roman" w:hAnsi="Times New Roman" w:cs="Times New Roman"/>
          <w:sz w:val="24"/>
          <w:szCs w:val="24"/>
          <w:lang w:val="en-US"/>
        </w:rPr>
      </w:pPr>
    </w:p>
    <w:p w14:paraId="1E8C4FF9" w14:textId="40C8931B" w:rsidR="00D9546D" w:rsidRPr="007C6BD1" w:rsidRDefault="00D9546D" w:rsidP="007C6BD1">
      <w:pPr>
        <w:pStyle w:val="Heading1"/>
        <w:spacing w:line="360" w:lineRule="auto"/>
        <w:rPr>
          <w:b/>
          <w:lang w:val="en-US"/>
        </w:rPr>
      </w:pPr>
      <w:bookmarkStart w:id="1" w:name="_Toc69159403"/>
      <w:r w:rsidRPr="00D9546D">
        <w:rPr>
          <w:b/>
          <w:lang w:val="en-US"/>
        </w:rPr>
        <w:lastRenderedPageBreak/>
        <w:t>Part-A: Brief History of Unilever</w:t>
      </w:r>
      <w:bookmarkEnd w:id="1"/>
    </w:p>
    <w:p w14:paraId="07E4CB78" w14:textId="77777777" w:rsidR="00D9546D" w:rsidRDefault="00D9546D" w:rsidP="007C6BD1">
      <w:pPr>
        <w:spacing w:line="360" w:lineRule="auto"/>
        <w:jc w:val="center"/>
        <w:rPr>
          <w:rFonts w:ascii="Times New Roman" w:hAnsi="Times New Roman" w:cs="Times New Roman"/>
          <w:sz w:val="24"/>
          <w:szCs w:val="24"/>
          <w:lang w:val="en-US"/>
        </w:rPr>
      </w:pPr>
      <w:r>
        <w:rPr>
          <w:noProof/>
          <w:lang w:val="en-US"/>
        </w:rPr>
        <w:drawing>
          <wp:inline distT="0" distB="0" distL="0" distR="0" wp14:anchorId="7F42F0E4" wp14:editId="46206884">
            <wp:extent cx="2219325" cy="2219325"/>
            <wp:effectExtent l="0" t="0" r="9525" b="9525"/>
            <wp:docPr id="56" name="Picture 56" descr="Unilever EU Affairs (@UnileverEU)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lever EU Affairs (@UnileverEU) | Twit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19325" cy="2219325"/>
                    </a:xfrm>
                    <a:prstGeom prst="rect">
                      <a:avLst/>
                    </a:prstGeom>
                    <a:noFill/>
                    <a:ln>
                      <a:noFill/>
                    </a:ln>
                  </pic:spPr>
                </pic:pic>
              </a:graphicData>
            </a:graphic>
          </wp:inline>
        </w:drawing>
      </w:r>
    </w:p>
    <w:p w14:paraId="1224F792" w14:textId="475A4FDD" w:rsidR="000E44F4" w:rsidRPr="001771B7" w:rsidRDefault="000E44F4" w:rsidP="007C6BD1">
      <w:pPr>
        <w:spacing w:line="360" w:lineRule="auto"/>
        <w:jc w:val="both"/>
        <w:rPr>
          <w:rFonts w:ascii="Times New Roman" w:hAnsi="Times New Roman" w:cs="Times New Roman"/>
          <w:sz w:val="24"/>
          <w:szCs w:val="24"/>
        </w:rPr>
      </w:pPr>
      <w:r w:rsidRPr="001771B7">
        <w:rPr>
          <w:rFonts w:ascii="Times New Roman" w:hAnsi="Times New Roman" w:cs="Times New Roman"/>
          <w:sz w:val="24"/>
          <w:szCs w:val="24"/>
          <w:lang w:val="en-US"/>
        </w:rPr>
        <w:t xml:space="preserve">Unilever is an Anglo-Dutch multinational </w:t>
      </w:r>
      <w:proofErr w:type="spellStart"/>
      <w:r w:rsidR="00077EE2">
        <w:rPr>
          <w:rFonts w:ascii="Times New Roman" w:hAnsi="Times New Roman" w:cs="Times New Roman"/>
          <w:sz w:val="24"/>
          <w:szCs w:val="24"/>
          <w:lang w:val="en-US"/>
        </w:rPr>
        <w:t>organisation</w:t>
      </w:r>
      <w:proofErr w:type="spellEnd"/>
      <w:r w:rsidR="00077EE2">
        <w:rPr>
          <w:rFonts w:ascii="Times New Roman" w:hAnsi="Times New Roman" w:cs="Times New Roman"/>
          <w:sz w:val="24"/>
          <w:szCs w:val="24"/>
          <w:lang w:val="en-US"/>
        </w:rPr>
        <w:t xml:space="preserve"> </w:t>
      </w:r>
      <w:r w:rsidRPr="001771B7">
        <w:rPr>
          <w:rFonts w:ascii="Times New Roman" w:hAnsi="Times New Roman" w:cs="Times New Roman"/>
          <w:sz w:val="24"/>
          <w:szCs w:val="24"/>
          <w:lang w:val="en-US"/>
        </w:rPr>
        <w:t xml:space="preserve">established in 1929 </w:t>
      </w:r>
      <w:r w:rsidRPr="001771B7">
        <w:rPr>
          <w:rFonts w:ascii="Times New Roman" w:hAnsi="Times New Roman" w:cs="Times New Roman"/>
          <w:color w:val="202122"/>
          <w:sz w:val="24"/>
          <w:szCs w:val="24"/>
          <w:shd w:val="clear" w:color="auto" w:fill="FFFFFF"/>
        </w:rPr>
        <w:t xml:space="preserve">by the merger of Dutch Margarine manufacturing company named </w:t>
      </w:r>
      <w:proofErr w:type="spellStart"/>
      <w:r w:rsidRPr="000E44F4">
        <w:rPr>
          <w:rFonts w:ascii="Times New Roman" w:hAnsi="Times New Roman" w:cs="Times New Roman"/>
          <w:bCs/>
          <w:color w:val="202122"/>
          <w:sz w:val="24"/>
          <w:szCs w:val="24"/>
          <w:shd w:val="clear" w:color="auto" w:fill="FFFFFF"/>
        </w:rPr>
        <w:t>Naamloze</w:t>
      </w:r>
      <w:proofErr w:type="spellEnd"/>
      <w:r w:rsidRPr="000E44F4">
        <w:rPr>
          <w:rFonts w:ascii="Times New Roman" w:hAnsi="Times New Roman" w:cs="Times New Roman"/>
          <w:bCs/>
          <w:color w:val="202122"/>
          <w:sz w:val="24"/>
          <w:szCs w:val="24"/>
          <w:shd w:val="clear" w:color="auto" w:fill="FFFFFF"/>
        </w:rPr>
        <w:t xml:space="preserve"> </w:t>
      </w:r>
      <w:proofErr w:type="spellStart"/>
      <w:r w:rsidRPr="000E44F4">
        <w:rPr>
          <w:rFonts w:ascii="Times New Roman" w:hAnsi="Times New Roman" w:cs="Times New Roman"/>
          <w:bCs/>
          <w:color w:val="202122"/>
          <w:sz w:val="24"/>
          <w:szCs w:val="24"/>
          <w:shd w:val="clear" w:color="auto" w:fill="FFFFFF"/>
        </w:rPr>
        <w:t>Vennootschap</w:t>
      </w:r>
      <w:proofErr w:type="spellEnd"/>
      <w:r w:rsidRPr="000E44F4">
        <w:rPr>
          <w:rFonts w:ascii="Times New Roman" w:hAnsi="Times New Roman" w:cs="Times New Roman"/>
          <w:bCs/>
          <w:color w:val="202122"/>
          <w:sz w:val="24"/>
          <w:szCs w:val="24"/>
          <w:shd w:val="clear" w:color="auto" w:fill="FFFFFF"/>
        </w:rPr>
        <w:t xml:space="preserve"> Margarine </w:t>
      </w:r>
      <w:proofErr w:type="spellStart"/>
      <w:r w:rsidRPr="000E44F4">
        <w:rPr>
          <w:rFonts w:ascii="Times New Roman" w:hAnsi="Times New Roman" w:cs="Times New Roman"/>
          <w:bCs/>
          <w:color w:val="202122"/>
          <w:sz w:val="24"/>
          <w:szCs w:val="24"/>
          <w:shd w:val="clear" w:color="auto" w:fill="FFFFFF"/>
        </w:rPr>
        <w:t>Unie</w:t>
      </w:r>
      <w:proofErr w:type="spellEnd"/>
      <w:r w:rsidRPr="000E44F4">
        <w:rPr>
          <w:rFonts w:ascii="Times New Roman" w:hAnsi="Times New Roman" w:cs="Times New Roman"/>
          <w:bCs/>
          <w:color w:val="202122"/>
          <w:sz w:val="24"/>
          <w:szCs w:val="24"/>
          <w:shd w:val="clear" w:color="auto" w:fill="FFFFFF"/>
        </w:rPr>
        <w:t xml:space="preserve"> and</w:t>
      </w:r>
      <w:r w:rsidRPr="001771B7">
        <w:rPr>
          <w:rFonts w:ascii="Times New Roman" w:hAnsi="Times New Roman" w:cs="Times New Roman"/>
          <w:color w:val="202122"/>
          <w:sz w:val="24"/>
          <w:szCs w:val="24"/>
          <w:shd w:val="clear" w:color="auto" w:fill="FFFFFF"/>
        </w:rPr>
        <w:t xml:space="preserve"> British Soap making company named </w:t>
      </w:r>
      <w:r>
        <w:rPr>
          <w:rFonts w:ascii="Times New Roman" w:hAnsi="Times New Roman" w:cs="Times New Roman"/>
          <w:sz w:val="24"/>
          <w:szCs w:val="24"/>
        </w:rPr>
        <w:t xml:space="preserve">Lever Brothers. </w:t>
      </w:r>
      <w:r w:rsidRPr="001771B7">
        <w:rPr>
          <w:rFonts w:ascii="Times New Roman" w:hAnsi="Times New Roman" w:cs="Times New Roman"/>
          <w:sz w:val="24"/>
          <w:szCs w:val="24"/>
        </w:rPr>
        <w:t xml:space="preserve"> Since its establishment, Unilever was heavily involved </w:t>
      </w:r>
      <w:r w:rsidR="00F2416A">
        <w:rPr>
          <w:rFonts w:ascii="Times New Roman" w:hAnsi="Times New Roman" w:cs="Times New Roman"/>
          <w:sz w:val="24"/>
          <w:szCs w:val="24"/>
        </w:rPr>
        <w:t xml:space="preserve">within </w:t>
      </w:r>
      <w:r w:rsidRPr="001771B7">
        <w:rPr>
          <w:rFonts w:ascii="Times New Roman" w:hAnsi="Times New Roman" w:cs="Times New Roman"/>
          <w:sz w:val="24"/>
          <w:szCs w:val="24"/>
        </w:rPr>
        <w:t>the soap and oil industry till the 1970</w:t>
      </w:r>
      <w:r w:rsidR="00185A5B">
        <w:rPr>
          <w:rFonts w:ascii="Times New Roman" w:hAnsi="Times New Roman" w:cs="Times New Roman"/>
          <w:sz w:val="24"/>
          <w:szCs w:val="24"/>
        </w:rPr>
        <w:t xml:space="preserve"> </w:t>
      </w:r>
      <w:r w:rsidR="00185A5B" w:rsidRPr="00185A5B">
        <w:rPr>
          <w:rFonts w:ascii="Times New Roman" w:hAnsi="Times New Roman" w:cs="Times New Roman"/>
          <w:sz w:val="24"/>
          <w:szCs w:val="24"/>
        </w:rPr>
        <w:t>(Unilever global company website | Unilever Global ..., n.d.)</w:t>
      </w:r>
      <w:r w:rsidRPr="001771B7">
        <w:rPr>
          <w:rFonts w:ascii="Times New Roman" w:hAnsi="Times New Roman" w:cs="Times New Roman"/>
          <w:sz w:val="24"/>
          <w:szCs w:val="24"/>
        </w:rPr>
        <w:t xml:space="preserve">. Since then, the company has expanded its business operation </w:t>
      </w:r>
      <w:r w:rsidR="00F2416A">
        <w:rPr>
          <w:rFonts w:ascii="Times New Roman" w:hAnsi="Times New Roman" w:cs="Times New Roman"/>
          <w:sz w:val="24"/>
          <w:szCs w:val="24"/>
        </w:rPr>
        <w:t xml:space="preserve">within </w:t>
      </w:r>
      <w:r w:rsidRPr="001771B7">
        <w:rPr>
          <w:rFonts w:ascii="Times New Roman" w:hAnsi="Times New Roman" w:cs="Times New Roman"/>
          <w:sz w:val="24"/>
          <w:szCs w:val="24"/>
        </w:rPr>
        <w:t xml:space="preserve">international market with major acquisition of Lipton in 1971, Brooke Bond in 1984, </w:t>
      </w:r>
      <w:proofErr w:type="spellStart"/>
      <w:r w:rsidRPr="000E44F4">
        <w:rPr>
          <w:rFonts w:ascii="Times New Roman" w:hAnsi="Times New Roman" w:cs="Times New Roman"/>
          <w:sz w:val="24"/>
          <w:szCs w:val="24"/>
          <w:shd w:val="clear" w:color="auto" w:fill="FFFFFF"/>
        </w:rPr>
        <w:t>Chesebrough-Ponds</w:t>
      </w:r>
      <w:proofErr w:type="spellEnd"/>
      <w:r w:rsidRPr="000E44F4">
        <w:rPr>
          <w:rFonts w:ascii="Times New Roman" w:hAnsi="Times New Roman" w:cs="Times New Roman"/>
          <w:sz w:val="24"/>
          <w:szCs w:val="24"/>
          <w:shd w:val="clear" w:color="auto" w:fill="FFFFFF"/>
        </w:rPr>
        <w:t xml:space="preserve"> in 1987, Best Food in 2000 and many other companies to expand its business operation aggressively throughout the Globe.</w:t>
      </w:r>
      <w:r w:rsidRPr="001771B7">
        <w:rPr>
          <w:rFonts w:ascii="Times New Roman" w:hAnsi="Times New Roman" w:cs="Times New Roman"/>
          <w:color w:val="202122"/>
          <w:sz w:val="24"/>
          <w:szCs w:val="24"/>
          <w:shd w:val="clear" w:color="auto" w:fill="FFFFFF"/>
        </w:rPr>
        <w:t xml:space="preserve"> </w:t>
      </w:r>
      <w:r w:rsidRPr="001771B7">
        <w:rPr>
          <w:rFonts w:ascii="Times New Roman" w:hAnsi="Times New Roman" w:cs="Times New Roman"/>
          <w:sz w:val="24"/>
          <w:szCs w:val="24"/>
        </w:rPr>
        <w:t xml:space="preserve">Unilever has been able to stretch its business operation into more than 190 countries with more than 400 brands. The successful brands of Unilever </w:t>
      </w:r>
      <w:r w:rsidR="00A53CEE" w:rsidRPr="001771B7">
        <w:rPr>
          <w:rFonts w:ascii="Times New Roman" w:hAnsi="Times New Roman" w:cs="Times New Roman"/>
          <w:sz w:val="24"/>
          <w:szCs w:val="24"/>
        </w:rPr>
        <w:t>are</w:t>
      </w:r>
      <w:r w:rsidRPr="001771B7">
        <w:rPr>
          <w:rFonts w:ascii="Times New Roman" w:hAnsi="Times New Roman" w:cs="Times New Roman"/>
          <w:sz w:val="24"/>
          <w:szCs w:val="24"/>
        </w:rPr>
        <w:t xml:space="preserve"> shown below:</w:t>
      </w:r>
    </w:p>
    <w:p w14:paraId="72C1AA0D" w14:textId="77777777" w:rsidR="00185A5B" w:rsidRDefault="000E44F4" w:rsidP="00185A5B">
      <w:pPr>
        <w:keepNext/>
        <w:spacing w:line="360" w:lineRule="auto"/>
        <w:jc w:val="both"/>
      </w:pPr>
      <w:r w:rsidRPr="001771B7">
        <w:rPr>
          <w:rFonts w:ascii="Times New Roman" w:hAnsi="Times New Roman" w:cs="Times New Roman"/>
          <w:noProof/>
          <w:sz w:val="24"/>
          <w:szCs w:val="24"/>
          <w:lang w:val="en-US"/>
        </w:rPr>
        <w:lastRenderedPageBreak/>
        <w:drawing>
          <wp:inline distT="0" distB="0" distL="0" distR="0" wp14:anchorId="64567C5F" wp14:editId="64EE4258">
            <wp:extent cx="5943600" cy="3206629"/>
            <wp:effectExtent l="0" t="0" r="0" b="0"/>
            <wp:docPr id="40" name="Picture 40" descr="Unilever | condom coll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lever | condom collectiv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206629"/>
                    </a:xfrm>
                    <a:prstGeom prst="rect">
                      <a:avLst/>
                    </a:prstGeom>
                    <a:noFill/>
                    <a:ln>
                      <a:noFill/>
                    </a:ln>
                  </pic:spPr>
                </pic:pic>
              </a:graphicData>
            </a:graphic>
          </wp:inline>
        </w:drawing>
      </w:r>
    </w:p>
    <w:p w14:paraId="6D3133CB" w14:textId="6BA6CA9F" w:rsidR="000E44F4" w:rsidRPr="001771B7" w:rsidRDefault="00185A5B" w:rsidP="00185A5B">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185A5B">
        <w:t>(Unilever global company website | Unilever Global ..., n.d.)</w:t>
      </w:r>
    </w:p>
    <w:p w14:paraId="139CDA86" w14:textId="696A9BCC" w:rsidR="000E44F4" w:rsidRPr="001771B7" w:rsidRDefault="000E44F4" w:rsidP="007C6BD1">
      <w:pPr>
        <w:spacing w:line="360" w:lineRule="auto"/>
        <w:jc w:val="both"/>
        <w:rPr>
          <w:rFonts w:ascii="Times New Roman" w:hAnsi="Times New Roman" w:cs="Times New Roman"/>
          <w:sz w:val="24"/>
          <w:szCs w:val="24"/>
        </w:rPr>
      </w:pPr>
      <w:r w:rsidRPr="001771B7">
        <w:rPr>
          <w:rFonts w:ascii="Times New Roman" w:hAnsi="Times New Roman" w:cs="Times New Roman"/>
          <w:sz w:val="24"/>
          <w:szCs w:val="24"/>
        </w:rPr>
        <w:t xml:space="preserve">The legal structure of Unilever can be divided </w:t>
      </w:r>
      <w:r w:rsidR="007C2908">
        <w:rPr>
          <w:rFonts w:ascii="Times New Roman" w:hAnsi="Times New Roman" w:cs="Times New Roman"/>
          <w:sz w:val="24"/>
          <w:szCs w:val="24"/>
        </w:rPr>
        <w:t xml:space="preserve">within </w:t>
      </w:r>
      <w:r w:rsidRPr="001771B7">
        <w:rPr>
          <w:rFonts w:ascii="Times New Roman" w:hAnsi="Times New Roman" w:cs="Times New Roman"/>
          <w:sz w:val="24"/>
          <w:szCs w:val="24"/>
        </w:rPr>
        <w:t xml:space="preserve">two branches as Unilever Plc headquartered in London, UK and Unilever NV headquartered in Rotterdam, </w:t>
      </w:r>
      <w:r>
        <w:rPr>
          <w:rFonts w:ascii="Times New Roman" w:hAnsi="Times New Roman" w:cs="Times New Roman"/>
          <w:sz w:val="24"/>
          <w:szCs w:val="24"/>
        </w:rPr>
        <w:t>Netherlands</w:t>
      </w:r>
      <w:r w:rsidRPr="001771B7">
        <w:rPr>
          <w:rFonts w:ascii="Times New Roman" w:hAnsi="Times New Roman" w:cs="Times New Roman"/>
          <w:sz w:val="24"/>
          <w:szCs w:val="24"/>
        </w:rPr>
        <w:t>. The company has announced to merge its two legal structure into one single</w:t>
      </w:r>
      <w:r>
        <w:rPr>
          <w:rFonts w:ascii="Times New Roman" w:hAnsi="Times New Roman" w:cs="Times New Roman"/>
          <w:sz w:val="24"/>
          <w:szCs w:val="24"/>
        </w:rPr>
        <w:t xml:space="preserve"> business</w:t>
      </w:r>
      <w:r w:rsidRPr="001771B7">
        <w:rPr>
          <w:rFonts w:ascii="Times New Roman" w:hAnsi="Times New Roman" w:cs="Times New Roman"/>
          <w:sz w:val="24"/>
          <w:szCs w:val="24"/>
        </w:rPr>
        <w:t xml:space="preserve"> entity in </w:t>
      </w:r>
      <w:r w:rsidR="001A08A0" w:rsidRPr="001771B7">
        <w:rPr>
          <w:rFonts w:ascii="Times New Roman" w:hAnsi="Times New Roman" w:cs="Times New Roman"/>
          <w:sz w:val="24"/>
          <w:szCs w:val="24"/>
        </w:rPr>
        <w:t>June</w:t>
      </w:r>
      <w:r w:rsidRPr="001771B7">
        <w:rPr>
          <w:rFonts w:ascii="Times New Roman" w:hAnsi="Times New Roman" w:cs="Times New Roman"/>
          <w:sz w:val="24"/>
          <w:szCs w:val="24"/>
        </w:rPr>
        <w:t xml:space="preserve"> 2020 and the sole headquarter of the global consumer giant will be the London Office</w:t>
      </w:r>
      <w:r w:rsidR="00185A5B">
        <w:rPr>
          <w:rFonts w:ascii="Times New Roman" w:hAnsi="Times New Roman" w:cs="Times New Roman"/>
          <w:sz w:val="24"/>
          <w:szCs w:val="24"/>
        </w:rPr>
        <w:t xml:space="preserve"> </w:t>
      </w:r>
      <w:r w:rsidR="00185A5B" w:rsidRPr="00185A5B">
        <w:rPr>
          <w:rFonts w:ascii="Times New Roman" w:hAnsi="Times New Roman" w:cs="Times New Roman"/>
          <w:sz w:val="24"/>
          <w:szCs w:val="24"/>
        </w:rPr>
        <w:t>(Unilever picks London as its home over Rotterdam ..., n.d.)</w:t>
      </w:r>
      <w:r w:rsidRPr="001771B7">
        <w:rPr>
          <w:rFonts w:ascii="Times New Roman" w:hAnsi="Times New Roman" w:cs="Times New Roman"/>
          <w:sz w:val="24"/>
          <w:szCs w:val="24"/>
        </w:rPr>
        <w:t xml:space="preserve">. The company is listed company in multiple stock exchanges as the company is listed in the London Stock Exchange as well as Euronext Amsterdam and has listed in the New York Stock Exchange. </w:t>
      </w:r>
    </w:p>
    <w:p w14:paraId="03781030" w14:textId="77777777" w:rsidR="000E44F4" w:rsidRPr="001771B7" w:rsidRDefault="000E44F4" w:rsidP="007C6BD1">
      <w:pPr>
        <w:spacing w:line="360" w:lineRule="auto"/>
        <w:jc w:val="both"/>
        <w:rPr>
          <w:rFonts w:ascii="Times New Roman" w:hAnsi="Times New Roman" w:cs="Times New Roman"/>
          <w:sz w:val="24"/>
          <w:szCs w:val="24"/>
        </w:rPr>
      </w:pPr>
      <w:r w:rsidRPr="001771B7">
        <w:rPr>
          <w:rFonts w:ascii="Times New Roman" w:hAnsi="Times New Roman" w:cs="Times New Roman"/>
          <w:sz w:val="24"/>
          <w:szCs w:val="24"/>
        </w:rPr>
        <w:t xml:space="preserve">All the brands of Unilever can be divided into four product portfolios which are </w:t>
      </w:r>
    </w:p>
    <w:p w14:paraId="3011BC2F" w14:textId="77777777" w:rsidR="000E44F4" w:rsidRPr="001771B7" w:rsidRDefault="000E44F4" w:rsidP="007C6BD1">
      <w:pPr>
        <w:pStyle w:val="ListParagraph"/>
        <w:numPr>
          <w:ilvl w:val="0"/>
          <w:numId w:val="7"/>
        </w:numPr>
        <w:spacing w:line="360" w:lineRule="auto"/>
        <w:jc w:val="both"/>
        <w:rPr>
          <w:rFonts w:ascii="Times New Roman" w:hAnsi="Times New Roman" w:cs="Times New Roman"/>
          <w:sz w:val="24"/>
          <w:szCs w:val="24"/>
        </w:rPr>
      </w:pPr>
      <w:r w:rsidRPr="001771B7">
        <w:rPr>
          <w:rFonts w:ascii="Times New Roman" w:hAnsi="Times New Roman" w:cs="Times New Roman"/>
          <w:sz w:val="24"/>
          <w:szCs w:val="24"/>
        </w:rPr>
        <w:t>Food division</w:t>
      </w:r>
    </w:p>
    <w:p w14:paraId="336D1A23" w14:textId="77777777" w:rsidR="000E44F4" w:rsidRPr="001771B7" w:rsidRDefault="000E44F4" w:rsidP="007C6BD1">
      <w:pPr>
        <w:pStyle w:val="ListParagraph"/>
        <w:numPr>
          <w:ilvl w:val="0"/>
          <w:numId w:val="7"/>
        </w:numPr>
        <w:spacing w:line="360" w:lineRule="auto"/>
        <w:jc w:val="both"/>
        <w:rPr>
          <w:rFonts w:ascii="Times New Roman" w:hAnsi="Times New Roman" w:cs="Times New Roman"/>
          <w:sz w:val="24"/>
          <w:szCs w:val="24"/>
        </w:rPr>
      </w:pPr>
      <w:r w:rsidRPr="001771B7">
        <w:rPr>
          <w:rFonts w:ascii="Times New Roman" w:hAnsi="Times New Roman" w:cs="Times New Roman"/>
          <w:sz w:val="24"/>
          <w:szCs w:val="24"/>
        </w:rPr>
        <w:t>Refreshment division</w:t>
      </w:r>
    </w:p>
    <w:p w14:paraId="7B9079FE" w14:textId="77777777" w:rsidR="000E44F4" w:rsidRPr="001771B7" w:rsidRDefault="000E44F4" w:rsidP="007C6BD1">
      <w:pPr>
        <w:pStyle w:val="ListParagraph"/>
        <w:numPr>
          <w:ilvl w:val="0"/>
          <w:numId w:val="7"/>
        </w:numPr>
        <w:spacing w:line="360" w:lineRule="auto"/>
        <w:jc w:val="both"/>
        <w:rPr>
          <w:rFonts w:ascii="Times New Roman" w:hAnsi="Times New Roman" w:cs="Times New Roman"/>
          <w:sz w:val="24"/>
          <w:szCs w:val="24"/>
        </w:rPr>
      </w:pPr>
      <w:r w:rsidRPr="001771B7">
        <w:rPr>
          <w:rFonts w:ascii="Times New Roman" w:hAnsi="Times New Roman" w:cs="Times New Roman"/>
          <w:sz w:val="24"/>
          <w:szCs w:val="24"/>
        </w:rPr>
        <w:t xml:space="preserve">Homecare division. </w:t>
      </w:r>
    </w:p>
    <w:p w14:paraId="70A4F7D6" w14:textId="77777777" w:rsidR="000E44F4" w:rsidRPr="001771B7" w:rsidRDefault="000E44F4" w:rsidP="007C6BD1">
      <w:pPr>
        <w:pStyle w:val="ListParagraph"/>
        <w:numPr>
          <w:ilvl w:val="0"/>
          <w:numId w:val="7"/>
        </w:numPr>
        <w:spacing w:line="360" w:lineRule="auto"/>
        <w:jc w:val="both"/>
        <w:rPr>
          <w:rFonts w:ascii="Times New Roman" w:hAnsi="Times New Roman" w:cs="Times New Roman"/>
          <w:sz w:val="24"/>
          <w:szCs w:val="24"/>
        </w:rPr>
      </w:pPr>
      <w:r w:rsidRPr="001771B7">
        <w:rPr>
          <w:rFonts w:ascii="Times New Roman" w:hAnsi="Times New Roman" w:cs="Times New Roman"/>
          <w:sz w:val="24"/>
          <w:szCs w:val="24"/>
        </w:rPr>
        <w:t>Beauty &amp; Personal Care division.</w:t>
      </w:r>
    </w:p>
    <w:p w14:paraId="03C4C29C" w14:textId="77777777" w:rsidR="000E44F4" w:rsidRPr="001771B7" w:rsidRDefault="000E44F4" w:rsidP="007C6BD1">
      <w:pPr>
        <w:spacing w:line="360" w:lineRule="auto"/>
        <w:jc w:val="both"/>
        <w:rPr>
          <w:rFonts w:ascii="Times New Roman" w:hAnsi="Times New Roman" w:cs="Times New Roman"/>
          <w:sz w:val="24"/>
          <w:szCs w:val="24"/>
        </w:rPr>
      </w:pPr>
      <w:r w:rsidRPr="001771B7">
        <w:rPr>
          <w:rFonts w:ascii="Times New Roman" w:hAnsi="Times New Roman" w:cs="Times New Roman"/>
          <w:sz w:val="24"/>
          <w:szCs w:val="24"/>
        </w:rPr>
        <w:t xml:space="preserve">The annual sales turnover for the company was 51 Billion in 2020. Though the company owns more than 400 brands, 15% of the sales revenue comes from the thirteen brands such as Sun silk, Dove, Lipton, Lux, and Magnum.  Though the company has business operation in more than 190 </w:t>
      </w:r>
      <w:r w:rsidRPr="001771B7">
        <w:rPr>
          <w:rFonts w:ascii="Times New Roman" w:hAnsi="Times New Roman" w:cs="Times New Roman"/>
          <w:sz w:val="24"/>
          <w:szCs w:val="24"/>
        </w:rPr>
        <w:lastRenderedPageBreak/>
        <w:t xml:space="preserve">countries, 56% of the global sales revenue stems from the developing and emerging economies of the world. </w:t>
      </w:r>
    </w:p>
    <w:p w14:paraId="2E6A8382" w14:textId="2CA6F18D" w:rsidR="000E44F4" w:rsidRPr="001771B7" w:rsidRDefault="000E44F4" w:rsidP="007C6BD1">
      <w:pPr>
        <w:spacing w:line="360" w:lineRule="auto"/>
        <w:jc w:val="both"/>
        <w:rPr>
          <w:rFonts w:ascii="Times New Roman" w:hAnsi="Times New Roman" w:cs="Times New Roman"/>
          <w:sz w:val="24"/>
          <w:szCs w:val="24"/>
        </w:rPr>
      </w:pPr>
      <w:r w:rsidRPr="001771B7">
        <w:rPr>
          <w:rFonts w:ascii="Times New Roman" w:hAnsi="Times New Roman" w:cs="Times New Roman"/>
          <w:sz w:val="24"/>
          <w:szCs w:val="24"/>
        </w:rPr>
        <w:t xml:space="preserve">The business model of Unilever can be </w:t>
      </w:r>
      <w:r w:rsidR="00B74EB5">
        <w:rPr>
          <w:rFonts w:ascii="Times New Roman" w:hAnsi="Times New Roman" w:cs="Times New Roman"/>
          <w:sz w:val="24"/>
          <w:szCs w:val="24"/>
        </w:rPr>
        <w:t xml:space="preserve">characterised </w:t>
      </w:r>
      <w:r w:rsidRPr="001771B7">
        <w:rPr>
          <w:rFonts w:ascii="Times New Roman" w:hAnsi="Times New Roman" w:cs="Times New Roman"/>
          <w:sz w:val="24"/>
          <w:szCs w:val="24"/>
        </w:rPr>
        <w:t>as Business to Consumer model where the company sell its products to the consumers with the help of marketing intermediaries. The business model of Unilever is shown below:</w:t>
      </w:r>
    </w:p>
    <w:p w14:paraId="16BA0765" w14:textId="77777777" w:rsidR="00185A5B" w:rsidRDefault="000E44F4" w:rsidP="00185A5B">
      <w:pPr>
        <w:keepNext/>
        <w:spacing w:line="360" w:lineRule="auto"/>
        <w:jc w:val="center"/>
      </w:pPr>
      <w:r w:rsidRPr="001771B7">
        <w:rPr>
          <w:rFonts w:ascii="Times New Roman" w:hAnsi="Times New Roman" w:cs="Times New Roman"/>
          <w:noProof/>
          <w:sz w:val="24"/>
          <w:szCs w:val="24"/>
          <w:lang w:val="en-US"/>
        </w:rPr>
        <w:drawing>
          <wp:inline distT="0" distB="0" distL="0" distR="0" wp14:anchorId="23741126" wp14:editId="36C296DA">
            <wp:extent cx="5229225" cy="3712415"/>
            <wp:effectExtent l="0" t="0" r="0" b="254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34612" cy="3716239"/>
                    </a:xfrm>
                    <a:prstGeom prst="rect">
                      <a:avLst/>
                    </a:prstGeom>
                    <a:noFill/>
                    <a:ln>
                      <a:noFill/>
                    </a:ln>
                  </pic:spPr>
                </pic:pic>
              </a:graphicData>
            </a:graphic>
          </wp:inline>
        </w:drawing>
      </w:r>
    </w:p>
    <w:p w14:paraId="4743EBD7" w14:textId="51D9F296" w:rsidR="000E44F4" w:rsidRPr="001771B7" w:rsidRDefault="00185A5B" w:rsidP="00185A5B">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453689">
        <w:t>(Unilever global company website | Unilever Global ..., n.d.)</w:t>
      </w:r>
    </w:p>
    <w:p w14:paraId="13BB7A3D" w14:textId="07ECF608" w:rsidR="000E44F4" w:rsidRPr="001771B7" w:rsidRDefault="000E44F4" w:rsidP="007C6BD1">
      <w:pPr>
        <w:spacing w:line="360" w:lineRule="auto"/>
        <w:jc w:val="both"/>
        <w:rPr>
          <w:rFonts w:ascii="Times New Roman" w:hAnsi="Times New Roman" w:cs="Times New Roman"/>
          <w:sz w:val="24"/>
          <w:szCs w:val="24"/>
        </w:rPr>
      </w:pPr>
      <w:r w:rsidRPr="001771B7">
        <w:rPr>
          <w:rFonts w:ascii="Times New Roman" w:hAnsi="Times New Roman" w:cs="Times New Roman"/>
          <w:sz w:val="24"/>
          <w:szCs w:val="24"/>
        </w:rPr>
        <w:t xml:space="preserve">The business model of Unilever is heavily </w:t>
      </w:r>
      <w:r w:rsidR="001031CA" w:rsidRPr="001771B7">
        <w:rPr>
          <w:rFonts w:ascii="Times New Roman" w:hAnsi="Times New Roman" w:cs="Times New Roman"/>
          <w:sz w:val="24"/>
          <w:szCs w:val="24"/>
        </w:rPr>
        <w:t>relying</w:t>
      </w:r>
      <w:r w:rsidRPr="001771B7">
        <w:rPr>
          <w:rFonts w:ascii="Times New Roman" w:hAnsi="Times New Roman" w:cs="Times New Roman"/>
          <w:sz w:val="24"/>
          <w:szCs w:val="24"/>
        </w:rPr>
        <w:t xml:space="preserve"> on the deep understanding </w:t>
      </w:r>
      <w:r w:rsidR="00E636AA">
        <w:rPr>
          <w:rFonts w:ascii="Times New Roman" w:hAnsi="Times New Roman" w:cs="Times New Roman"/>
          <w:sz w:val="24"/>
          <w:szCs w:val="24"/>
        </w:rPr>
        <w:t>for the</w:t>
      </w:r>
      <w:r w:rsidRPr="001771B7">
        <w:rPr>
          <w:rFonts w:ascii="Times New Roman" w:hAnsi="Times New Roman" w:cs="Times New Roman"/>
          <w:sz w:val="24"/>
          <w:szCs w:val="24"/>
        </w:rPr>
        <w:t xml:space="preserve"> needs and wants of consumers. Thus, Unilever heavily relies on the intermediaries and extensive marketing campaigns as well as research &amp; development activities </w:t>
      </w:r>
      <w:r w:rsidR="00D26B42">
        <w:rPr>
          <w:rFonts w:ascii="Times New Roman" w:hAnsi="Times New Roman" w:cs="Times New Roman"/>
          <w:sz w:val="24"/>
          <w:szCs w:val="24"/>
        </w:rPr>
        <w:t>in order</w:t>
      </w:r>
      <w:r w:rsidR="008134A6">
        <w:rPr>
          <w:rFonts w:ascii="Times New Roman" w:hAnsi="Times New Roman" w:cs="Times New Roman"/>
          <w:sz w:val="24"/>
          <w:szCs w:val="24"/>
        </w:rPr>
        <w:t xml:space="preserve"> to</w:t>
      </w:r>
      <w:r w:rsidRPr="001771B7">
        <w:rPr>
          <w:rFonts w:ascii="Times New Roman" w:hAnsi="Times New Roman" w:cs="Times New Roman"/>
          <w:sz w:val="24"/>
          <w:szCs w:val="24"/>
        </w:rPr>
        <w:t xml:space="preserve"> gain</w:t>
      </w:r>
      <w:r w:rsidR="008134A6">
        <w:rPr>
          <w:rFonts w:ascii="Times New Roman" w:hAnsi="Times New Roman" w:cs="Times New Roman"/>
          <w:sz w:val="24"/>
          <w:szCs w:val="24"/>
        </w:rPr>
        <w:t xml:space="preserve"> a</w:t>
      </w:r>
      <w:r w:rsidRPr="001771B7">
        <w:rPr>
          <w:rFonts w:ascii="Times New Roman" w:hAnsi="Times New Roman" w:cs="Times New Roman"/>
          <w:sz w:val="24"/>
          <w:szCs w:val="24"/>
        </w:rPr>
        <w:t xml:space="preserve"> better insight of consumer’s needs and wants and deliver superior customer value to the consumers. </w:t>
      </w:r>
    </w:p>
    <w:p w14:paraId="1A4D358D" w14:textId="77777777" w:rsidR="000E44F4" w:rsidRPr="000E44F4" w:rsidRDefault="000E44F4" w:rsidP="007C6BD1">
      <w:pPr>
        <w:spacing w:line="360" w:lineRule="auto"/>
        <w:jc w:val="both"/>
        <w:rPr>
          <w:rFonts w:ascii="Times New Roman" w:hAnsi="Times New Roman" w:cs="Times New Roman"/>
          <w:sz w:val="24"/>
          <w:szCs w:val="24"/>
          <w:shd w:val="clear" w:color="auto" w:fill="FFFFFF"/>
        </w:rPr>
      </w:pPr>
      <w:r w:rsidRPr="000E44F4">
        <w:rPr>
          <w:rFonts w:ascii="Times New Roman" w:hAnsi="Times New Roman" w:cs="Times New Roman"/>
          <w:sz w:val="24"/>
          <w:szCs w:val="24"/>
          <w:shd w:val="clear" w:color="auto" w:fill="FFFFFF"/>
        </w:rPr>
        <w:t>Since the product portfolio of Unilever is widely diversified, the company has to compete with both multinational companies and domestic companies for expanding the market share. The main competitors of Unilever are consumer product manufacturing multinational companies which are shown below with global market share:</w:t>
      </w:r>
    </w:p>
    <w:p w14:paraId="79E2FFAC" w14:textId="77777777" w:rsidR="00185A5B" w:rsidRDefault="000E44F4" w:rsidP="00185A5B">
      <w:pPr>
        <w:keepNext/>
        <w:spacing w:line="360" w:lineRule="auto"/>
        <w:jc w:val="both"/>
      </w:pPr>
      <w:r w:rsidRPr="001771B7">
        <w:rPr>
          <w:rFonts w:ascii="Times New Roman" w:hAnsi="Times New Roman" w:cs="Times New Roman"/>
          <w:noProof/>
          <w:color w:val="333333"/>
          <w:sz w:val="24"/>
          <w:szCs w:val="24"/>
          <w:shd w:val="clear" w:color="auto" w:fill="FFFFFF"/>
          <w:lang w:val="en-US"/>
        </w:rPr>
        <w:lastRenderedPageBreak/>
        <w:drawing>
          <wp:inline distT="0" distB="0" distL="0" distR="0" wp14:anchorId="6221FDF0" wp14:editId="4D17CABC">
            <wp:extent cx="5676900" cy="3409950"/>
            <wp:effectExtent l="0" t="0" r="0" b="0"/>
            <wp:docPr id="55" name="Chart 5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1805979" w14:textId="671D0582" w:rsidR="000E44F4" w:rsidRPr="007C6BD1" w:rsidRDefault="00185A5B" w:rsidP="00185A5B">
      <w:pPr>
        <w:pStyle w:val="Caption"/>
        <w:jc w:val="center"/>
        <w:rPr>
          <w:rFonts w:ascii="Times New Roman" w:hAnsi="Times New Roman" w:cs="Times New Roman"/>
          <w:color w:val="333333"/>
          <w:sz w:val="24"/>
          <w:szCs w:val="24"/>
          <w:shd w:val="clear" w:color="auto" w:fill="FFFFFF"/>
        </w:rPr>
      </w:pPr>
      <w:r>
        <w:t xml:space="preserve">Figure </w:t>
      </w:r>
      <w:r>
        <w:fldChar w:fldCharType="begin"/>
      </w:r>
      <w:r>
        <w:instrText xml:space="preserve"> SEQ Figure \* ARABIC </w:instrText>
      </w:r>
      <w:r>
        <w:fldChar w:fldCharType="separate"/>
      </w:r>
      <w:r>
        <w:rPr>
          <w:noProof/>
        </w:rPr>
        <w:t>3</w:t>
      </w:r>
      <w:r>
        <w:fldChar w:fldCharType="end"/>
      </w:r>
      <w:r>
        <w:t xml:space="preserve">: </w:t>
      </w:r>
      <w:r w:rsidRPr="007E73D3">
        <w:t>(Unilever global company website | Unilever Global ..., n.d.)</w:t>
      </w:r>
    </w:p>
    <w:p w14:paraId="23F53407" w14:textId="5025E0A9" w:rsidR="000E44F4" w:rsidRPr="000E44F4" w:rsidRDefault="000E44F4" w:rsidP="007C6BD1">
      <w:pPr>
        <w:spacing w:line="360" w:lineRule="auto"/>
        <w:jc w:val="both"/>
        <w:rPr>
          <w:rFonts w:ascii="Times New Roman" w:hAnsi="Times New Roman" w:cs="Times New Roman"/>
          <w:sz w:val="24"/>
          <w:szCs w:val="24"/>
        </w:rPr>
      </w:pPr>
      <w:r w:rsidRPr="000E44F4">
        <w:rPr>
          <w:rFonts w:ascii="Times New Roman" w:hAnsi="Times New Roman" w:cs="Times New Roman"/>
          <w:sz w:val="24"/>
          <w:szCs w:val="24"/>
        </w:rPr>
        <w:t xml:space="preserve">Unilever is recently criticised for its business operation. For example, Unilever was fined for </w:t>
      </w:r>
      <w:r w:rsidR="00185A5B">
        <w:rPr>
          <w:rFonts w:ascii="Times New Roman" w:hAnsi="Times New Roman" w:cs="Times New Roman"/>
          <w:sz w:val="24"/>
          <w:szCs w:val="24"/>
          <w:shd w:val="clear" w:color="auto" w:fill="FFFFFF"/>
        </w:rPr>
        <w:t>£</w:t>
      </w:r>
      <w:r w:rsidRPr="000E44F4">
        <w:rPr>
          <w:rFonts w:ascii="Times New Roman" w:hAnsi="Times New Roman" w:cs="Times New Roman"/>
          <w:sz w:val="24"/>
          <w:szCs w:val="24"/>
          <w:shd w:val="clear" w:color="auto" w:fill="FFFFFF"/>
        </w:rPr>
        <w:t>104 million</w:t>
      </w:r>
      <w:r w:rsidRPr="000E44F4">
        <w:rPr>
          <w:rFonts w:ascii="Times New Roman" w:hAnsi="Times New Roman" w:cs="Times New Roman"/>
          <w:sz w:val="24"/>
          <w:szCs w:val="24"/>
        </w:rPr>
        <w:t xml:space="preserve"> by EU for monopolising the washing powder products with </w:t>
      </w:r>
      <w:r w:rsidRPr="000E44F4">
        <w:rPr>
          <w:rFonts w:ascii="Times New Roman" w:hAnsi="Times New Roman" w:cs="Times New Roman"/>
          <w:sz w:val="24"/>
          <w:szCs w:val="24"/>
          <w:shd w:val="clear" w:color="auto" w:fill="FFFFFF"/>
        </w:rPr>
        <w:t xml:space="preserve">Procter &amp; Gamble and Henkel </w:t>
      </w:r>
      <w:r w:rsidR="00460A5B">
        <w:rPr>
          <w:rFonts w:ascii="Times New Roman" w:hAnsi="Times New Roman" w:cs="Times New Roman"/>
          <w:sz w:val="24"/>
          <w:szCs w:val="24"/>
          <w:shd w:val="clear" w:color="auto" w:fill="FFFFFF"/>
        </w:rPr>
        <w:t xml:space="preserve">within </w:t>
      </w:r>
      <w:r w:rsidRPr="000E44F4">
        <w:rPr>
          <w:rFonts w:ascii="Times New Roman" w:hAnsi="Times New Roman" w:cs="Times New Roman"/>
          <w:sz w:val="24"/>
          <w:szCs w:val="24"/>
          <w:shd w:val="clear" w:color="auto" w:fill="FFFFFF"/>
        </w:rPr>
        <w:t>Europe</w:t>
      </w:r>
      <w:r w:rsidR="00185A5B">
        <w:rPr>
          <w:rFonts w:ascii="Times New Roman" w:hAnsi="Times New Roman" w:cs="Times New Roman"/>
          <w:sz w:val="24"/>
          <w:szCs w:val="24"/>
          <w:shd w:val="clear" w:color="auto" w:fill="FFFFFF"/>
        </w:rPr>
        <w:t xml:space="preserve"> </w:t>
      </w:r>
      <w:r w:rsidR="00185A5B" w:rsidRPr="00185A5B">
        <w:rPr>
          <w:rFonts w:ascii="Times New Roman" w:hAnsi="Times New Roman" w:cs="Times New Roman"/>
          <w:sz w:val="24"/>
          <w:szCs w:val="24"/>
          <w:shd w:val="clear" w:color="auto" w:fill="FFFFFF"/>
        </w:rPr>
        <w:t>(Unilever picks London as its home over Rotterdam ..., n.d.)</w:t>
      </w:r>
      <w:r w:rsidRPr="000E44F4">
        <w:rPr>
          <w:rFonts w:ascii="Times New Roman" w:hAnsi="Times New Roman" w:cs="Times New Roman"/>
          <w:sz w:val="24"/>
          <w:szCs w:val="24"/>
          <w:shd w:val="clear" w:color="auto" w:fill="FFFFFF"/>
        </w:rPr>
        <w:t xml:space="preserve">. Similarly, the company was severely criticised for </w:t>
      </w:r>
      <w:r w:rsidR="00164C65">
        <w:rPr>
          <w:rFonts w:ascii="Times New Roman" w:hAnsi="Times New Roman" w:cs="Times New Roman"/>
          <w:sz w:val="24"/>
          <w:szCs w:val="24"/>
          <w:shd w:val="clear" w:color="auto" w:fill="FFFFFF"/>
        </w:rPr>
        <w:t xml:space="preserve">pressurising </w:t>
      </w:r>
      <w:r w:rsidRPr="000E44F4">
        <w:rPr>
          <w:rFonts w:ascii="Times New Roman" w:hAnsi="Times New Roman" w:cs="Times New Roman"/>
          <w:sz w:val="24"/>
          <w:szCs w:val="24"/>
          <w:shd w:val="clear" w:color="auto" w:fill="FFFFFF"/>
        </w:rPr>
        <w:t xml:space="preserve">the female editor of a </w:t>
      </w:r>
      <w:proofErr w:type="spellStart"/>
      <w:r w:rsidRPr="000E44F4">
        <w:rPr>
          <w:rFonts w:ascii="Times New Roman" w:hAnsi="Times New Roman" w:cs="Times New Roman"/>
          <w:sz w:val="24"/>
          <w:szCs w:val="24"/>
          <w:shd w:val="clear" w:color="auto" w:fill="FFFFFF"/>
        </w:rPr>
        <w:t>Srilankan</w:t>
      </w:r>
      <w:proofErr w:type="spellEnd"/>
      <w:r w:rsidRPr="000E44F4">
        <w:rPr>
          <w:rFonts w:ascii="Times New Roman" w:hAnsi="Times New Roman" w:cs="Times New Roman"/>
          <w:sz w:val="24"/>
          <w:szCs w:val="24"/>
          <w:shd w:val="clear" w:color="auto" w:fill="FFFFFF"/>
        </w:rPr>
        <w:t xml:space="preserve"> </w:t>
      </w:r>
      <w:r w:rsidR="002C00C3">
        <w:rPr>
          <w:rFonts w:ascii="Times New Roman" w:hAnsi="Times New Roman" w:cs="Times New Roman"/>
          <w:sz w:val="24"/>
          <w:szCs w:val="24"/>
          <w:shd w:val="clear" w:color="auto" w:fill="FFFFFF"/>
        </w:rPr>
        <w:t xml:space="preserve">newspapers </w:t>
      </w:r>
      <w:r w:rsidRPr="000E44F4">
        <w:rPr>
          <w:rFonts w:ascii="Times New Roman" w:hAnsi="Times New Roman" w:cs="Times New Roman"/>
          <w:sz w:val="24"/>
          <w:szCs w:val="24"/>
          <w:shd w:val="clear" w:color="auto" w:fill="FFFFFF"/>
        </w:rPr>
        <w:t xml:space="preserve">for promoting its beauty products as well as its product brand, </w:t>
      </w:r>
      <w:r w:rsidRPr="000E44F4">
        <w:rPr>
          <w:rFonts w:ascii="Times New Roman" w:hAnsi="Times New Roman" w:cs="Times New Roman"/>
          <w:spacing w:val="-1"/>
          <w:sz w:val="24"/>
          <w:szCs w:val="24"/>
          <w:shd w:val="clear" w:color="auto" w:fill="FFFFFF"/>
        </w:rPr>
        <w:t xml:space="preserve">Dollar Shave Club was under severe scrutiny for running a </w:t>
      </w:r>
      <w:r w:rsidR="001031CA" w:rsidRPr="000E44F4">
        <w:rPr>
          <w:rFonts w:ascii="Times New Roman" w:hAnsi="Times New Roman" w:cs="Times New Roman"/>
          <w:spacing w:val="-1"/>
          <w:sz w:val="24"/>
          <w:szCs w:val="24"/>
          <w:shd w:val="clear" w:color="auto" w:fill="FFFFFF"/>
        </w:rPr>
        <w:t>pop-up</w:t>
      </w:r>
      <w:r w:rsidRPr="000E44F4">
        <w:rPr>
          <w:rFonts w:ascii="Times New Roman" w:hAnsi="Times New Roman" w:cs="Times New Roman"/>
          <w:spacing w:val="-1"/>
          <w:sz w:val="24"/>
          <w:szCs w:val="24"/>
          <w:shd w:val="clear" w:color="auto" w:fill="FFFFFF"/>
        </w:rPr>
        <w:t xml:space="preserve"> ad campaign in a pornographic side in 2020.</w:t>
      </w:r>
    </w:p>
    <w:p w14:paraId="10D9A572" w14:textId="77777777" w:rsidR="000E44F4" w:rsidRPr="001771B7" w:rsidRDefault="000E44F4" w:rsidP="007C6BD1">
      <w:pPr>
        <w:spacing w:line="360" w:lineRule="auto"/>
        <w:jc w:val="both"/>
        <w:rPr>
          <w:rFonts w:ascii="Times New Roman" w:hAnsi="Times New Roman" w:cs="Times New Roman"/>
          <w:sz w:val="24"/>
          <w:szCs w:val="24"/>
        </w:rPr>
      </w:pPr>
      <w:r w:rsidRPr="001771B7">
        <w:rPr>
          <w:rFonts w:ascii="Times New Roman" w:hAnsi="Times New Roman" w:cs="Times New Roman"/>
          <w:sz w:val="24"/>
          <w:szCs w:val="24"/>
        </w:rPr>
        <w:t xml:space="preserve"> </w:t>
      </w:r>
    </w:p>
    <w:p w14:paraId="08ACC309" w14:textId="77777777" w:rsidR="00766C8D" w:rsidRDefault="00766C8D" w:rsidP="007C6BD1">
      <w:pPr>
        <w:spacing w:line="360" w:lineRule="auto"/>
        <w:jc w:val="both"/>
        <w:rPr>
          <w:rFonts w:ascii="Times New Roman" w:hAnsi="Times New Roman" w:cs="Times New Roman"/>
          <w:sz w:val="24"/>
          <w:szCs w:val="24"/>
          <w:lang w:val="en-US"/>
        </w:rPr>
      </w:pPr>
    </w:p>
    <w:p w14:paraId="66C2E1B8" w14:textId="77777777" w:rsidR="00D9546D" w:rsidRDefault="00D9546D" w:rsidP="007C6BD1">
      <w:pPr>
        <w:spacing w:line="360" w:lineRule="auto"/>
        <w:jc w:val="both"/>
        <w:rPr>
          <w:rFonts w:ascii="Times New Roman" w:hAnsi="Times New Roman" w:cs="Times New Roman"/>
          <w:sz w:val="24"/>
          <w:szCs w:val="24"/>
          <w:lang w:val="en-US"/>
        </w:rPr>
      </w:pPr>
    </w:p>
    <w:p w14:paraId="5D5A4B8D" w14:textId="77777777" w:rsidR="00D9546D" w:rsidRDefault="00D9546D" w:rsidP="007C6BD1">
      <w:pPr>
        <w:spacing w:line="360" w:lineRule="auto"/>
        <w:jc w:val="both"/>
        <w:rPr>
          <w:rFonts w:ascii="Times New Roman" w:hAnsi="Times New Roman" w:cs="Times New Roman"/>
          <w:sz w:val="24"/>
          <w:szCs w:val="24"/>
          <w:lang w:val="en-US"/>
        </w:rPr>
      </w:pPr>
    </w:p>
    <w:p w14:paraId="6C1135CA" w14:textId="77777777" w:rsidR="00D9546D" w:rsidRDefault="00D9546D" w:rsidP="007C6BD1">
      <w:pPr>
        <w:spacing w:line="360" w:lineRule="auto"/>
        <w:jc w:val="both"/>
        <w:rPr>
          <w:rFonts w:ascii="Times New Roman" w:hAnsi="Times New Roman" w:cs="Times New Roman"/>
          <w:sz w:val="24"/>
          <w:szCs w:val="24"/>
          <w:lang w:val="en-US"/>
        </w:rPr>
      </w:pPr>
    </w:p>
    <w:p w14:paraId="6B4970DB" w14:textId="77777777" w:rsidR="00D9546D" w:rsidRDefault="00D9546D" w:rsidP="007C6BD1">
      <w:pPr>
        <w:spacing w:line="360" w:lineRule="auto"/>
        <w:jc w:val="both"/>
        <w:rPr>
          <w:rFonts w:ascii="Times New Roman" w:hAnsi="Times New Roman" w:cs="Times New Roman"/>
          <w:sz w:val="24"/>
          <w:szCs w:val="24"/>
          <w:lang w:val="en-US"/>
        </w:rPr>
      </w:pPr>
    </w:p>
    <w:p w14:paraId="7470B8C7" w14:textId="77777777" w:rsidR="007C6BD1" w:rsidRDefault="007C6BD1">
      <w:pPr>
        <w:rPr>
          <w:rFonts w:asciiTheme="majorHAnsi" w:eastAsiaTheme="majorEastAsia" w:hAnsiTheme="majorHAnsi" w:cstheme="majorHAnsi"/>
          <w:b/>
          <w:color w:val="2E74B5" w:themeColor="accent1" w:themeShade="BF"/>
          <w:sz w:val="32"/>
          <w:szCs w:val="32"/>
          <w:lang w:val="en-US"/>
        </w:rPr>
      </w:pPr>
      <w:bookmarkStart w:id="2" w:name="_Toc69159404"/>
      <w:r>
        <w:rPr>
          <w:rFonts w:cstheme="majorHAnsi"/>
          <w:b/>
          <w:lang w:val="en-US"/>
        </w:rPr>
        <w:br w:type="page"/>
      </w:r>
    </w:p>
    <w:p w14:paraId="7B7B5FBD" w14:textId="3FA33D3A" w:rsidR="00D9546D" w:rsidRPr="00D9546D" w:rsidRDefault="00D9546D" w:rsidP="007C6BD1">
      <w:pPr>
        <w:pStyle w:val="Heading1"/>
        <w:spacing w:line="360" w:lineRule="auto"/>
        <w:rPr>
          <w:rFonts w:cstheme="majorHAnsi"/>
          <w:b/>
          <w:lang w:val="en-US"/>
        </w:rPr>
      </w:pPr>
      <w:r w:rsidRPr="00D9546D">
        <w:rPr>
          <w:rFonts w:cstheme="majorHAnsi"/>
          <w:b/>
          <w:lang w:val="en-US"/>
        </w:rPr>
        <w:lastRenderedPageBreak/>
        <w:t xml:space="preserve">Part- B: A </w:t>
      </w:r>
      <w:r w:rsidRPr="00D9546D">
        <w:rPr>
          <w:rFonts w:cstheme="majorHAnsi"/>
          <w:b/>
        </w:rPr>
        <w:t>Critical Review of Unilever</w:t>
      </w:r>
      <w:r>
        <w:rPr>
          <w:rFonts w:cstheme="majorHAnsi"/>
          <w:b/>
        </w:rPr>
        <w:t>’s Financial P</w:t>
      </w:r>
      <w:r w:rsidRPr="00D9546D">
        <w:rPr>
          <w:rFonts w:cstheme="majorHAnsi"/>
          <w:b/>
        </w:rPr>
        <w:t>erformances</w:t>
      </w:r>
      <w:bookmarkEnd w:id="2"/>
    </w:p>
    <w:p w14:paraId="4714E24D" w14:textId="0BE86912" w:rsidR="00197854" w:rsidRPr="00735325" w:rsidRDefault="00197854" w:rsidP="007C6BD1">
      <w:pPr>
        <w:spacing w:line="360" w:lineRule="auto"/>
        <w:jc w:val="both"/>
        <w:rPr>
          <w:rFonts w:ascii="Times New Roman" w:hAnsi="Times New Roman" w:cs="Times New Roman"/>
          <w:sz w:val="24"/>
          <w:szCs w:val="24"/>
          <w:lang w:val="en-US"/>
        </w:rPr>
      </w:pPr>
      <w:r w:rsidRPr="00735325">
        <w:rPr>
          <w:rFonts w:ascii="Times New Roman" w:hAnsi="Times New Roman" w:cs="Times New Roman"/>
          <w:sz w:val="24"/>
          <w:szCs w:val="24"/>
          <w:lang w:val="en-US"/>
        </w:rPr>
        <w:t>Financial ratio analysis is a form of fundamental and quantitative analysis which exploits the relationship between revenue, expenses, profit, assets, liabilities and equity of a firm reported in the financial statements of that firm for the purpose of gaining important assessment regarding the profitability, liquidity, capital structure and operational efficiency of a firm for a specific period of time</w:t>
      </w:r>
      <w:r w:rsidR="00641C0B">
        <w:rPr>
          <w:rFonts w:ascii="Times New Roman" w:hAnsi="Times New Roman" w:cs="Times New Roman"/>
          <w:sz w:val="24"/>
          <w:szCs w:val="24"/>
          <w:lang w:val="en-US"/>
        </w:rPr>
        <w:t xml:space="preserve"> </w:t>
      </w:r>
      <w:r w:rsidR="00641C0B" w:rsidRPr="00641C0B">
        <w:rPr>
          <w:rFonts w:ascii="Times New Roman" w:hAnsi="Times New Roman" w:cs="Times New Roman"/>
          <w:sz w:val="24"/>
          <w:szCs w:val="24"/>
          <w:lang w:val="en-US"/>
        </w:rPr>
        <w:t>(Berk et al., 2013)</w:t>
      </w:r>
      <w:r w:rsidRPr="00735325">
        <w:rPr>
          <w:rFonts w:ascii="Times New Roman" w:hAnsi="Times New Roman" w:cs="Times New Roman"/>
          <w:sz w:val="24"/>
          <w:szCs w:val="24"/>
          <w:lang w:val="en-US"/>
        </w:rPr>
        <w:t>.</w:t>
      </w:r>
    </w:p>
    <w:p w14:paraId="073A7B91" w14:textId="77777777" w:rsidR="00197854" w:rsidRPr="00735325" w:rsidRDefault="00197854" w:rsidP="007C6BD1">
      <w:pPr>
        <w:spacing w:line="360" w:lineRule="auto"/>
        <w:jc w:val="both"/>
        <w:rPr>
          <w:rFonts w:ascii="Times New Roman" w:hAnsi="Times New Roman" w:cs="Times New Roman"/>
          <w:sz w:val="24"/>
          <w:szCs w:val="24"/>
          <w:lang w:val="en-US"/>
        </w:rPr>
      </w:pPr>
      <w:r w:rsidRPr="00735325">
        <w:rPr>
          <w:rFonts w:ascii="Times New Roman" w:hAnsi="Times New Roman" w:cs="Times New Roman"/>
          <w:sz w:val="24"/>
          <w:szCs w:val="24"/>
          <w:lang w:val="en-US"/>
        </w:rPr>
        <w:t>Financial ratio analysis will be conducted for Unilever from 2016 to 2020 to assess the intra financial performance of the firm as well as inter fin</w:t>
      </w:r>
      <w:r>
        <w:rPr>
          <w:rFonts w:ascii="Times New Roman" w:hAnsi="Times New Roman" w:cs="Times New Roman"/>
          <w:sz w:val="24"/>
          <w:szCs w:val="24"/>
          <w:lang w:val="en-US"/>
        </w:rPr>
        <w:t>ancial performance will be conduc</w:t>
      </w:r>
      <w:r w:rsidRPr="00735325">
        <w:rPr>
          <w:rFonts w:ascii="Times New Roman" w:hAnsi="Times New Roman" w:cs="Times New Roman"/>
          <w:sz w:val="24"/>
          <w:szCs w:val="24"/>
          <w:lang w:val="en-US"/>
        </w:rPr>
        <w:t xml:space="preserve">ted through the financial ratio analysis from 2018 to 2020 to compare the financial performance of Unilever with the industry rival, </w:t>
      </w:r>
      <w:r>
        <w:rPr>
          <w:rFonts w:ascii="Times New Roman" w:hAnsi="Times New Roman" w:cs="Times New Roman"/>
          <w:sz w:val="24"/>
          <w:szCs w:val="24"/>
          <w:lang w:val="en-US"/>
        </w:rPr>
        <w:t>Procter &amp; Gamble</w:t>
      </w:r>
      <w:r w:rsidRPr="00735325">
        <w:rPr>
          <w:rFonts w:ascii="Times New Roman" w:hAnsi="Times New Roman" w:cs="Times New Roman"/>
          <w:sz w:val="24"/>
          <w:szCs w:val="24"/>
          <w:lang w:val="en-US"/>
        </w:rPr>
        <w:t xml:space="preserve"> and </w:t>
      </w:r>
      <w:r>
        <w:rPr>
          <w:rFonts w:ascii="Times New Roman" w:hAnsi="Times New Roman" w:cs="Times New Roman"/>
          <w:sz w:val="24"/>
          <w:szCs w:val="24"/>
          <w:lang w:val="en-US"/>
        </w:rPr>
        <w:t>Johnson &amp; Johnson</w:t>
      </w:r>
      <w:r w:rsidRPr="00735325">
        <w:rPr>
          <w:rFonts w:ascii="Times New Roman" w:hAnsi="Times New Roman" w:cs="Times New Roman"/>
          <w:sz w:val="24"/>
          <w:szCs w:val="24"/>
          <w:lang w:val="en-US"/>
        </w:rPr>
        <w:t>.</w:t>
      </w:r>
    </w:p>
    <w:p w14:paraId="69A32A1D" w14:textId="77777777" w:rsidR="00197854" w:rsidRPr="00735325" w:rsidRDefault="00197854" w:rsidP="007C6BD1">
      <w:pPr>
        <w:spacing w:line="360" w:lineRule="auto"/>
        <w:jc w:val="both"/>
        <w:rPr>
          <w:rFonts w:ascii="Times New Roman" w:hAnsi="Times New Roman" w:cs="Times New Roman"/>
          <w:sz w:val="24"/>
          <w:szCs w:val="24"/>
          <w:lang w:val="en-US"/>
        </w:rPr>
      </w:pPr>
    </w:p>
    <w:p w14:paraId="33937C78" w14:textId="77777777" w:rsidR="00197854" w:rsidRPr="00580C99" w:rsidRDefault="00197854" w:rsidP="007C6BD1">
      <w:pPr>
        <w:pStyle w:val="Heading2"/>
        <w:spacing w:line="360" w:lineRule="auto"/>
        <w:rPr>
          <w:b/>
          <w:color w:val="ED7D31" w:themeColor="accent2"/>
          <w:sz w:val="32"/>
          <w:szCs w:val="32"/>
          <w:lang w:val="en-US"/>
        </w:rPr>
      </w:pPr>
      <w:bookmarkStart w:id="3" w:name="_Toc69159405"/>
      <w:r w:rsidRPr="00580C99">
        <w:rPr>
          <w:b/>
          <w:color w:val="ED7D31" w:themeColor="accent2"/>
          <w:sz w:val="32"/>
          <w:szCs w:val="32"/>
          <w:lang w:val="en-US"/>
        </w:rPr>
        <w:t>Liquidity Ratios:</w:t>
      </w:r>
      <w:bookmarkEnd w:id="3"/>
    </w:p>
    <w:p w14:paraId="3C1ACA95" w14:textId="77777777" w:rsidR="00197854" w:rsidRPr="00D9546D" w:rsidRDefault="00197854" w:rsidP="007C6BD1">
      <w:pPr>
        <w:pStyle w:val="ListParagraph"/>
        <w:numPr>
          <w:ilvl w:val="0"/>
          <w:numId w:val="1"/>
        </w:numPr>
        <w:spacing w:line="360" w:lineRule="auto"/>
        <w:jc w:val="both"/>
        <w:rPr>
          <w:rFonts w:ascii="Times New Roman" w:hAnsi="Times New Roman" w:cs="Times New Roman"/>
          <w:b/>
          <w:sz w:val="24"/>
          <w:szCs w:val="24"/>
          <w:lang w:val="en-US"/>
        </w:rPr>
      </w:pPr>
      <w:r w:rsidRPr="00D9546D">
        <w:rPr>
          <w:rFonts w:ascii="Times New Roman" w:hAnsi="Times New Roman" w:cs="Times New Roman"/>
          <w:b/>
          <w:sz w:val="24"/>
          <w:szCs w:val="24"/>
          <w:lang w:val="en-US"/>
        </w:rPr>
        <w:t>Current Ratio:</w:t>
      </w:r>
    </w:p>
    <w:p w14:paraId="6ADA7870" w14:textId="00DB6658" w:rsidR="00197854" w:rsidRPr="00735325" w:rsidRDefault="00197854" w:rsidP="007C6BD1">
      <w:pPr>
        <w:spacing w:line="360" w:lineRule="auto"/>
        <w:jc w:val="both"/>
        <w:rPr>
          <w:rFonts w:ascii="Times New Roman" w:hAnsi="Times New Roman" w:cs="Times New Roman"/>
          <w:sz w:val="24"/>
          <w:szCs w:val="24"/>
          <w:lang w:val="en-US"/>
        </w:rPr>
      </w:pPr>
      <w:r w:rsidRPr="00735325">
        <w:rPr>
          <w:rFonts w:ascii="Times New Roman" w:hAnsi="Times New Roman" w:cs="Times New Roman"/>
          <w:sz w:val="24"/>
          <w:szCs w:val="24"/>
          <w:lang w:val="en-US"/>
        </w:rPr>
        <w:t>The assessment of current ratio for Unilever will help to assess</w:t>
      </w:r>
      <w:r w:rsidR="00F85F58">
        <w:rPr>
          <w:rFonts w:ascii="Times New Roman" w:hAnsi="Times New Roman" w:cs="Times New Roman"/>
          <w:sz w:val="24"/>
          <w:szCs w:val="24"/>
          <w:lang w:val="en-US"/>
        </w:rPr>
        <w:t xml:space="preserve"> within </w:t>
      </w:r>
      <w:r w:rsidRPr="00735325">
        <w:rPr>
          <w:rFonts w:ascii="Times New Roman" w:hAnsi="Times New Roman" w:cs="Times New Roman"/>
          <w:sz w:val="24"/>
          <w:szCs w:val="24"/>
          <w:lang w:val="en-US"/>
        </w:rPr>
        <w:t xml:space="preserve">the financial ability of the firm </w:t>
      </w:r>
      <w:r w:rsidR="007D61C9">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 xml:space="preserve">meeting short term or current liabilities as well as operational obligations of the corporation </w:t>
      </w:r>
      <w:r w:rsidR="00F85F58">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the current assets held by the firm without raising any equity or debt capital by the management. The formula for Current ratio is:</w:t>
      </w:r>
    </w:p>
    <w:p w14:paraId="5A4B575F" w14:textId="77777777" w:rsidR="00197854" w:rsidRPr="00735325" w:rsidRDefault="00197854" w:rsidP="007C6BD1">
      <w:pPr>
        <w:spacing w:line="360" w:lineRule="auto"/>
        <w:jc w:val="center"/>
        <w:rPr>
          <w:rFonts w:ascii="Times New Roman" w:hAnsi="Times New Roman" w:cs="Times New Roman"/>
          <w:sz w:val="24"/>
          <w:szCs w:val="24"/>
          <w:lang w:val="en-US"/>
        </w:rPr>
      </w:pPr>
      <w:r w:rsidRPr="00735325">
        <w:rPr>
          <w:rFonts w:ascii="Times New Roman" w:hAnsi="Times New Roman" w:cs="Times New Roman"/>
          <w:noProof/>
          <w:sz w:val="24"/>
          <w:szCs w:val="24"/>
          <w:lang w:val="en-US"/>
        </w:rPr>
        <w:drawing>
          <wp:inline distT="0" distB="0" distL="0" distR="0" wp14:anchorId="24C97361" wp14:editId="11D5A319">
            <wp:extent cx="3279887" cy="1705726"/>
            <wp:effectExtent l="19050" t="19050" r="15875" b="27940"/>
            <wp:docPr id="1" name="Picture 1" descr="Current Ratio Formula | Plan Proj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rrent Ratio Formula | Plan Projection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05153" cy="1718866"/>
                    </a:xfrm>
                    <a:prstGeom prst="rect">
                      <a:avLst/>
                    </a:prstGeom>
                    <a:noFill/>
                    <a:ln>
                      <a:solidFill>
                        <a:schemeClr val="tx1">
                          <a:lumMod val="50000"/>
                          <a:lumOff val="50000"/>
                        </a:schemeClr>
                      </a:solidFill>
                    </a:ln>
                  </pic:spPr>
                </pic:pic>
              </a:graphicData>
            </a:graphic>
          </wp:inline>
        </w:drawing>
      </w:r>
    </w:p>
    <w:p w14:paraId="1763CCED" w14:textId="77777777" w:rsidR="00197854" w:rsidRPr="00735325" w:rsidRDefault="00197854" w:rsidP="007C6BD1">
      <w:pPr>
        <w:spacing w:line="360" w:lineRule="auto"/>
        <w:jc w:val="both"/>
        <w:rPr>
          <w:rFonts w:ascii="Times New Roman" w:hAnsi="Times New Roman" w:cs="Times New Roman"/>
          <w:sz w:val="24"/>
          <w:szCs w:val="24"/>
          <w:lang w:val="en-US"/>
        </w:rPr>
      </w:pPr>
    </w:p>
    <w:p w14:paraId="6668764D" w14:textId="15F39942" w:rsidR="00197854" w:rsidRPr="007C6BD1" w:rsidRDefault="00197854" w:rsidP="007C6BD1">
      <w:pPr>
        <w:spacing w:line="360" w:lineRule="auto"/>
        <w:jc w:val="center"/>
      </w:pPr>
      <w:r w:rsidRPr="00197854">
        <w:rPr>
          <w:noProof/>
          <w:lang w:val="en-US"/>
        </w:rPr>
        <w:lastRenderedPageBreak/>
        <w:drawing>
          <wp:inline distT="0" distB="0" distL="0" distR="0" wp14:anchorId="683832F4" wp14:editId="378BEB17">
            <wp:extent cx="5247646" cy="1652398"/>
            <wp:effectExtent l="19050" t="19050" r="10160" b="24130"/>
            <wp:docPr id="2" name="Picture 2"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1.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60807" cy="1656542"/>
                    </a:xfrm>
                    <a:prstGeom prst="rect">
                      <a:avLst/>
                    </a:prstGeom>
                    <a:noFill/>
                    <a:ln>
                      <a:solidFill>
                        <a:schemeClr val="tx1">
                          <a:lumMod val="50000"/>
                          <a:lumOff val="50000"/>
                        </a:schemeClr>
                      </a:solidFill>
                    </a:ln>
                  </pic:spPr>
                </pic:pic>
              </a:graphicData>
            </a:graphic>
          </wp:inline>
        </w:drawing>
      </w:r>
    </w:p>
    <w:p w14:paraId="2488E6F7" w14:textId="0DC6929F" w:rsidR="00197854" w:rsidRPr="00197854" w:rsidRDefault="00197854" w:rsidP="007C6BD1">
      <w:pPr>
        <w:spacing w:line="360" w:lineRule="auto"/>
        <w:jc w:val="both"/>
        <w:rPr>
          <w:rFonts w:ascii="Times New Roman" w:hAnsi="Times New Roman" w:cs="Times New Roman"/>
          <w:sz w:val="24"/>
          <w:szCs w:val="24"/>
          <w:lang w:val="en-US"/>
        </w:rPr>
      </w:pPr>
      <w:r w:rsidRPr="00197854">
        <w:rPr>
          <w:rFonts w:ascii="Times New Roman" w:hAnsi="Times New Roman" w:cs="Times New Roman"/>
          <w:noProof/>
          <w:sz w:val="24"/>
          <w:szCs w:val="24"/>
          <w:lang w:val="en-US"/>
        </w:rPr>
        <w:drawing>
          <wp:inline distT="0" distB="0" distL="0" distR="0" wp14:anchorId="71C6999E" wp14:editId="6B00455F">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3116AE5" w14:textId="3017BCF2" w:rsidR="00197854" w:rsidRPr="00197854" w:rsidRDefault="00197854" w:rsidP="007C6BD1">
      <w:pPr>
        <w:spacing w:line="360" w:lineRule="auto"/>
        <w:jc w:val="both"/>
        <w:rPr>
          <w:rFonts w:ascii="Times New Roman" w:hAnsi="Times New Roman" w:cs="Times New Roman"/>
          <w:sz w:val="24"/>
          <w:szCs w:val="24"/>
          <w:lang w:val="en-US"/>
        </w:rPr>
      </w:pPr>
      <w:r w:rsidRPr="00197854">
        <w:rPr>
          <w:rFonts w:ascii="Times New Roman" w:hAnsi="Times New Roman" w:cs="Times New Roman"/>
          <w:sz w:val="24"/>
          <w:szCs w:val="24"/>
          <w:lang w:val="en-US"/>
        </w:rPr>
        <w:t xml:space="preserve">The current ratio analysis for Unilever from 2016 to 2020 is suggesting that the management of Unilever has maintained liquid asset of £68 in 2016, £73 in 2017 and £78 from 2018 to 2020 for repaying £100 worth of </w:t>
      </w:r>
      <w:r w:rsidR="001031CA" w:rsidRPr="00197854">
        <w:rPr>
          <w:rFonts w:ascii="Times New Roman" w:hAnsi="Times New Roman" w:cs="Times New Roman"/>
          <w:sz w:val="24"/>
          <w:szCs w:val="24"/>
          <w:lang w:val="en-US"/>
        </w:rPr>
        <w:t>short-term</w:t>
      </w:r>
      <w:r w:rsidRPr="00197854">
        <w:rPr>
          <w:rFonts w:ascii="Times New Roman" w:hAnsi="Times New Roman" w:cs="Times New Roman"/>
          <w:sz w:val="24"/>
          <w:szCs w:val="24"/>
          <w:lang w:val="en-US"/>
        </w:rPr>
        <w:t xml:space="preserve"> debt obligation </w:t>
      </w:r>
      <w:r w:rsidR="00951EDA">
        <w:rPr>
          <w:rFonts w:ascii="Times New Roman" w:hAnsi="Times New Roman" w:cs="Times New Roman"/>
          <w:sz w:val="24"/>
          <w:szCs w:val="24"/>
          <w:lang w:val="en-US"/>
        </w:rPr>
        <w:t xml:space="preserve">for </w:t>
      </w:r>
      <w:r w:rsidRPr="00197854">
        <w:rPr>
          <w:rFonts w:ascii="Times New Roman" w:hAnsi="Times New Roman" w:cs="Times New Roman"/>
          <w:sz w:val="24"/>
          <w:szCs w:val="24"/>
          <w:lang w:val="en-US"/>
        </w:rPr>
        <w:t>the firm. The analysis is also indicating that the value of current ratio for Unilever i</w:t>
      </w:r>
      <w:r w:rsidR="00F16985">
        <w:rPr>
          <w:rFonts w:ascii="Times New Roman" w:hAnsi="Times New Roman" w:cs="Times New Roman"/>
          <w:sz w:val="24"/>
          <w:szCs w:val="24"/>
          <w:lang w:val="en-US"/>
        </w:rPr>
        <w:t>s</w:t>
      </w:r>
      <w:r w:rsidRPr="00197854">
        <w:rPr>
          <w:rFonts w:ascii="Times New Roman" w:hAnsi="Times New Roman" w:cs="Times New Roman"/>
          <w:sz w:val="24"/>
          <w:szCs w:val="24"/>
          <w:lang w:val="en-US"/>
        </w:rPr>
        <w:t xml:space="preserve"> less than 1 during the period under study suggesting that the current asset is lower than the current liability, thus enabling the management of Unilever to operate with negative working capital strategy.</w:t>
      </w:r>
      <w:r w:rsidR="00B73B0F">
        <w:rPr>
          <w:rFonts w:ascii="Times New Roman" w:hAnsi="Times New Roman" w:cs="Times New Roman"/>
          <w:sz w:val="24"/>
          <w:szCs w:val="24"/>
          <w:lang w:val="en-US"/>
        </w:rPr>
        <w:t xml:space="preserve"> With</w:t>
      </w:r>
      <w:r w:rsidRPr="00197854">
        <w:rPr>
          <w:rFonts w:ascii="Times New Roman" w:hAnsi="Times New Roman" w:cs="Times New Roman"/>
          <w:sz w:val="24"/>
          <w:szCs w:val="24"/>
          <w:lang w:val="en-US"/>
        </w:rPr>
        <w:t xml:space="preserve"> </w:t>
      </w:r>
      <w:r w:rsidR="00B73B0F">
        <w:rPr>
          <w:rFonts w:ascii="Times New Roman" w:hAnsi="Times New Roman" w:cs="Times New Roman"/>
          <w:sz w:val="24"/>
          <w:szCs w:val="24"/>
          <w:lang w:val="en-US"/>
        </w:rPr>
        <w:t>this</w:t>
      </w:r>
      <w:r w:rsidR="004A1627">
        <w:rPr>
          <w:rFonts w:ascii="Times New Roman" w:hAnsi="Times New Roman" w:cs="Times New Roman"/>
          <w:sz w:val="24"/>
          <w:szCs w:val="24"/>
          <w:lang w:val="en-US"/>
        </w:rPr>
        <w:t xml:space="preserve"> it</w:t>
      </w:r>
      <w:r w:rsidRPr="00197854">
        <w:rPr>
          <w:rFonts w:ascii="Times New Roman" w:hAnsi="Times New Roman" w:cs="Times New Roman"/>
          <w:sz w:val="24"/>
          <w:szCs w:val="24"/>
          <w:lang w:val="en-US"/>
        </w:rPr>
        <w:t xml:space="preserve"> is pointing out two important insights about the </w:t>
      </w:r>
      <w:r w:rsidR="001031CA" w:rsidRPr="00197854">
        <w:rPr>
          <w:rFonts w:ascii="Times New Roman" w:hAnsi="Times New Roman" w:cs="Times New Roman"/>
          <w:sz w:val="24"/>
          <w:szCs w:val="24"/>
          <w:lang w:val="en-US"/>
        </w:rPr>
        <w:t>short-term</w:t>
      </w:r>
      <w:r w:rsidRPr="00197854">
        <w:rPr>
          <w:rFonts w:ascii="Times New Roman" w:hAnsi="Times New Roman" w:cs="Times New Roman"/>
          <w:sz w:val="24"/>
          <w:szCs w:val="24"/>
          <w:lang w:val="en-US"/>
        </w:rPr>
        <w:t xml:space="preserve"> liquidity and financial solvency of Unilever. The value of current ratio is suggesting that the trade payable turnover period for the company is higher than both trade receivables turnover period as well as inventory turnover period which is indicating that the investment </w:t>
      </w:r>
      <w:r w:rsidR="006B3021">
        <w:rPr>
          <w:rFonts w:ascii="Times New Roman" w:hAnsi="Times New Roman" w:cs="Times New Roman"/>
          <w:sz w:val="24"/>
          <w:szCs w:val="24"/>
          <w:lang w:val="en-US"/>
        </w:rPr>
        <w:t xml:space="preserve">within </w:t>
      </w:r>
      <w:r w:rsidRPr="00197854">
        <w:rPr>
          <w:rFonts w:ascii="Times New Roman" w:hAnsi="Times New Roman" w:cs="Times New Roman"/>
          <w:sz w:val="24"/>
          <w:szCs w:val="24"/>
          <w:lang w:val="en-US"/>
        </w:rPr>
        <w:t xml:space="preserve">inventory are rapidly converted into cash for the firm before the payment to suppliers for raw materials become due. As a result, Unilever has been able to operate with </w:t>
      </w:r>
      <w:r w:rsidRPr="00197854">
        <w:rPr>
          <w:rFonts w:ascii="Times New Roman" w:hAnsi="Times New Roman" w:cs="Times New Roman"/>
          <w:sz w:val="24"/>
          <w:szCs w:val="24"/>
          <w:lang w:val="en-US"/>
        </w:rPr>
        <w:lastRenderedPageBreak/>
        <w:t xml:space="preserve">negative cash conversion cycle under an aggressive negative working capital strategy. But the negative working capital is also suggesting that the management of Unilever will find it very difficult to repay its </w:t>
      </w:r>
      <w:r w:rsidR="001031CA" w:rsidRPr="00197854">
        <w:rPr>
          <w:rFonts w:ascii="Times New Roman" w:hAnsi="Times New Roman" w:cs="Times New Roman"/>
          <w:sz w:val="24"/>
          <w:szCs w:val="24"/>
          <w:lang w:val="en-US"/>
        </w:rPr>
        <w:t>short-term</w:t>
      </w:r>
      <w:r w:rsidRPr="00197854">
        <w:rPr>
          <w:rFonts w:ascii="Times New Roman" w:hAnsi="Times New Roman" w:cs="Times New Roman"/>
          <w:sz w:val="24"/>
          <w:szCs w:val="24"/>
          <w:lang w:val="en-US"/>
        </w:rPr>
        <w:t xml:space="preserve"> obligations during economic recession which will result in </w:t>
      </w:r>
      <w:r w:rsidR="00E24BBC">
        <w:rPr>
          <w:rFonts w:ascii="Times New Roman" w:hAnsi="Times New Roman" w:cs="Times New Roman"/>
          <w:sz w:val="24"/>
          <w:szCs w:val="24"/>
          <w:lang w:val="en-US"/>
        </w:rPr>
        <w:t xml:space="preserve">a </w:t>
      </w:r>
      <w:r w:rsidRPr="00197854">
        <w:rPr>
          <w:rFonts w:ascii="Times New Roman" w:hAnsi="Times New Roman" w:cs="Times New Roman"/>
          <w:sz w:val="24"/>
          <w:szCs w:val="24"/>
          <w:lang w:val="en-US"/>
        </w:rPr>
        <w:t>lower sales revenue and declining profitability and credit rating for Unilever.</w:t>
      </w:r>
    </w:p>
    <w:p w14:paraId="3E3EB2E0" w14:textId="77777777" w:rsidR="00197854" w:rsidRDefault="00197854" w:rsidP="007C6BD1">
      <w:pPr>
        <w:spacing w:line="360" w:lineRule="auto"/>
      </w:pPr>
      <w:r w:rsidRPr="00197854">
        <w:rPr>
          <w:noProof/>
          <w:lang w:val="en-US"/>
        </w:rPr>
        <w:drawing>
          <wp:inline distT="0" distB="0" distL="0" distR="0" wp14:anchorId="04723AD6" wp14:editId="2D47D7D2">
            <wp:extent cx="5943600" cy="1356430"/>
            <wp:effectExtent l="0" t="0" r="0" b="0"/>
            <wp:docPr id="4" name="Picture 4"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1.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1356430"/>
                    </a:xfrm>
                    <a:prstGeom prst="rect">
                      <a:avLst/>
                    </a:prstGeom>
                    <a:noFill/>
                    <a:ln>
                      <a:noFill/>
                    </a:ln>
                  </pic:spPr>
                </pic:pic>
              </a:graphicData>
            </a:graphic>
          </wp:inline>
        </w:drawing>
      </w:r>
    </w:p>
    <w:p w14:paraId="0661137F" w14:textId="77777777" w:rsidR="00197854" w:rsidRPr="00735325" w:rsidRDefault="00197854" w:rsidP="007C6BD1">
      <w:pPr>
        <w:spacing w:line="360" w:lineRule="auto"/>
        <w:jc w:val="both"/>
        <w:rPr>
          <w:rFonts w:ascii="Times New Roman" w:hAnsi="Times New Roman" w:cs="Times New Roman"/>
          <w:sz w:val="24"/>
          <w:szCs w:val="24"/>
          <w:lang w:val="en-US"/>
        </w:rPr>
      </w:pPr>
    </w:p>
    <w:p w14:paraId="553593A0" w14:textId="77777777" w:rsidR="00197854" w:rsidRPr="00735325" w:rsidRDefault="00197854" w:rsidP="007C6BD1">
      <w:pPr>
        <w:spacing w:line="360" w:lineRule="auto"/>
        <w:jc w:val="both"/>
        <w:rPr>
          <w:rFonts w:ascii="Times New Roman" w:hAnsi="Times New Roman" w:cs="Times New Roman"/>
          <w:sz w:val="24"/>
          <w:szCs w:val="24"/>
          <w:lang w:val="en-US"/>
        </w:rPr>
      </w:pPr>
      <w:r w:rsidRPr="00735325">
        <w:rPr>
          <w:rFonts w:ascii="Times New Roman" w:hAnsi="Times New Roman" w:cs="Times New Roman"/>
          <w:noProof/>
          <w:sz w:val="24"/>
          <w:szCs w:val="24"/>
          <w:lang w:val="en-US"/>
        </w:rPr>
        <w:drawing>
          <wp:inline distT="0" distB="0" distL="0" distR="0" wp14:anchorId="382F4FFB" wp14:editId="0A1C2EF9">
            <wp:extent cx="6366294" cy="3148641"/>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36D4C94" w14:textId="77777777" w:rsidR="00197854" w:rsidRPr="00735325" w:rsidRDefault="00197854" w:rsidP="007C6BD1">
      <w:pPr>
        <w:spacing w:line="360" w:lineRule="auto"/>
        <w:jc w:val="both"/>
        <w:rPr>
          <w:rFonts w:ascii="Times New Roman" w:hAnsi="Times New Roman" w:cs="Times New Roman"/>
          <w:sz w:val="24"/>
          <w:szCs w:val="24"/>
          <w:lang w:val="en-US"/>
        </w:rPr>
      </w:pPr>
    </w:p>
    <w:p w14:paraId="131F6904" w14:textId="7456D51B" w:rsidR="00197854" w:rsidRPr="00735325" w:rsidRDefault="00197854" w:rsidP="007C6BD1">
      <w:pPr>
        <w:spacing w:line="360" w:lineRule="auto"/>
        <w:jc w:val="both"/>
        <w:rPr>
          <w:rFonts w:ascii="Times New Roman" w:hAnsi="Times New Roman" w:cs="Times New Roman"/>
          <w:sz w:val="24"/>
          <w:szCs w:val="24"/>
          <w:lang w:val="en-US"/>
        </w:rPr>
      </w:pPr>
      <w:r w:rsidRPr="00735325">
        <w:rPr>
          <w:rFonts w:ascii="Times New Roman" w:hAnsi="Times New Roman" w:cs="Times New Roman"/>
          <w:sz w:val="24"/>
          <w:szCs w:val="24"/>
          <w:lang w:val="en-US"/>
        </w:rPr>
        <w:t xml:space="preserve">The assessment of current ratio among Unilever, </w:t>
      </w:r>
      <w:r>
        <w:rPr>
          <w:rFonts w:ascii="Times New Roman" w:hAnsi="Times New Roman" w:cs="Times New Roman"/>
          <w:sz w:val="24"/>
          <w:szCs w:val="24"/>
          <w:lang w:val="en-US"/>
        </w:rPr>
        <w:t>Procter &amp; Gamble</w:t>
      </w:r>
      <w:r w:rsidRPr="00735325">
        <w:rPr>
          <w:rFonts w:ascii="Times New Roman" w:hAnsi="Times New Roman" w:cs="Times New Roman"/>
          <w:sz w:val="24"/>
          <w:szCs w:val="24"/>
          <w:lang w:val="en-US"/>
        </w:rPr>
        <w:t xml:space="preserve"> and </w:t>
      </w:r>
      <w:r>
        <w:rPr>
          <w:rFonts w:ascii="Times New Roman" w:hAnsi="Times New Roman" w:cs="Times New Roman"/>
          <w:sz w:val="24"/>
          <w:szCs w:val="24"/>
          <w:lang w:val="en-US"/>
        </w:rPr>
        <w:t>Johnson &amp; Johnson</w:t>
      </w:r>
      <w:r w:rsidRPr="00735325">
        <w:rPr>
          <w:rFonts w:ascii="Times New Roman" w:hAnsi="Times New Roman" w:cs="Times New Roman"/>
          <w:sz w:val="24"/>
          <w:szCs w:val="24"/>
          <w:lang w:val="en-US"/>
        </w:rPr>
        <w:t xml:space="preserve"> is indicating Unilever has made lesser investment </w:t>
      </w:r>
      <w:r w:rsidR="00CF6BE1">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 xml:space="preserve">the current asset to repay the short term financial obligations thus demonstrating managerial inefficiency of Unilever </w:t>
      </w:r>
      <w:r w:rsidR="00CF6BE1">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ensuring the optimal management of its current asset structure</w:t>
      </w:r>
      <w:r w:rsidR="00AD0DAE">
        <w:rPr>
          <w:rFonts w:ascii="Times New Roman" w:hAnsi="Times New Roman" w:cs="Times New Roman"/>
          <w:sz w:val="24"/>
          <w:szCs w:val="24"/>
          <w:lang w:val="en-US"/>
        </w:rPr>
        <w:t xml:space="preserve"> is</w:t>
      </w:r>
      <w:r w:rsidRPr="00735325">
        <w:rPr>
          <w:rFonts w:ascii="Times New Roman" w:hAnsi="Times New Roman" w:cs="Times New Roman"/>
          <w:sz w:val="24"/>
          <w:szCs w:val="24"/>
          <w:lang w:val="en-US"/>
        </w:rPr>
        <w:t xml:space="preserve"> to repay the short term obligation of the firm. Besides, the lower current ratio for Unilever is also suggesting that the management of Unilever </w:t>
      </w:r>
      <w:r w:rsidRPr="00735325">
        <w:rPr>
          <w:rFonts w:ascii="Times New Roman" w:hAnsi="Times New Roman" w:cs="Times New Roman"/>
          <w:sz w:val="24"/>
          <w:szCs w:val="24"/>
          <w:lang w:val="en-US"/>
        </w:rPr>
        <w:lastRenderedPageBreak/>
        <w:t xml:space="preserve">will face more difficulty </w:t>
      </w:r>
      <w:r w:rsidR="00AD0DAE">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meeting the short term obligations during the recessionary period compared to its industry rivals as Unilever does not have sufficient liquid asset to repay its short term potential financial obligations.</w:t>
      </w:r>
    </w:p>
    <w:p w14:paraId="370C681D" w14:textId="77777777" w:rsidR="00197854" w:rsidRPr="00D9546D" w:rsidRDefault="00197854" w:rsidP="007C6BD1">
      <w:pPr>
        <w:pStyle w:val="ListParagraph"/>
        <w:numPr>
          <w:ilvl w:val="0"/>
          <w:numId w:val="1"/>
        </w:numPr>
        <w:spacing w:line="360" w:lineRule="auto"/>
        <w:jc w:val="both"/>
        <w:rPr>
          <w:rFonts w:ascii="Times New Roman" w:hAnsi="Times New Roman" w:cs="Times New Roman"/>
          <w:b/>
          <w:sz w:val="24"/>
          <w:szCs w:val="24"/>
          <w:lang w:val="en-US"/>
        </w:rPr>
      </w:pPr>
      <w:r w:rsidRPr="00D9546D">
        <w:rPr>
          <w:rFonts w:ascii="Times New Roman" w:hAnsi="Times New Roman" w:cs="Times New Roman"/>
          <w:b/>
          <w:sz w:val="24"/>
          <w:szCs w:val="24"/>
          <w:lang w:val="en-US"/>
        </w:rPr>
        <w:t>Quick Ratio:</w:t>
      </w:r>
    </w:p>
    <w:p w14:paraId="7202FA12" w14:textId="32E70B8C" w:rsidR="00197854" w:rsidRPr="00197854" w:rsidRDefault="00197854" w:rsidP="007C6BD1">
      <w:pPr>
        <w:spacing w:line="360" w:lineRule="auto"/>
        <w:jc w:val="both"/>
        <w:rPr>
          <w:rFonts w:ascii="Times New Roman" w:hAnsi="Times New Roman" w:cs="Times New Roman"/>
          <w:sz w:val="24"/>
          <w:szCs w:val="24"/>
          <w:lang w:val="en-US"/>
        </w:rPr>
      </w:pPr>
      <w:r w:rsidRPr="00197854">
        <w:rPr>
          <w:rFonts w:ascii="Times New Roman" w:hAnsi="Times New Roman" w:cs="Times New Roman"/>
          <w:sz w:val="24"/>
          <w:szCs w:val="24"/>
          <w:lang w:val="en-US"/>
        </w:rPr>
        <w:t xml:space="preserve">The Quick ratio analysis for Unilever will help to assess the managerial ability of Unilever </w:t>
      </w:r>
      <w:r w:rsidR="00103D06">
        <w:rPr>
          <w:rFonts w:ascii="Times New Roman" w:hAnsi="Times New Roman" w:cs="Times New Roman"/>
          <w:sz w:val="24"/>
          <w:szCs w:val="24"/>
          <w:lang w:val="en-US"/>
        </w:rPr>
        <w:t xml:space="preserve">within </w:t>
      </w:r>
      <w:r w:rsidRPr="00197854">
        <w:rPr>
          <w:rFonts w:ascii="Times New Roman" w:hAnsi="Times New Roman" w:cs="Times New Roman"/>
          <w:sz w:val="24"/>
          <w:szCs w:val="24"/>
          <w:lang w:val="en-US"/>
        </w:rPr>
        <w:t xml:space="preserve">repaying the short term financial obligation of the firm through </w:t>
      </w:r>
      <w:r w:rsidR="00121D9A">
        <w:rPr>
          <w:rFonts w:ascii="Times New Roman" w:hAnsi="Times New Roman" w:cs="Times New Roman"/>
          <w:sz w:val="24"/>
          <w:szCs w:val="24"/>
          <w:lang w:val="en-US"/>
        </w:rPr>
        <w:t xml:space="preserve">their </w:t>
      </w:r>
      <w:r w:rsidRPr="00197854">
        <w:rPr>
          <w:rFonts w:ascii="Times New Roman" w:hAnsi="Times New Roman" w:cs="Times New Roman"/>
          <w:sz w:val="24"/>
          <w:szCs w:val="24"/>
          <w:lang w:val="en-US"/>
        </w:rPr>
        <w:t xml:space="preserve">cash </w:t>
      </w:r>
      <w:r w:rsidR="00121D9A">
        <w:rPr>
          <w:rFonts w:ascii="Times New Roman" w:hAnsi="Times New Roman" w:cs="Times New Roman"/>
          <w:sz w:val="24"/>
          <w:szCs w:val="24"/>
          <w:lang w:val="en-US"/>
        </w:rPr>
        <w:t>and</w:t>
      </w:r>
      <w:r w:rsidRPr="00197854">
        <w:rPr>
          <w:rFonts w:ascii="Times New Roman" w:hAnsi="Times New Roman" w:cs="Times New Roman"/>
          <w:sz w:val="24"/>
          <w:szCs w:val="24"/>
          <w:lang w:val="en-US"/>
        </w:rPr>
        <w:t xml:space="preserve"> quick assets which can be converted into cash within a short period of time without losing significant amount of </w:t>
      </w:r>
      <w:r w:rsidR="00121D9A">
        <w:rPr>
          <w:rFonts w:ascii="Times New Roman" w:hAnsi="Times New Roman" w:cs="Times New Roman"/>
          <w:sz w:val="24"/>
          <w:szCs w:val="24"/>
          <w:lang w:val="en-US"/>
        </w:rPr>
        <w:t xml:space="preserve">marketing </w:t>
      </w:r>
      <w:r w:rsidRPr="00197854">
        <w:rPr>
          <w:rFonts w:ascii="Times New Roman" w:hAnsi="Times New Roman" w:cs="Times New Roman"/>
          <w:sz w:val="24"/>
          <w:szCs w:val="24"/>
          <w:lang w:val="en-US"/>
        </w:rPr>
        <w:t>value.</w:t>
      </w:r>
    </w:p>
    <w:p w14:paraId="11A2289F" w14:textId="77777777" w:rsidR="007C6BD1" w:rsidRDefault="00197854" w:rsidP="007C6BD1">
      <w:pPr>
        <w:spacing w:line="360" w:lineRule="auto"/>
        <w:rPr>
          <w:rFonts w:ascii="Times New Roman" w:hAnsi="Times New Roman" w:cs="Times New Roman"/>
          <w:sz w:val="24"/>
          <w:szCs w:val="24"/>
          <w:lang w:val="en-US"/>
        </w:rPr>
      </w:pPr>
      <w:r w:rsidRPr="00197854">
        <w:rPr>
          <w:rFonts w:ascii="Times New Roman" w:hAnsi="Times New Roman" w:cs="Times New Roman"/>
          <w:sz w:val="24"/>
          <w:szCs w:val="24"/>
          <w:lang w:val="en-US"/>
        </w:rPr>
        <w:t xml:space="preserve">The formula for quick ratio is </w:t>
      </w:r>
    </w:p>
    <w:p w14:paraId="018A5AD7" w14:textId="14FD0BCB" w:rsidR="00197854" w:rsidRPr="00197854" w:rsidRDefault="00197854" w:rsidP="007C6BD1">
      <w:pPr>
        <w:spacing w:line="360" w:lineRule="auto"/>
        <w:jc w:val="center"/>
        <w:rPr>
          <w:rFonts w:ascii="Times New Roman" w:hAnsi="Times New Roman" w:cs="Times New Roman"/>
          <w:sz w:val="24"/>
          <w:szCs w:val="24"/>
          <w:lang w:val="en-US"/>
        </w:rPr>
      </w:pPr>
      <w:r w:rsidRPr="00197854">
        <w:rPr>
          <w:rFonts w:ascii="Times New Roman" w:hAnsi="Times New Roman" w:cs="Times New Roman"/>
          <w:noProof/>
          <w:sz w:val="24"/>
          <w:szCs w:val="24"/>
          <w:lang w:val="en-US"/>
        </w:rPr>
        <w:drawing>
          <wp:inline distT="0" distB="0" distL="0" distR="0" wp14:anchorId="7642B150" wp14:editId="35710026">
            <wp:extent cx="4154704" cy="2336098"/>
            <wp:effectExtent l="0" t="0" r="0" b="7620"/>
            <wp:docPr id="6" name="Picture 6" descr="Quick Ratio or Acid Test Ratio | Double Entry Bookkee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uick Ratio or Acid Test Ratio | Double Entry Bookkeepi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162179" cy="2340301"/>
                    </a:xfrm>
                    <a:prstGeom prst="rect">
                      <a:avLst/>
                    </a:prstGeom>
                    <a:noFill/>
                    <a:ln>
                      <a:noFill/>
                    </a:ln>
                  </pic:spPr>
                </pic:pic>
              </a:graphicData>
            </a:graphic>
          </wp:inline>
        </w:drawing>
      </w:r>
    </w:p>
    <w:p w14:paraId="33CB9E7B" w14:textId="77777777" w:rsidR="00197854" w:rsidRDefault="00197854" w:rsidP="007C6BD1">
      <w:pPr>
        <w:spacing w:line="360" w:lineRule="auto"/>
      </w:pPr>
      <w:r w:rsidRPr="00197854">
        <w:rPr>
          <w:noProof/>
          <w:lang w:val="en-US"/>
        </w:rPr>
        <w:drawing>
          <wp:inline distT="0" distB="0" distL="0" distR="0" wp14:anchorId="4E2D6B2D" wp14:editId="3F756DE5">
            <wp:extent cx="5943600" cy="2008678"/>
            <wp:effectExtent l="0" t="0" r="0" b="0"/>
            <wp:docPr id="7" name="Picture 7"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1.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008678"/>
                    </a:xfrm>
                    <a:prstGeom prst="rect">
                      <a:avLst/>
                    </a:prstGeom>
                    <a:noFill/>
                    <a:ln>
                      <a:noFill/>
                    </a:ln>
                  </pic:spPr>
                </pic:pic>
              </a:graphicData>
            </a:graphic>
          </wp:inline>
        </w:drawing>
      </w:r>
    </w:p>
    <w:p w14:paraId="258BAD40" w14:textId="77777777" w:rsidR="00197854" w:rsidRPr="00735325" w:rsidRDefault="00197854" w:rsidP="007C6BD1">
      <w:pPr>
        <w:spacing w:line="360" w:lineRule="auto"/>
        <w:jc w:val="center"/>
        <w:rPr>
          <w:rFonts w:ascii="Times New Roman" w:hAnsi="Times New Roman" w:cs="Times New Roman"/>
          <w:sz w:val="24"/>
          <w:szCs w:val="24"/>
          <w:lang w:val="en-US"/>
        </w:rPr>
      </w:pPr>
      <w:r w:rsidRPr="00735325">
        <w:rPr>
          <w:rFonts w:ascii="Times New Roman" w:hAnsi="Times New Roman" w:cs="Times New Roman"/>
          <w:noProof/>
          <w:sz w:val="24"/>
          <w:szCs w:val="24"/>
          <w:lang w:val="en-US"/>
        </w:rPr>
        <w:lastRenderedPageBreak/>
        <w:drawing>
          <wp:inline distT="0" distB="0" distL="0" distR="0" wp14:anchorId="1705CE26" wp14:editId="54C2471E">
            <wp:extent cx="5067300" cy="215265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35FB617" w14:textId="272D4651" w:rsidR="00197854" w:rsidRDefault="00197854" w:rsidP="007C6BD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quick ratio</w:t>
      </w:r>
      <w:r w:rsidRPr="00735325">
        <w:rPr>
          <w:rFonts w:ascii="Times New Roman" w:hAnsi="Times New Roman" w:cs="Times New Roman"/>
          <w:sz w:val="24"/>
          <w:szCs w:val="24"/>
          <w:lang w:val="en-US"/>
        </w:rPr>
        <w:t xml:space="preserve"> analysis for Unilever from 2016 to 2020 is suggesting that </w:t>
      </w:r>
      <w:r>
        <w:rPr>
          <w:rFonts w:ascii="Times New Roman" w:hAnsi="Times New Roman" w:cs="Times New Roman"/>
          <w:sz w:val="24"/>
          <w:szCs w:val="24"/>
          <w:lang w:val="en-US"/>
        </w:rPr>
        <w:t xml:space="preserve">ratio has improved </w:t>
      </w:r>
      <w:r w:rsidR="005B51B9">
        <w:rPr>
          <w:rFonts w:ascii="Times New Roman" w:hAnsi="Times New Roman" w:cs="Times New Roman"/>
          <w:sz w:val="24"/>
          <w:szCs w:val="24"/>
          <w:lang w:val="en-US"/>
        </w:rPr>
        <w:t xml:space="preserve">within </w:t>
      </w:r>
      <w:r>
        <w:rPr>
          <w:rFonts w:ascii="Times New Roman" w:hAnsi="Times New Roman" w:cs="Times New Roman"/>
          <w:sz w:val="24"/>
          <w:szCs w:val="24"/>
          <w:lang w:val="en-US"/>
        </w:rPr>
        <w:t xml:space="preserve">the recent years as the ratio has improved from 0.45 in 2016 to 0.55 in 2020. The analysis is </w:t>
      </w:r>
      <w:r w:rsidR="005B51B9">
        <w:rPr>
          <w:rFonts w:ascii="Times New Roman" w:hAnsi="Times New Roman" w:cs="Times New Roman"/>
          <w:sz w:val="24"/>
          <w:szCs w:val="24"/>
          <w:lang w:val="en-US"/>
        </w:rPr>
        <w:t xml:space="preserve">therefore </w:t>
      </w:r>
      <w:r>
        <w:rPr>
          <w:rFonts w:ascii="Times New Roman" w:hAnsi="Times New Roman" w:cs="Times New Roman"/>
          <w:sz w:val="24"/>
          <w:szCs w:val="24"/>
          <w:lang w:val="en-US"/>
        </w:rPr>
        <w:t>indicating that the management of</w:t>
      </w:r>
      <w:r w:rsidR="00297D7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Unilever is improving its investment </w:t>
      </w:r>
      <w:r w:rsidR="00297D71">
        <w:rPr>
          <w:rFonts w:ascii="Times New Roman" w:hAnsi="Times New Roman" w:cs="Times New Roman"/>
          <w:sz w:val="24"/>
          <w:szCs w:val="24"/>
          <w:lang w:val="en-US"/>
        </w:rPr>
        <w:t xml:space="preserve">within </w:t>
      </w:r>
      <w:r>
        <w:rPr>
          <w:rFonts w:ascii="Times New Roman" w:hAnsi="Times New Roman" w:cs="Times New Roman"/>
          <w:sz w:val="24"/>
          <w:szCs w:val="24"/>
          <w:lang w:val="en-US"/>
        </w:rPr>
        <w:t>quick assets to improve short term liquidity of the firm</w:t>
      </w:r>
      <w:r w:rsidR="00185A5B">
        <w:rPr>
          <w:rFonts w:ascii="Times New Roman" w:hAnsi="Times New Roman" w:cs="Times New Roman"/>
          <w:sz w:val="24"/>
          <w:szCs w:val="24"/>
          <w:lang w:val="en-US"/>
        </w:rPr>
        <w:t xml:space="preserve"> </w:t>
      </w:r>
      <w:r w:rsidR="00185A5B" w:rsidRPr="00185A5B">
        <w:rPr>
          <w:rFonts w:ascii="Times New Roman" w:hAnsi="Times New Roman" w:cs="Times New Roman"/>
          <w:sz w:val="24"/>
          <w:szCs w:val="24"/>
          <w:lang w:val="en-US"/>
        </w:rPr>
        <w:t>(Unilever global company website | Unilever Global ..., n.d.)</w:t>
      </w:r>
      <w:r>
        <w:rPr>
          <w:rFonts w:ascii="Times New Roman" w:hAnsi="Times New Roman" w:cs="Times New Roman"/>
          <w:sz w:val="24"/>
          <w:szCs w:val="24"/>
          <w:lang w:val="en-US"/>
        </w:rPr>
        <w:t xml:space="preserve">. The analysis is indicating that the average quick ratio during </w:t>
      </w:r>
      <w:r w:rsidR="007F7C14">
        <w:rPr>
          <w:rFonts w:ascii="Times New Roman" w:hAnsi="Times New Roman" w:cs="Times New Roman"/>
          <w:sz w:val="24"/>
          <w:szCs w:val="24"/>
          <w:lang w:val="en-US"/>
        </w:rPr>
        <w:t xml:space="preserve">these </w:t>
      </w:r>
      <w:r>
        <w:rPr>
          <w:rFonts w:ascii="Times New Roman" w:hAnsi="Times New Roman" w:cs="Times New Roman"/>
          <w:sz w:val="24"/>
          <w:szCs w:val="24"/>
          <w:lang w:val="en-US"/>
        </w:rPr>
        <w:t xml:space="preserve">period under study is 0.53 which is suggesting that Unilever does not </w:t>
      </w:r>
      <w:r w:rsidR="00913385">
        <w:rPr>
          <w:rFonts w:ascii="Times New Roman" w:hAnsi="Times New Roman" w:cs="Times New Roman"/>
          <w:sz w:val="24"/>
          <w:szCs w:val="24"/>
          <w:lang w:val="en-US"/>
        </w:rPr>
        <w:t xml:space="preserve">seem to </w:t>
      </w:r>
      <w:r>
        <w:rPr>
          <w:rFonts w:ascii="Times New Roman" w:hAnsi="Times New Roman" w:cs="Times New Roman"/>
          <w:sz w:val="24"/>
          <w:szCs w:val="24"/>
          <w:lang w:val="en-US"/>
        </w:rPr>
        <w:t xml:space="preserve">have made sufficient investment </w:t>
      </w:r>
      <w:r w:rsidR="00BF4A32">
        <w:rPr>
          <w:rFonts w:ascii="Times New Roman" w:hAnsi="Times New Roman" w:cs="Times New Roman"/>
          <w:sz w:val="24"/>
          <w:szCs w:val="24"/>
          <w:lang w:val="en-US"/>
        </w:rPr>
        <w:t xml:space="preserve">within </w:t>
      </w:r>
      <w:r>
        <w:rPr>
          <w:rFonts w:ascii="Times New Roman" w:hAnsi="Times New Roman" w:cs="Times New Roman"/>
          <w:sz w:val="24"/>
          <w:szCs w:val="24"/>
          <w:lang w:val="en-US"/>
        </w:rPr>
        <w:t xml:space="preserve">quick assets repay the short term debt obligations of the firm, </w:t>
      </w:r>
      <w:r w:rsidR="009820D1">
        <w:rPr>
          <w:rFonts w:ascii="Times New Roman" w:hAnsi="Times New Roman" w:cs="Times New Roman"/>
          <w:sz w:val="24"/>
          <w:szCs w:val="24"/>
          <w:lang w:val="en-US"/>
        </w:rPr>
        <w:t xml:space="preserve">therefore </w:t>
      </w:r>
      <w:r>
        <w:rPr>
          <w:rFonts w:ascii="Times New Roman" w:hAnsi="Times New Roman" w:cs="Times New Roman"/>
          <w:sz w:val="24"/>
          <w:szCs w:val="24"/>
          <w:lang w:val="en-US"/>
        </w:rPr>
        <w:t xml:space="preserve">indicating the greater short term insolvency inherent in the Unilever. </w:t>
      </w:r>
    </w:p>
    <w:p w14:paraId="39D97F06" w14:textId="77777777" w:rsidR="00197854" w:rsidRDefault="00197854" w:rsidP="007C6BD1">
      <w:pPr>
        <w:spacing w:line="360" w:lineRule="auto"/>
        <w:jc w:val="both"/>
        <w:rPr>
          <w:rFonts w:ascii="Times New Roman" w:hAnsi="Times New Roman" w:cs="Times New Roman"/>
          <w:sz w:val="24"/>
          <w:szCs w:val="24"/>
          <w:lang w:val="en-US"/>
        </w:rPr>
      </w:pPr>
      <w:r w:rsidRPr="00197854">
        <w:rPr>
          <w:rFonts w:ascii="Times New Roman" w:hAnsi="Times New Roman" w:cs="Times New Roman"/>
          <w:noProof/>
          <w:sz w:val="24"/>
          <w:szCs w:val="24"/>
          <w:lang w:val="en-US"/>
        </w:rPr>
        <w:drawing>
          <wp:inline distT="0" distB="0" distL="0" distR="0" wp14:anchorId="3C2F3665" wp14:editId="7A469B20">
            <wp:extent cx="5943600" cy="1299440"/>
            <wp:effectExtent l="0" t="0" r="0" b="0"/>
            <wp:docPr id="9" name="Picture 9"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1.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1299440"/>
                    </a:xfrm>
                    <a:prstGeom prst="rect">
                      <a:avLst/>
                    </a:prstGeom>
                    <a:noFill/>
                    <a:ln>
                      <a:noFill/>
                    </a:ln>
                  </pic:spPr>
                </pic:pic>
              </a:graphicData>
            </a:graphic>
          </wp:inline>
        </w:drawing>
      </w:r>
    </w:p>
    <w:p w14:paraId="67EAEDF5" w14:textId="77777777" w:rsidR="00197854" w:rsidRDefault="00197854" w:rsidP="007C6BD1">
      <w:pPr>
        <w:spacing w:line="360" w:lineRule="auto"/>
        <w:jc w:val="both"/>
        <w:rPr>
          <w:rFonts w:ascii="Times New Roman" w:hAnsi="Times New Roman" w:cs="Times New Roman"/>
          <w:sz w:val="24"/>
          <w:szCs w:val="24"/>
          <w:lang w:val="en-US"/>
        </w:rPr>
      </w:pPr>
    </w:p>
    <w:p w14:paraId="3AB7B59B" w14:textId="77777777" w:rsidR="00197854" w:rsidRPr="00735325" w:rsidRDefault="00197854" w:rsidP="007C6BD1">
      <w:pPr>
        <w:spacing w:line="360" w:lineRule="auto"/>
        <w:jc w:val="both"/>
        <w:rPr>
          <w:rFonts w:ascii="Times New Roman" w:hAnsi="Times New Roman" w:cs="Times New Roman"/>
          <w:sz w:val="24"/>
          <w:szCs w:val="24"/>
          <w:lang w:val="en-US"/>
        </w:rPr>
      </w:pPr>
    </w:p>
    <w:p w14:paraId="34BEE0D6" w14:textId="77777777" w:rsidR="00197854" w:rsidRPr="00735325" w:rsidRDefault="00197854" w:rsidP="007C6BD1">
      <w:pPr>
        <w:spacing w:line="360" w:lineRule="auto"/>
        <w:jc w:val="both"/>
        <w:rPr>
          <w:rFonts w:ascii="Times New Roman" w:hAnsi="Times New Roman" w:cs="Times New Roman"/>
          <w:sz w:val="24"/>
          <w:szCs w:val="24"/>
          <w:lang w:val="en-US"/>
        </w:rPr>
      </w:pPr>
      <w:r w:rsidRPr="00735325">
        <w:rPr>
          <w:rFonts w:ascii="Times New Roman" w:hAnsi="Times New Roman" w:cs="Times New Roman"/>
          <w:noProof/>
          <w:sz w:val="24"/>
          <w:szCs w:val="24"/>
          <w:lang w:val="en-US"/>
        </w:rPr>
        <w:lastRenderedPageBreak/>
        <w:drawing>
          <wp:inline distT="0" distB="0" distL="0" distR="0" wp14:anchorId="01BA240C" wp14:editId="5D0598EE">
            <wp:extent cx="5943600" cy="2939488"/>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D3FF4F9" w14:textId="183B415C" w:rsidR="00197854" w:rsidRPr="00735325" w:rsidRDefault="00197854" w:rsidP="007C6BD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Though the quick ratio has improved significantly </w:t>
      </w:r>
      <w:r w:rsidR="00074979">
        <w:rPr>
          <w:rFonts w:ascii="Times New Roman" w:hAnsi="Times New Roman" w:cs="Times New Roman"/>
          <w:sz w:val="24"/>
          <w:szCs w:val="24"/>
          <w:lang w:val="en-US"/>
        </w:rPr>
        <w:t xml:space="preserve">within </w:t>
      </w:r>
      <w:r>
        <w:rPr>
          <w:rFonts w:ascii="Times New Roman" w:hAnsi="Times New Roman" w:cs="Times New Roman"/>
          <w:sz w:val="24"/>
          <w:szCs w:val="24"/>
          <w:lang w:val="en-US"/>
        </w:rPr>
        <w:t xml:space="preserve">recent years, Unilever has made lower investment in its quick assets compared to its rivals which is suggesting that Unilever will face intense difficulty </w:t>
      </w:r>
      <w:r w:rsidR="005F4E36">
        <w:rPr>
          <w:rFonts w:ascii="Times New Roman" w:hAnsi="Times New Roman" w:cs="Times New Roman"/>
          <w:sz w:val="24"/>
          <w:szCs w:val="24"/>
          <w:lang w:val="en-US"/>
        </w:rPr>
        <w:t xml:space="preserve">within </w:t>
      </w:r>
      <w:r>
        <w:rPr>
          <w:rFonts w:ascii="Times New Roman" w:hAnsi="Times New Roman" w:cs="Times New Roman"/>
          <w:sz w:val="24"/>
          <w:szCs w:val="24"/>
          <w:lang w:val="en-US"/>
        </w:rPr>
        <w:t>repaying the short term debt obligation with its quick assets compared to its industry peers.</w:t>
      </w:r>
    </w:p>
    <w:p w14:paraId="49A5DA49" w14:textId="77777777" w:rsidR="00197854" w:rsidRPr="00580C99" w:rsidRDefault="00197854" w:rsidP="007C6BD1">
      <w:pPr>
        <w:pStyle w:val="Heading2"/>
        <w:spacing w:line="360" w:lineRule="auto"/>
        <w:rPr>
          <w:b/>
          <w:color w:val="ED7D31" w:themeColor="accent2"/>
          <w:sz w:val="32"/>
          <w:szCs w:val="32"/>
          <w:lang w:val="en-US"/>
        </w:rPr>
      </w:pPr>
      <w:bookmarkStart w:id="4" w:name="_Toc69159406"/>
      <w:r w:rsidRPr="00580C99">
        <w:rPr>
          <w:b/>
          <w:color w:val="ED7D31" w:themeColor="accent2"/>
          <w:sz w:val="32"/>
          <w:szCs w:val="32"/>
          <w:lang w:val="en-US"/>
        </w:rPr>
        <w:t>Profitability Ratios:</w:t>
      </w:r>
      <w:bookmarkEnd w:id="4"/>
    </w:p>
    <w:p w14:paraId="7AB3F6A9" w14:textId="77777777" w:rsidR="00197854" w:rsidRPr="007C66AB" w:rsidRDefault="00197854" w:rsidP="007C6BD1">
      <w:pPr>
        <w:pStyle w:val="ListParagraph"/>
        <w:numPr>
          <w:ilvl w:val="0"/>
          <w:numId w:val="9"/>
        </w:numPr>
        <w:spacing w:line="360" w:lineRule="auto"/>
        <w:jc w:val="both"/>
        <w:rPr>
          <w:rFonts w:ascii="Times New Roman" w:hAnsi="Times New Roman" w:cs="Times New Roman"/>
          <w:b/>
          <w:sz w:val="24"/>
          <w:szCs w:val="24"/>
          <w:lang w:val="en-US"/>
        </w:rPr>
      </w:pPr>
      <w:r w:rsidRPr="007C66AB">
        <w:rPr>
          <w:rFonts w:ascii="Times New Roman" w:hAnsi="Times New Roman" w:cs="Times New Roman"/>
          <w:b/>
          <w:sz w:val="24"/>
          <w:szCs w:val="24"/>
          <w:lang w:val="en-US"/>
        </w:rPr>
        <w:t>Gross Profit Margin:</w:t>
      </w:r>
    </w:p>
    <w:p w14:paraId="650AB0EC" w14:textId="002DDF44" w:rsidR="00197854" w:rsidRPr="00735325" w:rsidRDefault="00197854" w:rsidP="007C6BD1">
      <w:pPr>
        <w:spacing w:line="360" w:lineRule="auto"/>
        <w:jc w:val="both"/>
        <w:rPr>
          <w:rFonts w:ascii="Times New Roman" w:hAnsi="Times New Roman" w:cs="Times New Roman"/>
          <w:sz w:val="24"/>
          <w:szCs w:val="24"/>
          <w:lang w:val="en-US"/>
        </w:rPr>
      </w:pPr>
      <w:r w:rsidRPr="00735325">
        <w:rPr>
          <w:rFonts w:ascii="Times New Roman" w:hAnsi="Times New Roman" w:cs="Times New Roman"/>
          <w:sz w:val="24"/>
          <w:szCs w:val="24"/>
          <w:lang w:val="en-US"/>
        </w:rPr>
        <w:t xml:space="preserve">Gross profit margin is a form of profitability which is used to assess the managerial efficiency of a firm </w:t>
      </w:r>
      <w:r w:rsidR="005F4E36">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 xml:space="preserve">managing the direct material, </w:t>
      </w:r>
      <w:r w:rsidRPr="00407D00">
        <w:rPr>
          <w:rFonts w:ascii="Times New Roman" w:hAnsi="Times New Roman" w:cs="Times New Roman"/>
          <w:sz w:val="24"/>
          <w:szCs w:val="24"/>
        </w:rPr>
        <w:t>labour</w:t>
      </w:r>
      <w:r w:rsidRPr="00735325">
        <w:rPr>
          <w:rFonts w:ascii="Times New Roman" w:hAnsi="Times New Roman" w:cs="Times New Roman"/>
          <w:sz w:val="24"/>
          <w:szCs w:val="24"/>
          <w:lang w:val="en-US"/>
        </w:rPr>
        <w:t xml:space="preserve"> and overhead cost associated </w:t>
      </w:r>
      <w:r w:rsidR="00527CC7">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the production process of a firm to convert sales revenue into gross profit for the firm</w:t>
      </w:r>
      <w:r w:rsidR="00641C0B">
        <w:rPr>
          <w:rFonts w:ascii="Times New Roman" w:hAnsi="Times New Roman" w:cs="Times New Roman"/>
          <w:sz w:val="24"/>
          <w:szCs w:val="24"/>
          <w:lang w:val="en-US"/>
        </w:rPr>
        <w:t xml:space="preserve"> (</w:t>
      </w:r>
      <w:r w:rsidR="00641C0B" w:rsidRPr="00185A5B">
        <w:rPr>
          <w:rFonts w:ascii="Times New Roman" w:hAnsi="Times New Roman" w:cs="Times New Roman"/>
          <w:color w:val="222222"/>
          <w:sz w:val="24"/>
          <w:szCs w:val="24"/>
          <w:shd w:val="clear" w:color="auto" w:fill="FFFFFF"/>
        </w:rPr>
        <w:t>Berk</w:t>
      </w:r>
      <w:r w:rsidR="00641C0B">
        <w:rPr>
          <w:rFonts w:ascii="Times New Roman" w:hAnsi="Times New Roman" w:cs="Times New Roman"/>
          <w:color w:val="222222"/>
          <w:sz w:val="24"/>
          <w:szCs w:val="24"/>
          <w:shd w:val="clear" w:color="auto" w:fill="FFFFFF"/>
        </w:rPr>
        <w:t xml:space="preserve"> et al., 2013)</w:t>
      </w:r>
      <w:r w:rsidRPr="00735325">
        <w:rPr>
          <w:rFonts w:ascii="Times New Roman" w:hAnsi="Times New Roman" w:cs="Times New Roman"/>
          <w:sz w:val="24"/>
          <w:szCs w:val="24"/>
          <w:lang w:val="en-US"/>
        </w:rPr>
        <w:t>.</w:t>
      </w:r>
    </w:p>
    <w:p w14:paraId="66322D91" w14:textId="77777777" w:rsidR="00197854" w:rsidRPr="00735325" w:rsidRDefault="00197854" w:rsidP="007C6BD1">
      <w:pPr>
        <w:spacing w:line="360" w:lineRule="auto"/>
        <w:jc w:val="both"/>
        <w:rPr>
          <w:rFonts w:ascii="Times New Roman" w:hAnsi="Times New Roman" w:cs="Times New Roman"/>
          <w:sz w:val="24"/>
          <w:szCs w:val="24"/>
          <w:lang w:val="en-US"/>
        </w:rPr>
      </w:pPr>
      <w:r w:rsidRPr="00735325">
        <w:rPr>
          <w:rFonts w:ascii="Times New Roman" w:hAnsi="Times New Roman" w:cs="Times New Roman"/>
          <w:sz w:val="24"/>
          <w:szCs w:val="24"/>
          <w:lang w:val="en-US"/>
        </w:rPr>
        <w:t>The formula for gross profit margin is:</w:t>
      </w:r>
    </w:p>
    <w:p w14:paraId="2E0AF9BB" w14:textId="77777777" w:rsidR="00197854" w:rsidRPr="00735325" w:rsidRDefault="00197854" w:rsidP="007C6BD1">
      <w:pPr>
        <w:spacing w:line="360" w:lineRule="auto"/>
        <w:jc w:val="center"/>
        <w:rPr>
          <w:rFonts w:ascii="Times New Roman" w:hAnsi="Times New Roman" w:cs="Times New Roman"/>
          <w:sz w:val="24"/>
          <w:szCs w:val="24"/>
          <w:lang w:val="en-US"/>
        </w:rPr>
      </w:pPr>
      <w:r w:rsidRPr="00735325">
        <w:rPr>
          <w:rFonts w:ascii="Times New Roman" w:hAnsi="Times New Roman" w:cs="Times New Roman"/>
          <w:noProof/>
          <w:sz w:val="24"/>
          <w:szCs w:val="24"/>
          <w:lang w:val="en-US"/>
        </w:rPr>
        <w:lastRenderedPageBreak/>
        <w:drawing>
          <wp:inline distT="0" distB="0" distL="0" distR="0" wp14:anchorId="3AC8C19F" wp14:editId="6C7C1580">
            <wp:extent cx="3376624" cy="1734477"/>
            <wp:effectExtent l="19050" t="19050" r="14605" b="18415"/>
            <wp:docPr id="21" name="Picture 21" descr="Gross Profit Margin (Definition, Formula) | How to Calcu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oss Profit Margin (Definition, Formula) | How to Calculat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81416" cy="1736938"/>
                    </a:xfrm>
                    <a:prstGeom prst="rect">
                      <a:avLst/>
                    </a:prstGeom>
                    <a:noFill/>
                    <a:ln>
                      <a:solidFill>
                        <a:schemeClr val="tx1">
                          <a:lumMod val="50000"/>
                          <a:lumOff val="50000"/>
                        </a:schemeClr>
                      </a:solidFill>
                    </a:ln>
                  </pic:spPr>
                </pic:pic>
              </a:graphicData>
            </a:graphic>
          </wp:inline>
        </w:drawing>
      </w:r>
    </w:p>
    <w:p w14:paraId="0E14E9B2" w14:textId="6F51BB05" w:rsidR="00197854" w:rsidRPr="00735325" w:rsidRDefault="00197854" w:rsidP="007C6BD1">
      <w:pPr>
        <w:spacing w:line="360" w:lineRule="auto"/>
        <w:jc w:val="both"/>
        <w:rPr>
          <w:rFonts w:ascii="Times New Roman" w:hAnsi="Times New Roman" w:cs="Times New Roman"/>
          <w:sz w:val="24"/>
          <w:szCs w:val="24"/>
          <w:lang w:val="en-US"/>
        </w:rPr>
      </w:pPr>
      <w:r w:rsidRPr="00197854">
        <w:rPr>
          <w:rFonts w:ascii="Times New Roman" w:hAnsi="Times New Roman" w:cs="Times New Roman"/>
          <w:noProof/>
          <w:sz w:val="24"/>
          <w:szCs w:val="24"/>
          <w:lang w:val="en-US"/>
        </w:rPr>
        <w:drawing>
          <wp:inline distT="0" distB="0" distL="0" distR="0" wp14:anchorId="47E214DD" wp14:editId="47474BEF">
            <wp:extent cx="5943600" cy="1669245"/>
            <wp:effectExtent l="0" t="0" r="0" b="7620"/>
            <wp:docPr id="11" name="Picture 11"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1.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1669245"/>
                    </a:xfrm>
                    <a:prstGeom prst="rect">
                      <a:avLst/>
                    </a:prstGeom>
                    <a:noFill/>
                    <a:ln>
                      <a:noFill/>
                    </a:ln>
                  </pic:spPr>
                </pic:pic>
              </a:graphicData>
            </a:graphic>
          </wp:inline>
        </w:drawing>
      </w:r>
    </w:p>
    <w:p w14:paraId="5356103A" w14:textId="77777777" w:rsidR="00197854" w:rsidRPr="00735325" w:rsidRDefault="00197854" w:rsidP="007C6BD1">
      <w:pPr>
        <w:spacing w:line="360" w:lineRule="auto"/>
        <w:jc w:val="center"/>
        <w:rPr>
          <w:rFonts w:ascii="Times New Roman" w:hAnsi="Times New Roman" w:cs="Times New Roman"/>
          <w:sz w:val="24"/>
          <w:szCs w:val="24"/>
          <w:lang w:val="en-US"/>
        </w:rPr>
      </w:pPr>
      <w:r w:rsidRPr="00735325">
        <w:rPr>
          <w:rFonts w:ascii="Times New Roman" w:hAnsi="Times New Roman" w:cs="Times New Roman"/>
          <w:noProof/>
          <w:sz w:val="24"/>
          <w:szCs w:val="24"/>
          <w:lang w:val="en-US"/>
        </w:rPr>
        <w:drawing>
          <wp:inline distT="0" distB="0" distL="0" distR="0" wp14:anchorId="1538EE03" wp14:editId="440FA8EE">
            <wp:extent cx="5067300" cy="215265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7B9749D" w14:textId="6E5AA9B4" w:rsidR="00197854" w:rsidRPr="00735325" w:rsidRDefault="00197854" w:rsidP="007C6BD1">
      <w:pPr>
        <w:spacing w:line="360" w:lineRule="auto"/>
        <w:jc w:val="both"/>
        <w:rPr>
          <w:rFonts w:ascii="Times New Roman" w:hAnsi="Times New Roman" w:cs="Times New Roman"/>
          <w:sz w:val="24"/>
          <w:szCs w:val="24"/>
          <w:lang w:val="en-US"/>
        </w:rPr>
      </w:pPr>
      <w:r w:rsidRPr="00735325">
        <w:rPr>
          <w:rFonts w:ascii="Times New Roman" w:hAnsi="Times New Roman" w:cs="Times New Roman"/>
          <w:sz w:val="24"/>
          <w:szCs w:val="24"/>
          <w:lang w:val="en-US"/>
        </w:rPr>
        <w:t xml:space="preserve">The assessment of gross profit margin is indicating a secular trend as the </w:t>
      </w:r>
      <w:r>
        <w:rPr>
          <w:rFonts w:ascii="Times New Roman" w:hAnsi="Times New Roman" w:cs="Times New Roman"/>
          <w:sz w:val="24"/>
          <w:szCs w:val="24"/>
          <w:lang w:val="en-US"/>
        </w:rPr>
        <w:t>gross profit margin</w:t>
      </w:r>
      <w:r w:rsidRPr="00735325">
        <w:rPr>
          <w:rFonts w:ascii="Times New Roman" w:hAnsi="Times New Roman" w:cs="Times New Roman"/>
          <w:sz w:val="24"/>
          <w:szCs w:val="24"/>
          <w:lang w:val="en-US"/>
        </w:rPr>
        <w:t xml:space="preserve"> has increased significantly in 2017 but declined </w:t>
      </w:r>
      <w:r w:rsidR="00D563EF">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 xml:space="preserve">the recent years. The reason for significant increase </w:t>
      </w:r>
      <w:r w:rsidR="00D563EF">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 xml:space="preserve">gross profit margin in 2017 is attributed to the 1.9% increase </w:t>
      </w:r>
      <w:r w:rsidR="00D563EF">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 xml:space="preserve">sales revenue and 23.4% decline </w:t>
      </w:r>
      <w:r w:rsidR="006A2FD7">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 xml:space="preserve">cost of sales for the firm which has resulted in 14.2% increase </w:t>
      </w:r>
      <w:r w:rsidR="001031CA">
        <w:rPr>
          <w:rFonts w:ascii="Times New Roman" w:hAnsi="Times New Roman" w:cs="Times New Roman"/>
          <w:sz w:val="24"/>
          <w:szCs w:val="24"/>
          <w:lang w:val="en-US"/>
        </w:rPr>
        <w:t>its</w:t>
      </w:r>
      <w:r w:rsidR="006548FE">
        <w:rPr>
          <w:rFonts w:ascii="Times New Roman" w:hAnsi="Times New Roman" w:cs="Times New Roman"/>
          <w:sz w:val="24"/>
          <w:szCs w:val="24"/>
          <w:lang w:val="en-US"/>
        </w:rPr>
        <w:t xml:space="preserve"> </w:t>
      </w:r>
      <w:r w:rsidRPr="00735325">
        <w:rPr>
          <w:rFonts w:ascii="Times New Roman" w:hAnsi="Times New Roman" w:cs="Times New Roman"/>
          <w:sz w:val="24"/>
          <w:szCs w:val="24"/>
          <w:lang w:val="en-US"/>
        </w:rPr>
        <w:t xml:space="preserve">gross profit for the firm. But the ratio has been declined by 13.2% in 2018 which can be attributed to the 5% decline </w:t>
      </w:r>
      <w:r w:rsidR="003076D7">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 xml:space="preserve">sales revenue and 24% increase in cost of sales for the firm. The ratio has been slightly improved in 2018 but it has again declined </w:t>
      </w:r>
      <w:r w:rsidR="009869C1">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2020 due</w:t>
      </w:r>
      <w:r w:rsidR="00F90D07">
        <w:rPr>
          <w:rFonts w:ascii="Times New Roman" w:hAnsi="Times New Roman" w:cs="Times New Roman"/>
          <w:sz w:val="24"/>
          <w:szCs w:val="24"/>
          <w:lang w:val="en-US"/>
        </w:rPr>
        <w:t xml:space="preserve"> to the </w:t>
      </w:r>
      <w:r w:rsidRPr="00735325">
        <w:rPr>
          <w:rFonts w:ascii="Times New Roman" w:hAnsi="Times New Roman" w:cs="Times New Roman"/>
          <w:sz w:val="24"/>
          <w:szCs w:val="24"/>
          <w:lang w:val="en-US"/>
        </w:rPr>
        <w:t xml:space="preserve">2.4% decline </w:t>
      </w:r>
      <w:r w:rsidR="00F90D07">
        <w:rPr>
          <w:rFonts w:ascii="Times New Roman" w:hAnsi="Times New Roman" w:cs="Times New Roman"/>
          <w:sz w:val="24"/>
          <w:szCs w:val="24"/>
          <w:lang w:val="en-US"/>
        </w:rPr>
        <w:t xml:space="preserve">within </w:t>
      </w:r>
      <w:r w:rsidR="001031CA" w:rsidRPr="00735325">
        <w:rPr>
          <w:rFonts w:ascii="Times New Roman" w:hAnsi="Times New Roman" w:cs="Times New Roman"/>
          <w:sz w:val="24"/>
          <w:szCs w:val="24"/>
          <w:lang w:val="en-US"/>
        </w:rPr>
        <w:t>the</w:t>
      </w:r>
      <w:r w:rsidR="001031CA">
        <w:rPr>
          <w:rFonts w:ascii="Times New Roman" w:hAnsi="Times New Roman" w:cs="Times New Roman"/>
          <w:sz w:val="24"/>
          <w:szCs w:val="24"/>
          <w:lang w:val="en-US"/>
        </w:rPr>
        <w:t>ir</w:t>
      </w:r>
      <w:r w:rsidRPr="00735325">
        <w:rPr>
          <w:rFonts w:ascii="Times New Roman" w:hAnsi="Times New Roman" w:cs="Times New Roman"/>
          <w:sz w:val="24"/>
          <w:szCs w:val="24"/>
          <w:lang w:val="en-US"/>
        </w:rPr>
        <w:t xml:space="preserve"> sales revenue of the firm due to the declining sales revenue </w:t>
      </w:r>
      <w:r w:rsidR="0050788D">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 xml:space="preserve">European region </w:t>
      </w:r>
      <w:r w:rsidR="0050788D">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lastRenderedPageBreak/>
        <w:t xml:space="preserve">the pandemic. This analysis of gross profit margin for Unilever is indicating the management of Unilever is not effective and effective </w:t>
      </w:r>
      <w:r w:rsidR="001D617D">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 xml:space="preserve">managing the cost of sales for the firm as the growth </w:t>
      </w:r>
      <w:r w:rsidR="001D617D">
        <w:rPr>
          <w:rFonts w:ascii="Times New Roman" w:hAnsi="Times New Roman" w:cs="Times New Roman"/>
          <w:sz w:val="24"/>
          <w:szCs w:val="24"/>
          <w:lang w:val="en-US"/>
        </w:rPr>
        <w:t xml:space="preserve">within the </w:t>
      </w:r>
      <w:r w:rsidRPr="00735325">
        <w:rPr>
          <w:rFonts w:ascii="Times New Roman" w:hAnsi="Times New Roman" w:cs="Times New Roman"/>
          <w:sz w:val="24"/>
          <w:szCs w:val="24"/>
          <w:lang w:val="en-US"/>
        </w:rPr>
        <w:t xml:space="preserve">cost of sales is often outstripped by the growth </w:t>
      </w:r>
      <w:r w:rsidR="001D617D">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the sales revenue of the firm.</w:t>
      </w:r>
    </w:p>
    <w:p w14:paraId="311C7FB3" w14:textId="6E69BBE9" w:rsidR="00197854" w:rsidRPr="00197854" w:rsidRDefault="00197854" w:rsidP="007C6BD1">
      <w:pPr>
        <w:spacing w:line="360" w:lineRule="auto"/>
        <w:jc w:val="both"/>
        <w:rPr>
          <w:rFonts w:ascii="Times New Roman" w:hAnsi="Times New Roman" w:cs="Times New Roman"/>
          <w:sz w:val="24"/>
          <w:szCs w:val="24"/>
          <w:lang w:val="en-US"/>
        </w:rPr>
      </w:pPr>
      <w:r w:rsidRPr="00197854">
        <w:rPr>
          <w:rFonts w:ascii="Times New Roman" w:hAnsi="Times New Roman" w:cs="Times New Roman"/>
          <w:noProof/>
          <w:sz w:val="24"/>
          <w:szCs w:val="24"/>
          <w:lang w:val="en-US"/>
        </w:rPr>
        <w:drawing>
          <wp:inline distT="0" distB="0" distL="0" distR="0" wp14:anchorId="27D08303" wp14:editId="053EC7AF">
            <wp:extent cx="5943600" cy="1270631"/>
            <wp:effectExtent l="0" t="0" r="0" b="6350"/>
            <wp:docPr id="13" name="Picture 13"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1.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1270631"/>
                    </a:xfrm>
                    <a:prstGeom prst="rect">
                      <a:avLst/>
                    </a:prstGeom>
                    <a:noFill/>
                    <a:ln>
                      <a:noFill/>
                    </a:ln>
                  </pic:spPr>
                </pic:pic>
              </a:graphicData>
            </a:graphic>
          </wp:inline>
        </w:drawing>
      </w:r>
    </w:p>
    <w:p w14:paraId="2D5BD590" w14:textId="77777777" w:rsidR="00197854" w:rsidRPr="00197854" w:rsidRDefault="00197854" w:rsidP="007C6BD1">
      <w:pPr>
        <w:spacing w:line="360" w:lineRule="auto"/>
        <w:jc w:val="both"/>
        <w:rPr>
          <w:rFonts w:ascii="Times New Roman" w:hAnsi="Times New Roman" w:cs="Times New Roman"/>
          <w:sz w:val="24"/>
          <w:szCs w:val="24"/>
          <w:lang w:val="en-US"/>
        </w:rPr>
      </w:pPr>
      <w:r w:rsidRPr="00197854">
        <w:rPr>
          <w:rFonts w:ascii="Times New Roman" w:hAnsi="Times New Roman" w:cs="Times New Roman"/>
          <w:noProof/>
          <w:sz w:val="24"/>
          <w:szCs w:val="24"/>
          <w:lang w:val="en-US"/>
        </w:rPr>
        <w:drawing>
          <wp:inline distT="0" distB="0" distL="0" distR="0" wp14:anchorId="547F43E3" wp14:editId="315C47F6">
            <wp:extent cx="5943600" cy="2939488"/>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71CBF7E" w14:textId="657F6A2A" w:rsidR="00197854" w:rsidRPr="00197854" w:rsidRDefault="00197854" w:rsidP="007C6BD1">
      <w:pPr>
        <w:spacing w:line="360" w:lineRule="auto"/>
        <w:jc w:val="both"/>
        <w:rPr>
          <w:rFonts w:ascii="Times New Roman" w:hAnsi="Times New Roman" w:cs="Times New Roman"/>
          <w:sz w:val="24"/>
          <w:szCs w:val="24"/>
          <w:lang w:val="en-US"/>
        </w:rPr>
      </w:pPr>
      <w:r w:rsidRPr="00197854">
        <w:rPr>
          <w:rFonts w:ascii="Times New Roman" w:hAnsi="Times New Roman" w:cs="Times New Roman"/>
          <w:sz w:val="24"/>
          <w:szCs w:val="24"/>
          <w:lang w:val="en-US"/>
        </w:rPr>
        <w:t xml:space="preserve">The assessment of gross profit margin among Unilever, Procter &amp; Gamble and Johnson is indicating that the gross profit margin of Unilever is lower than the industry competitors from 2018 to 2020. It implies that the management of Unilever is not effective and efficient </w:t>
      </w:r>
      <w:r w:rsidR="00FB2566">
        <w:rPr>
          <w:rFonts w:ascii="Times New Roman" w:hAnsi="Times New Roman" w:cs="Times New Roman"/>
          <w:sz w:val="24"/>
          <w:szCs w:val="24"/>
          <w:lang w:val="en-US"/>
        </w:rPr>
        <w:t xml:space="preserve">within </w:t>
      </w:r>
      <w:r w:rsidRPr="00197854">
        <w:rPr>
          <w:rFonts w:ascii="Times New Roman" w:hAnsi="Times New Roman" w:cs="Times New Roman"/>
          <w:sz w:val="24"/>
          <w:szCs w:val="24"/>
          <w:lang w:val="en-US"/>
        </w:rPr>
        <w:t xml:space="preserve">managing the cost of sales compared to the industry peers as the firm does not have sufficient bargaining power </w:t>
      </w:r>
      <w:r w:rsidR="00FB2566">
        <w:rPr>
          <w:rFonts w:ascii="Times New Roman" w:hAnsi="Times New Roman" w:cs="Times New Roman"/>
          <w:sz w:val="24"/>
          <w:szCs w:val="24"/>
          <w:lang w:val="en-US"/>
        </w:rPr>
        <w:t xml:space="preserve">within </w:t>
      </w:r>
      <w:r w:rsidRPr="00197854">
        <w:rPr>
          <w:rFonts w:ascii="Times New Roman" w:hAnsi="Times New Roman" w:cs="Times New Roman"/>
          <w:sz w:val="24"/>
          <w:szCs w:val="24"/>
          <w:lang w:val="en-US"/>
        </w:rPr>
        <w:t>managing the rising cost of materials and labor which has led to the company to underpricing of products to retain and expand its customer base.</w:t>
      </w:r>
    </w:p>
    <w:p w14:paraId="64EB17DE" w14:textId="77777777" w:rsidR="00197854" w:rsidRPr="007C66AB" w:rsidRDefault="00197854" w:rsidP="007C6BD1">
      <w:pPr>
        <w:pStyle w:val="ListParagraph"/>
        <w:numPr>
          <w:ilvl w:val="0"/>
          <w:numId w:val="9"/>
        </w:numPr>
        <w:spacing w:line="360" w:lineRule="auto"/>
        <w:jc w:val="both"/>
        <w:rPr>
          <w:rFonts w:ascii="Times New Roman" w:hAnsi="Times New Roman" w:cs="Times New Roman"/>
          <w:b/>
          <w:sz w:val="24"/>
          <w:szCs w:val="24"/>
          <w:lang w:val="en-US"/>
        </w:rPr>
      </w:pPr>
      <w:r w:rsidRPr="007C66AB">
        <w:rPr>
          <w:rFonts w:ascii="Times New Roman" w:hAnsi="Times New Roman" w:cs="Times New Roman"/>
          <w:b/>
          <w:sz w:val="24"/>
          <w:szCs w:val="24"/>
          <w:lang w:val="en-US"/>
        </w:rPr>
        <w:t>Net Profit Margin:</w:t>
      </w:r>
    </w:p>
    <w:p w14:paraId="5CA6741D" w14:textId="513E158A" w:rsidR="007C6BD1" w:rsidRDefault="00197854" w:rsidP="001031CA">
      <w:pPr>
        <w:spacing w:line="360" w:lineRule="auto"/>
        <w:jc w:val="both"/>
        <w:rPr>
          <w:rFonts w:ascii="Times New Roman" w:hAnsi="Times New Roman" w:cs="Times New Roman"/>
          <w:sz w:val="24"/>
          <w:szCs w:val="24"/>
          <w:lang w:val="en-US"/>
        </w:rPr>
      </w:pPr>
      <w:r w:rsidRPr="00197854">
        <w:rPr>
          <w:rFonts w:ascii="Times New Roman" w:hAnsi="Times New Roman" w:cs="Times New Roman"/>
          <w:sz w:val="24"/>
          <w:szCs w:val="24"/>
          <w:lang w:val="en-US"/>
        </w:rPr>
        <w:t xml:space="preserve">Net profit margin is profitability ratio employed to assess the managerial efficiency of a firm </w:t>
      </w:r>
      <w:r w:rsidR="00E741D2">
        <w:rPr>
          <w:rFonts w:ascii="Times New Roman" w:hAnsi="Times New Roman" w:cs="Times New Roman"/>
          <w:sz w:val="24"/>
          <w:szCs w:val="24"/>
          <w:lang w:val="en-US"/>
        </w:rPr>
        <w:t xml:space="preserve">within </w:t>
      </w:r>
      <w:r w:rsidRPr="00197854">
        <w:rPr>
          <w:rFonts w:ascii="Times New Roman" w:hAnsi="Times New Roman" w:cs="Times New Roman"/>
          <w:sz w:val="24"/>
          <w:szCs w:val="24"/>
          <w:lang w:val="en-US"/>
        </w:rPr>
        <w:t xml:space="preserve">managing the overall cost structure of a firm to covert sales revenue into profit for the firm. </w:t>
      </w:r>
    </w:p>
    <w:p w14:paraId="4B6B44FC" w14:textId="695AD4E6" w:rsidR="00197854" w:rsidRPr="00197854" w:rsidRDefault="00197854" w:rsidP="007C6BD1">
      <w:pPr>
        <w:spacing w:line="360" w:lineRule="auto"/>
        <w:jc w:val="both"/>
        <w:rPr>
          <w:rFonts w:ascii="Times New Roman" w:hAnsi="Times New Roman" w:cs="Times New Roman"/>
          <w:sz w:val="24"/>
          <w:szCs w:val="24"/>
          <w:lang w:val="en-US"/>
        </w:rPr>
      </w:pPr>
      <w:r w:rsidRPr="00197854">
        <w:rPr>
          <w:rFonts w:ascii="Times New Roman" w:hAnsi="Times New Roman" w:cs="Times New Roman"/>
          <w:sz w:val="24"/>
          <w:szCs w:val="24"/>
          <w:lang w:val="en-US"/>
        </w:rPr>
        <w:lastRenderedPageBreak/>
        <w:t>The formula for Net profit margin is</w:t>
      </w:r>
    </w:p>
    <w:p w14:paraId="6D424A6A" w14:textId="77777777" w:rsidR="00197854" w:rsidRPr="00197854" w:rsidRDefault="00197854" w:rsidP="007C6BD1">
      <w:pPr>
        <w:spacing w:line="360" w:lineRule="auto"/>
        <w:jc w:val="center"/>
        <w:rPr>
          <w:rFonts w:ascii="Times New Roman" w:hAnsi="Times New Roman" w:cs="Times New Roman"/>
          <w:sz w:val="24"/>
          <w:szCs w:val="24"/>
          <w:lang w:val="en-US"/>
        </w:rPr>
      </w:pPr>
      <w:r w:rsidRPr="00197854">
        <w:rPr>
          <w:noProof/>
          <w:lang w:val="en-US"/>
        </w:rPr>
        <w:drawing>
          <wp:inline distT="0" distB="0" distL="0" distR="0" wp14:anchorId="3C4182CE" wp14:editId="6B2810A8">
            <wp:extent cx="3846830" cy="2162986"/>
            <wp:effectExtent l="0" t="0" r="1270" b="8890"/>
            <wp:docPr id="15" name="Picture 15" descr="Net Profit Ratio | Double Entry Bookkee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 Profit Ratio | Double Entry Bookkeepi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862980" cy="2172067"/>
                    </a:xfrm>
                    <a:prstGeom prst="rect">
                      <a:avLst/>
                    </a:prstGeom>
                    <a:noFill/>
                    <a:ln>
                      <a:noFill/>
                    </a:ln>
                  </pic:spPr>
                </pic:pic>
              </a:graphicData>
            </a:graphic>
          </wp:inline>
        </w:drawing>
      </w:r>
    </w:p>
    <w:p w14:paraId="232DC0AB" w14:textId="77777777" w:rsidR="00197854" w:rsidRDefault="00197854" w:rsidP="007C6BD1">
      <w:pPr>
        <w:spacing w:line="360" w:lineRule="auto"/>
        <w:jc w:val="both"/>
        <w:rPr>
          <w:rFonts w:ascii="Times New Roman" w:hAnsi="Times New Roman" w:cs="Times New Roman"/>
          <w:sz w:val="24"/>
          <w:szCs w:val="24"/>
          <w:lang w:val="en-US"/>
        </w:rPr>
      </w:pPr>
      <w:r w:rsidRPr="00197854">
        <w:rPr>
          <w:rFonts w:ascii="Times New Roman" w:hAnsi="Times New Roman" w:cs="Times New Roman"/>
          <w:noProof/>
          <w:sz w:val="24"/>
          <w:szCs w:val="24"/>
          <w:lang w:val="en-US"/>
        </w:rPr>
        <w:drawing>
          <wp:inline distT="0" distB="0" distL="0" distR="0" wp14:anchorId="2323389D" wp14:editId="193FB043">
            <wp:extent cx="5943600" cy="1709400"/>
            <wp:effectExtent l="0" t="0" r="0" b="5715"/>
            <wp:docPr id="16" name="Picture 16"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1.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1709400"/>
                    </a:xfrm>
                    <a:prstGeom prst="rect">
                      <a:avLst/>
                    </a:prstGeom>
                    <a:noFill/>
                    <a:ln>
                      <a:noFill/>
                    </a:ln>
                  </pic:spPr>
                </pic:pic>
              </a:graphicData>
            </a:graphic>
          </wp:inline>
        </w:drawing>
      </w:r>
    </w:p>
    <w:p w14:paraId="2D4512D9" w14:textId="77777777" w:rsidR="00197854" w:rsidRPr="00735325" w:rsidRDefault="00197854" w:rsidP="007C6BD1">
      <w:pPr>
        <w:spacing w:line="360" w:lineRule="auto"/>
        <w:jc w:val="both"/>
        <w:rPr>
          <w:rFonts w:ascii="Times New Roman" w:hAnsi="Times New Roman" w:cs="Times New Roman"/>
          <w:sz w:val="24"/>
          <w:szCs w:val="24"/>
          <w:lang w:val="en-US"/>
        </w:rPr>
      </w:pPr>
    </w:p>
    <w:p w14:paraId="4DF0E78C" w14:textId="77777777" w:rsidR="00197854" w:rsidRPr="00735325" w:rsidRDefault="00197854" w:rsidP="007C6BD1">
      <w:pPr>
        <w:spacing w:line="360" w:lineRule="auto"/>
        <w:jc w:val="center"/>
        <w:rPr>
          <w:rFonts w:ascii="Times New Roman" w:hAnsi="Times New Roman" w:cs="Times New Roman"/>
          <w:sz w:val="24"/>
          <w:szCs w:val="24"/>
          <w:lang w:val="en-US"/>
        </w:rPr>
      </w:pPr>
      <w:r w:rsidRPr="00735325">
        <w:rPr>
          <w:rFonts w:ascii="Times New Roman" w:hAnsi="Times New Roman" w:cs="Times New Roman"/>
          <w:noProof/>
          <w:sz w:val="24"/>
          <w:szCs w:val="24"/>
          <w:lang w:val="en-US"/>
        </w:rPr>
        <w:drawing>
          <wp:inline distT="0" distB="0" distL="0" distR="0" wp14:anchorId="3B59A9EC" wp14:editId="79D88352">
            <wp:extent cx="5067300" cy="215265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DEFC219" w14:textId="16E6196D" w:rsidR="00197854" w:rsidRPr="00735325" w:rsidRDefault="00197854" w:rsidP="007C6BD1">
      <w:pPr>
        <w:spacing w:line="360" w:lineRule="auto"/>
        <w:jc w:val="both"/>
        <w:rPr>
          <w:rFonts w:ascii="Times New Roman" w:hAnsi="Times New Roman" w:cs="Times New Roman"/>
          <w:sz w:val="24"/>
          <w:szCs w:val="24"/>
          <w:lang w:val="en-US"/>
        </w:rPr>
      </w:pPr>
      <w:r w:rsidRPr="00735325">
        <w:rPr>
          <w:rFonts w:ascii="Times New Roman" w:hAnsi="Times New Roman" w:cs="Times New Roman"/>
          <w:sz w:val="24"/>
          <w:szCs w:val="24"/>
          <w:lang w:val="en-US"/>
        </w:rPr>
        <w:t xml:space="preserve">The assessment of net profit margin of Unilever from 2016 to 2020 is indicating that the net profit margin has increased from 2016 to 2018 but declined </w:t>
      </w:r>
      <w:r w:rsidR="00E772C6">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2019 and again increased slightly in 2020. The reason for significant increase in</w:t>
      </w:r>
      <w:r w:rsidR="00B5505E">
        <w:rPr>
          <w:rFonts w:ascii="Times New Roman" w:hAnsi="Times New Roman" w:cs="Times New Roman"/>
          <w:sz w:val="24"/>
          <w:szCs w:val="24"/>
          <w:lang w:val="en-US"/>
        </w:rPr>
        <w:t xml:space="preserve"> the</w:t>
      </w:r>
      <w:r w:rsidRPr="00735325">
        <w:rPr>
          <w:rFonts w:ascii="Times New Roman" w:hAnsi="Times New Roman" w:cs="Times New Roman"/>
          <w:sz w:val="24"/>
          <w:szCs w:val="24"/>
          <w:lang w:val="en-US"/>
        </w:rPr>
        <w:t xml:space="preserve"> net profit margin </w:t>
      </w:r>
      <w:r w:rsidR="009F3D39">
        <w:rPr>
          <w:rFonts w:ascii="Times New Roman" w:hAnsi="Times New Roman" w:cs="Times New Roman"/>
          <w:sz w:val="24"/>
          <w:szCs w:val="24"/>
          <w:lang w:val="en-US"/>
        </w:rPr>
        <w:t xml:space="preserve">between </w:t>
      </w:r>
      <w:r w:rsidRPr="00735325">
        <w:rPr>
          <w:rFonts w:ascii="Times New Roman" w:hAnsi="Times New Roman" w:cs="Times New Roman"/>
          <w:sz w:val="24"/>
          <w:szCs w:val="24"/>
          <w:lang w:val="en-US"/>
        </w:rPr>
        <w:t xml:space="preserve">2017 </w:t>
      </w:r>
      <w:r w:rsidR="00104F40">
        <w:rPr>
          <w:rFonts w:ascii="Times New Roman" w:hAnsi="Times New Roman" w:cs="Times New Roman"/>
          <w:sz w:val="24"/>
          <w:szCs w:val="24"/>
          <w:lang w:val="en-US"/>
        </w:rPr>
        <w:t xml:space="preserve">and </w:t>
      </w:r>
      <w:r w:rsidRPr="00735325">
        <w:rPr>
          <w:rFonts w:ascii="Times New Roman" w:hAnsi="Times New Roman" w:cs="Times New Roman"/>
          <w:sz w:val="24"/>
          <w:szCs w:val="24"/>
          <w:lang w:val="en-US"/>
        </w:rPr>
        <w:t xml:space="preserve">can be </w:t>
      </w:r>
      <w:r w:rsidRPr="00735325">
        <w:rPr>
          <w:rFonts w:ascii="Times New Roman" w:hAnsi="Times New Roman" w:cs="Times New Roman"/>
          <w:sz w:val="24"/>
          <w:szCs w:val="24"/>
          <w:lang w:val="en-US"/>
        </w:rPr>
        <w:lastRenderedPageBreak/>
        <w:t xml:space="preserve">attributed to the .9% increase </w:t>
      </w:r>
      <w:r w:rsidR="009F3D39">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 xml:space="preserve">sales revenue and 23.4% decline </w:t>
      </w:r>
      <w:r w:rsidR="005A7DCE">
        <w:rPr>
          <w:rFonts w:ascii="Times New Roman" w:hAnsi="Times New Roman" w:cs="Times New Roman"/>
          <w:sz w:val="24"/>
          <w:szCs w:val="24"/>
          <w:lang w:val="en-US"/>
        </w:rPr>
        <w:t xml:space="preserve">within the </w:t>
      </w:r>
      <w:r w:rsidRPr="00735325">
        <w:rPr>
          <w:rFonts w:ascii="Times New Roman" w:hAnsi="Times New Roman" w:cs="Times New Roman"/>
          <w:sz w:val="24"/>
          <w:szCs w:val="24"/>
          <w:lang w:val="en-US"/>
        </w:rPr>
        <w:t>cost of sales and</w:t>
      </w:r>
      <w:r w:rsidR="005A7DCE">
        <w:rPr>
          <w:rFonts w:ascii="Times New Roman" w:hAnsi="Times New Roman" w:cs="Times New Roman"/>
          <w:sz w:val="24"/>
          <w:szCs w:val="24"/>
          <w:lang w:val="en-US"/>
        </w:rPr>
        <w:t xml:space="preserve"> having a</w:t>
      </w:r>
      <w:r w:rsidRPr="00735325">
        <w:rPr>
          <w:rFonts w:ascii="Times New Roman" w:hAnsi="Times New Roman" w:cs="Times New Roman"/>
          <w:sz w:val="24"/>
          <w:szCs w:val="24"/>
          <w:lang w:val="en-US"/>
        </w:rPr>
        <w:t xml:space="preserve"> 3% decline in selling and administrative expenses which has resulted </w:t>
      </w:r>
      <w:r w:rsidR="009F3D39">
        <w:rPr>
          <w:rFonts w:ascii="Times New Roman" w:hAnsi="Times New Roman" w:cs="Times New Roman"/>
          <w:sz w:val="24"/>
          <w:szCs w:val="24"/>
          <w:lang w:val="en-US"/>
        </w:rPr>
        <w:t xml:space="preserve">between </w:t>
      </w:r>
      <w:r w:rsidRPr="00735325">
        <w:rPr>
          <w:rFonts w:ascii="Times New Roman" w:hAnsi="Times New Roman" w:cs="Times New Roman"/>
          <w:sz w:val="24"/>
          <w:szCs w:val="24"/>
          <w:lang w:val="en-US"/>
        </w:rPr>
        <w:t xml:space="preserve">16.9% increase in net profit of the firm. Despite 27% decline </w:t>
      </w:r>
      <w:r w:rsidR="00B9496D">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 xml:space="preserve">gross profit in 2018, the net profit has been improved by 7.1% in 2018 due to the 32.4% decline </w:t>
      </w:r>
      <w:r w:rsidR="00B9496D">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selling and administrative expenses of the firm which has resulted in</w:t>
      </w:r>
      <w:r w:rsidR="00FE4D05">
        <w:rPr>
          <w:rFonts w:ascii="Times New Roman" w:hAnsi="Times New Roman" w:cs="Times New Roman"/>
          <w:sz w:val="24"/>
          <w:szCs w:val="24"/>
          <w:lang w:val="en-US"/>
        </w:rPr>
        <w:t xml:space="preserve"> a</w:t>
      </w:r>
      <w:r w:rsidRPr="00735325">
        <w:rPr>
          <w:rFonts w:ascii="Times New Roman" w:hAnsi="Times New Roman" w:cs="Times New Roman"/>
          <w:sz w:val="24"/>
          <w:szCs w:val="24"/>
          <w:lang w:val="en-US"/>
        </w:rPr>
        <w:t xml:space="preserve"> 51% increase in the net profit of the firm. The ratio has declined in 2019 due to monetary losses arising from unfavorable exchange rate movements and increasing inflationary pressure </w:t>
      </w:r>
      <w:r w:rsidR="00365006">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 xml:space="preserve">developing economies. Despite the declining sales revenue </w:t>
      </w:r>
      <w:r w:rsidR="00CA6CDE">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 xml:space="preserve">2020, the profit margin increased slightly </w:t>
      </w:r>
      <w:r w:rsidR="00365006">
        <w:rPr>
          <w:rFonts w:ascii="Times New Roman" w:hAnsi="Times New Roman" w:cs="Times New Roman"/>
          <w:sz w:val="24"/>
          <w:szCs w:val="24"/>
          <w:lang w:val="en-US"/>
        </w:rPr>
        <w:t xml:space="preserve">between </w:t>
      </w:r>
      <w:r w:rsidRPr="00735325">
        <w:rPr>
          <w:rFonts w:ascii="Times New Roman" w:hAnsi="Times New Roman" w:cs="Times New Roman"/>
          <w:sz w:val="24"/>
          <w:szCs w:val="24"/>
          <w:lang w:val="en-US"/>
        </w:rPr>
        <w:t xml:space="preserve">2020 which can be attributed to the 1.5% decline </w:t>
      </w:r>
      <w:r w:rsidR="00D40647">
        <w:rPr>
          <w:rFonts w:ascii="Times New Roman" w:hAnsi="Times New Roman" w:cs="Times New Roman"/>
          <w:sz w:val="24"/>
          <w:szCs w:val="24"/>
          <w:lang w:val="en-US"/>
        </w:rPr>
        <w:t xml:space="preserve">within the </w:t>
      </w:r>
      <w:r w:rsidRPr="00735325">
        <w:rPr>
          <w:rFonts w:ascii="Times New Roman" w:hAnsi="Times New Roman" w:cs="Times New Roman"/>
          <w:sz w:val="24"/>
          <w:szCs w:val="24"/>
          <w:lang w:val="en-US"/>
        </w:rPr>
        <w:t>cost of sales and</w:t>
      </w:r>
      <w:r w:rsidR="00D3382D">
        <w:rPr>
          <w:rFonts w:ascii="Times New Roman" w:hAnsi="Times New Roman" w:cs="Times New Roman"/>
          <w:sz w:val="24"/>
          <w:szCs w:val="24"/>
          <w:lang w:val="en-US"/>
        </w:rPr>
        <w:t xml:space="preserve"> of a</w:t>
      </w:r>
      <w:r w:rsidRPr="00735325">
        <w:rPr>
          <w:rFonts w:ascii="Times New Roman" w:hAnsi="Times New Roman" w:cs="Times New Roman"/>
          <w:sz w:val="24"/>
          <w:szCs w:val="24"/>
          <w:lang w:val="en-US"/>
        </w:rPr>
        <w:t xml:space="preserve"> 2% decline the selling and administrative expenses of the firm</w:t>
      </w:r>
      <w:r w:rsidR="00185A5B">
        <w:rPr>
          <w:rFonts w:ascii="Times New Roman" w:hAnsi="Times New Roman" w:cs="Times New Roman"/>
          <w:sz w:val="24"/>
          <w:szCs w:val="24"/>
          <w:lang w:val="en-US"/>
        </w:rPr>
        <w:t xml:space="preserve"> </w:t>
      </w:r>
      <w:r w:rsidR="00185A5B" w:rsidRPr="00185A5B">
        <w:rPr>
          <w:rFonts w:ascii="Times New Roman" w:hAnsi="Times New Roman" w:cs="Times New Roman"/>
          <w:sz w:val="24"/>
          <w:szCs w:val="24"/>
          <w:lang w:val="en-US"/>
        </w:rPr>
        <w:t>(Unilever global company website | Unilever Global ..., n.d.)</w:t>
      </w:r>
      <w:r w:rsidRPr="00735325">
        <w:rPr>
          <w:rFonts w:ascii="Times New Roman" w:hAnsi="Times New Roman" w:cs="Times New Roman"/>
          <w:sz w:val="24"/>
          <w:szCs w:val="24"/>
          <w:lang w:val="en-US"/>
        </w:rPr>
        <w:t xml:space="preserve">. This analysis is indicating that Unilever is efficient </w:t>
      </w:r>
      <w:r w:rsidR="00D3382D">
        <w:rPr>
          <w:rFonts w:ascii="Times New Roman" w:hAnsi="Times New Roman" w:cs="Times New Roman"/>
          <w:sz w:val="24"/>
          <w:szCs w:val="24"/>
          <w:lang w:val="en-US"/>
        </w:rPr>
        <w:t xml:space="preserve">within </w:t>
      </w:r>
      <w:r w:rsidRPr="00735325">
        <w:rPr>
          <w:rFonts w:ascii="Times New Roman" w:hAnsi="Times New Roman" w:cs="Times New Roman"/>
          <w:sz w:val="24"/>
          <w:szCs w:val="24"/>
          <w:lang w:val="en-US"/>
        </w:rPr>
        <w:t>managing the administrative and distribution expenses of the firm to improve the profitability of Unilever.</w:t>
      </w:r>
    </w:p>
    <w:p w14:paraId="57B2D895" w14:textId="7B13DBF6" w:rsidR="00342789" w:rsidRPr="00342789" w:rsidRDefault="00342789" w:rsidP="007C6BD1">
      <w:pPr>
        <w:spacing w:line="360" w:lineRule="auto"/>
        <w:jc w:val="center"/>
        <w:rPr>
          <w:rFonts w:ascii="Times New Roman" w:hAnsi="Times New Roman" w:cs="Times New Roman"/>
          <w:sz w:val="24"/>
          <w:szCs w:val="24"/>
          <w:lang w:val="en-US"/>
        </w:rPr>
      </w:pPr>
      <w:r w:rsidRPr="00342789">
        <w:rPr>
          <w:rFonts w:ascii="Times New Roman" w:hAnsi="Times New Roman" w:cs="Times New Roman"/>
          <w:noProof/>
          <w:sz w:val="24"/>
          <w:szCs w:val="24"/>
          <w:lang w:val="en-US"/>
        </w:rPr>
        <w:drawing>
          <wp:inline distT="0" distB="0" distL="0" distR="0" wp14:anchorId="0232D0A9" wp14:editId="727B9E36">
            <wp:extent cx="5294605" cy="1235827"/>
            <wp:effectExtent l="0" t="0" r="1905" b="2540"/>
            <wp:docPr id="18" name="Picture 18"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1.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12833" cy="1240082"/>
                    </a:xfrm>
                    <a:prstGeom prst="rect">
                      <a:avLst/>
                    </a:prstGeom>
                    <a:noFill/>
                    <a:ln>
                      <a:noFill/>
                    </a:ln>
                  </pic:spPr>
                </pic:pic>
              </a:graphicData>
            </a:graphic>
          </wp:inline>
        </w:drawing>
      </w:r>
    </w:p>
    <w:p w14:paraId="408A3EBA" w14:textId="43EA71F7"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noProof/>
          <w:sz w:val="24"/>
          <w:szCs w:val="24"/>
          <w:lang w:val="en-US"/>
        </w:rPr>
        <w:drawing>
          <wp:inline distT="0" distB="0" distL="0" distR="0" wp14:anchorId="0B716E04" wp14:editId="19964554">
            <wp:extent cx="5943600" cy="2939488"/>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129535AD" w14:textId="49D1A519"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lastRenderedPageBreak/>
        <w:t>The assessment of net profit margin among Unilever, Procter &amp; Gamble and Johnson is indicating that the net profit margin of Unilever is higher than the industry competitors from 2018 to 2020 suggesting that the management of</w:t>
      </w:r>
      <w:r w:rsidR="009F5707">
        <w:rPr>
          <w:rFonts w:ascii="Times New Roman" w:hAnsi="Times New Roman" w:cs="Times New Roman"/>
          <w:sz w:val="24"/>
          <w:szCs w:val="24"/>
          <w:lang w:val="en-US"/>
        </w:rPr>
        <w:t xml:space="preserve"> </w:t>
      </w:r>
      <w:r w:rsidRPr="00342789">
        <w:rPr>
          <w:rFonts w:ascii="Times New Roman" w:hAnsi="Times New Roman" w:cs="Times New Roman"/>
          <w:sz w:val="24"/>
          <w:szCs w:val="24"/>
          <w:lang w:val="en-US"/>
        </w:rPr>
        <w:t xml:space="preserve"> Unilever is more efficient </w:t>
      </w:r>
      <w:r w:rsidR="00BC002A">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managing the overall cost structure to </w:t>
      </w:r>
      <w:r w:rsidR="00BC002A">
        <w:rPr>
          <w:rFonts w:ascii="Times New Roman" w:hAnsi="Times New Roman" w:cs="Times New Roman"/>
          <w:sz w:val="24"/>
          <w:szCs w:val="24"/>
          <w:lang w:val="en-US"/>
        </w:rPr>
        <w:t xml:space="preserve">better </w:t>
      </w:r>
      <w:r w:rsidRPr="00342789">
        <w:rPr>
          <w:rFonts w:ascii="Times New Roman" w:hAnsi="Times New Roman" w:cs="Times New Roman"/>
          <w:sz w:val="24"/>
          <w:szCs w:val="24"/>
          <w:lang w:val="en-US"/>
        </w:rPr>
        <w:t>improve the profitability of the firm. The higher net profit margin of Unilever is implying that Unilever is converting more portion of its sales revenue into profit for the firm compared to its industry peers</w:t>
      </w:r>
    </w:p>
    <w:p w14:paraId="0138D8A3" w14:textId="77777777" w:rsidR="00342789" w:rsidRPr="00342789" w:rsidRDefault="00342789" w:rsidP="007C6BD1">
      <w:pPr>
        <w:spacing w:line="360" w:lineRule="auto"/>
        <w:jc w:val="both"/>
        <w:rPr>
          <w:rFonts w:ascii="Times New Roman" w:hAnsi="Times New Roman" w:cs="Times New Roman"/>
          <w:sz w:val="24"/>
          <w:szCs w:val="24"/>
          <w:lang w:val="en-US"/>
        </w:rPr>
      </w:pPr>
    </w:p>
    <w:p w14:paraId="7CDB8DD3" w14:textId="77777777" w:rsidR="00342789" w:rsidRPr="007C66AB" w:rsidRDefault="00342789" w:rsidP="007C6BD1">
      <w:pPr>
        <w:pStyle w:val="ListParagraph"/>
        <w:numPr>
          <w:ilvl w:val="0"/>
          <w:numId w:val="9"/>
        </w:numPr>
        <w:spacing w:line="360" w:lineRule="auto"/>
        <w:jc w:val="both"/>
        <w:rPr>
          <w:rFonts w:ascii="Times New Roman" w:hAnsi="Times New Roman" w:cs="Times New Roman"/>
          <w:b/>
          <w:sz w:val="24"/>
          <w:szCs w:val="24"/>
          <w:lang w:val="en-US"/>
        </w:rPr>
      </w:pPr>
      <w:r w:rsidRPr="007C66AB">
        <w:rPr>
          <w:rFonts w:ascii="Times New Roman" w:hAnsi="Times New Roman" w:cs="Times New Roman"/>
          <w:b/>
          <w:sz w:val="24"/>
          <w:szCs w:val="24"/>
          <w:lang w:val="en-US"/>
        </w:rPr>
        <w:t>Return on Asset (ROA):</w:t>
      </w:r>
    </w:p>
    <w:p w14:paraId="0DDCC2BB" w14:textId="165FBFFA"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Return on Asset (ROA) is profitability ratio which indicates the managerial efficiency of the firm </w:t>
      </w:r>
      <w:r w:rsidR="00EB28A7">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managing its investment in asset structure to generate earnings for the firm</w:t>
      </w:r>
      <w:r w:rsidR="00641C0B">
        <w:rPr>
          <w:rFonts w:ascii="Times New Roman" w:hAnsi="Times New Roman" w:cs="Times New Roman"/>
          <w:sz w:val="24"/>
          <w:szCs w:val="24"/>
          <w:lang w:val="en-US"/>
        </w:rPr>
        <w:t xml:space="preserve"> (</w:t>
      </w:r>
      <w:r w:rsidR="00641C0B" w:rsidRPr="00185A5B">
        <w:rPr>
          <w:rFonts w:ascii="Times New Roman" w:hAnsi="Times New Roman" w:cs="Times New Roman"/>
          <w:color w:val="222222"/>
          <w:sz w:val="24"/>
          <w:szCs w:val="24"/>
          <w:shd w:val="clear" w:color="auto" w:fill="FFFFFF"/>
        </w:rPr>
        <w:t>Berk</w:t>
      </w:r>
      <w:r w:rsidR="00641C0B">
        <w:rPr>
          <w:rFonts w:ascii="Times New Roman" w:hAnsi="Times New Roman" w:cs="Times New Roman"/>
          <w:color w:val="222222"/>
          <w:sz w:val="24"/>
          <w:szCs w:val="24"/>
          <w:shd w:val="clear" w:color="auto" w:fill="FFFFFF"/>
        </w:rPr>
        <w:t xml:space="preserve"> et al., 2013)</w:t>
      </w:r>
      <w:r w:rsidRPr="00342789">
        <w:rPr>
          <w:rFonts w:ascii="Times New Roman" w:hAnsi="Times New Roman" w:cs="Times New Roman"/>
          <w:sz w:val="24"/>
          <w:szCs w:val="24"/>
          <w:lang w:val="en-US"/>
        </w:rPr>
        <w:t>.</w:t>
      </w:r>
    </w:p>
    <w:p w14:paraId="69272E50" w14:textId="77777777"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The formula for ROA </w:t>
      </w:r>
      <w:r w:rsidR="00580C99" w:rsidRPr="00342789">
        <w:rPr>
          <w:rFonts w:ascii="Times New Roman" w:hAnsi="Times New Roman" w:cs="Times New Roman"/>
          <w:sz w:val="24"/>
          <w:szCs w:val="24"/>
          <w:lang w:val="en-US"/>
        </w:rPr>
        <w:t>is:</w:t>
      </w:r>
    </w:p>
    <w:p w14:paraId="74334EBF" w14:textId="1422E57A" w:rsidR="00105EE1" w:rsidRPr="00342789" w:rsidRDefault="00342789" w:rsidP="007C6BD1">
      <w:pPr>
        <w:spacing w:line="360" w:lineRule="auto"/>
        <w:jc w:val="center"/>
        <w:rPr>
          <w:rFonts w:ascii="Times New Roman" w:hAnsi="Times New Roman" w:cs="Times New Roman"/>
          <w:sz w:val="24"/>
          <w:szCs w:val="24"/>
          <w:lang w:val="en-US"/>
        </w:rPr>
      </w:pPr>
      <w:r w:rsidRPr="00342789">
        <w:rPr>
          <w:noProof/>
          <w:lang w:val="en-US"/>
        </w:rPr>
        <w:drawing>
          <wp:inline distT="0" distB="0" distL="0" distR="0" wp14:anchorId="34EE71FF" wp14:editId="3A980C3E">
            <wp:extent cx="2845644" cy="1395398"/>
            <wp:effectExtent l="0" t="0" r="0" b="0"/>
            <wp:docPr id="20" name="Picture 20" descr="What Is Return on Assets? | Examples, Formula, &amp;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Return on Assets? | Examples, Formula, &amp; More"/>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876730" cy="1410641"/>
                    </a:xfrm>
                    <a:prstGeom prst="rect">
                      <a:avLst/>
                    </a:prstGeom>
                    <a:noFill/>
                    <a:ln>
                      <a:noFill/>
                    </a:ln>
                  </pic:spPr>
                </pic:pic>
              </a:graphicData>
            </a:graphic>
          </wp:inline>
        </w:drawing>
      </w:r>
    </w:p>
    <w:p w14:paraId="6F60F6DC" w14:textId="77777777" w:rsidR="00342789" w:rsidRPr="00342789" w:rsidRDefault="00105EE1" w:rsidP="007C6BD1">
      <w:pPr>
        <w:spacing w:line="360" w:lineRule="auto"/>
        <w:jc w:val="both"/>
        <w:rPr>
          <w:rFonts w:ascii="Times New Roman" w:hAnsi="Times New Roman" w:cs="Times New Roman"/>
          <w:sz w:val="24"/>
          <w:szCs w:val="24"/>
          <w:lang w:val="en-US"/>
        </w:rPr>
      </w:pPr>
      <w:r w:rsidRPr="00105EE1">
        <w:rPr>
          <w:rFonts w:ascii="Times New Roman" w:hAnsi="Times New Roman" w:cs="Times New Roman"/>
          <w:noProof/>
          <w:sz w:val="24"/>
          <w:szCs w:val="24"/>
          <w:lang w:val="en-US"/>
        </w:rPr>
        <w:drawing>
          <wp:inline distT="0" distB="0" distL="0" distR="0" wp14:anchorId="761A80BC" wp14:editId="71C9A0CF">
            <wp:extent cx="5943600" cy="1529524"/>
            <wp:effectExtent l="0" t="0" r="0" b="0"/>
            <wp:docPr id="39" name="Picture 39"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1.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1529524"/>
                    </a:xfrm>
                    <a:prstGeom prst="rect">
                      <a:avLst/>
                    </a:prstGeom>
                    <a:noFill/>
                    <a:ln>
                      <a:noFill/>
                    </a:ln>
                  </pic:spPr>
                </pic:pic>
              </a:graphicData>
            </a:graphic>
          </wp:inline>
        </w:drawing>
      </w:r>
    </w:p>
    <w:p w14:paraId="75EB5153" w14:textId="77777777" w:rsidR="00342789" w:rsidRPr="00342789" w:rsidRDefault="00342789" w:rsidP="007C6BD1">
      <w:pPr>
        <w:spacing w:line="360" w:lineRule="auto"/>
        <w:jc w:val="center"/>
        <w:rPr>
          <w:rFonts w:ascii="Times New Roman" w:hAnsi="Times New Roman" w:cs="Times New Roman"/>
          <w:sz w:val="24"/>
          <w:szCs w:val="24"/>
          <w:lang w:val="en-US"/>
        </w:rPr>
      </w:pPr>
      <w:r w:rsidRPr="00342789">
        <w:rPr>
          <w:rFonts w:ascii="Times New Roman" w:hAnsi="Times New Roman" w:cs="Times New Roman"/>
          <w:noProof/>
          <w:sz w:val="24"/>
          <w:szCs w:val="24"/>
          <w:lang w:val="en-US"/>
        </w:rPr>
        <w:lastRenderedPageBreak/>
        <w:drawing>
          <wp:inline distT="0" distB="0" distL="0" distR="0" wp14:anchorId="5F2B106C" wp14:editId="1221D661">
            <wp:extent cx="5067300" cy="2152650"/>
            <wp:effectExtent l="0" t="0" r="0" b="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7A7932F0" w14:textId="6BAE5D6A"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The </w:t>
      </w:r>
      <w:r w:rsidR="001827F8">
        <w:rPr>
          <w:rFonts w:ascii="Times New Roman" w:hAnsi="Times New Roman" w:cs="Times New Roman"/>
          <w:sz w:val="24"/>
          <w:szCs w:val="24"/>
          <w:lang w:val="en-US"/>
        </w:rPr>
        <w:t xml:space="preserve">Returns </w:t>
      </w:r>
      <w:r w:rsidRPr="00342789">
        <w:rPr>
          <w:rFonts w:ascii="Times New Roman" w:hAnsi="Times New Roman" w:cs="Times New Roman"/>
          <w:sz w:val="24"/>
          <w:szCs w:val="24"/>
          <w:lang w:val="en-US"/>
        </w:rPr>
        <w:t xml:space="preserve">on Asset analysis of Unilever from 2016 to 2020 is indicating that ROA has increased from 2016 to 2018 but declined from 2019. The increase in ROA in 2017 and 2018 can be attributed to the 16.9 % increase </w:t>
      </w:r>
      <w:r w:rsidR="00EC0160">
        <w:rPr>
          <w:rFonts w:ascii="Times New Roman" w:hAnsi="Times New Roman" w:cs="Times New Roman"/>
          <w:sz w:val="24"/>
          <w:szCs w:val="24"/>
          <w:lang w:val="en-US"/>
        </w:rPr>
        <w:t xml:space="preserve">within the </w:t>
      </w:r>
      <w:r w:rsidRPr="00342789">
        <w:rPr>
          <w:rFonts w:ascii="Times New Roman" w:hAnsi="Times New Roman" w:cs="Times New Roman"/>
          <w:sz w:val="24"/>
          <w:szCs w:val="24"/>
          <w:lang w:val="en-US"/>
        </w:rPr>
        <w:t xml:space="preserve">net profit </w:t>
      </w:r>
      <w:r w:rsidR="00EC0160">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2017 and</w:t>
      </w:r>
      <w:r w:rsidR="00EC0160">
        <w:rPr>
          <w:rFonts w:ascii="Times New Roman" w:hAnsi="Times New Roman" w:cs="Times New Roman"/>
          <w:sz w:val="24"/>
          <w:szCs w:val="24"/>
          <w:lang w:val="en-US"/>
        </w:rPr>
        <w:t xml:space="preserve"> a</w:t>
      </w:r>
      <w:r w:rsidRPr="00342789">
        <w:rPr>
          <w:rFonts w:ascii="Times New Roman" w:hAnsi="Times New Roman" w:cs="Times New Roman"/>
          <w:sz w:val="24"/>
          <w:szCs w:val="24"/>
          <w:lang w:val="en-US"/>
        </w:rPr>
        <w:t xml:space="preserve"> 51% increase </w:t>
      </w:r>
      <w:r w:rsidR="001031CA">
        <w:rPr>
          <w:rFonts w:ascii="Times New Roman" w:hAnsi="Times New Roman" w:cs="Times New Roman"/>
          <w:sz w:val="24"/>
          <w:szCs w:val="24"/>
          <w:lang w:val="en-US"/>
        </w:rPr>
        <w:t>within the</w:t>
      </w:r>
      <w:r w:rsidR="007A2E4F">
        <w:rPr>
          <w:rFonts w:ascii="Times New Roman" w:hAnsi="Times New Roman" w:cs="Times New Roman"/>
          <w:sz w:val="24"/>
          <w:szCs w:val="24"/>
          <w:lang w:val="en-US"/>
        </w:rPr>
        <w:t xml:space="preserve"> </w:t>
      </w:r>
      <w:r w:rsidRPr="00342789">
        <w:rPr>
          <w:rFonts w:ascii="Times New Roman" w:hAnsi="Times New Roman" w:cs="Times New Roman"/>
          <w:sz w:val="24"/>
          <w:szCs w:val="24"/>
          <w:lang w:val="en-US"/>
        </w:rPr>
        <w:t xml:space="preserve">net profit in 2018. But the ratio has started to decline from 2019. The ROA declined </w:t>
      </w:r>
      <w:r w:rsidR="007A2E4F">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2019 due to</w:t>
      </w:r>
      <w:r w:rsidR="00435C75">
        <w:rPr>
          <w:rFonts w:ascii="Times New Roman" w:hAnsi="Times New Roman" w:cs="Times New Roman"/>
          <w:sz w:val="24"/>
          <w:szCs w:val="24"/>
          <w:lang w:val="en-US"/>
        </w:rPr>
        <w:t xml:space="preserve"> a</w:t>
      </w:r>
      <w:r w:rsidRPr="00342789">
        <w:rPr>
          <w:rFonts w:ascii="Times New Roman" w:hAnsi="Times New Roman" w:cs="Times New Roman"/>
          <w:sz w:val="24"/>
          <w:szCs w:val="24"/>
          <w:lang w:val="en-US"/>
        </w:rPr>
        <w:t xml:space="preserve"> 38% decline net profit. Despite</w:t>
      </w:r>
      <w:r w:rsidR="00435C75">
        <w:rPr>
          <w:rFonts w:ascii="Times New Roman" w:hAnsi="Times New Roman" w:cs="Times New Roman"/>
          <w:sz w:val="24"/>
          <w:szCs w:val="24"/>
          <w:lang w:val="en-US"/>
        </w:rPr>
        <w:t xml:space="preserve"> a</w:t>
      </w:r>
      <w:r w:rsidRPr="00342789">
        <w:rPr>
          <w:rFonts w:ascii="Times New Roman" w:hAnsi="Times New Roman" w:cs="Times New Roman"/>
          <w:sz w:val="24"/>
          <w:szCs w:val="24"/>
          <w:lang w:val="en-US"/>
        </w:rPr>
        <w:t xml:space="preserve"> 0.8% increase </w:t>
      </w:r>
      <w:r w:rsidR="00435C75">
        <w:rPr>
          <w:rFonts w:ascii="Times New Roman" w:hAnsi="Times New Roman" w:cs="Times New Roman"/>
          <w:sz w:val="24"/>
          <w:szCs w:val="24"/>
          <w:lang w:val="en-US"/>
        </w:rPr>
        <w:t xml:space="preserve">within the </w:t>
      </w:r>
      <w:r w:rsidRPr="00342789">
        <w:rPr>
          <w:rFonts w:ascii="Times New Roman" w:hAnsi="Times New Roman" w:cs="Times New Roman"/>
          <w:sz w:val="24"/>
          <w:szCs w:val="24"/>
          <w:lang w:val="en-US"/>
        </w:rPr>
        <w:t>net profit 2020, ROA has declined</w:t>
      </w:r>
      <w:r w:rsidR="00435C75">
        <w:rPr>
          <w:rFonts w:ascii="Times New Roman" w:hAnsi="Times New Roman" w:cs="Times New Roman"/>
          <w:sz w:val="24"/>
          <w:szCs w:val="24"/>
          <w:lang w:val="en-US"/>
        </w:rPr>
        <w:t xml:space="preserve"> again </w:t>
      </w:r>
      <w:r w:rsidRPr="00342789">
        <w:rPr>
          <w:rFonts w:ascii="Times New Roman" w:hAnsi="Times New Roman" w:cs="Times New Roman"/>
          <w:sz w:val="24"/>
          <w:szCs w:val="24"/>
          <w:lang w:val="en-US"/>
        </w:rPr>
        <w:t xml:space="preserve">in 2020 as the growth rate of investment </w:t>
      </w:r>
      <w:r w:rsidR="00D64B54">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asset structure (4.4%) has outstripped the growth rate </w:t>
      </w:r>
      <w:r w:rsidR="001031CA">
        <w:rPr>
          <w:rFonts w:ascii="Times New Roman" w:hAnsi="Times New Roman" w:cs="Times New Roman"/>
          <w:sz w:val="24"/>
          <w:szCs w:val="24"/>
          <w:lang w:val="en-US"/>
        </w:rPr>
        <w:t>within the</w:t>
      </w:r>
      <w:r w:rsidR="00D64B54">
        <w:rPr>
          <w:rFonts w:ascii="Times New Roman" w:hAnsi="Times New Roman" w:cs="Times New Roman"/>
          <w:sz w:val="24"/>
          <w:szCs w:val="24"/>
          <w:lang w:val="en-US"/>
        </w:rPr>
        <w:t xml:space="preserve"> </w:t>
      </w:r>
      <w:r w:rsidRPr="00342789">
        <w:rPr>
          <w:rFonts w:ascii="Times New Roman" w:hAnsi="Times New Roman" w:cs="Times New Roman"/>
          <w:sz w:val="24"/>
          <w:szCs w:val="24"/>
          <w:lang w:val="en-US"/>
        </w:rPr>
        <w:t xml:space="preserve">net profit for the firm. The declining ROA in the recent years is implying that the management of Unilever has failed to optimally use its investment </w:t>
      </w:r>
      <w:r w:rsidR="00EA4C45">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asset to improve the profitability of the firm.</w:t>
      </w:r>
    </w:p>
    <w:p w14:paraId="0ACC558C" w14:textId="7EA662F0" w:rsidR="00342789" w:rsidRPr="00342789" w:rsidRDefault="00105EE1" w:rsidP="007C6BD1">
      <w:pPr>
        <w:spacing w:line="360" w:lineRule="auto"/>
        <w:jc w:val="both"/>
        <w:rPr>
          <w:rFonts w:ascii="Times New Roman" w:hAnsi="Times New Roman" w:cs="Times New Roman"/>
          <w:sz w:val="24"/>
          <w:szCs w:val="24"/>
          <w:lang w:val="en-US"/>
        </w:rPr>
      </w:pPr>
      <w:r w:rsidRPr="00105EE1">
        <w:rPr>
          <w:rFonts w:ascii="Times New Roman" w:hAnsi="Times New Roman" w:cs="Times New Roman"/>
          <w:noProof/>
          <w:sz w:val="24"/>
          <w:szCs w:val="24"/>
          <w:lang w:val="en-US"/>
        </w:rPr>
        <w:drawing>
          <wp:inline distT="0" distB="0" distL="0" distR="0" wp14:anchorId="372A043B" wp14:editId="61F11FBA">
            <wp:extent cx="5943600" cy="1537805"/>
            <wp:effectExtent l="0" t="0" r="0" b="5715"/>
            <wp:docPr id="41" name="Picture 41"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1.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1537805"/>
                    </a:xfrm>
                    <a:prstGeom prst="rect">
                      <a:avLst/>
                    </a:prstGeom>
                    <a:noFill/>
                    <a:ln>
                      <a:noFill/>
                    </a:ln>
                  </pic:spPr>
                </pic:pic>
              </a:graphicData>
            </a:graphic>
          </wp:inline>
        </w:drawing>
      </w:r>
    </w:p>
    <w:p w14:paraId="5BFA867E" w14:textId="77777777"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noProof/>
          <w:sz w:val="24"/>
          <w:szCs w:val="24"/>
          <w:lang w:val="en-US"/>
        </w:rPr>
        <w:lastRenderedPageBreak/>
        <w:drawing>
          <wp:inline distT="0" distB="0" distL="0" distR="0" wp14:anchorId="7A5B09AB" wp14:editId="118EE2EE">
            <wp:extent cx="5943600" cy="2939488"/>
            <wp:effectExtent l="0" t="0" r="0"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3506772D" w14:textId="39733559"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Despite the significant decline </w:t>
      </w:r>
      <w:r w:rsidR="00EA4C45">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ROA in the recent years, ROA of Unilever is higher compared to its industry counterparts which is suggesting that, though the managerial efficiency of Unilever </w:t>
      </w:r>
      <w:r w:rsidR="00C5428E">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managing the asset structure to improve the profitability of the firm has deteriorated </w:t>
      </w:r>
      <w:r w:rsidR="00C5428E">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the recent years, the company is still more effective and efficient than the Procter &amp; Gamble and Johnson &amp; Johnson to management its investment </w:t>
      </w:r>
      <w:r w:rsidR="00203444">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asset structure to improve the profitability of the firm.</w:t>
      </w:r>
    </w:p>
    <w:p w14:paraId="5416C64C" w14:textId="77777777" w:rsidR="00342789" w:rsidRPr="007C66AB" w:rsidRDefault="00342789" w:rsidP="007C6BD1">
      <w:pPr>
        <w:pStyle w:val="ListParagraph"/>
        <w:numPr>
          <w:ilvl w:val="0"/>
          <w:numId w:val="9"/>
        </w:numPr>
        <w:spacing w:line="360" w:lineRule="auto"/>
        <w:jc w:val="both"/>
        <w:rPr>
          <w:rFonts w:ascii="Times New Roman" w:hAnsi="Times New Roman" w:cs="Times New Roman"/>
          <w:b/>
          <w:sz w:val="24"/>
          <w:szCs w:val="24"/>
          <w:lang w:val="en-US"/>
        </w:rPr>
      </w:pPr>
      <w:r w:rsidRPr="007C66AB">
        <w:rPr>
          <w:rFonts w:ascii="Times New Roman" w:hAnsi="Times New Roman" w:cs="Times New Roman"/>
          <w:b/>
          <w:sz w:val="24"/>
          <w:szCs w:val="24"/>
          <w:lang w:val="en-US"/>
        </w:rPr>
        <w:t>Return on Equity (ROE):</w:t>
      </w:r>
    </w:p>
    <w:p w14:paraId="08C2405B" w14:textId="2B49D040"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Return on Equity (ROE) measures the degree of efficiency to </w:t>
      </w:r>
      <w:r w:rsidR="001031CA" w:rsidRPr="00342789">
        <w:rPr>
          <w:rFonts w:ascii="Times New Roman" w:hAnsi="Times New Roman" w:cs="Times New Roman"/>
          <w:sz w:val="24"/>
          <w:szCs w:val="24"/>
          <w:lang w:val="en-US"/>
        </w:rPr>
        <w:t>which management</w:t>
      </w:r>
      <w:r w:rsidRPr="00342789">
        <w:rPr>
          <w:rFonts w:ascii="Times New Roman" w:hAnsi="Times New Roman" w:cs="Times New Roman"/>
          <w:sz w:val="24"/>
          <w:szCs w:val="24"/>
          <w:lang w:val="en-US"/>
        </w:rPr>
        <w:t xml:space="preserve"> is </w:t>
      </w:r>
      <w:proofErr w:type="spellStart"/>
      <w:r w:rsidR="00203444">
        <w:rPr>
          <w:rFonts w:ascii="Times New Roman" w:hAnsi="Times New Roman" w:cs="Times New Roman"/>
          <w:sz w:val="24"/>
          <w:szCs w:val="24"/>
          <w:lang w:val="en-US"/>
        </w:rPr>
        <w:t>maximising</w:t>
      </w:r>
      <w:proofErr w:type="spellEnd"/>
      <w:r w:rsidR="00203444">
        <w:rPr>
          <w:rFonts w:ascii="Times New Roman" w:hAnsi="Times New Roman" w:cs="Times New Roman"/>
          <w:sz w:val="24"/>
          <w:szCs w:val="24"/>
          <w:lang w:val="en-US"/>
        </w:rPr>
        <w:t xml:space="preserve"> </w:t>
      </w:r>
      <w:r w:rsidRPr="00342789">
        <w:rPr>
          <w:rFonts w:ascii="Times New Roman" w:hAnsi="Times New Roman" w:cs="Times New Roman"/>
          <w:sz w:val="24"/>
          <w:szCs w:val="24"/>
          <w:lang w:val="en-US"/>
        </w:rPr>
        <w:t xml:space="preserve">the shareholders wealth through effective and efficient </w:t>
      </w:r>
      <w:proofErr w:type="spellStart"/>
      <w:r w:rsidR="003D6619">
        <w:rPr>
          <w:rFonts w:ascii="Times New Roman" w:hAnsi="Times New Roman" w:cs="Times New Roman"/>
          <w:sz w:val="24"/>
          <w:szCs w:val="24"/>
          <w:lang w:val="en-US"/>
        </w:rPr>
        <w:t>utilisation</w:t>
      </w:r>
      <w:proofErr w:type="spellEnd"/>
      <w:r w:rsidR="003D6619">
        <w:rPr>
          <w:rFonts w:ascii="Times New Roman" w:hAnsi="Times New Roman" w:cs="Times New Roman"/>
          <w:sz w:val="24"/>
          <w:szCs w:val="24"/>
          <w:lang w:val="en-US"/>
        </w:rPr>
        <w:t xml:space="preserve"> </w:t>
      </w:r>
      <w:r w:rsidRPr="00342789">
        <w:rPr>
          <w:rFonts w:ascii="Times New Roman" w:hAnsi="Times New Roman" w:cs="Times New Roman"/>
          <w:sz w:val="24"/>
          <w:szCs w:val="24"/>
          <w:lang w:val="en-US"/>
        </w:rPr>
        <w:t>of shareholders capital to generate earnings for the firm</w:t>
      </w:r>
      <w:r w:rsidR="00641C0B">
        <w:rPr>
          <w:rFonts w:ascii="Times New Roman" w:hAnsi="Times New Roman" w:cs="Times New Roman"/>
          <w:sz w:val="24"/>
          <w:szCs w:val="24"/>
          <w:lang w:val="en-US"/>
        </w:rPr>
        <w:t xml:space="preserve"> </w:t>
      </w:r>
      <w:r w:rsidR="00641C0B">
        <w:rPr>
          <w:rFonts w:ascii="Times New Roman" w:eastAsiaTheme="minorEastAsia" w:hAnsi="Times New Roman" w:cs="Times New Roman"/>
          <w:sz w:val="24"/>
          <w:szCs w:val="24"/>
        </w:rPr>
        <w:t>(</w:t>
      </w:r>
      <w:r w:rsidR="00641C0B" w:rsidRPr="00185A5B">
        <w:rPr>
          <w:rFonts w:ascii="Times New Roman" w:hAnsi="Times New Roman" w:cs="Times New Roman"/>
          <w:color w:val="222222"/>
          <w:sz w:val="24"/>
          <w:szCs w:val="24"/>
          <w:shd w:val="clear" w:color="auto" w:fill="FFFFFF"/>
        </w:rPr>
        <w:t>Brigham</w:t>
      </w:r>
      <w:r w:rsidR="00641C0B">
        <w:rPr>
          <w:rFonts w:ascii="Times New Roman" w:hAnsi="Times New Roman" w:cs="Times New Roman"/>
          <w:color w:val="222222"/>
          <w:sz w:val="24"/>
          <w:szCs w:val="24"/>
          <w:shd w:val="clear" w:color="auto" w:fill="FFFFFF"/>
        </w:rPr>
        <w:t xml:space="preserve"> </w:t>
      </w:r>
      <w:r w:rsidR="00641C0B" w:rsidRPr="00185A5B">
        <w:rPr>
          <w:rFonts w:ascii="Times New Roman" w:hAnsi="Times New Roman" w:cs="Times New Roman"/>
          <w:color w:val="222222"/>
          <w:sz w:val="24"/>
          <w:szCs w:val="24"/>
          <w:shd w:val="clear" w:color="auto" w:fill="FFFFFF"/>
        </w:rPr>
        <w:t>and Houston, 2021</w:t>
      </w:r>
      <w:r w:rsidR="00641C0B">
        <w:rPr>
          <w:rFonts w:ascii="Times New Roman" w:hAnsi="Times New Roman" w:cs="Times New Roman"/>
          <w:color w:val="222222"/>
          <w:sz w:val="24"/>
          <w:szCs w:val="24"/>
          <w:shd w:val="clear" w:color="auto" w:fill="FFFFFF"/>
        </w:rPr>
        <w:t>)</w:t>
      </w:r>
      <w:r w:rsidRPr="00342789">
        <w:rPr>
          <w:rFonts w:ascii="Times New Roman" w:hAnsi="Times New Roman" w:cs="Times New Roman"/>
          <w:sz w:val="24"/>
          <w:szCs w:val="24"/>
          <w:lang w:val="en-US"/>
        </w:rPr>
        <w:t>.</w:t>
      </w:r>
    </w:p>
    <w:p w14:paraId="68E6F8A9" w14:textId="6C049087" w:rsidR="00105EE1"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The formula for ROE is:</w:t>
      </w:r>
    </w:p>
    <w:p w14:paraId="7FDE556A" w14:textId="77777777" w:rsidR="00342789" w:rsidRDefault="00342789" w:rsidP="007C6BD1">
      <w:pPr>
        <w:spacing w:line="360" w:lineRule="auto"/>
        <w:jc w:val="center"/>
        <w:rPr>
          <w:rFonts w:ascii="Times New Roman" w:hAnsi="Times New Roman" w:cs="Times New Roman"/>
          <w:sz w:val="24"/>
          <w:szCs w:val="24"/>
          <w:lang w:val="en-US"/>
        </w:rPr>
      </w:pPr>
      <w:r w:rsidRPr="00342789">
        <w:rPr>
          <w:noProof/>
          <w:lang w:val="en-US"/>
        </w:rPr>
        <w:lastRenderedPageBreak/>
        <w:drawing>
          <wp:inline distT="0" distB="0" distL="0" distR="0" wp14:anchorId="31A4770A" wp14:editId="25BD58CE">
            <wp:extent cx="3907144" cy="2222212"/>
            <wp:effectExtent l="19050" t="19050" r="17780" b="26035"/>
            <wp:docPr id="24" name="Picture 24" descr="Return on Equity (ROE) - Formula, Examples and Guide to RO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turn on Equity (ROE) - Formula, Examples and Guide to ROE"/>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910645" cy="2224203"/>
                    </a:xfrm>
                    <a:prstGeom prst="rect">
                      <a:avLst/>
                    </a:prstGeom>
                    <a:noFill/>
                    <a:ln>
                      <a:solidFill>
                        <a:schemeClr val="tx1">
                          <a:lumMod val="50000"/>
                          <a:lumOff val="50000"/>
                        </a:schemeClr>
                      </a:solidFill>
                    </a:ln>
                  </pic:spPr>
                </pic:pic>
              </a:graphicData>
            </a:graphic>
          </wp:inline>
        </w:drawing>
      </w:r>
    </w:p>
    <w:p w14:paraId="0F7FC48A" w14:textId="77777777" w:rsidR="00105EE1" w:rsidRPr="00342789" w:rsidRDefault="00105EE1" w:rsidP="007C6BD1">
      <w:pPr>
        <w:spacing w:line="360" w:lineRule="auto"/>
        <w:rPr>
          <w:rFonts w:ascii="Times New Roman" w:hAnsi="Times New Roman" w:cs="Times New Roman"/>
          <w:sz w:val="24"/>
          <w:szCs w:val="24"/>
          <w:lang w:val="en-US"/>
        </w:rPr>
      </w:pPr>
      <w:r w:rsidRPr="00105EE1">
        <w:rPr>
          <w:rFonts w:ascii="Times New Roman" w:hAnsi="Times New Roman" w:cs="Times New Roman"/>
          <w:noProof/>
          <w:sz w:val="24"/>
          <w:szCs w:val="24"/>
          <w:lang w:val="en-US"/>
        </w:rPr>
        <w:drawing>
          <wp:inline distT="0" distB="0" distL="0" distR="0" wp14:anchorId="3D45F1A0" wp14:editId="3F5350DB">
            <wp:extent cx="5943600" cy="1568025"/>
            <wp:effectExtent l="0" t="0" r="0" b="0"/>
            <wp:docPr id="42" name="Picture 42"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1.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1568025"/>
                    </a:xfrm>
                    <a:prstGeom prst="rect">
                      <a:avLst/>
                    </a:prstGeom>
                    <a:noFill/>
                    <a:ln>
                      <a:noFill/>
                    </a:ln>
                  </pic:spPr>
                </pic:pic>
              </a:graphicData>
            </a:graphic>
          </wp:inline>
        </w:drawing>
      </w:r>
    </w:p>
    <w:p w14:paraId="33A38D84" w14:textId="77777777" w:rsidR="00342789" w:rsidRPr="00342789" w:rsidRDefault="00342789" w:rsidP="007C6BD1">
      <w:pPr>
        <w:spacing w:line="360" w:lineRule="auto"/>
        <w:jc w:val="center"/>
        <w:rPr>
          <w:rFonts w:ascii="Times New Roman" w:hAnsi="Times New Roman" w:cs="Times New Roman"/>
          <w:sz w:val="24"/>
          <w:szCs w:val="24"/>
          <w:lang w:val="en-US"/>
        </w:rPr>
      </w:pPr>
      <w:r w:rsidRPr="00342789">
        <w:rPr>
          <w:rFonts w:ascii="Times New Roman" w:hAnsi="Times New Roman" w:cs="Times New Roman"/>
          <w:noProof/>
          <w:sz w:val="24"/>
          <w:szCs w:val="24"/>
          <w:lang w:val="en-US"/>
        </w:rPr>
        <w:drawing>
          <wp:inline distT="0" distB="0" distL="0" distR="0" wp14:anchorId="7A51B134" wp14:editId="2B081B51">
            <wp:extent cx="5067300" cy="2152650"/>
            <wp:effectExtent l="0" t="0" r="0" b="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2478E150" w14:textId="0DA66356" w:rsid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The analysis is indicating that ROE has increased from 2016 to 2018 but declined from 2019. The increase </w:t>
      </w:r>
      <w:r w:rsidR="00E133A8">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ROE in 2017 can be attributed to </w:t>
      </w:r>
      <w:r w:rsidR="00E133A8">
        <w:rPr>
          <w:rFonts w:ascii="Times New Roman" w:hAnsi="Times New Roman" w:cs="Times New Roman"/>
          <w:sz w:val="24"/>
          <w:szCs w:val="24"/>
          <w:lang w:val="en-US"/>
        </w:rPr>
        <w:t>a</w:t>
      </w:r>
      <w:r w:rsidRPr="00342789">
        <w:rPr>
          <w:rFonts w:ascii="Times New Roman" w:hAnsi="Times New Roman" w:cs="Times New Roman"/>
          <w:sz w:val="24"/>
          <w:szCs w:val="24"/>
          <w:lang w:val="en-US"/>
        </w:rPr>
        <w:t xml:space="preserve"> 16.9 % increase </w:t>
      </w:r>
      <w:r w:rsidR="00E133A8">
        <w:rPr>
          <w:rFonts w:ascii="Times New Roman" w:hAnsi="Times New Roman" w:cs="Times New Roman"/>
          <w:sz w:val="24"/>
          <w:szCs w:val="24"/>
          <w:lang w:val="en-US"/>
        </w:rPr>
        <w:t xml:space="preserve">within the </w:t>
      </w:r>
      <w:r w:rsidRPr="00342789">
        <w:rPr>
          <w:rFonts w:ascii="Times New Roman" w:hAnsi="Times New Roman" w:cs="Times New Roman"/>
          <w:sz w:val="24"/>
          <w:szCs w:val="24"/>
          <w:lang w:val="en-US"/>
        </w:rPr>
        <w:t>net profit in 2017 and</w:t>
      </w:r>
      <w:r w:rsidR="00D0657B">
        <w:rPr>
          <w:rFonts w:ascii="Times New Roman" w:hAnsi="Times New Roman" w:cs="Times New Roman"/>
          <w:sz w:val="24"/>
          <w:szCs w:val="24"/>
          <w:lang w:val="en-US"/>
        </w:rPr>
        <w:t xml:space="preserve"> a</w:t>
      </w:r>
      <w:r w:rsidRPr="00342789">
        <w:rPr>
          <w:rFonts w:ascii="Times New Roman" w:hAnsi="Times New Roman" w:cs="Times New Roman"/>
          <w:sz w:val="24"/>
          <w:szCs w:val="24"/>
          <w:lang w:val="en-US"/>
        </w:rPr>
        <w:t xml:space="preserve"> 15.3% decline in total equity whereas ROE has significantly increased in 2018 due to</w:t>
      </w:r>
      <w:r w:rsidR="00D0657B">
        <w:rPr>
          <w:rFonts w:ascii="Times New Roman" w:hAnsi="Times New Roman" w:cs="Times New Roman"/>
          <w:sz w:val="24"/>
          <w:szCs w:val="24"/>
          <w:lang w:val="en-US"/>
        </w:rPr>
        <w:t xml:space="preserve"> a</w:t>
      </w:r>
      <w:r w:rsidRPr="00342789">
        <w:rPr>
          <w:rFonts w:ascii="Times New Roman" w:hAnsi="Times New Roman" w:cs="Times New Roman"/>
          <w:sz w:val="24"/>
          <w:szCs w:val="24"/>
          <w:lang w:val="en-US"/>
        </w:rPr>
        <w:t xml:space="preserve"> 51% increase </w:t>
      </w:r>
      <w:r w:rsidR="00D0657B">
        <w:rPr>
          <w:rFonts w:ascii="Times New Roman" w:hAnsi="Times New Roman" w:cs="Times New Roman"/>
          <w:sz w:val="24"/>
          <w:szCs w:val="24"/>
          <w:lang w:val="en-US"/>
        </w:rPr>
        <w:t xml:space="preserve">within the </w:t>
      </w:r>
      <w:r w:rsidRPr="00342789">
        <w:rPr>
          <w:rFonts w:ascii="Times New Roman" w:hAnsi="Times New Roman" w:cs="Times New Roman"/>
          <w:sz w:val="24"/>
          <w:szCs w:val="24"/>
          <w:lang w:val="en-US"/>
        </w:rPr>
        <w:t>net profit and</w:t>
      </w:r>
      <w:r w:rsidR="00CF440E">
        <w:rPr>
          <w:rFonts w:ascii="Times New Roman" w:hAnsi="Times New Roman" w:cs="Times New Roman"/>
          <w:sz w:val="24"/>
          <w:szCs w:val="24"/>
          <w:lang w:val="en-US"/>
        </w:rPr>
        <w:t xml:space="preserve"> a</w:t>
      </w:r>
      <w:r w:rsidRPr="00342789">
        <w:rPr>
          <w:rFonts w:ascii="Times New Roman" w:hAnsi="Times New Roman" w:cs="Times New Roman"/>
          <w:sz w:val="24"/>
          <w:szCs w:val="24"/>
          <w:lang w:val="en-US"/>
        </w:rPr>
        <w:t xml:space="preserve"> 15% decline in total equity in 2018. But it has started to decline from 2019 as the growth rate of equity investment by shareholders is higher than the growth of sales revenue in 2019 and 2020. The declining ROE </w:t>
      </w:r>
      <w:r w:rsidR="00CF440E">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the recent years is indicating the </w:t>
      </w:r>
      <w:r w:rsidRPr="00342789">
        <w:rPr>
          <w:rFonts w:ascii="Times New Roman" w:hAnsi="Times New Roman" w:cs="Times New Roman"/>
          <w:sz w:val="24"/>
          <w:szCs w:val="24"/>
          <w:lang w:val="en-US"/>
        </w:rPr>
        <w:lastRenderedPageBreak/>
        <w:t xml:space="preserve">managerial inefficiency of Unilever in </w:t>
      </w:r>
      <w:proofErr w:type="spellStart"/>
      <w:r w:rsidR="00BC1CFA">
        <w:rPr>
          <w:rFonts w:ascii="Times New Roman" w:hAnsi="Times New Roman" w:cs="Times New Roman"/>
          <w:sz w:val="24"/>
          <w:szCs w:val="24"/>
          <w:lang w:val="en-US"/>
        </w:rPr>
        <w:t>maximising</w:t>
      </w:r>
      <w:proofErr w:type="spellEnd"/>
      <w:r w:rsidR="00BC1CFA">
        <w:rPr>
          <w:rFonts w:ascii="Times New Roman" w:hAnsi="Times New Roman" w:cs="Times New Roman"/>
          <w:sz w:val="24"/>
          <w:szCs w:val="24"/>
          <w:lang w:val="en-US"/>
        </w:rPr>
        <w:t xml:space="preserve"> </w:t>
      </w:r>
      <w:r w:rsidRPr="00342789">
        <w:rPr>
          <w:rFonts w:ascii="Times New Roman" w:hAnsi="Times New Roman" w:cs="Times New Roman"/>
          <w:sz w:val="24"/>
          <w:szCs w:val="24"/>
          <w:lang w:val="en-US"/>
        </w:rPr>
        <w:t xml:space="preserve">the shareholders fund as ROE has declined from 79.6% in 2018 to </w:t>
      </w:r>
      <w:r w:rsidR="00BC1CFA">
        <w:rPr>
          <w:rFonts w:ascii="Times New Roman" w:hAnsi="Times New Roman" w:cs="Times New Roman"/>
          <w:sz w:val="24"/>
          <w:szCs w:val="24"/>
          <w:lang w:val="en-US"/>
        </w:rPr>
        <w:t xml:space="preserve">a </w:t>
      </w:r>
      <w:r w:rsidRPr="00342789">
        <w:rPr>
          <w:rFonts w:ascii="Times New Roman" w:hAnsi="Times New Roman" w:cs="Times New Roman"/>
          <w:sz w:val="24"/>
          <w:szCs w:val="24"/>
          <w:lang w:val="en-US"/>
        </w:rPr>
        <w:t>34.4% in 2020.</w:t>
      </w:r>
    </w:p>
    <w:p w14:paraId="4C68842B" w14:textId="77777777" w:rsidR="00105EE1" w:rsidRPr="00342789" w:rsidRDefault="00105EE1" w:rsidP="007C6BD1">
      <w:pPr>
        <w:spacing w:line="360" w:lineRule="auto"/>
        <w:jc w:val="both"/>
        <w:rPr>
          <w:rFonts w:ascii="Times New Roman" w:hAnsi="Times New Roman" w:cs="Times New Roman"/>
          <w:sz w:val="24"/>
          <w:szCs w:val="24"/>
          <w:lang w:val="en-US"/>
        </w:rPr>
      </w:pPr>
    </w:p>
    <w:p w14:paraId="0E8FCC89" w14:textId="546A9C4E" w:rsidR="00342789" w:rsidRPr="00342789" w:rsidRDefault="00105EE1" w:rsidP="007C6BD1">
      <w:pPr>
        <w:spacing w:line="360" w:lineRule="auto"/>
        <w:jc w:val="both"/>
        <w:rPr>
          <w:rFonts w:ascii="Times New Roman" w:hAnsi="Times New Roman" w:cs="Times New Roman"/>
          <w:sz w:val="24"/>
          <w:szCs w:val="24"/>
          <w:lang w:val="en-US"/>
        </w:rPr>
      </w:pPr>
      <w:r w:rsidRPr="00105EE1">
        <w:rPr>
          <w:rFonts w:ascii="Times New Roman" w:hAnsi="Times New Roman" w:cs="Times New Roman"/>
          <w:noProof/>
          <w:sz w:val="24"/>
          <w:szCs w:val="24"/>
          <w:lang w:val="en-US"/>
        </w:rPr>
        <w:drawing>
          <wp:inline distT="0" distB="0" distL="0" distR="0" wp14:anchorId="710CBCFA" wp14:editId="10BAB8C3">
            <wp:extent cx="5943600" cy="1438958"/>
            <wp:effectExtent l="0" t="0" r="0" b="8890"/>
            <wp:docPr id="43" name="Picture 43"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1.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3600" cy="1438958"/>
                    </a:xfrm>
                    <a:prstGeom prst="rect">
                      <a:avLst/>
                    </a:prstGeom>
                    <a:noFill/>
                    <a:ln>
                      <a:noFill/>
                    </a:ln>
                  </pic:spPr>
                </pic:pic>
              </a:graphicData>
            </a:graphic>
          </wp:inline>
        </w:drawing>
      </w:r>
    </w:p>
    <w:p w14:paraId="3DA653F3" w14:textId="77777777" w:rsidR="00342789" w:rsidRPr="00342789" w:rsidRDefault="00342789" w:rsidP="007C6BD1">
      <w:pPr>
        <w:spacing w:line="360" w:lineRule="auto"/>
        <w:jc w:val="both"/>
        <w:rPr>
          <w:rFonts w:ascii="Times New Roman" w:hAnsi="Times New Roman" w:cs="Times New Roman"/>
          <w:sz w:val="24"/>
          <w:szCs w:val="24"/>
          <w:lang w:val="en-US"/>
        </w:rPr>
      </w:pPr>
    </w:p>
    <w:p w14:paraId="30EF6340" w14:textId="77777777"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noProof/>
          <w:sz w:val="24"/>
          <w:szCs w:val="24"/>
          <w:lang w:val="en-US"/>
        </w:rPr>
        <w:drawing>
          <wp:inline distT="0" distB="0" distL="0" distR="0" wp14:anchorId="664EC0B8" wp14:editId="76442F4D">
            <wp:extent cx="5943600" cy="2939488"/>
            <wp:effectExtent l="0" t="0" r="0" b="13335"/>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6ABF5D26" w14:textId="41CBBD9B"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Despite the significant decline </w:t>
      </w:r>
      <w:r w:rsidR="00BC1CFA">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ROE resulting from sluggish or negative growth rate in sales revenue </w:t>
      </w:r>
      <w:r w:rsidR="00BC1CFA">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the recent years, ROE of Unilever is higher compared to its industry counterparts which is suggesting that, though the managerial efficiency of Unilever </w:t>
      </w:r>
      <w:r w:rsidR="00B100AF">
        <w:rPr>
          <w:rFonts w:ascii="Times New Roman" w:hAnsi="Times New Roman" w:cs="Times New Roman"/>
          <w:sz w:val="24"/>
          <w:szCs w:val="24"/>
          <w:lang w:val="en-US"/>
        </w:rPr>
        <w:t xml:space="preserve">within </w:t>
      </w:r>
      <w:proofErr w:type="spellStart"/>
      <w:r w:rsidR="00B100AF">
        <w:rPr>
          <w:rFonts w:ascii="Times New Roman" w:hAnsi="Times New Roman" w:cs="Times New Roman"/>
          <w:sz w:val="24"/>
          <w:szCs w:val="24"/>
          <w:lang w:val="en-US"/>
        </w:rPr>
        <w:t>maximising</w:t>
      </w:r>
      <w:proofErr w:type="spellEnd"/>
      <w:r w:rsidR="00B100AF">
        <w:rPr>
          <w:rFonts w:ascii="Times New Roman" w:hAnsi="Times New Roman" w:cs="Times New Roman"/>
          <w:sz w:val="24"/>
          <w:szCs w:val="24"/>
          <w:lang w:val="en-US"/>
        </w:rPr>
        <w:t xml:space="preserve"> </w:t>
      </w:r>
      <w:r w:rsidRPr="00342789">
        <w:rPr>
          <w:rFonts w:ascii="Times New Roman" w:hAnsi="Times New Roman" w:cs="Times New Roman"/>
          <w:sz w:val="24"/>
          <w:szCs w:val="24"/>
          <w:lang w:val="en-US"/>
        </w:rPr>
        <w:t xml:space="preserve">the shareholders wealth of the firm has deteriorated </w:t>
      </w:r>
      <w:r w:rsidR="00B100AF">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the recent years, the company is still more effective and efficient than the Procter &amp; Gamble and Johnson &amp; Johnson to management its internal and external equity investment to improve the profitability of the firm.</w:t>
      </w:r>
    </w:p>
    <w:p w14:paraId="4A655EE9" w14:textId="77777777" w:rsidR="00342789" w:rsidRPr="00342789" w:rsidRDefault="00342789" w:rsidP="007C6BD1">
      <w:pPr>
        <w:spacing w:line="360" w:lineRule="auto"/>
        <w:jc w:val="both"/>
        <w:rPr>
          <w:rFonts w:ascii="Times New Roman" w:hAnsi="Times New Roman" w:cs="Times New Roman"/>
          <w:sz w:val="24"/>
          <w:szCs w:val="24"/>
          <w:lang w:val="en-US"/>
        </w:rPr>
      </w:pPr>
    </w:p>
    <w:p w14:paraId="2DF6DDE6" w14:textId="77777777" w:rsidR="00342789" w:rsidRPr="00342789" w:rsidRDefault="00342789" w:rsidP="007C6BD1">
      <w:pPr>
        <w:spacing w:line="360" w:lineRule="auto"/>
        <w:jc w:val="both"/>
        <w:rPr>
          <w:rFonts w:ascii="Times New Roman" w:hAnsi="Times New Roman" w:cs="Times New Roman"/>
          <w:sz w:val="24"/>
          <w:szCs w:val="24"/>
          <w:lang w:val="en-US"/>
        </w:rPr>
      </w:pPr>
    </w:p>
    <w:p w14:paraId="72AB7E71" w14:textId="77777777" w:rsidR="00342789" w:rsidRPr="00580C99" w:rsidRDefault="00342789" w:rsidP="007C6BD1">
      <w:pPr>
        <w:pStyle w:val="Heading2"/>
        <w:spacing w:line="360" w:lineRule="auto"/>
        <w:rPr>
          <w:b/>
          <w:color w:val="ED7D31" w:themeColor="accent2"/>
          <w:sz w:val="32"/>
          <w:szCs w:val="32"/>
          <w:lang w:val="en-US"/>
        </w:rPr>
      </w:pPr>
      <w:bookmarkStart w:id="5" w:name="_Toc69159407"/>
      <w:r w:rsidRPr="00580C99">
        <w:rPr>
          <w:b/>
          <w:color w:val="ED7D31" w:themeColor="accent2"/>
          <w:sz w:val="32"/>
          <w:szCs w:val="32"/>
          <w:lang w:val="en-US"/>
        </w:rPr>
        <w:t>Efficiency Ratios:</w:t>
      </w:r>
      <w:bookmarkEnd w:id="5"/>
    </w:p>
    <w:p w14:paraId="381EB69A" w14:textId="77777777" w:rsidR="00342789" w:rsidRPr="007C66AB" w:rsidRDefault="00342789" w:rsidP="007C6BD1">
      <w:pPr>
        <w:pStyle w:val="ListParagraph"/>
        <w:numPr>
          <w:ilvl w:val="0"/>
          <w:numId w:val="9"/>
        </w:numPr>
        <w:spacing w:line="360" w:lineRule="auto"/>
        <w:jc w:val="both"/>
        <w:rPr>
          <w:rFonts w:ascii="Times New Roman" w:hAnsi="Times New Roman" w:cs="Times New Roman"/>
          <w:b/>
          <w:sz w:val="24"/>
          <w:szCs w:val="24"/>
          <w:lang w:val="en-US"/>
        </w:rPr>
      </w:pPr>
      <w:r w:rsidRPr="007C66AB">
        <w:rPr>
          <w:rFonts w:ascii="Times New Roman" w:hAnsi="Times New Roman" w:cs="Times New Roman"/>
          <w:b/>
          <w:sz w:val="24"/>
          <w:szCs w:val="24"/>
          <w:lang w:val="en-US"/>
        </w:rPr>
        <w:t>Asset Turnover:</w:t>
      </w:r>
    </w:p>
    <w:p w14:paraId="0D500E09" w14:textId="7FB8892D"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Asset turnover ratio helps to assess the degree of efficiency management has </w:t>
      </w:r>
      <w:r w:rsidR="00C21EA5">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managing the asset structure to generate revenue for the firm</w:t>
      </w:r>
      <w:r w:rsidR="00641C0B">
        <w:rPr>
          <w:rFonts w:ascii="Times New Roman" w:hAnsi="Times New Roman" w:cs="Times New Roman"/>
          <w:sz w:val="24"/>
          <w:szCs w:val="24"/>
          <w:lang w:val="en-US"/>
        </w:rPr>
        <w:t xml:space="preserve"> </w:t>
      </w:r>
      <w:r w:rsidR="00641C0B">
        <w:rPr>
          <w:rFonts w:ascii="Times New Roman" w:eastAsiaTheme="minorEastAsia" w:hAnsi="Times New Roman" w:cs="Times New Roman"/>
          <w:sz w:val="24"/>
          <w:szCs w:val="24"/>
        </w:rPr>
        <w:t>(</w:t>
      </w:r>
      <w:r w:rsidR="00641C0B" w:rsidRPr="00185A5B">
        <w:rPr>
          <w:rFonts w:ascii="Times New Roman" w:hAnsi="Times New Roman" w:cs="Times New Roman"/>
          <w:color w:val="222222"/>
          <w:sz w:val="24"/>
          <w:szCs w:val="24"/>
          <w:shd w:val="clear" w:color="auto" w:fill="FFFFFF"/>
        </w:rPr>
        <w:t>Brigham</w:t>
      </w:r>
      <w:r w:rsidR="00641C0B">
        <w:rPr>
          <w:rFonts w:ascii="Times New Roman" w:hAnsi="Times New Roman" w:cs="Times New Roman"/>
          <w:color w:val="222222"/>
          <w:sz w:val="24"/>
          <w:szCs w:val="24"/>
          <w:shd w:val="clear" w:color="auto" w:fill="FFFFFF"/>
        </w:rPr>
        <w:t xml:space="preserve"> </w:t>
      </w:r>
      <w:r w:rsidR="00641C0B" w:rsidRPr="00185A5B">
        <w:rPr>
          <w:rFonts w:ascii="Times New Roman" w:hAnsi="Times New Roman" w:cs="Times New Roman"/>
          <w:color w:val="222222"/>
          <w:sz w:val="24"/>
          <w:szCs w:val="24"/>
          <w:shd w:val="clear" w:color="auto" w:fill="FFFFFF"/>
        </w:rPr>
        <w:t>and Houston, 2021</w:t>
      </w:r>
      <w:r w:rsidR="00641C0B">
        <w:rPr>
          <w:rFonts w:ascii="Times New Roman" w:hAnsi="Times New Roman" w:cs="Times New Roman"/>
          <w:color w:val="222222"/>
          <w:sz w:val="24"/>
          <w:szCs w:val="24"/>
          <w:shd w:val="clear" w:color="auto" w:fill="FFFFFF"/>
        </w:rPr>
        <w:t>)</w:t>
      </w:r>
      <w:r w:rsidRPr="00342789">
        <w:rPr>
          <w:rFonts w:ascii="Times New Roman" w:hAnsi="Times New Roman" w:cs="Times New Roman"/>
          <w:sz w:val="24"/>
          <w:szCs w:val="24"/>
          <w:lang w:val="en-US"/>
        </w:rPr>
        <w:t>.</w:t>
      </w:r>
    </w:p>
    <w:p w14:paraId="53372BD0" w14:textId="77777777"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The formula for asset turnover ratio is: </w:t>
      </w:r>
    </w:p>
    <w:p w14:paraId="06989B6A" w14:textId="77777777" w:rsidR="00342789" w:rsidRDefault="00342789" w:rsidP="007C6BD1">
      <w:pPr>
        <w:spacing w:line="360" w:lineRule="auto"/>
        <w:jc w:val="center"/>
        <w:rPr>
          <w:rFonts w:ascii="Times New Roman" w:hAnsi="Times New Roman" w:cs="Times New Roman"/>
          <w:sz w:val="24"/>
          <w:szCs w:val="24"/>
          <w:lang w:val="en-US"/>
        </w:rPr>
      </w:pPr>
      <w:r w:rsidRPr="00342789">
        <w:rPr>
          <w:noProof/>
          <w:lang w:val="en-US"/>
        </w:rPr>
        <w:drawing>
          <wp:inline distT="0" distB="0" distL="0" distR="0" wp14:anchorId="30D7A2B9" wp14:editId="02068AB1">
            <wp:extent cx="3648710" cy="1820174"/>
            <wp:effectExtent l="19050" t="19050" r="27940" b="27940"/>
            <wp:docPr id="27" name="Picture 27" descr="Asset Turnover Ratio | Plan Proj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sset Turnover Ratio | Plan Projection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672668" cy="1832126"/>
                    </a:xfrm>
                    <a:prstGeom prst="rect">
                      <a:avLst/>
                    </a:prstGeom>
                    <a:noFill/>
                    <a:ln>
                      <a:solidFill>
                        <a:schemeClr val="tx1">
                          <a:lumMod val="50000"/>
                          <a:lumOff val="50000"/>
                        </a:schemeClr>
                      </a:solidFill>
                    </a:ln>
                  </pic:spPr>
                </pic:pic>
              </a:graphicData>
            </a:graphic>
          </wp:inline>
        </w:drawing>
      </w:r>
    </w:p>
    <w:p w14:paraId="278EE49C" w14:textId="77777777" w:rsidR="00105EE1" w:rsidRPr="00342789" w:rsidRDefault="00105EE1" w:rsidP="007C6BD1">
      <w:pPr>
        <w:spacing w:line="360" w:lineRule="auto"/>
        <w:jc w:val="center"/>
        <w:rPr>
          <w:rFonts w:ascii="Times New Roman" w:hAnsi="Times New Roman" w:cs="Times New Roman"/>
          <w:sz w:val="24"/>
          <w:szCs w:val="24"/>
          <w:lang w:val="en-US"/>
        </w:rPr>
      </w:pPr>
      <w:r w:rsidRPr="00105EE1">
        <w:rPr>
          <w:rFonts w:ascii="Times New Roman" w:hAnsi="Times New Roman" w:cs="Times New Roman"/>
          <w:noProof/>
          <w:sz w:val="24"/>
          <w:szCs w:val="24"/>
          <w:lang w:val="en-US"/>
        </w:rPr>
        <w:drawing>
          <wp:inline distT="0" distB="0" distL="0" distR="0" wp14:anchorId="6419A9FC" wp14:editId="479B0E60">
            <wp:extent cx="5943600" cy="1736350"/>
            <wp:effectExtent l="0" t="0" r="0" b="0"/>
            <wp:docPr id="44" name="Picture 44"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1.pn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3600" cy="1736350"/>
                    </a:xfrm>
                    <a:prstGeom prst="rect">
                      <a:avLst/>
                    </a:prstGeom>
                    <a:noFill/>
                    <a:ln>
                      <a:noFill/>
                    </a:ln>
                  </pic:spPr>
                </pic:pic>
              </a:graphicData>
            </a:graphic>
          </wp:inline>
        </w:drawing>
      </w:r>
    </w:p>
    <w:p w14:paraId="00B85149" w14:textId="01F6D983" w:rsidR="00105EE1" w:rsidRPr="00342789" w:rsidRDefault="00342789" w:rsidP="007C6BD1">
      <w:pPr>
        <w:spacing w:line="360" w:lineRule="auto"/>
        <w:jc w:val="center"/>
        <w:rPr>
          <w:rFonts w:ascii="Times New Roman" w:hAnsi="Times New Roman" w:cs="Times New Roman"/>
          <w:sz w:val="24"/>
          <w:szCs w:val="24"/>
          <w:lang w:val="en-US"/>
        </w:rPr>
      </w:pPr>
      <w:r w:rsidRPr="00342789">
        <w:rPr>
          <w:rFonts w:ascii="Times New Roman" w:hAnsi="Times New Roman" w:cs="Times New Roman"/>
          <w:noProof/>
          <w:sz w:val="24"/>
          <w:szCs w:val="24"/>
          <w:lang w:val="en-US"/>
        </w:rPr>
        <w:lastRenderedPageBreak/>
        <w:drawing>
          <wp:inline distT="0" distB="0" distL="0" distR="0" wp14:anchorId="22834CF2" wp14:editId="222BB21D">
            <wp:extent cx="5067300" cy="2152650"/>
            <wp:effectExtent l="0" t="0" r="0" b="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067A6F98" w14:textId="5AF63975" w:rsidR="00105EE1"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The assessment of Asset turnover ratio for Unilever is showing a declining trend from 2016 as the ratio has declined from 0.93 in 2016 to 0.75 in 2020. The reason for declining trend </w:t>
      </w:r>
      <w:r w:rsidR="00870798">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asset turnover can be attributed to the declining sales revenue of the firm as the cumulative annual growth rate  </w:t>
      </w:r>
      <w:r w:rsidR="00BF34CF">
        <w:rPr>
          <w:rFonts w:ascii="Times New Roman" w:hAnsi="Times New Roman" w:cs="Times New Roman"/>
          <w:sz w:val="24"/>
          <w:szCs w:val="24"/>
          <w:lang w:val="en-US"/>
        </w:rPr>
        <w:t xml:space="preserve">within the </w:t>
      </w:r>
      <w:r w:rsidRPr="00342789">
        <w:rPr>
          <w:rFonts w:ascii="Times New Roman" w:hAnsi="Times New Roman" w:cs="Times New Roman"/>
          <w:sz w:val="24"/>
          <w:szCs w:val="24"/>
          <w:lang w:val="en-US"/>
        </w:rPr>
        <w:t>sales revenue for Unilever from</w:t>
      </w:r>
      <w:r w:rsidR="00BF34CF">
        <w:rPr>
          <w:rFonts w:ascii="Times New Roman" w:hAnsi="Times New Roman" w:cs="Times New Roman"/>
          <w:sz w:val="24"/>
          <w:szCs w:val="24"/>
          <w:lang w:val="en-US"/>
        </w:rPr>
        <w:t xml:space="preserve"> </w:t>
      </w:r>
      <w:r w:rsidRPr="00342789">
        <w:rPr>
          <w:rFonts w:ascii="Times New Roman" w:hAnsi="Times New Roman" w:cs="Times New Roman"/>
          <w:sz w:val="24"/>
          <w:szCs w:val="24"/>
          <w:lang w:val="en-US"/>
        </w:rPr>
        <w:t xml:space="preserve">2016 to 2020 is -0.77% which has been surpassed by the 3.7% cumulative annual growth rate in total investment of asset structure. This declining trend is suggesting the management of Unilever has failed to make effective and efficient </w:t>
      </w:r>
      <w:proofErr w:type="spellStart"/>
      <w:r w:rsidR="007C530F">
        <w:rPr>
          <w:rFonts w:ascii="Times New Roman" w:hAnsi="Times New Roman" w:cs="Times New Roman"/>
          <w:sz w:val="24"/>
          <w:szCs w:val="24"/>
          <w:lang w:val="en-US"/>
        </w:rPr>
        <w:t>utilisation</w:t>
      </w:r>
      <w:proofErr w:type="spellEnd"/>
      <w:r w:rsidR="007C530F">
        <w:rPr>
          <w:rFonts w:ascii="Times New Roman" w:hAnsi="Times New Roman" w:cs="Times New Roman"/>
          <w:sz w:val="24"/>
          <w:szCs w:val="24"/>
          <w:lang w:val="en-US"/>
        </w:rPr>
        <w:t xml:space="preserve"> </w:t>
      </w:r>
      <w:r w:rsidRPr="00342789">
        <w:rPr>
          <w:rFonts w:ascii="Times New Roman" w:hAnsi="Times New Roman" w:cs="Times New Roman"/>
          <w:sz w:val="24"/>
          <w:szCs w:val="24"/>
          <w:lang w:val="en-US"/>
        </w:rPr>
        <w:t xml:space="preserve">of its investment </w:t>
      </w:r>
      <w:r w:rsidR="007C530F">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asset structure to improve the sales </w:t>
      </w:r>
      <w:r w:rsidR="007C530F">
        <w:rPr>
          <w:rFonts w:ascii="Times New Roman" w:hAnsi="Times New Roman" w:cs="Times New Roman"/>
          <w:sz w:val="24"/>
          <w:szCs w:val="24"/>
          <w:lang w:val="en-US"/>
        </w:rPr>
        <w:t xml:space="preserve">and </w:t>
      </w:r>
      <w:r w:rsidRPr="00342789">
        <w:rPr>
          <w:rFonts w:ascii="Times New Roman" w:hAnsi="Times New Roman" w:cs="Times New Roman"/>
          <w:sz w:val="24"/>
          <w:szCs w:val="24"/>
          <w:lang w:val="en-US"/>
        </w:rPr>
        <w:t xml:space="preserve">turnover </w:t>
      </w:r>
      <w:r w:rsidR="00897CA3">
        <w:rPr>
          <w:rFonts w:ascii="Times New Roman" w:hAnsi="Times New Roman" w:cs="Times New Roman"/>
          <w:sz w:val="24"/>
          <w:szCs w:val="24"/>
          <w:lang w:val="en-US"/>
        </w:rPr>
        <w:t xml:space="preserve">for </w:t>
      </w:r>
      <w:r w:rsidRPr="00342789">
        <w:rPr>
          <w:rFonts w:ascii="Times New Roman" w:hAnsi="Times New Roman" w:cs="Times New Roman"/>
          <w:sz w:val="24"/>
          <w:szCs w:val="24"/>
          <w:lang w:val="en-US"/>
        </w:rPr>
        <w:t>the firm.</w:t>
      </w:r>
    </w:p>
    <w:p w14:paraId="0410304D" w14:textId="71EA85ED" w:rsidR="00342789" w:rsidRPr="00342789" w:rsidRDefault="00105EE1" w:rsidP="007C6BD1">
      <w:pPr>
        <w:spacing w:line="360" w:lineRule="auto"/>
        <w:jc w:val="both"/>
        <w:rPr>
          <w:rFonts w:ascii="Times New Roman" w:hAnsi="Times New Roman" w:cs="Times New Roman"/>
          <w:sz w:val="24"/>
          <w:szCs w:val="24"/>
          <w:lang w:val="en-US"/>
        </w:rPr>
      </w:pPr>
      <w:r w:rsidRPr="00105EE1">
        <w:rPr>
          <w:rFonts w:ascii="Times New Roman" w:hAnsi="Times New Roman" w:cs="Times New Roman"/>
          <w:noProof/>
          <w:sz w:val="24"/>
          <w:szCs w:val="24"/>
          <w:lang w:val="en-US"/>
        </w:rPr>
        <w:drawing>
          <wp:inline distT="0" distB="0" distL="0" distR="0" wp14:anchorId="015CBFFB" wp14:editId="5E3DB18F">
            <wp:extent cx="5938799" cy="1578634"/>
            <wp:effectExtent l="0" t="0" r="5080" b="2540"/>
            <wp:docPr id="45" name="Picture 45"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1.pn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72781" cy="1587667"/>
                    </a:xfrm>
                    <a:prstGeom prst="rect">
                      <a:avLst/>
                    </a:prstGeom>
                    <a:noFill/>
                    <a:ln>
                      <a:noFill/>
                    </a:ln>
                  </pic:spPr>
                </pic:pic>
              </a:graphicData>
            </a:graphic>
          </wp:inline>
        </w:drawing>
      </w:r>
    </w:p>
    <w:p w14:paraId="7C19A2BB" w14:textId="77777777"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noProof/>
          <w:sz w:val="24"/>
          <w:szCs w:val="24"/>
          <w:lang w:val="en-US"/>
        </w:rPr>
        <w:lastRenderedPageBreak/>
        <w:drawing>
          <wp:inline distT="0" distB="0" distL="0" distR="0" wp14:anchorId="7FD1AFAF" wp14:editId="2A4DD818">
            <wp:extent cx="5943600" cy="2939488"/>
            <wp:effectExtent l="0" t="0" r="0" b="13335"/>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49837CE0" w14:textId="2E3F20E5"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Despite the declining trend observed </w:t>
      </w:r>
      <w:r w:rsidR="00897CA3">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the asset turnover resulting from the sluggish or negative growth rate </w:t>
      </w:r>
      <w:r w:rsidR="00897CA3">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sales revenue </w:t>
      </w:r>
      <w:r w:rsidR="008C6AFA">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the recent years, Asset turnover of Unilever is significantly larger and is higher compared to its industry counterparts which is suggesting that the management of Unilever is more effective and efficient </w:t>
      </w:r>
      <w:r w:rsidR="008C6AFA">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making</w:t>
      </w:r>
      <w:r w:rsidR="000642E2">
        <w:rPr>
          <w:rFonts w:ascii="Times New Roman" w:hAnsi="Times New Roman" w:cs="Times New Roman"/>
          <w:sz w:val="24"/>
          <w:szCs w:val="24"/>
          <w:lang w:val="en-US"/>
        </w:rPr>
        <w:t xml:space="preserve"> good</w:t>
      </w:r>
      <w:r w:rsidRPr="00342789">
        <w:rPr>
          <w:rFonts w:ascii="Times New Roman" w:hAnsi="Times New Roman" w:cs="Times New Roman"/>
          <w:sz w:val="24"/>
          <w:szCs w:val="24"/>
          <w:lang w:val="en-US"/>
        </w:rPr>
        <w:t xml:space="preserve">  </w:t>
      </w:r>
      <w:proofErr w:type="spellStart"/>
      <w:r w:rsidR="008441F2">
        <w:rPr>
          <w:rFonts w:ascii="Times New Roman" w:hAnsi="Times New Roman" w:cs="Times New Roman"/>
          <w:sz w:val="24"/>
          <w:szCs w:val="24"/>
          <w:lang w:val="en-US"/>
        </w:rPr>
        <w:t>utilisation</w:t>
      </w:r>
      <w:proofErr w:type="spellEnd"/>
      <w:r w:rsidR="008441F2">
        <w:rPr>
          <w:rFonts w:ascii="Times New Roman" w:hAnsi="Times New Roman" w:cs="Times New Roman"/>
          <w:sz w:val="24"/>
          <w:szCs w:val="24"/>
          <w:lang w:val="en-US"/>
        </w:rPr>
        <w:t xml:space="preserve"> </w:t>
      </w:r>
      <w:r w:rsidRPr="00342789">
        <w:rPr>
          <w:rFonts w:ascii="Times New Roman" w:hAnsi="Times New Roman" w:cs="Times New Roman"/>
          <w:sz w:val="24"/>
          <w:szCs w:val="24"/>
          <w:lang w:val="en-US"/>
        </w:rPr>
        <w:t>of its asset structure to generate sales turnover for the firm.</w:t>
      </w:r>
    </w:p>
    <w:p w14:paraId="545A89CC" w14:textId="77777777" w:rsidR="00342789" w:rsidRPr="007C66AB" w:rsidRDefault="00342789" w:rsidP="007C6BD1">
      <w:pPr>
        <w:pStyle w:val="ListParagraph"/>
        <w:numPr>
          <w:ilvl w:val="0"/>
          <w:numId w:val="9"/>
        </w:numPr>
        <w:spacing w:line="360" w:lineRule="auto"/>
        <w:jc w:val="both"/>
        <w:rPr>
          <w:rFonts w:ascii="Times New Roman" w:hAnsi="Times New Roman" w:cs="Times New Roman"/>
          <w:b/>
          <w:sz w:val="24"/>
          <w:szCs w:val="24"/>
          <w:lang w:val="en-US"/>
        </w:rPr>
      </w:pPr>
      <w:r w:rsidRPr="007C66AB">
        <w:rPr>
          <w:rFonts w:ascii="Times New Roman" w:hAnsi="Times New Roman" w:cs="Times New Roman"/>
          <w:b/>
          <w:sz w:val="24"/>
          <w:szCs w:val="24"/>
          <w:lang w:val="en-US"/>
        </w:rPr>
        <w:t>Fixed Asset Turnover:</w:t>
      </w:r>
    </w:p>
    <w:p w14:paraId="30652A95" w14:textId="4B2BE9D4"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Fixed Asset turnover ratio helps to assess the degree of operating efficiency the management has </w:t>
      </w:r>
      <w:r w:rsidR="00BB73C3">
        <w:rPr>
          <w:rFonts w:ascii="Times New Roman" w:hAnsi="Times New Roman" w:cs="Times New Roman"/>
          <w:sz w:val="24"/>
          <w:szCs w:val="24"/>
          <w:lang w:val="en-US"/>
        </w:rPr>
        <w:t>within managing</w:t>
      </w:r>
      <w:r w:rsidRPr="00342789">
        <w:rPr>
          <w:rFonts w:ascii="Times New Roman" w:hAnsi="Times New Roman" w:cs="Times New Roman"/>
          <w:sz w:val="24"/>
          <w:szCs w:val="24"/>
          <w:lang w:val="en-US"/>
        </w:rPr>
        <w:t xml:space="preserve"> the investment </w:t>
      </w:r>
      <w:r w:rsidR="00BB73C3">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tangible and intangible fixed assets to generate revenue for the firm</w:t>
      </w:r>
      <w:r w:rsidR="00641C0B">
        <w:rPr>
          <w:rFonts w:ascii="Times New Roman" w:hAnsi="Times New Roman" w:cs="Times New Roman"/>
          <w:sz w:val="24"/>
          <w:szCs w:val="24"/>
          <w:lang w:val="en-US"/>
        </w:rPr>
        <w:t xml:space="preserve"> </w:t>
      </w:r>
      <w:r w:rsidR="00641C0B">
        <w:rPr>
          <w:rFonts w:ascii="Times New Roman" w:eastAsiaTheme="minorEastAsia" w:hAnsi="Times New Roman" w:cs="Times New Roman"/>
          <w:sz w:val="24"/>
          <w:szCs w:val="24"/>
        </w:rPr>
        <w:t>(</w:t>
      </w:r>
      <w:r w:rsidR="00641C0B" w:rsidRPr="00185A5B">
        <w:rPr>
          <w:rFonts w:ascii="Times New Roman" w:hAnsi="Times New Roman" w:cs="Times New Roman"/>
          <w:color w:val="222222"/>
          <w:sz w:val="24"/>
          <w:szCs w:val="24"/>
          <w:shd w:val="clear" w:color="auto" w:fill="FFFFFF"/>
        </w:rPr>
        <w:t>Brigham</w:t>
      </w:r>
      <w:r w:rsidR="00641C0B">
        <w:rPr>
          <w:rFonts w:ascii="Times New Roman" w:hAnsi="Times New Roman" w:cs="Times New Roman"/>
          <w:color w:val="222222"/>
          <w:sz w:val="24"/>
          <w:szCs w:val="24"/>
          <w:shd w:val="clear" w:color="auto" w:fill="FFFFFF"/>
        </w:rPr>
        <w:t xml:space="preserve"> </w:t>
      </w:r>
      <w:r w:rsidR="00641C0B" w:rsidRPr="00185A5B">
        <w:rPr>
          <w:rFonts w:ascii="Times New Roman" w:hAnsi="Times New Roman" w:cs="Times New Roman"/>
          <w:color w:val="222222"/>
          <w:sz w:val="24"/>
          <w:szCs w:val="24"/>
          <w:shd w:val="clear" w:color="auto" w:fill="FFFFFF"/>
        </w:rPr>
        <w:t>and Houston, 2021</w:t>
      </w:r>
      <w:r w:rsidR="00641C0B">
        <w:rPr>
          <w:rFonts w:ascii="Times New Roman" w:hAnsi="Times New Roman" w:cs="Times New Roman"/>
          <w:color w:val="222222"/>
          <w:sz w:val="24"/>
          <w:szCs w:val="24"/>
          <w:shd w:val="clear" w:color="auto" w:fill="FFFFFF"/>
        </w:rPr>
        <w:t>)</w:t>
      </w:r>
      <w:r w:rsidRPr="00342789">
        <w:rPr>
          <w:rFonts w:ascii="Times New Roman" w:hAnsi="Times New Roman" w:cs="Times New Roman"/>
          <w:sz w:val="24"/>
          <w:szCs w:val="24"/>
          <w:lang w:val="en-US"/>
        </w:rPr>
        <w:t>.</w:t>
      </w:r>
    </w:p>
    <w:p w14:paraId="2862CF8A" w14:textId="77777777" w:rsidR="007C6BD1" w:rsidRDefault="007C6BD1">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341F56F1" w14:textId="7D8D14C5" w:rsidR="00342789" w:rsidRPr="00342789" w:rsidRDefault="00342789" w:rsidP="007C6BD1">
      <w:pPr>
        <w:tabs>
          <w:tab w:val="left" w:pos="6145"/>
        </w:tabs>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lastRenderedPageBreak/>
        <w:t>The formula for fixed asset turnover is:</w:t>
      </w:r>
    </w:p>
    <w:p w14:paraId="315739F6" w14:textId="77777777" w:rsidR="00342789" w:rsidRDefault="00342789" w:rsidP="007C6BD1">
      <w:pPr>
        <w:tabs>
          <w:tab w:val="left" w:pos="6145"/>
        </w:tabs>
        <w:spacing w:line="360" w:lineRule="auto"/>
        <w:jc w:val="center"/>
        <w:rPr>
          <w:rFonts w:ascii="Times New Roman" w:hAnsi="Times New Roman" w:cs="Times New Roman"/>
          <w:sz w:val="24"/>
          <w:szCs w:val="24"/>
          <w:lang w:val="en-US"/>
        </w:rPr>
      </w:pPr>
      <w:r w:rsidRPr="00342789">
        <w:rPr>
          <w:noProof/>
          <w:lang w:val="en-US"/>
        </w:rPr>
        <w:drawing>
          <wp:inline distT="0" distB="0" distL="0" distR="0" wp14:anchorId="0767CC97" wp14:editId="3FFBDE75">
            <wp:extent cx="3271611" cy="1839553"/>
            <wp:effectExtent l="19050" t="19050" r="24130" b="27940"/>
            <wp:docPr id="30" name="Picture 30" descr="Fixed Asset Turnover Ratio | Double Entry Bookkee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xed Asset Turnover Ratio | Double Entry Bookkeeping"/>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277452" cy="1842837"/>
                    </a:xfrm>
                    <a:prstGeom prst="rect">
                      <a:avLst/>
                    </a:prstGeom>
                    <a:noFill/>
                    <a:ln>
                      <a:solidFill>
                        <a:schemeClr val="tx1">
                          <a:lumMod val="50000"/>
                          <a:lumOff val="50000"/>
                        </a:schemeClr>
                      </a:solidFill>
                    </a:ln>
                  </pic:spPr>
                </pic:pic>
              </a:graphicData>
            </a:graphic>
          </wp:inline>
        </w:drawing>
      </w:r>
    </w:p>
    <w:p w14:paraId="7A57671C" w14:textId="77777777" w:rsidR="00105EE1" w:rsidRPr="00342789" w:rsidRDefault="00105EE1" w:rsidP="007C6BD1">
      <w:pPr>
        <w:tabs>
          <w:tab w:val="left" w:pos="6145"/>
        </w:tabs>
        <w:spacing w:line="360" w:lineRule="auto"/>
        <w:jc w:val="center"/>
        <w:rPr>
          <w:rFonts w:ascii="Times New Roman" w:hAnsi="Times New Roman" w:cs="Times New Roman"/>
          <w:sz w:val="24"/>
          <w:szCs w:val="24"/>
          <w:lang w:val="en-US"/>
        </w:rPr>
      </w:pPr>
      <w:r w:rsidRPr="00105EE1">
        <w:rPr>
          <w:rFonts w:ascii="Times New Roman" w:hAnsi="Times New Roman" w:cs="Times New Roman"/>
          <w:noProof/>
          <w:sz w:val="24"/>
          <w:szCs w:val="24"/>
          <w:lang w:val="en-US"/>
        </w:rPr>
        <w:drawing>
          <wp:inline distT="0" distB="0" distL="0" distR="0" wp14:anchorId="5C42D5E2" wp14:editId="0B14374A">
            <wp:extent cx="5943600" cy="1749506"/>
            <wp:effectExtent l="0" t="0" r="0" b="3175"/>
            <wp:docPr id="46" name="Picture 46"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1.pn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43600" cy="1749506"/>
                    </a:xfrm>
                    <a:prstGeom prst="rect">
                      <a:avLst/>
                    </a:prstGeom>
                    <a:noFill/>
                    <a:ln>
                      <a:noFill/>
                    </a:ln>
                  </pic:spPr>
                </pic:pic>
              </a:graphicData>
            </a:graphic>
          </wp:inline>
        </w:drawing>
      </w:r>
    </w:p>
    <w:p w14:paraId="69328312" w14:textId="3C921322" w:rsidR="00105EE1" w:rsidRPr="00342789" w:rsidRDefault="00342789" w:rsidP="007C6BD1">
      <w:pPr>
        <w:spacing w:line="360" w:lineRule="auto"/>
        <w:jc w:val="center"/>
        <w:rPr>
          <w:rFonts w:ascii="Times New Roman" w:hAnsi="Times New Roman" w:cs="Times New Roman"/>
          <w:sz w:val="24"/>
          <w:szCs w:val="24"/>
          <w:lang w:val="en-US"/>
        </w:rPr>
      </w:pPr>
      <w:r w:rsidRPr="00342789">
        <w:rPr>
          <w:rFonts w:ascii="Times New Roman" w:hAnsi="Times New Roman" w:cs="Times New Roman"/>
          <w:noProof/>
          <w:sz w:val="24"/>
          <w:szCs w:val="24"/>
          <w:lang w:val="en-US"/>
        </w:rPr>
        <w:drawing>
          <wp:inline distT="0" distB="0" distL="0" distR="0" wp14:anchorId="2199D2D9" wp14:editId="253A94D1">
            <wp:extent cx="5067300" cy="2152650"/>
            <wp:effectExtent l="0" t="0" r="0" b="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613097A8" w14:textId="6B2EFFD2" w:rsidR="00105EE1"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Like the asset turnover, a declining trend has been observed </w:t>
      </w:r>
      <w:r w:rsidR="00653E12">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the fixed asset ratio of from 2016 as the ratio has declined </w:t>
      </w:r>
      <w:r w:rsidR="001031CA" w:rsidRPr="00342789">
        <w:rPr>
          <w:rFonts w:ascii="Times New Roman" w:hAnsi="Times New Roman" w:cs="Times New Roman"/>
          <w:sz w:val="24"/>
          <w:szCs w:val="24"/>
          <w:lang w:val="en-US"/>
        </w:rPr>
        <w:t xml:space="preserve">from </w:t>
      </w:r>
      <w:r w:rsidR="001031CA">
        <w:rPr>
          <w:rFonts w:ascii="Times New Roman" w:hAnsi="Times New Roman" w:cs="Times New Roman"/>
          <w:sz w:val="24"/>
          <w:szCs w:val="24"/>
          <w:lang w:val="en-US"/>
        </w:rPr>
        <w:t>a</w:t>
      </w:r>
      <w:r w:rsidR="00653E12">
        <w:rPr>
          <w:rFonts w:ascii="Times New Roman" w:hAnsi="Times New Roman" w:cs="Times New Roman"/>
          <w:sz w:val="24"/>
          <w:szCs w:val="24"/>
          <w:lang w:val="en-US"/>
        </w:rPr>
        <w:t xml:space="preserve"> </w:t>
      </w:r>
      <w:r w:rsidRPr="00342789">
        <w:rPr>
          <w:rFonts w:ascii="Times New Roman" w:hAnsi="Times New Roman" w:cs="Times New Roman"/>
          <w:sz w:val="24"/>
          <w:szCs w:val="24"/>
          <w:lang w:val="en-US"/>
        </w:rPr>
        <w:t>1.24 in 2016 to</w:t>
      </w:r>
      <w:r w:rsidR="00E80356">
        <w:rPr>
          <w:rFonts w:ascii="Times New Roman" w:hAnsi="Times New Roman" w:cs="Times New Roman"/>
          <w:sz w:val="24"/>
          <w:szCs w:val="24"/>
          <w:lang w:val="en-US"/>
        </w:rPr>
        <w:t xml:space="preserve"> a</w:t>
      </w:r>
      <w:r w:rsidRPr="00342789">
        <w:rPr>
          <w:rFonts w:ascii="Times New Roman" w:hAnsi="Times New Roman" w:cs="Times New Roman"/>
          <w:sz w:val="24"/>
          <w:szCs w:val="24"/>
          <w:lang w:val="en-US"/>
        </w:rPr>
        <w:t xml:space="preserve"> 0.98 in 2020. The reason for declining trend </w:t>
      </w:r>
      <w:r w:rsidR="00E80356">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asset turnover can be attributed to the declining sales revenue of the firm as the cumulative annual growth rate  </w:t>
      </w:r>
      <w:r w:rsidR="00E80356">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sales revenue for Unilever from2016 to 2020 is -0.77% which has been surpassed by the 3.9% cumulative annual growth rate </w:t>
      </w:r>
      <w:r w:rsidR="009D7279">
        <w:rPr>
          <w:rFonts w:ascii="Times New Roman" w:hAnsi="Times New Roman" w:cs="Times New Roman"/>
          <w:sz w:val="24"/>
          <w:szCs w:val="24"/>
          <w:lang w:val="en-US"/>
        </w:rPr>
        <w:t xml:space="preserve">within a </w:t>
      </w:r>
      <w:r w:rsidRPr="00342789">
        <w:rPr>
          <w:rFonts w:ascii="Times New Roman" w:hAnsi="Times New Roman" w:cs="Times New Roman"/>
          <w:sz w:val="24"/>
          <w:szCs w:val="24"/>
          <w:lang w:val="en-US"/>
        </w:rPr>
        <w:t xml:space="preserve">total investment of fixed assets. </w:t>
      </w:r>
      <w:r w:rsidRPr="00342789">
        <w:rPr>
          <w:rFonts w:ascii="Times New Roman" w:hAnsi="Times New Roman" w:cs="Times New Roman"/>
          <w:sz w:val="24"/>
          <w:szCs w:val="24"/>
          <w:lang w:val="en-US"/>
        </w:rPr>
        <w:lastRenderedPageBreak/>
        <w:t xml:space="preserve">This declining trend is suggesting the operating inefficiency of Unilever in managing the investment </w:t>
      </w:r>
      <w:r w:rsidR="00C4475C">
        <w:rPr>
          <w:rFonts w:ascii="Times New Roman" w:hAnsi="Times New Roman" w:cs="Times New Roman"/>
          <w:sz w:val="24"/>
          <w:szCs w:val="24"/>
          <w:lang w:val="en-US"/>
        </w:rPr>
        <w:t xml:space="preserve">within the </w:t>
      </w:r>
      <w:r w:rsidRPr="00342789">
        <w:rPr>
          <w:rFonts w:ascii="Times New Roman" w:hAnsi="Times New Roman" w:cs="Times New Roman"/>
          <w:sz w:val="24"/>
          <w:szCs w:val="24"/>
          <w:lang w:val="en-US"/>
        </w:rPr>
        <w:t>fixed asset</w:t>
      </w:r>
      <w:r w:rsidR="00C4475C">
        <w:rPr>
          <w:rFonts w:ascii="Times New Roman" w:hAnsi="Times New Roman" w:cs="Times New Roman"/>
          <w:sz w:val="24"/>
          <w:szCs w:val="24"/>
          <w:lang w:val="en-US"/>
        </w:rPr>
        <w:t xml:space="preserve"> is</w:t>
      </w:r>
      <w:r w:rsidRPr="00342789">
        <w:rPr>
          <w:rFonts w:ascii="Times New Roman" w:hAnsi="Times New Roman" w:cs="Times New Roman"/>
          <w:sz w:val="24"/>
          <w:szCs w:val="24"/>
          <w:lang w:val="en-US"/>
        </w:rPr>
        <w:t xml:space="preserve"> to improve the sales revenue for the firm.</w:t>
      </w:r>
    </w:p>
    <w:p w14:paraId="2036E8D7" w14:textId="77777777" w:rsidR="00342789" w:rsidRPr="00342789" w:rsidRDefault="00766C8D" w:rsidP="007C6BD1">
      <w:pPr>
        <w:spacing w:line="360" w:lineRule="auto"/>
        <w:jc w:val="both"/>
        <w:rPr>
          <w:rFonts w:ascii="Times New Roman" w:hAnsi="Times New Roman" w:cs="Times New Roman"/>
          <w:sz w:val="24"/>
          <w:szCs w:val="24"/>
          <w:lang w:val="en-US"/>
        </w:rPr>
      </w:pPr>
      <w:r w:rsidRPr="00766C8D">
        <w:rPr>
          <w:rFonts w:ascii="Times New Roman" w:hAnsi="Times New Roman" w:cs="Times New Roman"/>
          <w:noProof/>
          <w:sz w:val="24"/>
          <w:szCs w:val="24"/>
          <w:lang w:val="en-US"/>
        </w:rPr>
        <w:drawing>
          <wp:inline distT="0" distB="0" distL="0" distR="0" wp14:anchorId="536BE26D" wp14:editId="6CDA5AE4">
            <wp:extent cx="5943600" cy="1915064"/>
            <wp:effectExtent l="0" t="0" r="0" b="9525"/>
            <wp:docPr id="47" name="Picture 47"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E:\1.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54965" cy="1918726"/>
                    </a:xfrm>
                    <a:prstGeom prst="rect">
                      <a:avLst/>
                    </a:prstGeom>
                    <a:noFill/>
                    <a:ln>
                      <a:noFill/>
                    </a:ln>
                  </pic:spPr>
                </pic:pic>
              </a:graphicData>
            </a:graphic>
          </wp:inline>
        </w:drawing>
      </w:r>
    </w:p>
    <w:p w14:paraId="758F4DA7" w14:textId="77777777"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noProof/>
          <w:sz w:val="24"/>
          <w:szCs w:val="24"/>
          <w:lang w:val="en-US"/>
        </w:rPr>
        <w:drawing>
          <wp:inline distT="0" distB="0" distL="0" distR="0" wp14:anchorId="0FDDE13B" wp14:editId="4E164669">
            <wp:extent cx="5943600" cy="2939488"/>
            <wp:effectExtent l="0" t="0" r="0" b="13335"/>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15A2FFCC" w14:textId="1C4A13E5"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Despite the  declining trend observed </w:t>
      </w:r>
      <w:r w:rsidR="00C4475C">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the fixed asset turnover, fixed  asset turnover of Unilever is higher compared to its industry counterparts which is suggesting that the management of Unilever has been</w:t>
      </w:r>
      <w:r w:rsidR="00DB0DAD">
        <w:rPr>
          <w:rFonts w:ascii="Times New Roman" w:hAnsi="Times New Roman" w:cs="Times New Roman"/>
          <w:sz w:val="24"/>
          <w:szCs w:val="24"/>
          <w:lang w:val="en-US"/>
        </w:rPr>
        <w:t xml:space="preserve"> in a </w:t>
      </w:r>
      <w:r w:rsidR="009A3D00">
        <w:rPr>
          <w:rFonts w:ascii="Times New Roman" w:hAnsi="Times New Roman" w:cs="Times New Roman"/>
          <w:sz w:val="24"/>
          <w:szCs w:val="24"/>
        </w:rPr>
        <w:t>position</w:t>
      </w:r>
      <w:r w:rsidRPr="00342789">
        <w:rPr>
          <w:rFonts w:ascii="Times New Roman" w:hAnsi="Times New Roman" w:cs="Times New Roman"/>
          <w:sz w:val="24"/>
          <w:szCs w:val="24"/>
          <w:lang w:val="en-US"/>
        </w:rPr>
        <w:t xml:space="preserve"> to outperform its industry peers </w:t>
      </w:r>
      <w:r w:rsidR="00210117">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managing  its investment </w:t>
      </w:r>
      <w:r w:rsidR="00AB167E">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fixed assets to generate more sales turnover for the firm compared the industry rivals despite the declining operating efficiency of Unilever </w:t>
      </w:r>
      <w:r w:rsidR="00AB167E">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making </w:t>
      </w:r>
      <w:r w:rsidR="00AB167E">
        <w:rPr>
          <w:rFonts w:ascii="Times New Roman" w:hAnsi="Times New Roman" w:cs="Times New Roman"/>
          <w:sz w:val="24"/>
          <w:szCs w:val="24"/>
          <w:lang w:val="en-US"/>
        </w:rPr>
        <w:t>good</w:t>
      </w:r>
      <w:r w:rsidRPr="00342789">
        <w:rPr>
          <w:rFonts w:ascii="Times New Roman" w:hAnsi="Times New Roman" w:cs="Times New Roman"/>
          <w:sz w:val="24"/>
          <w:szCs w:val="24"/>
          <w:lang w:val="en-US"/>
        </w:rPr>
        <w:t xml:space="preserve"> utilization of its fixed assets to </w:t>
      </w:r>
      <w:proofErr w:type="spellStart"/>
      <w:r w:rsidR="00AB167E">
        <w:rPr>
          <w:rFonts w:ascii="Times New Roman" w:hAnsi="Times New Roman" w:cs="Times New Roman"/>
          <w:sz w:val="24"/>
          <w:szCs w:val="24"/>
          <w:lang w:val="en-US"/>
        </w:rPr>
        <w:t>optimise</w:t>
      </w:r>
      <w:proofErr w:type="spellEnd"/>
      <w:r w:rsidR="00AB167E">
        <w:rPr>
          <w:rFonts w:ascii="Times New Roman" w:hAnsi="Times New Roman" w:cs="Times New Roman"/>
          <w:sz w:val="24"/>
          <w:szCs w:val="24"/>
          <w:lang w:val="en-US"/>
        </w:rPr>
        <w:t xml:space="preserve"> </w:t>
      </w:r>
      <w:r w:rsidRPr="00342789">
        <w:rPr>
          <w:rFonts w:ascii="Times New Roman" w:hAnsi="Times New Roman" w:cs="Times New Roman"/>
          <w:sz w:val="24"/>
          <w:szCs w:val="24"/>
          <w:lang w:val="en-US"/>
        </w:rPr>
        <w:t>sales revenue for the firm</w:t>
      </w:r>
      <w:r w:rsidR="00641C0B">
        <w:rPr>
          <w:rFonts w:ascii="Times New Roman" w:hAnsi="Times New Roman" w:cs="Times New Roman"/>
          <w:sz w:val="24"/>
          <w:szCs w:val="24"/>
          <w:lang w:val="en-US"/>
        </w:rPr>
        <w:t xml:space="preserve"> </w:t>
      </w:r>
      <w:r w:rsidR="00641C0B">
        <w:rPr>
          <w:rFonts w:ascii="Times New Roman" w:eastAsiaTheme="minorEastAsia" w:hAnsi="Times New Roman" w:cs="Times New Roman"/>
          <w:sz w:val="24"/>
          <w:szCs w:val="24"/>
        </w:rPr>
        <w:t>(</w:t>
      </w:r>
      <w:r w:rsidR="00641C0B" w:rsidRPr="00185A5B">
        <w:rPr>
          <w:rFonts w:ascii="Times New Roman" w:hAnsi="Times New Roman" w:cs="Times New Roman"/>
          <w:color w:val="222222"/>
          <w:sz w:val="24"/>
          <w:szCs w:val="24"/>
          <w:shd w:val="clear" w:color="auto" w:fill="FFFFFF"/>
        </w:rPr>
        <w:t>Brigham</w:t>
      </w:r>
      <w:r w:rsidR="00641C0B">
        <w:rPr>
          <w:rFonts w:ascii="Times New Roman" w:hAnsi="Times New Roman" w:cs="Times New Roman"/>
          <w:color w:val="222222"/>
          <w:sz w:val="24"/>
          <w:szCs w:val="24"/>
          <w:shd w:val="clear" w:color="auto" w:fill="FFFFFF"/>
        </w:rPr>
        <w:t xml:space="preserve"> </w:t>
      </w:r>
      <w:r w:rsidR="00641C0B" w:rsidRPr="00185A5B">
        <w:rPr>
          <w:rFonts w:ascii="Times New Roman" w:hAnsi="Times New Roman" w:cs="Times New Roman"/>
          <w:color w:val="222222"/>
          <w:sz w:val="24"/>
          <w:szCs w:val="24"/>
          <w:shd w:val="clear" w:color="auto" w:fill="FFFFFF"/>
        </w:rPr>
        <w:t>and Houston, 2021</w:t>
      </w:r>
      <w:r w:rsidR="00641C0B">
        <w:rPr>
          <w:rFonts w:ascii="Times New Roman" w:hAnsi="Times New Roman" w:cs="Times New Roman"/>
          <w:color w:val="222222"/>
          <w:sz w:val="24"/>
          <w:szCs w:val="24"/>
          <w:shd w:val="clear" w:color="auto" w:fill="FFFFFF"/>
        </w:rPr>
        <w:t>)</w:t>
      </w:r>
      <w:r w:rsidRPr="00342789">
        <w:rPr>
          <w:rFonts w:ascii="Times New Roman" w:hAnsi="Times New Roman" w:cs="Times New Roman"/>
          <w:sz w:val="24"/>
          <w:szCs w:val="24"/>
          <w:lang w:val="en-US"/>
        </w:rPr>
        <w:t>.</w:t>
      </w:r>
    </w:p>
    <w:p w14:paraId="293BFFF7" w14:textId="77777777" w:rsidR="00342789" w:rsidRPr="00342789" w:rsidRDefault="00342789" w:rsidP="007C6BD1">
      <w:pPr>
        <w:spacing w:line="360" w:lineRule="auto"/>
        <w:jc w:val="both"/>
        <w:rPr>
          <w:rFonts w:ascii="Times New Roman" w:hAnsi="Times New Roman" w:cs="Times New Roman"/>
          <w:sz w:val="24"/>
          <w:szCs w:val="24"/>
          <w:lang w:val="en-US"/>
        </w:rPr>
      </w:pPr>
    </w:p>
    <w:p w14:paraId="7DD76BD0" w14:textId="77777777" w:rsidR="00342789" w:rsidRPr="00580C99" w:rsidRDefault="00342789" w:rsidP="007C6BD1">
      <w:pPr>
        <w:pStyle w:val="Heading2"/>
        <w:spacing w:line="360" w:lineRule="auto"/>
        <w:rPr>
          <w:b/>
          <w:color w:val="ED7D31" w:themeColor="accent2"/>
          <w:sz w:val="32"/>
          <w:szCs w:val="32"/>
          <w:lang w:val="en-US"/>
        </w:rPr>
      </w:pPr>
      <w:bookmarkStart w:id="6" w:name="_Toc69159408"/>
      <w:r w:rsidRPr="00580C99">
        <w:rPr>
          <w:b/>
          <w:color w:val="ED7D31" w:themeColor="accent2"/>
          <w:sz w:val="32"/>
          <w:szCs w:val="32"/>
          <w:lang w:val="en-US"/>
        </w:rPr>
        <w:lastRenderedPageBreak/>
        <w:t>Gearing Ratios:</w:t>
      </w:r>
      <w:bookmarkEnd w:id="6"/>
    </w:p>
    <w:p w14:paraId="4C4FF689" w14:textId="77777777" w:rsidR="00342789" w:rsidRPr="007C66AB" w:rsidRDefault="00342789" w:rsidP="007C6BD1">
      <w:pPr>
        <w:pStyle w:val="ListParagraph"/>
        <w:numPr>
          <w:ilvl w:val="0"/>
          <w:numId w:val="9"/>
        </w:numPr>
        <w:spacing w:line="360" w:lineRule="auto"/>
        <w:jc w:val="both"/>
        <w:rPr>
          <w:rFonts w:ascii="Times New Roman" w:hAnsi="Times New Roman" w:cs="Times New Roman"/>
          <w:b/>
          <w:sz w:val="24"/>
          <w:szCs w:val="24"/>
          <w:lang w:val="en-US"/>
        </w:rPr>
      </w:pPr>
      <w:r w:rsidRPr="007C66AB">
        <w:rPr>
          <w:rFonts w:ascii="Times New Roman" w:hAnsi="Times New Roman" w:cs="Times New Roman"/>
          <w:b/>
          <w:sz w:val="24"/>
          <w:szCs w:val="24"/>
          <w:lang w:val="en-US"/>
        </w:rPr>
        <w:t>Debt Equity Ratio:</w:t>
      </w:r>
    </w:p>
    <w:p w14:paraId="32B1B5DE" w14:textId="50A393B9"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Debt equity ratio is a </w:t>
      </w:r>
      <w:r w:rsidR="001031CA" w:rsidRPr="00342789">
        <w:rPr>
          <w:rFonts w:ascii="Times New Roman" w:hAnsi="Times New Roman" w:cs="Times New Roman"/>
          <w:sz w:val="24"/>
          <w:szCs w:val="24"/>
          <w:lang w:val="en-US"/>
        </w:rPr>
        <w:t>long-term</w:t>
      </w:r>
      <w:r w:rsidRPr="00342789">
        <w:rPr>
          <w:rFonts w:ascii="Times New Roman" w:hAnsi="Times New Roman" w:cs="Times New Roman"/>
          <w:sz w:val="24"/>
          <w:szCs w:val="24"/>
          <w:lang w:val="en-US"/>
        </w:rPr>
        <w:t xml:space="preserve"> financial ratio used to assess to degree of financial leverage employed by a firm to support its business growth.</w:t>
      </w:r>
    </w:p>
    <w:p w14:paraId="669AE627" w14:textId="77777777"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The formula for debt equity ratio is:</w:t>
      </w:r>
    </w:p>
    <w:p w14:paraId="5F7C6492" w14:textId="77777777" w:rsidR="00342789" w:rsidRDefault="00342789" w:rsidP="007C6BD1">
      <w:pPr>
        <w:spacing w:line="360" w:lineRule="auto"/>
        <w:jc w:val="center"/>
        <w:rPr>
          <w:rFonts w:ascii="Times New Roman" w:hAnsi="Times New Roman" w:cs="Times New Roman"/>
          <w:sz w:val="24"/>
          <w:szCs w:val="24"/>
          <w:lang w:val="en-US"/>
        </w:rPr>
      </w:pPr>
      <w:r w:rsidRPr="00342789">
        <w:rPr>
          <w:noProof/>
          <w:lang w:val="en-US"/>
        </w:rPr>
        <w:drawing>
          <wp:inline distT="0" distB="0" distL="0" distR="0" wp14:anchorId="479809E7" wp14:editId="77014284">
            <wp:extent cx="3898101" cy="2191816"/>
            <wp:effectExtent l="19050" t="19050" r="26670" b="18415"/>
            <wp:docPr id="33" name="Picture 33" descr="Debt Equity Ratio | Double Entry Bookkee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bt Equity Ratio | Double Entry Bookkeepin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3901379" cy="2193659"/>
                    </a:xfrm>
                    <a:prstGeom prst="rect">
                      <a:avLst/>
                    </a:prstGeom>
                    <a:noFill/>
                    <a:ln>
                      <a:solidFill>
                        <a:schemeClr val="tx1">
                          <a:lumMod val="50000"/>
                          <a:lumOff val="50000"/>
                        </a:schemeClr>
                      </a:solidFill>
                    </a:ln>
                  </pic:spPr>
                </pic:pic>
              </a:graphicData>
            </a:graphic>
          </wp:inline>
        </w:drawing>
      </w:r>
    </w:p>
    <w:p w14:paraId="422B1F4A" w14:textId="77777777" w:rsidR="00766C8D" w:rsidRPr="00342789" w:rsidRDefault="00766C8D" w:rsidP="007C6BD1">
      <w:pPr>
        <w:spacing w:line="360" w:lineRule="auto"/>
        <w:jc w:val="center"/>
        <w:rPr>
          <w:rFonts w:ascii="Times New Roman" w:hAnsi="Times New Roman" w:cs="Times New Roman"/>
          <w:sz w:val="24"/>
          <w:szCs w:val="24"/>
          <w:lang w:val="en-US"/>
        </w:rPr>
      </w:pPr>
      <w:r w:rsidRPr="00766C8D">
        <w:rPr>
          <w:rFonts w:ascii="Times New Roman" w:hAnsi="Times New Roman" w:cs="Times New Roman"/>
          <w:noProof/>
          <w:sz w:val="24"/>
          <w:szCs w:val="24"/>
          <w:lang w:val="en-US"/>
        </w:rPr>
        <w:drawing>
          <wp:inline distT="0" distB="0" distL="0" distR="0" wp14:anchorId="33DF6719" wp14:editId="1C82EF8B">
            <wp:extent cx="5943600" cy="1560693"/>
            <wp:effectExtent l="0" t="0" r="0" b="1905"/>
            <wp:docPr id="48" name="Picture 48"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1.pn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943600" cy="1560693"/>
                    </a:xfrm>
                    <a:prstGeom prst="rect">
                      <a:avLst/>
                    </a:prstGeom>
                    <a:noFill/>
                    <a:ln>
                      <a:noFill/>
                    </a:ln>
                  </pic:spPr>
                </pic:pic>
              </a:graphicData>
            </a:graphic>
          </wp:inline>
        </w:drawing>
      </w:r>
    </w:p>
    <w:p w14:paraId="0B5C2317" w14:textId="77777777" w:rsidR="00342789" w:rsidRDefault="00342789" w:rsidP="007C6BD1">
      <w:pPr>
        <w:spacing w:line="360" w:lineRule="auto"/>
        <w:jc w:val="center"/>
        <w:rPr>
          <w:rFonts w:ascii="Times New Roman" w:hAnsi="Times New Roman" w:cs="Times New Roman"/>
          <w:sz w:val="24"/>
          <w:szCs w:val="24"/>
          <w:lang w:val="en-US"/>
        </w:rPr>
      </w:pPr>
      <w:r w:rsidRPr="00342789">
        <w:rPr>
          <w:rFonts w:ascii="Times New Roman" w:hAnsi="Times New Roman" w:cs="Times New Roman"/>
          <w:noProof/>
          <w:sz w:val="24"/>
          <w:szCs w:val="24"/>
          <w:lang w:val="en-US"/>
        </w:rPr>
        <w:drawing>
          <wp:inline distT="0" distB="0" distL="0" distR="0" wp14:anchorId="662C6995" wp14:editId="50DB5AE9">
            <wp:extent cx="5067300" cy="2152650"/>
            <wp:effectExtent l="0" t="0" r="0" b="0"/>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68BAEE96" w14:textId="77777777" w:rsidR="00766C8D" w:rsidRPr="00342789" w:rsidRDefault="00766C8D" w:rsidP="007C6BD1">
      <w:pPr>
        <w:spacing w:line="360" w:lineRule="auto"/>
        <w:jc w:val="center"/>
        <w:rPr>
          <w:rFonts w:ascii="Times New Roman" w:hAnsi="Times New Roman" w:cs="Times New Roman"/>
          <w:sz w:val="24"/>
          <w:szCs w:val="24"/>
          <w:lang w:val="en-US"/>
        </w:rPr>
      </w:pPr>
    </w:p>
    <w:p w14:paraId="08B03934" w14:textId="6309F9D3" w:rsidR="00766C8D"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The assessment of debt equity ratio is indicating a rising trend from 2016 to 2019 as the ratio has increased from </w:t>
      </w:r>
      <w:r w:rsidR="00EE6B31">
        <w:rPr>
          <w:rFonts w:ascii="Times New Roman" w:hAnsi="Times New Roman" w:cs="Times New Roman"/>
          <w:sz w:val="24"/>
          <w:szCs w:val="24"/>
          <w:lang w:val="en-US"/>
        </w:rPr>
        <w:t xml:space="preserve">a </w:t>
      </w:r>
      <w:r w:rsidRPr="00342789">
        <w:rPr>
          <w:rFonts w:ascii="Times New Roman" w:hAnsi="Times New Roman" w:cs="Times New Roman"/>
          <w:sz w:val="24"/>
          <w:szCs w:val="24"/>
          <w:lang w:val="en-US"/>
        </w:rPr>
        <w:t xml:space="preserve">2.32 in 2016 to 3.67 in 2019 which can be attributed to the </w:t>
      </w:r>
      <w:r w:rsidR="00185A5B">
        <w:rPr>
          <w:rFonts w:ascii="Times New Roman" w:hAnsi="Times New Roman" w:cs="Times New Roman"/>
          <w:sz w:val="24"/>
          <w:szCs w:val="24"/>
          <w:lang w:val="en-US"/>
        </w:rPr>
        <w:t>£</w:t>
      </w:r>
      <w:r w:rsidRPr="00342789">
        <w:rPr>
          <w:rFonts w:ascii="Times New Roman" w:hAnsi="Times New Roman" w:cs="Times New Roman"/>
          <w:sz w:val="24"/>
          <w:szCs w:val="24"/>
          <w:lang w:val="en-US"/>
        </w:rPr>
        <w:t xml:space="preserve">1.2 Billion bond issuance by the Unilever Netherland division in 2017 </w:t>
      </w:r>
      <w:r w:rsidR="008D343B">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maturity date 2023 for 0.375 fixed interest </w:t>
      </w:r>
      <w:r w:rsidR="00185A5B">
        <w:rPr>
          <w:rFonts w:ascii="Times New Roman" w:hAnsi="Times New Roman" w:cs="Times New Roman"/>
          <w:sz w:val="24"/>
          <w:szCs w:val="24"/>
          <w:lang w:val="en-US"/>
        </w:rPr>
        <w:t>£</w:t>
      </w:r>
      <w:r w:rsidRPr="00342789">
        <w:rPr>
          <w:rFonts w:ascii="Times New Roman" w:hAnsi="Times New Roman" w:cs="Times New Roman"/>
          <w:sz w:val="24"/>
          <w:szCs w:val="24"/>
          <w:lang w:val="en-US"/>
        </w:rPr>
        <w:t>600 million bond note and 2027 for</w:t>
      </w:r>
      <w:r w:rsidR="008D343B">
        <w:rPr>
          <w:rFonts w:ascii="Times New Roman" w:hAnsi="Times New Roman" w:cs="Times New Roman"/>
          <w:sz w:val="24"/>
          <w:szCs w:val="24"/>
          <w:lang w:val="en-US"/>
        </w:rPr>
        <w:t xml:space="preserve"> a</w:t>
      </w:r>
      <w:r w:rsidRPr="00342789">
        <w:rPr>
          <w:rFonts w:ascii="Times New Roman" w:hAnsi="Times New Roman" w:cs="Times New Roman"/>
          <w:sz w:val="24"/>
          <w:szCs w:val="24"/>
          <w:lang w:val="en-US"/>
        </w:rPr>
        <w:t xml:space="preserve"> 1% fixed interest </w:t>
      </w:r>
      <w:r w:rsidR="00185A5B">
        <w:rPr>
          <w:rFonts w:ascii="Times New Roman" w:hAnsi="Times New Roman" w:cs="Times New Roman"/>
          <w:sz w:val="24"/>
          <w:szCs w:val="24"/>
          <w:lang w:val="en-US"/>
        </w:rPr>
        <w:t>£</w:t>
      </w:r>
      <w:r w:rsidRPr="00342789">
        <w:rPr>
          <w:rFonts w:ascii="Times New Roman" w:hAnsi="Times New Roman" w:cs="Times New Roman"/>
          <w:sz w:val="24"/>
          <w:szCs w:val="24"/>
          <w:lang w:val="en-US"/>
        </w:rPr>
        <w:t>600 million bond note which has led to</w:t>
      </w:r>
      <w:r w:rsidR="008D343B">
        <w:rPr>
          <w:rFonts w:ascii="Times New Roman" w:hAnsi="Times New Roman" w:cs="Times New Roman"/>
          <w:sz w:val="24"/>
          <w:szCs w:val="24"/>
          <w:lang w:val="en-US"/>
        </w:rPr>
        <w:t xml:space="preserve"> a</w:t>
      </w:r>
      <w:r w:rsidRPr="00342789">
        <w:rPr>
          <w:rFonts w:ascii="Times New Roman" w:hAnsi="Times New Roman" w:cs="Times New Roman"/>
          <w:sz w:val="24"/>
          <w:szCs w:val="24"/>
          <w:lang w:val="en-US"/>
        </w:rPr>
        <w:t xml:space="preserve"> 47.7 increase in non-current liabilities of the firm in 2017. But the ratio has declined </w:t>
      </w:r>
      <w:r w:rsidR="008D343B">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2020 which can be attributed to the 27% increase </w:t>
      </w:r>
      <w:r w:rsidR="005E6E72">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equity financing and</w:t>
      </w:r>
      <w:r w:rsidR="005E6E72">
        <w:rPr>
          <w:rFonts w:ascii="Times New Roman" w:hAnsi="Times New Roman" w:cs="Times New Roman"/>
          <w:sz w:val="24"/>
          <w:szCs w:val="24"/>
          <w:lang w:val="en-US"/>
        </w:rPr>
        <w:t xml:space="preserve"> a</w:t>
      </w:r>
      <w:r w:rsidRPr="00342789">
        <w:rPr>
          <w:rFonts w:ascii="Times New Roman" w:hAnsi="Times New Roman" w:cs="Times New Roman"/>
          <w:sz w:val="24"/>
          <w:szCs w:val="24"/>
          <w:lang w:val="en-US"/>
        </w:rPr>
        <w:t xml:space="preserve"> 2% decline </w:t>
      </w:r>
      <w:r w:rsidR="005E6E72">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the debt financing of the firm. Based on this analysis, it can be opined that Unilever is a highly levered firm as the management has used substantial amount of financial leverage </w:t>
      </w:r>
      <w:r w:rsidR="005E6E72">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its capital structure </w:t>
      </w:r>
      <w:r w:rsidR="00F73E76">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the recent years as it can be seen that the management on average has obtained</w:t>
      </w:r>
      <w:r w:rsidR="00F73E76">
        <w:rPr>
          <w:rFonts w:ascii="Times New Roman" w:hAnsi="Times New Roman" w:cs="Times New Roman"/>
          <w:sz w:val="24"/>
          <w:szCs w:val="24"/>
          <w:lang w:val="en-US"/>
        </w:rPr>
        <w:t xml:space="preserve"> an</w:t>
      </w:r>
      <w:r w:rsidRPr="00342789">
        <w:rPr>
          <w:rFonts w:ascii="Times New Roman" w:hAnsi="Times New Roman" w:cs="Times New Roman"/>
          <w:sz w:val="24"/>
          <w:szCs w:val="24"/>
          <w:lang w:val="en-US"/>
        </w:rPr>
        <w:t xml:space="preserve"> £3.17 debt capital for every £1 equity capital raised by the firm during the period under study.</w:t>
      </w:r>
    </w:p>
    <w:p w14:paraId="6B8F33D0" w14:textId="77777777" w:rsidR="00342789" w:rsidRPr="00342789" w:rsidRDefault="00766C8D" w:rsidP="007C6BD1">
      <w:pPr>
        <w:spacing w:line="360" w:lineRule="auto"/>
        <w:jc w:val="both"/>
        <w:rPr>
          <w:rFonts w:ascii="Times New Roman" w:hAnsi="Times New Roman" w:cs="Times New Roman"/>
          <w:sz w:val="24"/>
          <w:szCs w:val="24"/>
          <w:lang w:val="en-US"/>
        </w:rPr>
      </w:pPr>
      <w:r w:rsidRPr="00766C8D">
        <w:rPr>
          <w:rFonts w:ascii="Times New Roman" w:hAnsi="Times New Roman" w:cs="Times New Roman"/>
          <w:noProof/>
          <w:sz w:val="24"/>
          <w:szCs w:val="24"/>
          <w:lang w:val="en-US"/>
        </w:rPr>
        <w:drawing>
          <wp:inline distT="0" distB="0" distL="0" distR="0" wp14:anchorId="0A3B7810" wp14:editId="6C03F113">
            <wp:extent cx="5943600" cy="1590969"/>
            <wp:effectExtent l="19050" t="19050" r="19050" b="28575"/>
            <wp:docPr id="49" name="Picture 49"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1.pn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43600" cy="1590969"/>
                    </a:xfrm>
                    <a:prstGeom prst="rect">
                      <a:avLst/>
                    </a:prstGeom>
                    <a:noFill/>
                    <a:ln>
                      <a:solidFill>
                        <a:schemeClr val="tx1">
                          <a:lumMod val="50000"/>
                          <a:lumOff val="50000"/>
                        </a:schemeClr>
                      </a:solidFill>
                    </a:ln>
                  </pic:spPr>
                </pic:pic>
              </a:graphicData>
            </a:graphic>
          </wp:inline>
        </w:drawing>
      </w:r>
    </w:p>
    <w:p w14:paraId="40F8C306" w14:textId="4D95B397" w:rsidR="00766C8D"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noProof/>
          <w:sz w:val="24"/>
          <w:szCs w:val="24"/>
          <w:lang w:val="en-US"/>
        </w:rPr>
        <w:drawing>
          <wp:inline distT="0" distB="0" distL="0" distR="0" wp14:anchorId="2348CFF0" wp14:editId="3B5E0048">
            <wp:extent cx="5943600" cy="2939488"/>
            <wp:effectExtent l="0" t="0" r="0" b="13335"/>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225E8DBB" w14:textId="67C935AF"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lastRenderedPageBreak/>
        <w:t xml:space="preserve">The assessment of debt equity ratio among Unilever, Procter &amp; Gamble and Johnson is indicating that the management of Unilever has </w:t>
      </w:r>
      <w:proofErr w:type="spellStart"/>
      <w:r w:rsidR="009E34D0">
        <w:rPr>
          <w:rFonts w:ascii="Times New Roman" w:hAnsi="Times New Roman" w:cs="Times New Roman"/>
          <w:sz w:val="24"/>
          <w:szCs w:val="24"/>
          <w:lang w:val="en-US"/>
        </w:rPr>
        <w:t>utilised</w:t>
      </w:r>
      <w:proofErr w:type="spellEnd"/>
      <w:r w:rsidR="009E34D0">
        <w:rPr>
          <w:rFonts w:ascii="Times New Roman" w:hAnsi="Times New Roman" w:cs="Times New Roman"/>
          <w:sz w:val="24"/>
          <w:szCs w:val="24"/>
          <w:lang w:val="en-US"/>
        </w:rPr>
        <w:t xml:space="preserve"> </w:t>
      </w:r>
      <w:r w:rsidRPr="00342789">
        <w:rPr>
          <w:rFonts w:ascii="Times New Roman" w:hAnsi="Times New Roman" w:cs="Times New Roman"/>
          <w:sz w:val="24"/>
          <w:szCs w:val="24"/>
          <w:lang w:val="en-US"/>
        </w:rPr>
        <w:t>aggressive financial leverage strategy to expand its business operation compared to its industry counterparts as Unilever on average obtained</w:t>
      </w:r>
      <w:r w:rsidR="009E34D0">
        <w:rPr>
          <w:rFonts w:ascii="Times New Roman" w:hAnsi="Times New Roman" w:cs="Times New Roman"/>
          <w:sz w:val="24"/>
          <w:szCs w:val="24"/>
          <w:lang w:val="en-US"/>
        </w:rPr>
        <w:t xml:space="preserve"> of</w:t>
      </w:r>
      <w:r w:rsidRPr="00342789">
        <w:rPr>
          <w:rFonts w:ascii="Times New Roman" w:hAnsi="Times New Roman" w:cs="Times New Roman"/>
          <w:sz w:val="24"/>
          <w:szCs w:val="24"/>
          <w:lang w:val="en-US"/>
        </w:rPr>
        <w:t xml:space="preserve"> £3.45 debt capital for every £1 equity capital raised compared to the average £1.41 debt capital for every 1 equity capital raised by Procter &amp; Gamble and average £1.66 debt capital for every 1 equity capital raised by Johnson &amp; Johnson. Thus, it is indicating that Unilever is pursuing aggressive financial leverage strategy compared to its business rivals to expand its business operation.</w:t>
      </w:r>
    </w:p>
    <w:p w14:paraId="206FFC87" w14:textId="77777777" w:rsidR="00342789" w:rsidRPr="00342789" w:rsidRDefault="00342789" w:rsidP="007C6BD1">
      <w:pPr>
        <w:spacing w:line="360" w:lineRule="auto"/>
        <w:jc w:val="both"/>
        <w:rPr>
          <w:rFonts w:ascii="Times New Roman" w:hAnsi="Times New Roman" w:cs="Times New Roman"/>
          <w:sz w:val="24"/>
          <w:szCs w:val="24"/>
          <w:lang w:val="en-US"/>
        </w:rPr>
      </w:pPr>
    </w:p>
    <w:p w14:paraId="0337865D" w14:textId="77777777" w:rsidR="00342789" w:rsidRPr="007C66AB" w:rsidRDefault="00342789" w:rsidP="007C6BD1">
      <w:pPr>
        <w:pStyle w:val="ListParagraph"/>
        <w:numPr>
          <w:ilvl w:val="0"/>
          <w:numId w:val="9"/>
        </w:numPr>
        <w:spacing w:line="360" w:lineRule="auto"/>
        <w:jc w:val="both"/>
        <w:rPr>
          <w:rFonts w:ascii="Times New Roman" w:hAnsi="Times New Roman" w:cs="Times New Roman"/>
          <w:b/>
          <w:sz w:val="24"/>
          <w:szCs w:val="24"/>
          <w:lang w:val="en-US"/>
        </w:rPr>
      </w:pPr>
      <w:r w:rsidRPr="007C66AB">
        <w:rPr>
          <w:rFonts w:ascii="Times New Roman" w:hAnsi="Times New Roman" w:cs="Times New Roman"/>
          <w:b/>
          <w:sz w:val="24"/>
          <w:szCs w:val="24"/>
          <w:lang w:val="en-US"/>
        </w:rPr>
        <w:t>Debt to Capital Ratio:</w:t>
      </w:r>
    </w:p>
    <w:p w14:paraId="042A3D8F" w14:textId="04427793"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Debt to capital ratio is a financial ratio employed to evaluate the composition of capital structure of a firm by assessing the proportion of </w:t>
      </w:r>
      <w:r w:rsidR="001031CA" w:rsidRPr="00342789">
        <w:rPr>
          <w:rFonts w:ascii="Times New Roman" w:hAnsi="Times New Roman" w:cs="Times New Roman"/>
          <w:sz w:val="24"/>
          <w:szCs w:val="24"/>
          <w:lang w:val="en-US"/>
        </w:rPr>
        <w:t>interest-bearing</w:t>
      </w:r>
      <w:r w:rsidRPr="00342789">
        <w:rPr>
          <w:rFonts w:ascii="Times New Roman" w:hAnsi="Times New Roman" w:cs="Times New Roman"/>
          <w:sz w:val="24"/>
          <w:szCs w:val="24"/>
          <w:lang w:val="en-US"/>
        </w:rPr>
        <w:t xml:space="preserve"> debt financing </w:t>
      </w:r>
      <w:r w:rsidR="00DC4B52">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the total capital raised by the firm to support the investment of asset structure of the firm.</w:t>
      </w:r>
    </w:p>
    <w:p w14:paraId="63884B06" w14:textId="77777777"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The formula for debt to capital ratio is:</w:t>
      </w:r>
    </w:p>
    <w:p w14:paraId="7EB31F3A" w14:textId="77777777" w:rsidR="00342789" w:rsidRDefault="00342789" w:rsidP="007C6BD1">
      <w:pPr>
        <w:spacing w:line="360" w:lineRule="auto"/>
        <w:jc w:val="center"/>
        <w:rPr>
          <w:rFonts w:ascii="Times New Roman" w:hAnsi="Times New Roman" w:cs="Times New Roman"/>
          <w:sz w:val="24"/>
          <w:szCs w:val="24"/>
          <w:lang w:val="en-US"/>
        </w:rPr>
      </w:pPr>
      <w:r w:rsidRPr="00342789">
        <w:rPr>
          <w:noProof/>
          <w:lang w:val="en-US"/>
        </w:rPr>
        <w:drawing>
          <wp:inline distT="0" distB="0" distL="0" distR="0" wp14:anchorId="203D98AF" wp14:editId="38CB7413">
            <wp:extent cx="3820406" cy="1570253"/>
            <wp:effectExtent l="19050" t="19050" r="8890" b="11430"/>
            <wp:docPr id="36" name="Picture 36" descr="Debt to Capital Ratio - Formula, meaning, example and interpre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bt to Capital Ratio - Formula, meaning, example and interpretation"/>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853727" cy="1583949"/>
                    </a:xfrm>
                    <a:prstGeom prst="rect">
                      <a:avLst/>
                    </a:prstGeom>
                    <a:noFill/>
                    <a:ln>
                      <a:solidFill>
                        <a:schemeClr val="tx1">
                          <a:lumMod val="50000"/>
                          <a:lumOff val="50000"/>
                        </a:schemeClr>
                      </a:solidFill>
                    </a:ln>
                  </pic:spPr>
                </pic:pic>
              </a:graphicData>
            </a:graphic>
          </wp:inline>
        </w:drawing>
      </w:r>
    </w:p>
    <w:p w14:paraId="38C1E0DE" w14:textId="77777777" w:rsidR="00766C8D" w:rsidRPr="00342789" w:rsidRDefault="00766C8D" w:rsidP="007C6BD1">
      <w:pPr>
        <w:spacing w:line="360" w:lineRule="auto"/>
        <w:jc w:val="both"/>
        <w:rPr>
          <w:rFonts w:ascii="Times New Roman" w:hAnsi="Times New Roman" w:cs="Times New Roman"/>
          <w:sz w:val="24"/>
          <w:szCs w:val="24"/>
          <w:lang w:val="en-US"/>
        </w:rPr>
      </w:pPr>
      <w:r w:rsidRPr="00766C8D">
        <w:rPr>
          <w:rFonts w:ascii="Times New Roman" w:hAnsi="Times New Roman" w:cs="Times New Roman"/>
          <w:noProof/>
          <w:sz w:val="24"/>
          <w:szCs w:val="24"/>
          <w:lang w:val="en-US"/>
        </w:rPr>
        <w:drawing>
          <wp:inline distT="0" distB="0" distL="0" distR="0" wp14:anchorId="73061D99" wp14:editId="4CAA591D">
            <wp:extent cx="5943600" cy="1816235"/>
            <wp:effectExtent l="0" t="0" r="0" b="0"/>
            <wp:docPr id="50" name="Picture 50"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1.pn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943600" cy="1816235"/>
                    </a:xfrm>
                    <a:prstGeom prst="rect">
                      <a:avLst/>
                    </a:prstGeom>
                    <a:noFill/>
                    <a:ln>
                      <a:noFill/>
                    </a:ln>
                  </pic:spPr>
                </pic:pic>
              </a:graphicData>
            </a:graphic>
          </wp:inline>
        </w:drawing>
      </w:r>
    </w:p>
    <w:p w14:paraId="00DC749A" w14:textId="77777777" w:rsidR="00342789" w:rsidRDefault="00342789" w:rsidP="007C6BD1">
      <w:pPr>
        <w:spacing w:line="360" w:lineRule="auto"/>
        <w:jc w:val="center"/>
        <w:rPr>
          <w:rFonts w:ascii="Times New Roman" w:hAnsi="Times New Roman" w:cs="Times New Roman"/>
          <w:sz w:val="24"/>
          <w:szCs w:val="24"/>
          <w:lang w:val="en-US"/>
        </w:rPr>
      </w:pPr>
      <w:r w:rsidRPr="00342789">
        <w:rPr>
          <w:rFonts w:ascii="Times New Roman" w:hAnsi="Times New Roman" w:cs="Times New Roman"/>
          <w:noProof/>
          <w:sz w:val="24"/>
          <w:szCs w:val="24"/>
          <w:lang w:val="en-US"/>
        </w:rPr>
        <w:lastRenderedPageBreak/>
        <w:drawing>
          <wp:inline distT="0" distB="0" distL="0" distR="0" wp14:anchorId="3E2981FB" wp14:editId="596C48DB">
            <wp:extent cx="5067300" cy="2152650"/>
            <wp:effectExtent l="0" t="0" r="0" b="0"/>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2471E428" w14:textId="77777777" w:rsidR="00766C8D" w:rsidRPr="00342789" w:rsidRDefault="00766C8D" w:rsidP="007C6BD1">
      <w:pPr>
        <w:spacing w:line="360" w:lineRule="auto"/>
        <w:jc w:val="center"/>
        <w:rPr>
          <w:rFonts w:ascii="Times New Roman" w:hAnsi="Times New Roman" w:cs="Times New Roman"/>
          <w:sz w:val="24"/>
          <w:szCs w:val="24"/>
          <w:lang w:val="en-US"/>
        </w:rPr>
      </w:pPr>
    </w:p>
    <w:p w14:paraId="404A8C74" w14:textId="62AAE377" w:rsid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The assessment of debt to capital ratio is indicating that a significant portion of capital structure </w:t>
      </w:r>
      <w:r w:rsidR="001031CA" w:rsidRPr="00342789">
        <w:rPr>
          <w:rFonts w:ascii="Times New Roman" w:hAnsi="Times New Roman" w:cs="Times New Roman"/>
          <w:sz w:val="24"/>
          <w:szCs w:val="24"/>
          <w:lang w:val="en-US"/>
        </w:rPr>
        <w:t xml:space="preserve">of </w:t>
      </w:r>
      <w:r w:rsidR="001031CA">
        <w:rPr>
          <w:rFonts w:ascii="Times New Roman" w:hAnsi="Times New Roman" w:cs="Times New Roman"/>
          <w:sz w:val="24"/>
          <w:szCs w:val="24"/>
          <w:lang w:val="en-US"/>
        </w:rPr>
        <w:t>Unilever</w:t>
      </w:r>
      <w:r w:rsidRPr="00342789">
        <w:rPr>
          <w:rFonts w:ascii="Times New Roman" w:hAnsi="Times New Roman" w:cs="Times New Roman"/>
          <w:sz w:val="24"/>
          <w:szCs w:val="24"/>
          <w:lang w:val="en-US"/>
        </w:rPr>
        <w:t xml:space="preserve"> is financed with debt capital. The ratio has increased from 2016 to 2019 as the company has issued new Eurobonds to expand its business operation </w:t>
      </w:r>
      <w:r w:rsidR="00910C9A">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developing economies</w:t>
      </w:r>
      <w:r w:rsidR="00185A5B">
        <w:rPr>
          <w:rFonts w:ascii="Times New Roman" w:hAnsi="Times New Roman" w:cs="Times New Roman"/>
          <w:sz w:val="24"/>
          <w:szCs w:val="24"/>
          <w:lang w:val="en-US"/>
        </w:rPr>
        <w:t xml:space="preserve"> </w:t>
      </w:r>
      <w:r w:rsidR="00185A5B" w:rsidRPr="00185A5B">
        <w:rPr>
          <w:rFonts w:ascii="Times New Roman" w:hAnsi="Times New Roman" w:cs="Times New Roman"/>
          <w:sz w:val="24"/>
          <w:szCs w:val="24"/>
          <w:lang w:val="en-US"/>
        </w:rPr>
        <w:t>(Unilever picks London as its home over Rotterdam ..., n.d.)</w:t>
      </w:r>
      <w:r w:rsidRPr="00342789">
        <w:rPr>
          <w:rFonts w:ascii="Times New Roman" w:hAnsi="Times New Roman" w:cs="Times New Roman"/>
          <w:sz w:val="24"/>
          <w:szCs w:val="24"/>
          <w:lang w:val="en-US"/>
        </w:rPr>
        <w:t xml:space="preserve">. But the ratio has declined in 2020 which can be attributed to the 27% increase </w:t>
      </w:r>
      <w:r w:rsidR="00FC7F4A">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equity financing of the firm. The analysis is implying that </w:t>
      </w:r>
      <w:r w:rsidR="001031CA">
        <w:rPr>
          <w:rFonts w:ascii="Times New Roman" w:hAnsi="Times New Roman" w:cs="Times New Roman"/>
          <w:sz w:val="24"/>
          <w:szCs w:val="24"/>
          <w:lang w:val="en-US"/>
        </w:rPr>
        <w:t>and</w:t>
      </w:r>
      <w:r w:rsidR="00FC7F4A">
        <w:rPr>
          <w:rFonts w:ascii="Times New Roman" w:hAnsi="Times New Roman" w:cs="Times New Roman"/>
          <w:sz w:val="24"/>
          <w:szCs w:val="24"/>
          <w:lang w:val="en-US"/>
        </w:rPr>
        <w:t xml:space="preserve"> </w:t>
      </w:r>
      <w:r w:rsidRPr="00342789">
        <w:rPr>
          <w:rFonts w:ascii="Times New Roman" w:hAnsi="Times New Roman" w:cs="Times New Roman"/>
          <w:sz w:val="24"/>
          <w:szCs w:val="24"/>
          <w:lang w:val="en-US"/>
        </w:rPr>
        <w:t xml:space="preserve">76% of capital structure on average is financed by the </w:t>
      </w:r>
      <w:r w:rsidR="001031CA" w:rsidRPr="00342789">
        <w:rPr>
          <w:rFonts w:ascii="Times New Roman" w:hAnsi="Times New Roman" w:cs="Times New Roman"/>
          <w:sz w:val="24"/>
          <w:szCs w:val="24"/>
          <w:lang w:val="en-US"/>
        </w:rPr>
        <w:t>interest-bearing</w:t>
      </w:r>
      <w:r w:rsidRPr="00342789">
        <w:rPr>
          <w:rFonts w:ascii="Times New Roman" w:hAnsi="Times New Roman" w:cs="Times New Roman"/>
          <w:sz w:val="24"/>
          <w:szCs w:val="24"/>
          <w:lang w:val="en-US"/>
        </w:rPr>
        <w:t xml:space="preserve"> debt capital during the period under study.</w:t>
      </w:r>
    </w:p>
    <w:p w14:paraId="06FB0CC8" w14:textId="77777777" w:rsidR="00766C8D" w:rsidRPr="00342789" w:rsidRDefault="00766C8D" w:rsidP="007C6BD1">
      <w:pPr>
        <w:spacing w:line="360" w:lineRule="auto"/>
        <w:jc w:val="both"/>
        <w:rPr>
          <w:rFonts w:ascii="Times New Roman" w:hAnsi="Times New Roman" w:cs="Times New Roman"/>
          <w:sz w:val="24"/>
          <w:szCs w:val="24"/>
          <w:lang w:val="en-US"/>
        </w:rPr>
      </w:pPr>
    </w:p>
    <w:p w14:paraId="68260D26" w14:textId="77777777" w:rsidR="00342789" w:rsidRPr="00342789" w:rsidRDefault="00766C8D" w:rsidP="007C6BD1">
      <w:pPr>
        <w:spacing w:line="360" w:lineRule="auto"/>
        <w:jc w:val="both"/>
        <w:rPr>
          <w:rFonts w:ascii="Times New Roman" w:hAnsi="Times New Roman" w:cs="Times New Roman"/>
          <w:sz w:val="24"/>
          <w:szCs w:val="24"/>
          <w:lang w:val="en-US"/>
        </w:rPr>
      </w:pPr>
      <w:r w:rsidRPr="00766C8D">
        <w:rPr>
          <w:rFonts w:ascii="Times New Roman" w:hAnsi="Times New Roman" w:cs="Times New Roman"/>
          <w:noProof/>
          <w:sz w:val="24"/>
          <w:szCs w:val="24"/>
          <w:lang w:val="en-US"/>
        </w:rPr>
        <w:drawing>
          <wp:inline distT="0" distB="0" distL="0" distR="0" wp14:anchorId="2A33EF1F" wp14:editId="1C3AEDBE">
            <wp:extent cx="5942364" cy="1871932"/>
            <wp:effectExtent l="19050" t="19050" r="20320" b="14605"/>
            <wp:docPr id="51" name="Picture 51" desc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E:\1.png"/>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950515" cy="1874500"/>
                    </a:xfrm>
                    <a:prstGeom prst="rect">
                      <a:avLst/>
                    </a:prstGeom>
                    <a:noFill/>
                    <a:ln>
                      <a:solidFill>
                        <a:schemeClr val="tx1">
                          <a:lumMod val="50000"/>
                          <a:lumOff val="50000"/>
                        </a:schemeClr>
                      </a:solidFill>
                    </a:ln>
                  </pic:spPr>
                </pic:pic>
              </a:graphicData>
            </a:graphic>
          </wp:inline>
        </w:drawing>
      </w:r>
    </w:p>
    <w:p w14:paraId="16D3695D" w14:textId="77777777"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noProof/>
          <w:sz w:val="24"/>
          <w:szCs w:val="24"/>
          <w:lang w:val="en-US"/>
        </w:rPr>
        <w:lastRenderedPageBreak/>
        <w:drawing>
          <wp:inline distT="0" distB="0" distL="0" distR="0" wp14:anchorId="5476E181" wp14:editId="6FB5F79D">
            <wp:extent cx="5943600" cy="2939488"/>
            <wp:effectExtent l="0" t="0" r="0" b="13335"/>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477DC03E" w14:textId="0CB933A3" w:rsidR="00342789" w:rsidRPr="00342789" w:rsidRDefault="00342789" w:rsidP="007C6BD1">
      <w:pPr>
        <w:spacing w:line="360" w:lineRule="auto"/>
        <w:jc w:val="both"/>
        <w:rPr>
          <w:rFonts w:ascii="Times New Roman" w:hAnsi="Times New Roman" w:cs="Times New Roman"/>
          <w:sz w:val="24"/>
          <w:szCs w:val="24"/>
          <w:lang w:val="en-US"/>
        </w:rPr>
      </w:pPr>
      <w:r w:rsidRPr="00342789">
        <w:rPr>
          <w:rFonts w:ascii="Times New Roman" w:hAnsi="Times New Roman" w:cs="Times New Roman"/>
          <w:sz w:val="24"/>
          <w:szCs w:val="24"/>
          <w:lang w:val="en-US"/>
        </w:rPr>
        <w:t xml:space="preserve">The analysis of debt to capital ratio among Unilever, Procter &amp; Gamble and Johnson is indicating that the management of </w:t>
      </w:r>
      <w:r w:rsidR="00603CC0">
        <w:rPr>
          <w:rFonts w:ascii="Times New Roman" w:hAnsi="Times New Roman" w:cs="Times New Roman"/>
          <w:sz w:val="24"/>
          <w:szCs w:val="24"/>
          <w:lang w:val="en-US"/>
        </w:rPr>
        <w:t xml:space="preserve"> </w:t>
      </w:r>
      <w:r w:rsidRPr="00342789">
        <w:rPr>
          <w:rFonts w:ascii="Times New Roman" w:hAnsi="Times New Roman" w:cs="Times New Roman"/>
          <w:sz w:val="24"/>
          <w:szCs w:val="24"/>
          <w:lang w:val="en-US"/>
        </w:rPr>
        <w:t xml:space="preserve">Unilever has obtained more debt financing to support the capital structure compared to its industry counterparts as the capital structure of Unilever is comprised of </w:t>
      </w:r>
      <w:r w:rsidR="00603CC0">
        <w:rPr>
          <w:rFonts w:ascii="Times New Roman" w:hAnsi="Times New Roman" w:cs="Times New Roman"/>
          <w:sz w:val="24"/>
          <w:szCs w:val="24"/>
          <w:lang w:val="en-US"/>
        </w:rPr>
        <w:t xml:space="preserve">an </w:t>
      </w:r>
      <w:r w:rsidRPr="00342789">
        <w:rPr>
          <w:rFonts w:ascii="Times New Roman" w:hAnsi="Times New Roman" w:cs="Times New Roman"/>
          <w:sz w:val="24"/>
          <w:szCs w:val="24"/>
          <w:lang w:val="en-US"/>
        </w:rPr>
        <w:t>average 77% debt capital compared to the average</w:t>
      </w:r>
      <w:r w:rsidR="00501AAE">
        <w:rPr>
          <w:rFonts w:ascii="Times New Roman" w:hAnsi="Times New Roman" w:cs="Times New Roman"/>
          <w:sz w:val="24"/>
          <w:szCs w:val="24"/>
          <w:lang w:val="en-US"/>
        </w:rPr>
        <w:t xml:space="preserve"> of an</w:t>
      </w:r>
      <w:r w:rsidRPr="00342789">
        <w:rPr>
          <w:rFonts w:ascii="Times New Roman" w:hAnsi="Times New Roman" w:cs="Times New Roman"/>
          <w:sz w:val="24"/>
          <w:szCs w:val="24"/>
          <w:lang w:val="en-US"/>
        </w:rPr>
        <w:t xml:space="preserve"> 58% debt capital of Procter &amp; Gamble and</w:t>
      </w:r>
      <w:r w:rsidR="00501AAE">
        <w:rPr>
          <w:rFonts w:ascii="Times New Roman" w:hAnsi="Times New Roman" w:cs="Times New Roman"/>
          <w:sz w:val="24"/>
          <w:szCs w:val="24"/>
          <w:lang w:val="en-US"/>
        </w:rPr>
        <w:t xml:space="preserve"> a</w:t>
      </w:r>
      <w:r w:rsidRPr="00342789">
        <w:rPr>
          <w:rFonts w:ascii="Times New Roman" w:hAnsi="Times New Roman" w:cs="Times New Roman"/>
          <w:sz w:val="24"/>
          <w:szCs w:val="24"/>
          <w:lang w:val="en-US"/>
        </w:rPr>
        <w:t xml:space="preserve"> 62% debt capital of Johnson &amp; Johnson. The substantial amount of debt financing may have helped Unilever to achieve higher return on its investment compared to its industry peers as indicated by the Return on Asset and Return on Equity but Unilever is assumed to have more financial risk </w:t>
      </w:r>
      <w:r w:rsidR="00501AAE">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 xml:space="preserve">its business operation compared its business counter parts and the financial solvency of Unilever may deteriorate during the period of economic contraction </w:t>
      </w:r>
      <w:proofErr w:type="spellStart"/>
      <w:r w:rsidR="00630552">
        <w:rPr>
          <w:rFonts w:ascii="Times New Roman" w:hAnsi="Times New Roman" w:cs="Times New Roman"/>
          <w:sz w:val="24"/>
          <w:szCs w:val="24"/>
          <w:lang w:val="en-US"/>
        </w:rPr>
        <w:t>characterised</w:t>
      </w:r>
      <w:proofErr w:type="spellEnd"/>
      <w:r w:rsidR="00630552">
        <w:rPr>
          <w:rFonts w:ascii="Times New Roman" w:hAnsi="Times New Roman" w:cs="Times New Roman"/>
          <w:sz w:val="24"/>
          <w:szCs w:val="24"/>
          <w:lang w:val="en-US"/>
        </w:rPr>
        <w:t xml:space="preserve"> </w:t>
      </w:r>
      <w:r w:rsidRPr="00342789">
        <w:rPr>
          <w:rFonts w:ascii="Times New Roman" w:hAnsi="Times New Roman" w:cs="Times New Roman"/>
          <w:sz w:val="24"/>
          <w:szCs w:val="24"/>
          <w:lang w:val="en-US"/>
        </w:rPr>
        <w:t xml:space="preserve">declining sales revenue and profitability </w:t>
      </w:r>
      <w:r w:rsidR="00630552">
        <w:rPr>
          <w:rFonts w:ascii="Times New Roman" w:hAnsi="Times New Roman" w:cs="Times New Roman"/>
          <w:sz w:val="24"/>
          <w:szCs w:val="24"/>
          <w:lang w:val="en-US"/>
        </w:rPr>
        <w:t xml:space="preserve">within </w:t>
      </w:r>
      <w:r w:rsidRPr="00342789">
        <w:rPr>
          <w:rFonts w:ascii="Times New Roman" w:hAnsi="Times New Roman" w:cs="Times New Roman"/>
          <w:sz w:val="24"/>
          <w:szCs w:val="24"/>
          <w:lang w:val="en-US"/>
        </w:rPr>
        <w:t>the firm which will make it very difficult for Unilever repay the interest and principal of the debt capital.</w:t>
      </w:r>
    </w:p>
    <w:p w14:paraId="3E44F1DA" w14:textId="77777777" w:rsidR="00342789" w:rsidRDefault="00342789" w:rsidP="007C6BD1">
      <w:pPr>
        <w:spacing w:line="360" w:lineRule="auto"/>
        <w:jc w:val="both"/>
        <w:rPr>
          <w:rFonts w:ascii="Times New Roman" w:hAnsi="Times New Roman" w:cs="Times New Roman"/>
          <w:sz w:val="24"/>
          <w:szCs w:val="24"/>
          <w:lang w:val="en-US"/>
        </w:rPr>
      </w:pPr>
    </w:p>
    <w:p w14:paraId="75FEFE2D" w14:textId="77777777" w:rsidR="00766C8D" w:rsidRDefault="00766C8D" w:rsidP="007C6BD1">
      <w:pPr>
        <w:spacing w:line="360" w:lineRule="auto"/>
        <w:jc w:val="both"/>
        <w:rPr>
          <w:rFonts w:ascii="Times New Roman" w:hAnsi="Times New Roman" w:cs="Times New Roman"/>
          <w:sz w:val="24"/>
          <w:szCs w:val="24"/>
          <w:lang w:val="en-US"/>
        </w:rPr>
      </w:pPr>
    </w:p>
    <w:p w14:paraId="5269F736" w14:textId="77777777" w:rsidR="00766C8D" w:rsidRDefault="00766C8D" w:rsidP="007C6BD1">
      <w:pPr>
        <w:spacing w:line="360" w:lineRule="auto"/>
        <w:jc w:val="both"/>
        <w:rPr>
          <w:rFonts w:ascii="Times New Roman" w:hAnsi="Times New Roman" w:cs="Times New Roman"/>
          <w:sz w:val="24"/>
          <w:szCs w:val="24"/>
          <w:lang w:val="en-US"/>
        </w:rPr>
      </w:pPr>
    </w:p>
    <w:p w14:paraId="463DBDFD" w14:textId="77777777" w:rsidR="00766C8D" w:rsidRDefault="00766C8D" w:rsidP="007C6BD1">
      <w:pPr>
        <w:spacing w:line="360" w:lineRule="auto"/>
        <w:jc w:val="both"/>
        <w:rPr>
          <w:rFonts w:ascii="Times New Roman" w:hAnsi="Times New Roman" w:cs="Times New Roman"/>
          <w:sz w:val="24"/>
          <w:szCs w:val="24"/>
          <w:lang w:val="en-US"/>
        </w:rPr>
      </w:pPr>
    </w:p>
    <w:p w14:paraId="49AE77EA" w14:textId="77777777" w:rsidR="00766C8D" w:rsidRDefault="00766C8D" w:rsidP="007C6BD1">
      <w:pPr>
        <w:spacing w:line="360" w:lineRule="auto"/>
        <w:jc w:val="both"/>
        <w:rPr>
          <w:rFonts w:ascii="Times New Roman" w:hAnsi="Times New Roman" w:cs="Times New Roman"/>
          <w:sz w:val="24"/>
          <w:szCs w:val="24"/>
          <w:lang w:val="en-US"/>
        </w:rPr>
      </w:pPr>
    </w:p>
    <w:p w14:paraId="453B2027" w14:textId="77777777" w:rsidR="00766C8D" w:rsidRDefault="00766C8D" w:rsidP="007C6BD1">
      <w:pPr>
        <w:spacing w:line="360" w:lineRule="auto"/>
        <w:jc w:val="both"/>
        <w:rPr>
          <w:rFonts w:ascii="Times New Roman" w:hAnsi="Times New Roman" w:cs="Times New Roman"/>
          <w:sz w:val="24"/>
          <w:szCs w:val="24"/>
          <w:lang w:val="en-US"/>
        </w:rPr>
      </w:pPr>
    </w:p>
    <w:p w14:paraId="390B7E03" w14:textId="77777777" w:rsidR="007C66AB" w:rsidRPr="007C66AB" w:rsidRDefault="007C66AB" w:rsidP="007C6BD1">
      <w:pPr>
        <w:pStyle w:val="Heading1"/>
        <w:spacing w:line="360" w:lineRule="auto"/>
        <w:rPr>
          <w:b/>
          <w:lang w:val="en-US"/>
        </w:rPr>
      </w:pPr>
      <w:bookmarkStart w:id="7" w:name="_Toc69159409"/>
      <w:r w:rsidRPr="007C66AB">
        <w:rPr>
          <w:b/>
          <w:lang w:val="en-US"/>
        </w:rPr>
        <w:lastRenderedPageBreak/>
        <w:t>Part-C: Capital Budgeting Analysis</w:t>
      </w:r>
      <w:bookmarkEnd w:id="7"/>
    </w:p>
    <w:p w14:paraId="08EDFEDA" w14:textId="77777777" w:rsidR="007C66AB" w:rsidRPr="007C66AB" w:rsidRDefault="007C66AB" w:rsidP="007C6BD1">
      <w:pPr>
        <w:pStyle w:val="Heading2"/>
        <w:numPr>
          <w:ilvl w:val="0"/>
          <w:numId w:val="11"/>
        </w:numPr>
        <w:spacing w:line="360" w:lineRule="auto"/>
        <w:rPr>
          <w:b/>
          <w:color w:val="ED7D31" w:themeColor="accent2"/>
          <w:lang w:val="en-US"/>
        </w:rPr>
      </w:pPr>
      <w:bookmarkStart w:id="8" w:name="_Toc69159410"/>
      <w:r w:rsidRPr="007C66AB">
        <w:rPr>
          <w:b/>
          <w:color w:val="ED7D31" w:themeColor="accent2"/>
        </w:rPr>
        <w:t xml:space="preserve">Calculation </w:t>
      </w:r>
      <w:r w:rsidR="00580C99" w:rsidRPr="007C66AB">
        <w:rPr>
          <w:b/>
          <w:color w:val="ED7D31" w:themeColor="accent2"/>
        </w:rPr>
        <w:t>of the</w:t>
      </w:r>
      <w:r w:rsidRPr="007C66AB">
        <w:rPr>
          <w:b/>
          <w:color w:val="ED7D31" w:themeColor="accent2"/>
        </w:rPr>
        <w:t xml:space="preserve"> Payback Period (PBP), Accounting Rate of Return (ARR) and the Net Present Value (NPV) of the project</w:t>
      </w:r>
      <w:bookmarkEnd w:id="8"/>
    </w:p>
    <w:p w14:paraId="2D56A8CB" w14:textId="77777777" w:rsidR="00766C8D" w:rsidRPr="00817582" w:rsidRDefault="00766C8D" w:rsidP="007C6BD1">
      <w:pPr>
        <w:pStyle w:val="ListParagraph"/>
        <w:numPr>
          <w:ilvl w:val="0"/>
          <w:numId w:val="9"/>
        </w:numPr>
        <w:spacing w:line="360" w:lineRule="auto"/>
        <w:jc w:val="both"/>
        <w:rPr>
          <w:rFonts w:ascii="Times New Roman" w:hAnsi="Times New Roman" w:cs="Times New Roman"/>
          <w:b/>
          <w:sz w:val="28"/>
          <w:szCs w:val="28"/>
          <w:lang w:val="en-US"/>
        </w:rPr>
      </w:pPr>
      <w:r w:rsidRPr="00817582">
        <w:rPr>
          <w:rFonts w:ascii="Times New Roman" w:hAnsi="Times New Roman" w:cs="Times New Roman"/>
          <w:b/>
          <w:sz w:val="28"/>
          <w:szCs w:val="28"/>
          <w:lang w:val="en-US"/>
        </w:rPr>
        <w:t>Payback Period:</w:t>
      </w:r>
    </w:p>
    <w:p w14:paraId="7096450A" w14:textId="4CF598A3"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 xml:space="preserve">The projects under consideration can be </w:t>
      </w:r>
      <w:proofErr w:type="spellStart"/>
      <w:r w:rsidR="00630552">
        <w:rPr>
          <w:rFonts w:ascii="Times New Roman" w:hAnsi="Times New Roman" w:cs="Times New Roman"/>
          <w:sz w:val="24"/>
          <w:szCs w:val="24"/>
          <w:lang w:val="en-US"/>
        </w:rPr>
        <w:t>characterised</w:t>
      </w:r>
      <w:proofErr w:type="spellEnd"/>
      <w:r w:rsidR="00630552">
        <w:rPr>
          <w:rFonts w:ascii="Times New Roman" w:hAnsi="Times New Roman" w:cs="Times New Roman"/>
          <w:sz w:val="24"/>
          <w:szCs w:val="24"/>
          <w:lang w:val="en-US"/>
        </w:rPr>
        <w:t xml:space="preserve"> </w:t>
      </w:r>
      <w:r w:rsidRPr="00E62E95">
        <w:rPr>
          <w:rFonts w:ascii="Times New Roman" w:hAnsi="Times New Roman" w:cs="Times New Roman"/>
          <w:sz w:val="24"/>
          <w:szCs w:val="24"/>
          <w:lang w:val="en-US"/>
        </w:rPr>
        <w:t>as investment project with uneven cash flow as the periodic net expected cash flows of the project are not of equal size</w:t>
      </w:r>
      <w:r w:rsidR="00641C0B">
        <w:rPr>
          <w:rFonts w:ascii="Times New Roman" w:hAnsi="Times New Roman" w:cs="Times New Roman"/>
          <w:sz w:val="24"/>
          <w:szCs w:val="24"/>
          <w:lang w:val="en-US"/>
        </w:rPr>
        <w:t xml:space="preserve"> </w:t>
      </w:r>
      <w:r w:rsidR="00641C0B">
        <w:rPr>
          <w:rFonts w:ascii="Times New Roman" w:eastAsiaTheme="minorEastAsia" w:hAnsi="Times New Roman" w:cs="Times New Roman"/>
          <w:sz w:val="24"/>
          <w:szCs w:val="24"/>
        </w:rPr>
        <w:t>(</w:t>
      </w:r>
      <w:r w:rsidR="00641C0B" w:rsidRPr="00185A5B">
        <w:rPr>
          <w:rFonts w:ascii="Times New Roman" w:hAnsi="Times New Roman" w:cs="Times New Roman"/>
          <w:color w:val="222222"/>
          <w:sz w:val="24"/>
          <w:szCs w:val="24"/>
          <w:shd w:val="clear" w:color="auto" w:fill="FFFFFF"/>
        </w:rPr>
        <w:t>Brigham</w:t>
      </w:r>
      <w:r w:rsidR="00641C0B">
        <w:rPr>
          <w:rFonts w:ascii="Times New Roman" w:hAnsi="Times New Roman" w:cs="Times New Roman"/>
          <w:color w:val="222222"/>
          <w:sz w:val="24"/>
          <w:szCs w:val="24"/>
          <w:shd w:val="clear" w:color="auto" w:fill="FFFFFF"/>
        </w:rPr>
        <w:t xml:space="preserve"> </w:t>
      </w:r>
      <w:r w:rsidR="00641C0B" w:rsidRPr="00185A5B">
        <w:rPr>
          <w:rFonts w:ascii="Times New Roman" w:hAnsi="Times New Roman" w:cs="Times New Roman"/>
          <w:color w:val="222222"/>
          <w:sz w:val="24"/>
          <w:szCs w:val="24"/>
          <w:shd w:val="clear" w:color="auto" w:fill="FFFFFF"/>
        </w:rPr>
        <w:t>and Houston, 2021</w:t>
      </w:r>
      <w:r w:rsidR="00641C0B">
        <w:rPr>
          <w:rFonts w:ascii="Times New Roman" w:hAnsi="Times New Roman" w:cs="Times New Roman"/>
          <w:color w:val="222222"/>
          <w:sz w:val="24"/>
          <w:szCs w:val="24"/>
          <w:shd w:val="clear" w:color="auto" w:fill="FFFFFF"/>
        </w:rPr>
        <w:t>)</w:t>
      </w:r>
      <w:r w:rsidRPr="00E62E95">
        <w:rPr>
          <w:rFonts w:ascii="Times New Roman" w:hAnsi="Times New Roman" w:cs="Times New Roman"/>
          <w:sz w:val="24"/>
          <w:szCs w:val="24"/>
          <w:lang w:val="en-US"/>
        </w:rPr>
        <w:t xml:space="preserve">. </w:t>
      </w:r>
    </w:p>
    <w:p w14:paraId="4FE393E8" w14:textId="77777777"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The formula of payback period for uneven cash flow projects is</w:t>
      </w:r>
    </w:p>
    <w:p w14:paraId="68AE0E1C" w14:textId="77777777" w:rsidR="00766C8D" w:rsidRPr="00E62E95" w:rsidRDefault="00766C8D" w:rsidP="007C6BD1">
      <w:pPr>
        <w:spacing w:line="360" w:lineRule="auto"/>
        <w:jc w:val="both"/>
        <w:rPr>
          <w:rFonts w:ascii="Times New Roman" w:eastAsiaTheme="minorEastAsia" w:hAnsi="Times New Roman" w:cs="Times New Roman"/>
          <w:sz w:val="24"/>
          <w:szCs w:val="24"/>
          <w:lang w:val="en-US"/>
        </w:rPr>
      </w:pPr>
      <w:r w:rsidRPr="00E62E95">
        <w:rPr>
          <w:rFonts w:ascii="Times New Roman" w:hAnsi="Times New Roman" w:cs="Times New Roman"/>
          <w:sz w:val="24"/>
          <w:szCs w:val="24"/>
          <w:lang w:val="en-US"/>
        </w:rPr>
        <w:t xml:space="preserve">Payback period= A + </w:t>
      </w:r>
      <m:oMath>
        <m:f>
          <m:fPr>
            <m:ctrlPr>
              <w:rPr>
                <w:rFonts w:ascii="Cambria Math" w:hAnsi="Cambria Math" w:cs="Times New Roman"/>
                <w:i/>
                <w:sz w:val="24"/>
                <w:szCs w:val="24"/>
                <w:lang w:val="en-US"/>
              </w:rPr>
            </m:ctrlPr>
          </m:fPr>
          <m:num>
            <m:r>
              <w:rPr>
                <w:rFonts w:ascii="Cambria Math" w:hAnsi="Cambria Math" w:cs="Times New Roman"/>
                <w:sz w:val="24"/>
                <w:szCs w:val="24"/>
                <w:lang w:val="en-US"/>
              </w:rPr>
              <m:t>B</m:t>
            </m:r>
          </m:num>
          <m:den>
            <m:r>
              <w:rPr>
                <w:rFonts w:ascii="Cambria Math" w:hAnsi="Cambria Math" w:cs="Times New Roman"/>
                <w:sz w:val="24"/>
                <w:szCs w:val="24"/>
                <w:lang w:val="en-US"/>
              </w:rPr>
              <m:t>C</m:t>
            </m:r>
          </m:den>
        </m:f>
      </m:oMath>
    </w:p>
    <w:p w14:paraId="78603869" w14:textId="77777777" w:rsidR="00766C8D" w:rsidRPr="00E62E95" w:rsidRDefault="00766C8D" w:rsidP="007C6BD1">
      <w:pPr>
        <w:spacing w:line="360" w:lineRule="auto"/>
        <w:jc w:val="both"/>
        <w:rPr>
          <w:rFonts w:ascii="Times New Roman" w:eastAsiaTheme="minorEastAsia" w:hAnsi="Times New Roman" w:cs="Times New Roman"/>
          <w:sz w:val="24"/>
          <w:szCs w:val="24"/>
          <w:lang w:val="en-US"/>
        </w:rPr>
      </w:pPr>
      <w:r w:rsidRPr="00E62E95">
        <w:rPr>
          <w:rFonts w:ascii="Times New Roman" w:eastAsiaTheme="minorEastAsia" w:hAnsi="Times New Roman" w:cs="Times New Roman"/>
          <w:sz w:val="24"/>
          <w:szCs w:val="24"/>
          <w:lang w:val="en-US"/>
        </w:rPr>
        <w:t>Where,</w:t>
      </w:r>
    </w:p>
    <w:p w14:paraId="1E611818" w14:textId="77777777" w:rsidR="00766C8D" w:rsidRPr="00E62E95" w:rsidRDefault="00766C8D" w:rsidP="007C6BD1">
      <w:pPr>
        <w:spacing w:line="360" w:lineRule="auto"/>
        <w:jc w:val="both"/>
        <w:rPr>
          <w:rFonts w:ascii="Times New Roman" w:eastAsiaTheme="minorEastAsia" w:hAnsi="Times New Roman" w:cs="Times New Roman"/>
          <w:sz w:val="24"/>
          <w:szCs w:val="24"/>
          <w:lang w:val="en-US"/>
        </w:rPr>
      </w:pPr>
      <w:r w:rsidRPr="00E62E95">
        <w:rPr>
          <w:rFonts w:ascii="Times New Roman" w:eastAsiaTheme="minorEastAsia" w:hAnsi="Times New Roman" w:cs="Times New Roman"/>
          <w:sz w:val="24"/>
          <w:szCs w:val="24"/>
          <w:lang w:val="en-US"/>
        </w:rPr>
        <w:t>A= Years before full recovery of initial investment of the project.</w:t>
      </w:r>
    </w:p>
    <w:p w14:paraId="0DE6259E" w14:textId="77777777"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 xml:space="preserve">B= Amount of </w:t>
      </w:r>
      <w:r>
        <w:rPr>
          <w:rFonts w:ascii="Times New Roman" w:hAnsi="Times New Roman" w:cs="Times New Roman"/>
          <w:sz w:val="24"/>
          <w:szCs w:val="24"/>
          <w:lang w:val="en-US"/>
        </w:rPr>
        <w:t>u</w:t>
      </w:r>
      <w:r w:rsidRPr="00E62E95">
        <w:rPr>
          <w:rFonts w:ascii="Times New Roman" w:hAnsi="Times New Roman" w:cs="Times New Roman"/>
          <w:sz w:val="24"/>
          <w:szCs w:val="24"/>
          <w:lang w:val="en-US"/>
        </w:rPr>
        <w:t>nrecovered cash flows during the year= Initial investment- Total cumulative cash flow during the year.</w:t>
      </w:r>
    </w:p>
    <w:p w14:paraId="513DCA28" w14:textId="77777777"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 xml:space="preserve">C= Cash flow during the year. </w:t>
      </w:r>
    </w:p>
    <w:p w14:paraId="4A813D5E" w14:textId="116EDB61"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 xml:space="preserve">Several assumptions are required to be made to calculate the payback period for Project A and B. For example, the residual value of for the project is not considered </w:t>
      </w:r>
      <w:r w:rsidR="00321450">
        <w:rPr>
          <w:rFonts w:ascii="Times New Roman" w:hAnsi="Times New Roman" w:cs="Times New Roman"/>
          <w:sz w:val="24"/>
          <w:szCs w:val="24"/>
          <w:lang w:val="en-US"/>
        </w:rPr>
        <w:t xml:space="preserve">within </w:t>
      </w:r>
      <w:r w:rsidRPr="00E62E95">
        <w:rPr>
          <w:rFonts w:ascii="Times New Roman" w:hAnsi="Times New Roman" w:cs="Times New Roman"/>
          <w:sz w:val="24"/>
          <w:szCs w:val="24"/>
          <w:lang w:val="en-US"/>
        </w:rPr>
        <w:t>the calculation of payback period of these two projects.</w:t>
      </w:r>
    </w:p>
    <w:p w14:paraId="5B1C1B02" w14:textId="77777777" w:rsidR="00766C8D" w:rsidRPr="00E62E95" w:rsidRDefault="00766C8D" w:rsidP="007C6BD1">
      <w:pPr>
        <w:spacing w:line="360" w:lineRule="auto"/>
        <w:jc w:val="both"/>
        <w:rPr>
          <w:rFonts w:ascii="Times New Roman" w:hAnsi="Times New Roman" w:cs="Times New Roman"/>
          <w:sz w:val="24"/>
          <w:szCs w:val="24"/>
          <w:lang w:val="en-US"/>
        </w:rPr>
      </w:pPr>
    </w:p>
    <w:p w14:paraId="60451017" w14:textId="77777777" w:rsidR="00766C8D" w:rsidRPr="00E62E95" w:rsidRDefault="00817582" w:rsidP="007C6BD1">
      <w:pPr>
        <w:spacing w:line="360" w:lineRule="auto"/>
        <w:jc w:val="both"/>
        <w:rPr>
          <w:rFonts w:ascii="Times New Roman" w:hAnsi="Times New Roman" w:cs="Times New Roman"/>
          <w:sz w:val="24"/>
          <w:szCs w:val="24"/>
          <w:lang w:val="en-US"/>
        </w:rPr>
      </w:pPr>
      <w:r w:rsidRPr="00817582">
        <w:rPr>
          <w:rFonts w:ascii="Times New Roman" w:hAnsi="Times New Roman" w:cs="Times New Roman"/>
          <w:noProof/>
          <w:sz w:val="24"/>
          <w:szCs w:val="24"/>
          <w:lang w:val="en-US"/>
        </w:rPr>
        <w:drawing>
          <wp:inline distT="0" distB="0" distL="0" distR="0" wp14:anchorId="32E93580" wp14:editId="37B645E5">
            <wp:extent cx="5943600" cy="1662560"/>
            <wp:effectExtent l="0" t="0" r="0" b="0"/>
            <wp:docPr id="58" name="Picture 58" descr="E:\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Untitled.png"/>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943600" cy="1662560"/>
                    </a:xfrm>
                    <a:prstGeom prst="rect">
                      <a:avLst/>
                    </a:prstGeom>
                    <a:noFill/>
                    <a:ln>
                      <a:noFill/>
                    </a:ln>
                  </pic:spPr>
                </pic:pic>
              </a:graphicData>
            </a:graphic>
          </wp:inline>
        </w:drawing>
      </w:r>
    </w:p>
    <w:p w14:paraId="14E28547" w14:textId="77777777" w:rsidR="007C6BD1" w:rsidRDefault="007C6BD1">
      <w:pPr>
        <w:rPr>
          <w:rFonts w:ascii="Times New Roman" w:eastAsiaTheme="minorEastAsia" w:hAnsi="Times New Roman" w:cs="Times New Roman"/>
          <w:sz w:val="24"/>
          <w:szCs w:val="24"/>
          <w:lang w:val="en-US"/>
        </w:rPr>
      </w:pPr>
      <w:r>
        <w:rPr>
          <w:rFonts w:ascii="Times New Roman" w:eastAsiaTheme="minorEastAsia" w:hAnsi="Times New Roman" w:cs="Times New Roman"/>
          <w:sz w:val="24"/>
          <w:szCs w:val="24"/>
          <w:lang w:val="en-US"/>
        </w:rPr>
        <w:br w:type="page"/>
      </w:r>
    </w:p>
    <w:p w14:paraId="54871F91" w14:textId="1BBF4C65" w:rsidR="00766C8D" w:rsidRPr="00E62E95" w:rsidRDefault="00766C8D" w:rsidP="007C6BD1">
      <w:pPr>
        <w:spacing w:line="360" w:lineRule="auto"/>
        <w:jc w:val="both"/>
        <w:rPr>
          <w:rFonts w:ascii="Times New Roman" w:eastAsiaTheme="minorEastAsia" w:hAnsi="Times New Roman" w:cs="Times New Roman"/>
          <w:sz w:val="24"/>
          <w:szCs w:val="24"/>
          <w:lang w:val="en-US"/>
        </w:rPr>
      </w:pPr>
      <w:r w:rsidRPr="00E62E95">
        <w:rPr>
          <w:rFonts w:ascii="Times New Roman" w:eastAsiaTheme="minorEastAsia" w:hAnsi="Times New Roman" w:cs="Times New Roman"/>
          <w:sz w:val="24"/>
          <w:szCs w:val="24"/>
          <w:lang w:val="en-US"/>
        </w:rPr>
        <w:lastRenderedPageBreak/>
        <w:t>Where,</w:t>
      </w:r>
    </w:p>
    <w:p w14:paraId="5ED2D604" w14:textId="77777777" w:rsidR="00766C8D" w:rsidRPr="00E62E95" w:rsidRDefault="00766C8D" w:rsidP="007C6BD1">
      <w:pPr>
        <w:spacing w:line="360" w:lineRule="auto"/>
        <w:jc w:val="both"/>
        <w:rPr>
          <w:rFonts w:ascii="Times New Roman" w:eastAsiaTheme="minorEastAsia" w:hAnsi="Times New Roman" w:cs="Times New Roman"/>
          <w:sz w:val="24"/>
          <w:szCs w:val="24"/>
          <w:lang w:val="en-US"/>
        </w:rPr>
      </w:pPr>
      <w:r w:rsidRPr="00E62E95">
        <w:rPr>
          <w:rFonts w:ascii="Times New Roman" w:eastAsiaTheme="minorEastAsia" w:hAnsi="Times New Roman" w:cs="Times New Roman"/>
          <w:sz w:val="24"/>
          <w:szCs w:val="24"/>
          <w:lang w:val="en-US"/>
        </w:rPr>
        <w:t>A= Years before full recovery of initial investment of the project = 3 years</w:t>
      </w:r>
    </w:p>
    <w:p w14:paraId="59693736" w14:textId="77777777"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B= Amount of unrecovered cash flows during the year = 80 Million- 70 Million = 10 Million</w:t>
      </w:r>
    </w:p>
    <w:p w14:paraId="3477F1B4" w14:textId="77777777"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 xml:space="preserve">C= </w:t>
      </w:r>
      <w:r>
        <w:rPr>
          <w:rFonts w:ascii="Times New Roman" w:hAnsi="Times New Roman" w:cs="Times New Roman"/>
          <w:sz w:val="24"/>
          <w:szCs w:val="24"/>
          <w:lang w:val="en-US"/>
        </w:rPr>
        <w:t>Cash-</w:t>
      </w:r>
      <w:r w:rsidRPr="00E62E95">
        <w:rPr>
          <w:rFonts w:ascii="Times New Roman" w:hAnsi="Times New Roman" w:cs="Times New Roman"/>
          <w:sz w:val="24"/>
          <w:szCs w:val="24"/>
          <w:lang w:val="en-US"/>
        </w:rPr>
        <w:t xml:space="preserve">flow during the year of full recovery of initial investment = 45 Million. </w:t>
      </w:r>
    </w:p>
    <w:p w14:paraId="78804D1F" w14:textId="77777777"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Thus, the payback period for Project A is:</w:t>
      </w:r>
    </w:p>
    <w:p w14:paraId="6D1B8A15" w14:textId="77777777"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 xml:space="preserve">= 3 + </w:t>
      </w:r>
      <m:oMath>
        <m:f>
          <m:fPr>
            <m:ctrlPr>
              <w:rPr>
                <w:rFonts w:ascii="Cambria Math" w:hAnsi="Cambria Math" w:cs="Times New Roman"/>
                <w:i/>
                <w:sz w:val="24"/>
                <w:szCs w:val="24"/>
                <w:lang w:val="en-US"/>
              </w:rPr>
            </m:ctrlPr>
          </m:fPr>
          <m:num>
            <m:r>
              <w:rPr>
                <w:rFonts w:ascii="Cambria Math" w:hAnsi="Cambria Math" w:cs="Times New Roman"/>
                <w:sz w:val="24"/>
                <w:szCs w:val="24"/>
                <w:lang w:val="en-US"/>
              </w:rPr>
              <m:t>10</m:t>
            </m:r>
          </m:num>
          <m:den>
            <m:r>
              <w:rPr>
                <w:rFonts w:ascii="Cambria Math" w:hAnsi="Cambria Math" w:cs="Times New Roman"/>
                <w:sz w:val="24"/>
                <w:szCs w:val="24"/>
                <w:lang w:val="en-US"/>
              </w:rPr>
              <m:t>45</m:t>
            </m:r>
          </m:den>
        </m:f>
      </m:oMath>
      <w:r w:rsidRPr="00E62E95">
        <w:rPr>
          <w:rFonts w:ascii="Times New Roman" w:hAnsi="Times New Roman" w:cs="Times New Roman"/>
          <w:sz w:val="24"/>
          <w:szCs w:val="24"/>
          <w:lang w:val="en-US"/>
        </w:rPr>
        <w:t xml:space="preserve">  = 3.22 Years.</w:t>
      </w:r>
    </w:p>
    <w:p w14:paraId="548D3027" w14:textId="753192BD"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The payback period of 3.22 years for Project A is indicating that the annual expected cash</w:t>
      </w:r>
      <w:r>
        <w:rPr>
          <w:rFonts w:ascii="Times New Roman" w:hAnsi="Times New Roman" w:cs="Times New Roman"/>
          <w:sz w:val="24"/>
          <w:szCs w:val="24"/>
          <w:lang w:val="en-US"/>
        </w:rPr>
        <w:t>-</w:t>
      </w:r>
      <w:r w:rsidRPr="00E62E95">
        <w:rPr>
          <w:rFonts w:ascii="Times New Roman" w:hAnsi="Times New Roman" w:cs="Times New Roman"/>
          <w:sz w:val="24"/>
          <w:szCs w:val="24"/>
          <w:lang w:val="en-US"/>
        </w:rPr>
        <w:t xml:space="preserve">flows of Project A will help the company recoup initial investment associated </w:t>
      </w:r>
      <w:r w:rsidR="00AA3CAD">
        <w:rPr>
          <w:rFonts w:ascii="Times New Roman" w:hAnsi="Times New Roman" w:cs="Times New Roman"/>
          <w:sz w:val="24"/>
          <w:szCs w:val="24"/>
          <w:lang w:val="en-US"/>
        </w:rPr>
        <w:t xml:space="preserve">within </w:t>
      </w:r>
      <w:r w:rsidRPr="00E62E95">
        <w:rPr>
          <w:rFonts w:ascii="Times New Roman" w:hAnsi="Times New Roman" w:cs="Times New Roman"/>
          <w:sz w:val="24"/>
          <w:szCs w:val="24"/>
          <w:lang w:val="en-US"/>
        </w:rPr>
        <w:t xml:space="preserve">the project within 3.22 years. </w:t>
      </w:r>
    </w:p>
    <w:p w14:paraId="477D30FE" w14:textId="77777777" w:rsidR="00766C8D" w:rsidRPr="00E62E95" w:rsidRDefault="00817582" w:rsidP="007C6BD1">
      <w:pPr>
        <w:spacing w:line="360" w:lineRule="auto"/>
        <w:jc w:val="both"/>
        <w:rPr>
          <w:rFonts w:ascii="Times New Roman" w:hAnsi="Times New Roman" w:cs="Times New Roman"/>
          <w:sz w:val="24"/>
          <w:szCs w:val="24"/>
          <w:lang w:val="en-US"/>
        </w:rPr>
      </w:pPr>
      <w:r w:rsidRPr="00817582">
        <w:rPr>
          <w:rFonts w:ascii="Times New Roman" w:hAnsi="Times New Roman" w:cs="Times New Roman"/>
          <w:noProof/>
          <w:sz w:val="24"/>
          <w:szCs w:val="24"/>
          <w:lang w:val="en-US"/>
        </w:rPr>
        <w:drawing>
          <wp:inline distT="0" distB="0" distL="0" distR="0" wp14:anchorId="66A42639" wp14:editId="425B5636">
            <wp:extent cx="5943600" cy="1634204"/>
            <wp:effectExtent l="0" t="0" r="0" b="4445"/>
            <wp:docPr id="57" name="Picture 57" descr="E:\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ntitled.png"/>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943600" cy="1634204"/>
                    </a:xfrm>
                    <a:prstGeom prst="rect">
                      <a:avLst/>
                    </a:prstGeom>
                    <a:noFill/>
                    <a:ln>
                      <a:noFill/>
                    </a:ln>
                  </pic:spPr>
                </pic:pic>
              </a:graphicData>
            </a:graphic>
          </wp:inline>
        </w:drawing>
      </w:r>
    </w:p>
    <w:p w14:paraId="28CD5E89" w14:textId="77777777" w:rsidR="00766C8D" w:rsidRPr="00E62E95" w:rsidRDefault="00766C8D" w:rsidP="007C6BD1">
      <w:pPr>
        <w:spacing w:line="360" w:lineRule="auto"/>
        <w:jc w:val="both"/>
        <w:rPr>
          <w:rFonts w:ascii="Times New Roman" w:eastAsiaTheme="minorEastAsia" w:hAnsi="Times New Roman" w:cs="Times New Roman"/>
          <w:sz w:val="24"/>
          <w:szCs w:val="24"/>
          <w:lang w:val="en-US"/>
        </w:rPr>
      </w:pPr>
      <w:r w:rsidRPr="00E62E95">
        <w:rPr>
          <w:rFonts w:ascii="Times New Roman" w:eastAsiaTheme="minorEastAsia" w:hAnsi="Times New Roman" w:cs="Times New Roman"/>
          <w:sz w:val="24"/>
          <w:szCs w:val="24"/>
          <w:lang w:val="en-US"/>
        </w:rPr>
        <w:t>Here,</w:t>
      </w:r>
    </w:p>
    <w:p w14:paraId="69B07493" w14:textId="77777777" w:rsidR="00766C8D" w:rsidRPr="00E62E95" w:rsidRDefault="00766C8D" w:rsidP="007C6BD1">
      <w:pPr>
        <w:spacing w:line="360" w:lineRule="auto"/>
        <w:jc w:val="both"/>
        <w:rPr>
          <w:rFonts w:ascii="Times New Roman" w:eastAsiaTheme="minorEastAsia" w:hAnsi="Times New Roman" w:cs="Times New Roman"/>
          <w:sz w:val="24"/>
          <w:szCs w:val="24"/>
          <w:lang w:val="en-US"/>
        </w:rPr>
      </w:pPr>
      <w:r w:rsidRPr="00E62E95">
        <w:rPr>
          <w:rFonts w:ascii="Times New Roman" w:eastAsiaTheme="minorEastAsia" w:hAnsi="Times New Roman" w:cs="Times New Roman"/>
          <w:sz w:val="24"/>
          <w:szCs w:val="24"/>
          <w:lang w:val="en-US"/>
        </w:rPr>
        <w:t>A= Years before full recovery of initial investment of the project = 2 years</w:t>
      </w:r>
    </w:p>
    <w:p w14:paraId="31751E32" w14:textId="77777777"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B= Amount of unrecovered cash</w:t>
      </w:r>
      <w:r>
        <w:rPr>
          <w:rFonts w:ascii="Times New Roman" w:hAnsi="Times New Roman" w:cs="Times New Roman"/>
          <w:sz w:val="24"/>
          <w:szCs w:val="24"/>
          <w:lang w:val="en-US"/>
        </w:rPr>
        <w:t>-</w:t>
      </w:r>
      <w:r w:rsidRPr="00E62E95">
        <w:rPr>
          <w:rFonts w:ascii="Times New Roman" w:hAnsi="Times New Roman" w:cs="Times New Roman"/>
          <w:sz w:val="24"/>
          <w:szCs w:val="24"/>
          <w:lang w:val="en-US"/>
        </w:rPr>
        <w:t xml:space="preserve">flows during the year before full recovery of initial investment = 75 Million- 70 Million = </w:t>
      </w:r>
      <w:r w:rsidR="00D9546D" w:rsidRPr="00D9546D">
        <w:rPr>
          <w:rFonts w:ascii="Times New Roman" w:hAnsi="Times New Roman" w:cs="Times New Roman"/>
          <w:sz w:val="24"/>
          <w:szCs w:val="24"/>
        </w:rPr>
        <w:t>£</w:t>
      </w:r>
      <w:r w:rsidR="00D9546D">
        <w:t xml:space="preserve"> </w:t>
      </w:r>
      <w:r w:rsidRPr="00E62E95">
        <w:rPr>
          <w:rFonts w:ascii="Times New Roman" w:hAnsi="Times New Roman" w:cs="Times New Roman"/>
          <w:sz w:val="24"/>
          <w:szCs w:val="24"/>
          <w:lang w:val="en-US"/>
        </w:rPr>
        <w:t>5 Million</w:t>
      </w:r>
    </w:p>
    <w:p w14:paraId="75142220" w14:textId="77777777"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C= Cash</w:t>
      </w:r>
      <w:r>
        <w:rPr>
          <w:rFonts w:ascii="Times New Roman" w:hAnsi="Times New Roman" w:cs="Times New Roman"/>
          <w:sz w:val="24"/>
          <w:szCs w:val="24"/>
          <w:lang w:val="en-US"/>
        </w:rPr>
        <w:t>-</w:t>
      </w:r>
      <w:r w:rsidRPr="00E62E95">
        <w:rPr>
          <w:rFonts w:ascii="Times New Roman" w:hAnsi="Times New Roman" w:cs="Times New Roman"/>
          <w:sz w:val="24"/>
          <w:szCs w:val="24"/>
          <w:lang w:val="en-US"/>
        </w:rPr>
        <w:t xml:space="preserve">flow during the year of full recovery of initial investment = </w:t>
      </w:r>
      <w:r w:rsidR="00D9546D" w:rsidRPr="00D9546D">
        <w:rPr>
          <w:rFonts w:ascii="Times New Roman" w:hAnsi="Times New Roman" w:cs="Times New Roman"/>
          <w:sz w:val="24"/>
          <w:szCs w:val="24"/>
          <w:lang w:val="en-US"/>
        </w:rPr>
        <w:t>£</w:t>
      </w:r>
      <w:r w:rsidRPr="00E62E95">
        <w:rPr>
          <w:rFonts w:ascii="Times New Roman" w:hAnsi="Times New Roman" w:cs="Times New Roman"/>
          <w:sz w:val="24"/>
          <w:szCs w:val="24"/>
          <w:lang w:val="en-US"/>
        </w:rPr>
        <w:t xml:space="preserve">20 Million. </w:t>
      </w:r>
    </w:p>
    <w:p w14:paraId="206E2E26" w14:textId="77777777"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Thus, the payback period for Project B is:</w:t>
      </w:r>
    </w:p>
    <w:p w14:paraId="3DED197C" w14:textId="77777777"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 xml:space="preserve">= 2 + </w:t>
      </w:r>
      <m:oMath>
        <m:f>
          <m:fPr>
            <m:ctrlPr>
              <w:rPr>
                <w:rFonts w:ascii="Cambria Math" w:hAnsi="Cambria Math" w:cs="Times New Roman"/>
                <w:i/>
                <w:sz w:val="24"/>
                <w:szCs w:val="24"/>
                <w:lang w:val="en-US"/>
              </w:rPr>
            </m:ctrlPr>
          </m:fPr>
          <m:num>
            <m:r>
              <w:rPr>
                <w:rFonts w:ascii="Cambria Math" w:hAnsi="Cambria Math" w:cs="Times New Roman"/>
                <w:sz w:val="24"/>
                <w:szCs w:val="24"/>
                <w:lang w:val="en-US"/>
              </w:rPr>
              <m:t>5</m:t>
            </m:r>
          </m:num>
          <m:den>
            <m:r>
              <w:rPr>
                <w:rFonts w:ascii="Cambria Math" w:hAnsi="Cambria Math" w:cs="Times New Roman"/>
                <w:sz w:val="24"/>
                <w:szCs w:val="24"/>
                <w:lang w:val="en-US"/>
              </w:rPr>
              <m:t>20</m:t>
            </m:r>
          </m:den>
        </m:f>
      </m:oMath>
      <w:r w:rsidRPr="00E62E95">
        <w:rPr>
          <w:rFonts w:ascii="Times New Roman" w:hAnsi="Times New Roman" w:cs="Times New Roman"/>
          <w:sz w:val="24"/>
          <w:szCs w:val="24"/>
          <w:lang w:val="en-US"/>
        </w:rPr>
        <w:t xml:space="preserve">  = 2.25 Years.</w:t>
      </w:r>
    </w:p>
    <w:p w14:paraId="4BF76DEE" w14:textId="77777777"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 xml:space="preserve">The payback period of 2.25 years for Project B is indicating that the company will be able to recover initial investment of the project within 2.25 years. </w:t>
      </w:r>
    </w:p>
    <w:p w14:paraId="6E413307" w14:textId="77777777" w:rsidR="00766C8D" w:rsidRPr="007C66AB" w:rsidRDefault="00766C8D" w:rsidP="007C6BD1">
      <w:pPr>
        <w:spacing w:line="360" w:lineRule="auto"/>
        <w:jc w:val="both"/>
        <w:rPr>
          <w:rFonts w:ascii="Times New Roman" w:hAnsi="Times New Roman" w:cs="Times New Roman"/>
          <w:b/>
          <w:sz w:val="24"/>
          <w:szCs w:val="24"/>
          <w:lang w:val="en-US"/>
        </w:rPr>
      </w:pPr>
      <w:r w:rsidRPr="007C66AB">
        <w:rPr>
          <w:rFonts w:ascii="Times New Roman" w:hAnsi="Times New Roman" w:cs="Times New Roman"/>
          <w:b/>
          <w:sz w:val="24"/>
          <w:szCs w:val="24"/>
          <w:lang w:val="en-US"/>
        </w:rPr>
        <w:lastRenderedPageBreak/>
        <w:t>Decision rule for project selection under payback period:</w:t>
      </w:r>
    </w:p>
    <w:p w14:paraId="564F7F24" w14:textId="39EF1592"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 xml:space="preserve">These two projects are </w:t>
      </w:r>
      <w:proofErr w:type="spellStart"/>
      <w:r w:rsidR="00130E15">
        <w:rPr>
          <w:rFonts w:ascii="Times New Roman" w:hAnsi="Times New Roman" w:cs="Times New Roman"/>
          <w:sz w:val="24"/>
          <w:szCs w:val="24"/>
          <w:lang w:val="en-US"/>
        </w:rPr>
        <w:t>characterised</w:t>
      </w:r>
      <w:proofErr w:type="spellEnd"/>
      <w:r w:rsidR="00130E15">
        <w:rPr>
          <w:rFonts w:ascii="Times New Roman" w:hAnsi="Times New Roman" w:cs="Times New Roman"/>
          <w:sz w:val="24"/>
          <w:szCs w:val="24"/>
          <w:lang w:val="en-US"/>
        </w:rPr>
        <w:t xml:space="preserve"> </w:t>
      </w:r>
      <w:r w:rsidRPr="00E62E95">
        <w:rPr>
          <w:rFonts w:ascii="Times New Roman" w:hAnsi="Times New Roman" w:cs="Times New Roman"/>
          <w:sz w:val="24"/>
          <w:szCs w:val="24"/>
          <w:lang w:val="en-US"/>
        </w:rPr>
        <w:t>as mutually exclusive projects which implies the acceptance of one project will result in the rejection of all other alternative project</w:t>
      </w:r>
      <w:r w:rsidR="00641C0B">
        <w:rPr>
          <w:rFonts w:ascii="Times New Roman" w:hAnsi="Times New Roman" w:cs="Times New Roman"/>
          <w:sz w:val="24"/>
          <w:szCs w:val="24"/>
          <w:lang w:val="en-US"/>
        </w:rPr>
        <w:t xml:space="preserve"> </w:t>
      </w:r>
      <w:r w:rsidR="00641C0B">
        <w:rPr>
          <w:rFonts w:ascii="Times New Roman" w:eastAsiaTheme="minorEastAsia" w:hAnsi="Times New Roman" w:cs="Times New Roman"/>
          <w:sz w:val="24"/>
          <w:szCs w:val="24"/>
        </w:rPr>
        <w:t>(</w:t>
      </w:r>
      <w:r w:rsidR="00641C0B" w:rsidRPr="00185A5B">
        <w:rPr>
          <w:rFonts w:ascii="Times New Roman" w:hAnsi="Times New Roman" w:cs="Times New Roman"/>
          <w:color w:val="222222"/>
          <w:sz w:val="24"/>
          <w:szCs w:val="24"/>
          <w:shd w:val="clear" w:color="auto" w:fill="FFFFFF"/>
        </w:rPr>
        <w:t>Brigham</w:t>
      </w:r>
      <w:r w:rsidR="00641C0B">
        <w:rPr>
          <w:rFonts w:ascii="Times New Roman" w:hAnsi="Times New Roman" w:cs="Times New Roman"/>
          <w:color w:val="222222"/>
          <w:sz w:val="24"/>
          <w:szCs w:val="24"/>
          <w:shd w:val="clear" w:color="auto" w:fill="FFFFFF"/>
        </w:rPr>
        <w:t xml:space="preserve"> </w:t>
      </w:r>
      <w:r w:rsidR="00641C0B" w:rsidRPr="00185A5B">
        <w:rPr>
          <w:rFonts w:ascii="Times New Roman" w:hAnsi="Times New Roman" w:cs="Times New Roman"/>
          <w:color w:val="222222"/>
          <w:sz w:val="24"/>
          <w:szCs w:val="24"/>
          <w:shd w:val="clear" w:color="auto" w:fill="FFFFFF"/>
        </w:rPr>
        <w:t>and Houston, 2021</w:t>
      </w:r>
      <w:r w:rsidR="00641C0B">
        <w:rPr>
          <w:rFonts w:ascii="Times New Roman" w:hAnsi="Times New Roman" w:cs="Times New Roman"/>
          <w:color w:val="222222"/>
          <w:sz w:val="24"/>
          <w:szCs w:val="24"/>
          <w:shd w:val="clear" w:color="auto" w:fill="FFFFFF"/>
        </w:rPr>
        <w:t>)</w:t>
      </w:r>
      <w:r w:rsidRPr="00E62E95">
        <w:rPr>
          <w:rFonts w:ascii="Times New Roman" w:hAnsi="Times New Roman" w:cs="Times New Roman"/>
          <w:sz w:val="24"/>
          <w:szCs w:val="24"/>
          <w:lang w:val="en-US"/>
        </w:rPr>
        <w:t xml:space="preserve">. The decision rule for payback period </w:t>
      </w:r>
      <w:r w:rsidR="00E516F5">
        <w:rPr>
          <w:rFonts w:ascii="Times New Roman" w:hAnsi="Times New Roman" w:cs="Times New Roman"/>
          <w:sz w:val="24"/>
          <w:szCs w:val="24"/>
          <w:lang w:val="en-US"/>
        </w:rPr>
        <w:t xml:space="preserve">within the </w:t>
      </w:r>
      <w:r w:rsidRPr="00E62E95">
        <w:rPr>
          <w:rFonts w:ascii="Times New Roman" w:hAnsi="Times New Roman" w:cs="Times New Roman"/>
          <w:sz w:val="24"/>
          <w:szCs w:val="24"/>
          <w:lang w:val="en-US"/>
        </w:rPr>
        <w:t>mutually exclusive projects is to select the project which offers shorter payback period. Thus, Project B should be selected as the payback period for Project B (2.25 years) is lower than the payback period of Project A (3.22 years).</w:t>
      </w:r>
    </w:p>
    <w:p w14:paraId="42CD5BA0" w14:textId="77777777" w:rsidR="00766C8D" w:rsidRPr="00E62E95" w:rsidRDefault="00766C8D" w:rsidP="007C6BD1">
      <w:pPr>
        <w:spacing w:line="360" w:lineRule="auto"/>
        <w:jc w:val="both"/>
        <w:rPr>
          <w:rFonts w:ascii="Times New Roman" w:hAnsi="Times New Roman" w:cs="Times New Roman"/>
          <w:sz w:val="24"/>
          <w:szCs w:val="24"/>
          <w:lang w:val="en-US"/>
        </w:rPr>
      </w:pPr>
    </w:p>
    <w:p w14:paraId="5B40D0E8" w14:textId="77777777" w:rsidR="00766C8D" w:rsidRPr="00817582" w:rsidRDefault="00766C8D" w:rsidP="007C6BD1">
      <w:pPr>
        <w:pStyle w:val="ListParagraph"/>
        <w:numPr>
          <w:ilvl w:val="0"/>
          <w:numId w:val="9"/>
        </w:numPr>
        <w:spacing w:line="360" w:lineRule="auto"/>
        <w:jc w:val="both"/>
        <w:rPr>
          <w:rFonts w:ascii="Times New Roman" w:hAnsi="Times New Roman" w:cs="Times New Roman"/>
          <w:b/>
          <w:sz w:val="28"/>
          <w:szCs w:val="24"/>
          <w:lang w:val="en-US"/>
        </w:rPr>
      </w:pPr>
      <w:r w:rsidRPr="00817582">
        <w:rPr>
          <w:rFonts w:ascii="Times New Roman" w:hAnsi="Times New Roman" w:cs="Times New Roman"/>
          <w:b/>
          <w:sz w:val="28"/>
          <w:szCs w:val="24"/>
          <w:lang w:val="en-US"/>
        </w:rPr>
        <w:t>Accounting Rate of Return (ARR):</w:t>
      </w:r>
    </w:p>
    <w:p w14:paraId="3C566C28" w14:textId="418A0259"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The formula developed for this capital budgeting technique for the investment project appraisal is shown below:</w:t>
      </w:r>
    </w:p>
    <w:p w14:paraId="5A80218E" w14:textId="77777777" w:rsidR="00766C8D" w:rsidRPr="00E62E95" w:rsidRDefault="00766C8D" w:rsidP="007C6BD1">
      <w:pPr>
        <w:spacing w:line="360" w:lineRule="auto"/>
        <w:jc w:val="center"/>
        <w:rPr>
          <w:rFonts w:ascii="Times New Roman" w:hAnsi="Times New Roman" w:cs="Times New Roman"/>
          <w:sz w:val="24"/>
          <w:szCs w:val="24"/>
          <w:lang w:val="en-US"/>
        </w:rPr>
      </w:pPr>
      <w:r w:rsidRPr="00E62E95">
        <w:rPr>
          <w:rFonts w:ascii="Times New Roman" w:hAnsi="Times New Roman" w:cs="Times New Roman"/>
          <w:noProof/>
          <w:sz w:val="24"/>
          <w:szCs w:val="24"/>
          <w:lang w:val="en-US"/>
        </w:rPr>
        <w:drawing>
          <wp:inline distT="0" distB="0" distL="0" distR="0" wp14:anchorId="450738F9" wp14:editId="4F0B9362">
            <wp:extent cx="4596594" cy="2464435"/>
            <wp:effectExtent l="19050" t="19050" r="13970" b="12065"/>
            <wp:docPr id="52" name="Picture 52" descr="ARR - Accounting Rate of Return Guide and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RR - Accounting Rate of Return Guide and Examples"/>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669677" cy="2503618"/>
                    </a:xfrm>
                    <a:prstGeom prst="rect">
                      <a:avLst/>
                    </a:prstGeom>
                    <a:noFill/>
                    <a:ln>
                      <a:solidFill>
                        <a:schemeClr val="tx1">
                          <a:lumMod val="50000"/>
                          <a:lumOff val="50000"/>
                        </a:schemeClr>
                      </a:solidFill>
                    </a:ln>
                  </pic:spPr>
                </pic:pic>
              </a:graphicData>
            </a:graphic>
          </wp:inline>
        </w:drawing>
      </w:r>
    </w:p>
    <w:p w14:paraId="00943B6D" w14:textId="77777777" w:rsidR="00766C8D" w:rsidRPr="00E62E95" w:rsidRDefault="00766C8D" w:rsidP="007C6BD1">
      <w:pPr>
        <w:spacing w:line="360" w:lineRule="auto"/>
        <w:jc w:val="both"/>
        <w:rPr>
          <w:rFonts w:ascii="Times New Roman" w:hAnsi="Times New Roman" w:cs="Times New Roman"/>
          <w:sz w:val="24"/>
          <w:szCs w:val="24"/>
          <w:lang w:val="en-US"/>
        </w:rPr>
      </w:pPr>
    </w:p>
    <w:p w14:paraId="51B87B38" w14:textId="77777777"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 xml:space="preserve">Where, </w:t>
      </w:r>
    </w:p>
    <w:p w14:paraId="2D5BFD25" w14:textId="77777777" w:rsidR="00766C8D" w:rsidRPr="00E62E95" w:rsidRDefault="00766C8D" w:rsidP="007C6BD1">
      <w:pPr>
        <w:spacing w:line="360" w:lineRule="auto"/>
        <w:jc w:val="both"/>
        <w:rPr>
          <w:rFonts w:ascii="Times New Roman" w:eastAsiaTheme="minorEastAsia" w:hAnsi="Times New Roman" w:cs="Times New Roman"/>
          <w:sz w:val="24"/>
          <w:szCs w:val="24"/>
        </w:rPr>
      </w:pPr>
      <w:r w:rsidRPr="00E62E95">
        <w:rPr>
          <w:rFonts w:ascii="Times New Roman" w:hAnsi="Times New Roman" w:cs="Times New Roman"/>
          <w:sz w:val="24"/>
          <w:szCs w:val="24"/>
          <w:lang w:val="en-US"/>
        </w:rPr>
        <w:t xml:space="preserve">Average Net Profit = </w:t>
      </w:r>
      <m:oMath>
        <m:f>
          <m:fPr>
            <m:ctrlPr>
              <w:rPr>
                <w:rFonts w:ascii="Cambria Math" w:hAnsi="Cambria Math" w:cs="Times New Roman"/>
                <w:i/>
                <w:sz w:val="24"/>
                <w:szCs w:val="24"/>
              </w:rPr>
            </m:ctrlPr>
          </m:fPr>
          <m:num>
            <m:r>
              <w:rPr>
                <w:rFonts w:ascii="Cambria Math" w:hAnsi="Cambria Math" w:cs="Times New Roman"/>
                <w:sz w:val="24"/>
                <w:szCs w:val="24"/>
              </w:rPr>
              <m:t xml:space="preserve">Sum of periodic earnings after interest &amp; Tax  </m:t>
            </m:r>
          </m:num>
          <m:den>
            <m:r>
              <w:rPr>
                <w:rFonts w:ascii="Cambria Math" w:hAnsi="Cambria Math" w:cs="Times New Roman"/>
                <w:sz w:val="24"/>
                <w:szCs w:val="24"/>
              </w:rPr>
              <m:t>Estimated economic lifetime of the project</m:t>
            </m:r>
          </m:den>
        </m:f>
      </m:oMath>
    </w:p>
    <w:p w14:paraId="3D0B45AA" w14:textId="77777777" w:rsidR="00766C8D" w:rsidRPr="00E62E95" w:rsidRDefault="00766C8D" w:rsidP="007C6BD1">
      <w:pPr>
        <w:spacing w:line="360" w:lineRule="auto"/>
        <w:jc w:val="both"/>
        <w:rPr>
          <w:rFonts w:ascii="Times New Roman" w:eastAsiaTheme="minorEastAsia" w:hAnsi="Times New Roman" w:cs="Times New Roman"/>
          <w:sz w:val="24"/>
          <w:szCs w:val="24"/>
        </w:rPr>
      </w:pPr>
    </w:p>
    <w:p w14:paraId="747C60B3" w14:textId="77777777" w:rsidR="00766C8D" w:rsidRPr="00E62E95" w:rsidRDefault="00766C8D" w:rsidP="007C6BD1">
      <w:pPr>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Average Investment = </w:t>
      </w:r>
      <m:oMath>
        <m:f>
          <m:fPr>
            <m:ctrlPr>
              <w:rPr>
                <w:rFonts w:ascii="Cambria Math" w:hAnsi="Cambria Math" w:cs="Times New Roman"/>
                <w:i/>
                <w:sz w:val="24"/>
                <w:szCs w:val="24"/>
              </w:rPr>
            </m:ctrlPr>
          </m:fPr>
          <m:num>
            <m:r>
              <w:rPr>
                <w:rFonts w:ascii="Cambria Math" w:hAnsi="Cambria Math" w:cs="Times New Roman"/>
                <w:sz w:val="24"/>
                <w:szCs w:val="24"/>
              </w:rPr>
              <m:t xml:space="preserve">Initiak Invetsment Outlay + Salvage Value of the project  </m:t>
            </m:r>
          </m:num>
          <m:den>
            <m:r>
              <w:rPr>
                <w:rFonts w:ascii="Cambria Math" w:hAnsi="Cambria Math" w:cs="Times New Roman"/>
                <w:sz w:val="24"/>
                <w:szCs w:val="24"/>
              </w:rPr>
              <m:t>2</m:t>
            </m:r>
          </m:den>
        </m:f>
      </m:oMath>
    </w:p>
    <w:p w14:paraId="629699FA" w14:textId="77777777" w:rsidR="00766C8D" w:rsidRPr="00E62E95" w:rsidRDefault="00766C8D" w:rsidP="007C6BD1">
      <w:pPr>
        <w:spacing w:line="360" w:lineRule="auto"/>
        <w:jc w:val="both"/>
        <w:rPr>
          <w:rFonts w:ascii="Times New Roman" w:eastAsiaTheme="minorEastAsia" w:hAnsi="Times New Roman" w:cs="Times New Roman"/>
          <w:sz w:val="24"/>
          <w:szCs w:val="24"/>
        </w:rPr>
      </w:pPr>
    </w:p>
    <w:p w14:paraId="469DFBD7" w14:textId="77777777" w:rsidR="00766C8D" w:rsidRPr="00817582" w:rsidRDefault="00766C8D" w:rsidP="007C6BD1">
      <w:pPr>
        <w:spacing w:line="360" w:lineRule="auto"/>
        <w:jc w:val="both"/>
        <w:rPr>
          <w:rFonts w:ascii="Times New Roman" w:eastAsiaTheme="minorEastAsia" w:hAnsi="Times New Roman" w:cs="Times New Roman"/>
          <w:b/>
          <w:sz w:val="24"/>
          <w:szCs w:val="24"/>
        </w:rPr>
      </w:pPr>
      <w:r w:rsidRPr="00817582">
        <w:rPr>
          <w:rFonts w:ascii="Times New Roman" w:eastAsiaTheme="minorEastAsia" w:hAnsi="Times New Roman" w:cs="Times New Roman"/>
          <w:b/>
          <w:sz w:val="24"/>
          <w:szCs w:val="24"/>
        </w:rPr>
        <w:lastRenderedPageBreak/>
        <w:t>Accounting Rate of Return for Project A:</w:t>
      </w:r>
    </w:p>
    <w:p w14:paraId="35D32FC9" w14:textId="20732DB3" w:rsidR="00766C8D" w:rsidRPr="00E62E95" w:rsidRDefault="00766C8D" w:rsidP="007C6BD1">
      <w:pPr>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To determine the ARR, </w:t>
      </w:r>
      <w:r w:rsidR="001031CA" w:rsidRPr="00E62E95">
        <w:rPr>
          <w:rFonts w:ascii="Times New Roman" w:eastAsiaTheme="minorEastAsia" w:hAnsi="Times New Roman" w:cs="Times New Roman"/>
          <w:sz w:val="24"/>
          <w:szCs w:val="24"/>
        </w:rPr>
        <w:t>the</w:t>
      </w:r>
      <w:r w:rsidRPr="00E62E95">
        <w:rPr>
          <w:rFonts w:ascii="Times New Roman" w:eastAsiaTheme="minorEastAsia" w:hAnsi="Times New Roman" w:cs="Times New Roman"/>
          <w:sz w:val="24"/>
          <w:szCs w:val="24"/>
        </w:rPr>
        <w:t xml:space="preserve"> annual periodic cash flows of the project are assumed to be annual periodic earnings after interest &amp; tax.</w:t>
      </w:r>
    </w:p>
    <w:p w14:paraId="01DD1335" w14:textId="77777777" w:rsidR="00766C8D" w:rsidRPr="00E62E95" w:rsidRDefault="00766C8D" w:rsidP="007C6BD1">
      <w:pPr>
        <w:spacing w:line="360" w:lineRule="auto"/>
        <w:jc w:val="both"/>
        <w:rPr>
          <w:rFonts w:ascii="Times New Roman" w:eastAsiaTheme="minorEastAsia" w:hAnsi="Times New Roman" w:cs="Times New Roman"/>
          <w:sz w:val="24"/>
          <w:szCs w:val="24"/>
        </w:rPr>
      </w:pPr>
    </w:p>
    <w:p w14:paraId="19367BEC" w14:textId="77777777" w:rsidR="00766C8D" w:rsidRPr="00E62E95" w:rsidRDefault="00766C8D" w:rsidP="007C6BD1">
      <w:pPr>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 Thus, </w:t>
      </w:r>
      <w:r w:rsidRPr="00E62E95">
        <w:rPr>
          <w:rFonts w:ascii="Times New Roman" w:hAnsi="Times New Roman" w:cs="Times New Roman"/>
          <w:sz w:val="24"/>
          <w:szCs w:val="24"/>
          <w:lang w:val="en-US"/>
        </w:rPr>
        <w:t xml:space="preserve">Average Net Profit = </w:t>
      </w:r>
      <m:oMath>
        <m:f>
          <m:fPr>
            <m:ctrlPr>
              <w:rPr>
                <w:rFonts w:ascii="Cambria Math" w:hAnsi="Cambria Math" w:cs="Times New Roman"/>
                <w:i/>
                <w:sz w:val="24"/>
                <w:szCs w:val="24"/>
              </w:rPr>
            </m:ctrlPr>
          </m:fPr>
          <m:num>
            <m:r>
              <w:rPr>
                <w:rFonts w:ascii="Cambria Math" w:hAnsi="Cambria Math" w:cs="Times New Roman"/>
                <w:sz w:val="24"/>
                <w:szCs w:val="24"/>
              </w:rPr>
              <m:t xml:space="preserve">25+25+20+45  </m:t>
            </m:r>
          </m:num>
          <m:den>
            <m:r>
              <w:rPr>
                <w:rFonts w:ascii="Cambria Math" w:hAnsi="Cambria Math" w:cs="Times New Roman"/>
                <w:sz w:val="24"/>
                <w:szCs w:val="24"/>
              </w:rPr>
              <m:t>4</m:t>
            </m:r>
          </m:den>
        </m:f>
      </m:oMath>
      <w:r w:rsidRPr="00E62E95">
        <w:rPr>
          <w:rFonts w:ascii="Times New Roman" w:eastAsiaTheme="minorEastAsia" w:hAnsi="Times New Roman" w:cs="Times New Roman"/>
          <w:sz w:val="24"/>
          <w:szCs w:val="24"/>
        </w:rPr>
        <w:t xml:space="preserve"> = </w:t>
      </w:r>
      <w:r w:rsidR="00D9546D" w:rsidRPr="00D9546D">
        <w:rPr>
          <w:rFonts w:ascii="Times New Roman" w:hAnsi="Times New Roman" w:cs="Times New Roman"/>
          <w:sz w:val="24"/>
          <w:szCs w:val="24"/>
        </w:rPr>
        <w:t>£</w:t>
      </w:r>
      <w:r w:rsidRPr="00E62E95">
        <w:rPr>
          <w:rFonts w:ascii="Times New Roman" w:eastAsiaTheme="minorEastAsia" w:hAnsi="Times New Roman" w:cs="Times New Roman"/>
          <w:sz w:val="24"/>
          <w:szCs w:val="24"/>
        </w:rPr>
        <w:t>28.75 Million</w:t>
      </w:r>
    </w:p>
    <w:p w14:paraId="5A3CD1E5" w14:textId="77777777" w:rsidR="00766C8D" w:rsidRPr="00E62E95" w:rsidRDefault="00766C8D" w:rsidP="007C6BD1">
      <w:pPr>
        <w:spacing w:line="360" w:lineRule="auto"/>
        <w:jc w:val="both"/>
        <w:rPr>
          <w:rFonts w:ascii="Times New Roman" w:eastAsiaTheme="minorEastAsia" w:hAnsi="Times New Roman" w:cs="Times New Roman"/>
          <w:sz w:val="24"/>
          <w:szCs w:val="24"/>
        </w:rPr>
      </w:pPr>
    </w:p>
    <w:p w14:paraId="6A4D21C5" w14:textId="77777777" w:rsidR="00766C8D" w:rsidRPr="00E62E95" w:rsidRDefault="00766C8D" w:rsidP="007C6BD1">
      <w:pPr>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Average Investment = </w:t>
      </w:r>
      <m:oMath>
        <m:f>
          <m:fPr>
            <m:ctrlPr>
              <w:rPr>
                <w:rFonts w:ascii="Cambria Math" w:hAnsi="Cambria Math" w:cs="Times New Roman"/>
                <w:i/>
                <w:sz w:val="24"/>
                <w:szCs w:val="24"/>
              </w:rPr>
            </m:ctrlPr>
          </m:fPr>
          <m:num>
            <m:r>
              <w:rPr>
                <w:rFonts w:ascii="Cambria Math" w:hAnsi="Cambria Math" w:cs="Times New Roman"/>
                <w:sz w:val="24"/>
                <w:szCs w:val="24"/>
              </w:rPr>
              <m:t xml:space="preserve">80+10  </m:t>
            </m:r>
          </m:num>
          <m:den>
            <m:r>
              <w:rPr>
                <w:rFonts w:ascii="Cambria Math" w:hAnsi="Cambria Math" w:cs="Times New Roman"/>
                <w:sz w:val="24"/>
                <w:szCs w:val="24"/>
              </w:rPr>
              <m:t>2</m:t>
            </m:r>
          </m:den>
        </m:f>
      </m:oMath>
      <w:r w:rsidRPr="00E62E95">
        <w:rPr>
          <w:rFonts w:ascii="Times New Roman" w:eastAsiaTheme="minorEastAsia" w:hAnsi="Times New Roman" w:cs="Times New Roman"/>
          <w:sz w:val="24"/>
          <w:szCs w:val="24"/>
        </w:rPr>
        <w:t xml:space="preserve"> = </w:t>
      </w:r>
      <w:r w:rsidR="00D9546D" w:rsidRPr="00D9546D">
        <w:rPr>
          <w:rFonts w:ascii="Times New Roman" w:hAnsi="Times New Roman" w:cs="Times New Roman"/>
          <w:sz w:val="24"/>
          <w:szCs w:val="24"/>
        </w:rPr>
        <w:t>£</w:t>
      </w:r>
      <w:r w:rsidRPr="00E62E95">
        <w:rPr>
          <w:rFonts w:ascii="Times New Roman" w:eastAsiaTheme="minorEastAsia" w:hAnsi="Times New Roman" w:cs="Times New Roman"/>
          <w:sz w:val="24"/>
          <w:szCs w:val="24"/>
        </w:rPr>
        <w:t>45 Million</w:t>
      </w:r>
    </w:p>
    <w:p w14:paraId="2C156BC4" w14:textId="77777777" w:rsidR="00766C8D" w:rsidRPr="00E62E95" w:rsidRDefault="00766C8D" w:rsidP="007C6BD1">
      <w:pPr>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So, ARR for Project A is, = </w:t>
      </w:r>
      <m:oMath>
        <m:f>
          <m:fPr>
            <m:ctrlPr>
              <w:rPr>
                <w:rFonts w:ascii="Cambria Math" w:hAnsi="Cambria Math" w:cs="Times New Roman"/>
                <w:i/>
                <w:sz w:val="24"/>
                <w:szCs w:val="24"/>
              </w:rPr>
            </m:ctrlPr>
          </m:fPr>
          <m:num>
            <m:r>
              <w:rPr>
                <w:rFonts w:ascii="Cambria Math" w:hAnsi="Cambria Math" w:cs="Times New Roman"/>
                <w:sz w:val="24"/>
                <w:szCs w:val="24"/>
              </w:rPr>
              <m:t xml:space="preserve">28.75  </m:t>
            </m:r>
          </m:num>
          <m:den>
            <m:r>
              <w:rPr>
                <w:rFonts w:ascii="Cambria Math" w:hAnsi="Cambria Math" w:cs="Times New Roman"/>
                <w:sz w:val="24"/>
                <w:szCs w:val="24"/>
              </w:rPr>
              <m:t>45</m:t>
            </m:r>
          </m:den>
        </m:f>
      </m:oMath>
      <w:r w:rsidRPr="00E62E95">
        <w:rPr>
          <w:rFonts w:ascii="Times New Roman" w:eastAsiaTheme="minorEastAsia" w:hAnsi="Times New Roman" w:cs="Times New Roman"/>
          <w:sz w:val="24"/>
          <w:szCs w:val="24"/>
        </w:rPr>
        <w:t xml:space="preserve"> * 100 = 63.89%</w:t>
      </w:r>
    </w:p>
    <w:p w14:paraId="4CD418F1" w14:textId="6EE1544C" w:rsidR="00766C8D" w:rsidRPr="00E62E95" w:rsidRDefault="00766C8D" w:rsidP="007C6BD1">
      <w:pPr>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The ARR of 63.89% for project A is suggesting that the company will be able to earn </w:t>
      </w:r>
      <w:r w:rsidR="00BD1C07">
        <w:rPr>
          <w:rFonts w:ascii="Times New Roman" w:eastAsiaTheme="minorEastAsia" w:hAnsi="Times New Roman" w:cs="Times New Roman"/>
          <w:sz w:val="24"/>
          <w:szCs w:val="24"/>
        </w:rPr>
        <w:t xml:space="preserve">a </w:t>
      </w:r>
      <w:r w:rsidR="00D9546D" w:rsidRPr="00D9546D">
        <w:rPr>
          <w:rFonts w:ascii="Times New Roman" w:hAnsi="Times New Roman" w:cs="Times New Roman"/>
          <w:sz w:val="24"/>
          <w:szCs w:val="24"/>
        </w:rPr>
        <w:t>£</w:t>
      </w:r>
      <w:r w:rsidRPr="00E62E95">
        <w:rPr>
          <w:rFonts w:ascii="Times New Roman" w:eastAsiaTheme="minorEastAsia" w:hAnsi="Times New Roman" w:cs="Times New Roman"/>
          <w:sz w:val="24"/>
          <w:szCs w:val="24"/>
        </w:rPr>
        <w:t xml:space="preserve">63.89 as net profit after tax for every </w:t>
      </w:r>
      <w:r w:rsidR="00D9546D" w:rsidRPr="00D9546D">
        <w:rPr>
          <w:rFonts w:ascii="Times New Roman" w:hAnsi="Times New Roman" w:cs="Times New Roman"/>
          <w:sz w:val="24"/>
          <w:szCs w:val="24"/>
        </w:rPr>
        <w:t>£</w:t>
      </w:r>
      <w:r w:rsidRPr="00E62E95">
        <w:rPr>
          <w:rFonts w:ascii="Times New Roman" w:eastAsiaTheme="minorEastAsia" w:hAnsi="Times New Roman" w:cs="Times New Roman"/>
          <w:sz w:val="24"/>
          <w:szCs w:val="24"/>
        </w:rPr>
        <w:t xml:space="preserve">100 capital investment in the project. </w:t>
      </w:r>
    </w:p>
    <w:p w14:paraId="7FCDAE1D" w14:textId="77777777" w:rsidR="00766C8D" w:rsidRPr="00817582" w:rsidRDefault="00766C8D" w:rsidP="007C6BD1">
      <w:pPr>
        <w:spacing w:line="360" w:lineRule="auto"/>
        <w:jc w:val="both"/>
        <w:rPr>
          <w:rFonts w:ascii="Times New Roman" w:eastAsiaTheme="minorEastAsia" w:hAnsi="Times New Roman" w:cs="Times New Roman"/>
          <w:b/>
          <w:sz w:val="24"/>
          <w:szCs w:val="24"/>
        </w:rPr>
      </w:pPr>
      <w:r w:rsidRPr="00817582">
        <w:rPr>
          <w:rFonts w:ascii="Times New Roman" w:eastAsiaTheme="minorEastAsia" w:hAnsi="Times New Roman" w:cs="Times New Roman"/>
          <w:b/>
          <w:sz w:val="24"/>
          <w:szCs w:val="24"/>
        </w:rPr>
        <w:t>Accounting Rate of Return for Project B:</w:t>
      </w:r>
    </w:p>
    <w:p w14:paraId="109D8334" w14:textId="77777777" w:rsidR="00766C8D" w:rsidRPr="00E62E95" w:rsidRDefault="00766C8D" w:rsidP="007C6BD1">
      <w:pPr>
        <w:spacing w:line="360" w:lineRule="auto"/>
        <w:jc w:val="both"/>
        <w:rPr>
          <w:rFonts w:ascii="Times New Roman" w:eastAsiaTheme="minorEastAsia" w:hAnsi="Times New Roman" w:cs="Times New Roman"/>
          <w:sz w:val="24"/>
          <w:szCs w:val="24"/>
        </w:rPr>
      </w:pPr>
    </w:p>
    <w:p w14:paraId="05BF0E54" w14:textId="77777777" w:rsidR="00766C8D" w:rsidRPr="00E62E95" w:rsidRDefault="00766C8D" w:rsidP="007C6BD1">
      <w:pPr>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 Here, Average</w:t>
      </w:r>
      <w:r w:rsidRPr="00E62E95">
        <w:rPr>
          <w:rFonts w:ascii="Times New Roman" w:hAnsi="Times New Roman" w:cs="Times New Roman"/>
          <w:sz w:val="24"/>
          <w:szCs w:val="24"/>
          <w:lang w:val="en-US"/>
        </w:rPr>
        <w:t xml:space="preserve"> Net Profit = </w:t>
      </w:r>
      <m:oMath>
        <m:f>
          <m:fPr>
            <m:ctrlPr>
              <w:rPr>
                <w:rFonts w:ascii="Cambria Math" w:hAnsi="Cambria Math" w:cs="Times New Roman"/>
                <w:i/>
                <w:sz w:val="24"/>
                <w:szCs w:val="24"/>
              </w:rPr>
            </m:ctrlPr>
          </m:fPr>
          <m:num>
            <m:r>
              <w:rPr>
                <w:rFonts w:ascii="Cambria Math" w:hAnsi="Cambria Math" w:cs="Times New Roman"/>
                <w:sz w:val="24"/>
                <w:szCs w:val="24"/>
              </w:rPr>
              <m:t xml:space="preserve">50+20+20+10  </m:t>
            </m:r>
          </m:num>
          <m:den>
            <m:r>
              <w:rPr>
                <w:rFonts w:ascii="Cambria Math" w:hAnsi="Cambria Math" w:cs="Times New Roman"/>
                <w:sz w:val="24"/>
                <w:szCs w:val="24"/>
              </w:rPr>
              <m:t>4</m:t>
            </m:r>
          </m:den>
        </m:f>
      </m:oMath>
      <w:r w:rsidRPr="00E62E95">
        <w:rPr>
          <w:rFonts w:ascii="Times New Roman" w:eastAsiaTheme="minorEastAsia" w:hAnsi="Times New Roman" w:cs="Times New Roman"/>
          <w:sz w:val="24"/>
          <w:szCs w:val="24"/>
        </w:rPr>
        <w:t xml:space="preserve"> = </w:t>
      </w:r>
      <w:r w:rsidR="00D9546D" w:rsidRPr="00D9546D">
        <w:rPr>
          <w:rFonts w:ascii="Times New Roman" w:hAnsi="Times New Roman" w:cs="Times New Roman"/>
          <w:sz w:val="24"/>
          <w:szCs w:val="24"/>
        </w:rPr>
        <w:t>£</w:t>
      </w:r>
      <w:r w:rsidRPr="00E62E95">
        <w:rPr>
          <w:rFonts w:ascii="Times New Roman" w:eastAsiaTheme="minorEastAsia" w:hAnsi="Times New Roman" w:cs="Times New Roman"/>
          <w:sz w:val="24"/>
          <w:szCs w:val="24"/>
        </w:rPr>
        <w:t>25 Million</w:t>
      </w:r>
    </w:p>
    <w:p w14:paraId="0D9554FB" w14:textId="77777777" w:rsidR="00766C8D" w:rsidRPr="00E62E95" w:rsidRDefault="00766C8D" w:rsidP="007C6BD1">
      <w:pPr>
        <w:spacing w:line="360" w:lineRule="auto"/>
        <w:jc w:val="both"/>
        <w:rPr>
          <w:rFonts w:ascii="Times New Roman" w:eastAsiaTheme="minorEastAsia" w:hAnsi="Times New Roman" w:cs="Times New Roman"/>
          <w:sz w:val="24"/>
          <w:szCs w:val="24"/>
        </w:rPr>
      </w:pPr>
    </w:p>
    <w:p w14:paraId="34E9D7F5" w14:textId="77777777" w:rsidR="00766C8D" w:rsidRPr="00E62E95" w:rsidRDefault="00766C8D" w:rsidP="007C6BD1">
      <w:pPr>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Average Investment = </w:t>
      </w:r>
      <m:oMath>
        <m:f>
          <m:fPr>
            <m:ctrlPr>
              <w:rPr>
                <w:rFonts w:ascii="Cambria Math" w:hAnsi="Cambria Math" w:cs="Times New Roman"/>
                <w:i/>
                <w:sz w:val="24"/>
                <w:szCs w:val="24"/>
              </w:rPr>
            </m:ctrlPr>
          </m:fPr>
          <m:num>
            <m:r>
              <w:rPr>
                <w:rFonts w:ascii="Cambria Math" w:hAnsi="Cambria Math" w:cs="Times New Roman"/>
                <w:sz w:val="24"/>
                <w:szCs w:val="24"/>
              </w:rPr>
              <m:t xml:space="preserve">75+10  </m:t>
            </m:r>
          </m:num>
          <m:den>
            <m:r>
              <w:rPr>
                <w:rFonts w:ascii="Cambria Math" w:hAnsi="Cambria Math" w:cs="Times New Roman"/>
                <w:sz w:val="24"/>
                <w:szCs w:val="24"/>
              </w:rPr>
              <m:t>2</m:t>
            </m:r>
          </m:den>
        </m:f>
      </m:oMath>
      <w:r w:rsidRPr="00E62E95">
        <w:rPr>
          <w:rFonts w:ascii="Times New Roman" w:eastAsiaTheme="minorEastAsia" w:hAnsi="Times New Roman" w:cs="Times New Roman"/>
          <w:sz w:val="24"/>
          <w:szCs w:val="24"/>
        </w:rPr>
        <w:t xml:space="preserve"> = </w:t>
      </w:r>
      <w:r w:rsidR="00D9546D" w:rsidRPr="00D9546D">
        <w:rPr>
          <w:rFonts w:ascii="Times New Roman" w:hAnsi="Times New Roman" w:cs="Times New Roman"/>
          <w:sz w:val="24"/>
          <w:szCs w:val="24"/>
        </w:rPr>
        <w:t>£</w:t>
      </w:r>
      <w:r w:rsidRPr="00E62E95">
        <w:rPr>
          <w:rFonts w:ascii="Times New Roman" w:eastAsiaTheme="minorEastAsia" w:hAnsi="Times New Roman" w:cs="Times New Roman"/>
          <w:sz w:val="24"/>
          <w:szCs w:val="24"/>
        </w:rPr>
        <w:t>42.5 Million</w:t>
      </w:r>
    </w:p>
    <w:p w14:paraId="0A0EA361" w14:textId="77777777" w:rsidR="00766C8D" w:rsidRPr="00E62E95" w:rsidRDefault="00766C8D" w:rsidP="007C6BD1">
      <w:pPr>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So, ARR for Project B is, = </w:t>
      </w:r>
      <m:oMath>
        <m:f>
          <m:fPr>
            <m:ctrlPr>
              <w:rPr>
                <w:rFonts w:ascii="Cambria Math" w:hAnsi="Cambria Math" w:cs="Times New Roman"/>
                <w:i/>
                <w:sz w:val="24"/>
                <w:szCs w:val="24"/>
              </w:rPr>
            </m:ctrlPr>
          </m:fPr>
          <m:num>
            <m:r>
              <w:rPr>
                <w:rFonts w:ascii="Cambria Math" w:hAnsi="Cambria Math" w:cs="Times New Roman"/>
                <w:sz w:val="24"/>
                <w:szCs w:val="24"/>
              </w:rPr>
              <m:t xml:space="preserve">25  </m:t>
            </m:r>
          </m:num>
          <m:den>
            <m:r>
              <w:rPr>
                <w:rFonts w:ascii="Cambria Math" w:hAnsi="Cambria Math" w:cs="Times New Roman"/>
                <w:sz w:val="24"/>
                <w:szCs w:val="24"/>
              </w:rPr>
              <m:t>42.5</m:t>
            </m:r>
          </m:den>
        </m:f>
      </m:oMath>
      <w:r w:rsidRPr="00E62E95">
        <w:rPr>
          <w:rFonts w:ascii="Times New Roman" w:eastAsiaTheme="minorEastAsia" w:hAnsi="Times New Roman" w:cs="Times New Roman"/>
          <w:sz w:val="24"/>
          <w:szCs w:val="24"/>
        </w:rPr>
        <w:t xml:space="preserve"> * 100 = 58.82%</w:t>
      </w:r>
    </w:p>
    <w:p w14:paraId="6E9E7DC0" w14:textId="40721051" w:rsidR="00766C8D" w:rsidRPr="00E62E95" w:rsidRDefault="00766C8D" w:rsidP="007C6BD1">
      <w:pPr>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The ARR of 58.82% for project B is suggesting that the company will be able to earn</w:t>
      </w:r>
      <w:r w:rsidR="00BD1C07">
        <w:rPr>
          <w:rFonts w:ascii="Times New Roman" w:eastAsiaTheme="minorEastAsia" w:hAnsi="Times New Roman" w:cs="Times New Roman"/>
          <w:sz w:val="24"/>
          <w:szCs w:val="24"/>
        </w:rPr>
        <w:t xml:space="preserve"> a</w:t>
      </w:r>
      <w:r w:rsidRPr="00E62E95">
        <w:rPr>
          <w:rFonts w:ascii="Times New Roman" w:eastAsiaTheme="minorEastAsia" w:hAnsi="Times New Roman" w:cs="Times New Roman"/>
          <w:sz w:val="24"/>
          <w:szCs w:val="24"/>
        </w:rPr>
        <w:t xml:space="preserve"> </w:t>
      </w:r>
      <w:r w:rsidR="00D9546D" w:rsidRPr="00D9546D">
        <w:rPr>
          <w:rFonts w:ascii="Times New Roman" w:hAnsi="Times New Roman" w:cs="Times New Roman"/>
          <w:sz w:val="24"/>
          <w:szCs w:val="24"/>
        </w:rPr>
        <w:t>£</w:t>
      </w:r>
      <w:r w:rsidRPr="00E62E95">
        <w:rPr>
          <w:rFonts w:ascii="Times New Roman" w:eastAsiaTheme="minorEastAsia" w:hAnsi="Times New Roman" w:cs="Times New Roman"/>
          <w:sz w:val="24"/>
          <w:szCs w:val="24"/>
        </w:rPr>
        <w:t xml:space="preserve">58.82 as net profit after tax for every </w:t>
      </w:r>
      <w:r w:rsidR="00D9546D" w:rsidRPr="00D9546D">
        <w:rPr>
          <w:rFonts w:ascii="Times New Roman" w:hAnsi="Times New Roman" w:cs="Times New Roman"/>
          <w:sz w:val="24"/>
          <w:szCs w:val="24"/>
        </w:rPr>
        <w:t>£</w:t>
      </w:r>
      <w:r w:rsidRPr="00E62E95">
        <w:rPr>
          <w:rFonts w:ascii="Times New Roman" w:eastAsiaTheme="minorEastAsia" w:hAnsi="Times New Roman" w:cs="Times New Roman"/>
          <w:sz w:val="24"/>
          <w:szCs w:val="24"/>
        </w:rPr>
        <w:t xml:space="preserve">100 capital investment </w:t>
      </w:r>
      <w:r w:rsidR="00B278AA">
        <w:rPr>
          <w:rFonts w:ascii="Times New Roman" w:eastAsiaTheme="minorEastAsia" w:hAnsi="Times New Roman" w:cs="Times New Roman"/>
          <w:sz w:val="24"/>
          <w:szCs w:val="24"/>
        </w:rPr>
        <w:t xml:space="preserve">within </w:t>
      </w:r>
      <w:r w:rsidRPr="00E62E95">
        <w:rPr>
          <w:rFonts w:ascii="Times New Roman" w:eastAsiaTheme="minorEastAsia" w:hAnsi="Times New Roman" w:cs="Times New Roman"/>
          <w:sz w:val="24"/>
          <w:szCs w:val="24"/>
        </w:rPr>
        <w:t xml:space="preserve">the project. </w:t>
      </w:r>
    </w:p>
    <w:p w14:paraId="514B33D2" w14:textId="77777777" w:rsidR="00766C8D" w:rsidRPr="00E62E95" w:rsidRDefault="00766C8D" w:rsidP="007C6BD1">
      <w:pPr>
        <w:spacing w:line="360" w:lineRule="auto"/>
        <w:jc w:val="both"/>
        <w:rPr>
          <w:rFonts w:ascii="Times New Roman" w:eastAsiaTheme="minorEastAsia" w:hAnsi="Times New Roman" w:cs="Times New Roman"/>
          <w:sz w:val="24"/>
          <w:szCs w:val="24"/>
        </w:rPr>
      </w:pPr>
    </w:p>
    <w:p w14:paraId="4D0FEFE8" w14:textId="77777777" w:rsidR="00766C8D" w:rsidRPr="00817582" w:rsidRDefault="00766C8D" w:rsidP="007C6BD1">
      <w:pPr>
        <w:spacing w:line="360" w:lineRule="auto"/>
        <w:jc w:val="both"/>
        <w:rPr>
          <w:rFonts w:ascii="Times New Roman" w:hAnsi="Times New Roman" w:cs="Times New Roman"/>
          <w:b/>
          <w:sz w:val="24"/>
          <w:szCs w:val="24"/>
          <w:lang w:val="en-US"/>
        </w:rPr>
      </w:pPr>
      <w:r w:rsidRPr="00817582">
        <w:rPr>
          <w:rFonts w:ascii="Times New Roman" w:hAnsi="Times New Roman" w:cs="Times New Roman"/>
          <w:b/>
          <w:sz w:val="24"/>
          <w:szCs w:val="24"/>
          <w:lang w:val="en-US"/>
        </w:rPr>
        <w:t>Decision rule for project selection under ARR:</w:t>
      </w:r>
    </w:p>
    <w:p w14:paraId="77737158" w14:textId="53503A58"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 xml:space="preserve">The decision rule in ARR for mutually exclusive projects is to select the project which offers higher ARR as the selection of such project will result </w:t>
      </w:r>
      <w:r w:rsidR="00330ED6">
        <w:rPr>
          <w:rFonts w:ascii="Times New Roman" w:hAnsi="Times New Roman" w:cs="Times New Roman"/>
          <w:sz w:val="24"/>
          <w:szCs w:val="24"/>
          <w:lang w:val="en-US"/>
        </w:rPr>
        <w:t xml:space="preserve">within an </w:t>
      </w:r>
      <w:r w:rsidRPr="00E62E95">
        <w:rPr>
          <w:rFonts w:ascii="Times New Roman" w:hAnsi="Times New Roman" w:cs="Times New Roman"/>
          <w:sz w:val="24"/>
          <w:szCs w:val="24"/>
          <w:lang w:val="en-US"/>
        </w:rPr>
        <w:t xml:space="preserve">increased profitability for the </w:t>
      </w:r>
      <w:r w:rsidRPr="00E62E95">
        <w:rPr>
          <w:rFonts w:ascii="Times New Roman" w:hAnsi="Times New Roman" w:cs="Times New Roman"/>
          <w:sz w:val="24"/>
          <w:szCs w:val="24"/>
          <w:lang w:val="en-US"/>
        </w:rPr>
        <w:lastRenderedPageBreak/>
        <w:t>firm. Thus, Project A should be selected as the ARR for Project A (63.89%) is larger than the</w:t>
      </w:r>
      <w:r>
        <w:rPr>
          <w:rFonts w:ascii="Times New Roman" w:hAnsi="Times New Roman" w:cs="Times New Roman"/>
          <w:sz w:val="24"/>
          <w:szCs w:val="24"/>
          <w:lang w:val="en-US"/>
        </w:rPr>
        <w:t xml:space="preserve"> ARR of Pro</w:t>
      </w:r>
      <w:r w:rsidRPr="00E62E95">
        <w:rPr>
          <w:rFonts w:ascii="Times New Roman" w:hAnsi="Times New Roman" w:cs="Times New Roman"/>
          <w:sz w:val="24"/>
          <w:szCs w:val="24"/>
          <w:lang w:val="en-US"/>
        </w:rPr>
        <w:t>ject B (58.82%).</w:t>
      </w:r>
    </w:p>
    <w:p w14:paraId="22D0238C" w14:textId="77777777" w:rsidR="00766C8D" w:rsidRPr="00E62E95" w:rsidRDefault="00766C8D" w:rsidP="007C6BD1">
      <w:pPr>
        <w:spacing w:line="360" w:lineRule="auto"/>
        <w:jc w:val="both"/>
        <w:rPr>
          <w:rFonts w:ascii="Times New Roman" w:hAnsi="Times New Roman" w:cs="Times New Roman"/>
          <w:sz w:val="24"/>
          <w:szCs w:val="24"/>
          <w:lang w:val="en-US"/>
        </w:rPr>
      </w:pPr>
    </w:p>
    <w:p w14:paraId="25F07EF6" w14:textId="77777777" w:rsidR="00766C8D" w:rsidRPr="00817582" w:rsidRDefault="00766C8D" w:rsidP="007C6BD1">
      <w:pPr>
        <w:pStyle w:val="ListParagraph"/>
        <w:numPr>
          <w:ilvl w:val="0"/>
          <w:numId w:val="9"/>
        </w:numPr>
        <w:spacing w:line="360" w:lineRule="auto"/>
        <w:jc w:val="both"/>
        <w:rPr>
          <w:rFonts w:ascii="Times New Roman" w:hAnsi="Times New Roman" w:cs="Times New Roman"/>
          <w:b/>
          <w:sz w:val="28"/>
          <w:szCs w:val="24"/>
          <w:lang w:val="en-US"/>
        </w:rPr>
      </w:pPr>
      <w:r w:rsidRPr="00817582">
        <w:rPr>
          <w:rFonts w:ascii="Times New Roman" w:hAnsi="Times New Roman" w:cs="Times New Roman"/>
          <w:b/>
          <w:sz w:val="28"/>
          <w:szCs w:val="24"/>
          <w:lang w:val="en-US"/>
        </w:rPr>
        <w:t>Net Present Value (NPV):</w:t>
      </w:r>
    </w:p>
    <w:p w14:paraId="164379B0" w14:textId="7C794CC8"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 xml:space="preserve">The formula used </w:t>
      </w:r>
      <w:r w:rsidR="004D04AB">
        <w:rPr>
          <w:rFonts w:ascii="Times New Roman" w:hAnsi="Times New Roman" w:cs="Times New Roman"/>
          <w:sz w:val="24"/>
          <w:szCs w:val="24"/>
          <w:lang w:val="en-US"/>
        </w:rPr>
        <w:t xml:space="preserve">within </w:t>
      </w:r>
      <w:r w:rsidRPr="00E62E95">
        <w:rPr>
          <w:rFonts w:ascii="Times New Roman" w:hAnsi="Times New Roman" w:cs="Times New Roman"/>
          <w:sz w:val="24"/>
          <w:szCs w:val="24"/>
          <w:lang w:val="en-US"/>
        </w:rPr>
        <w:t>the project investment appraisal under this capital budgeting technique is:</w:t>
      </w:r>
    </w:p>
    <w:p w14:paraId="35A01201" w14:textId="77777777" w:rsidR="00766C8D" w:rsidRPr="00E62E95" w:rsidRDefault="00766C8D" w:rsidP="007C6BD1">
      <w:pPr>
        <w:spacing w:line="360" w:lineRule="auto"/>
        <w:jc w:val="center"/>
        <w:rPr>
          <w:rFonts w:ascii="Times New Roman" w:eastAsiaTheme="minorEastAsia" w:hAnsi="Times New Roman" w:cs="Times New Roman"/>
          <w:sz w:val="24"/>
          <w:szCs w:val="24"/>
        </w:rPr>
      </w:pPr>
      <w:r w:rsidRPr="00E62E95">
        <w:rPr>
          <w:rFonts w:ascii="Times New Roman" w:eastAsiaTheme="minorEastAsia" w:hAnsi="Times New Roman" w:cs="Times New Roman"/>
          <w:noProof/>
          <w:sz w:val="24"/>
          <w:szCs w:val="24"/>
          <w:lang w:val="en-US"/>
        </w:rPr>
        <w:drawing>
          <wp:inline distT="0" distB="0" distL="0" distR="0" wp14:anchorId="3CBBB8DA" wp14:editId="1382013C">
            <wp:extent cx="4200892" cy="2157880"/>
            <wp:effectExtent l="19050" t="19050" r="28575" b="13970"/>
            <wp:docPr id="53" name="Picture 53" descr="C:\Users\HP\Downloads\Net-Present-Value-Formul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Downloads\Net-Present-Value-Formula.jpg"/>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4207566" cy="2161308"/>
                    </a:xfrm>
                    <a:prstGeom prst="rect">
                      <a:avLst/>
                    </a:prstGeom>
                    <a:noFill/>
                    <a:ln>
                      <a:solidFill>
                        <a:schemeClr val="tx1">
                          <a:lumMod val="50000"/>
                          <a:lumOff val="50000"/>
                        </a:schemeClr>
                      </a:solidFill>
                    </a:ln>
                  </pic:spPr>
                </pic:pic>
              </a:graphicData>
            </a:graphic>
          </wp:inline>
        </w:drawing>
      </w:r>
    </w:p>
    <w:p w14:paraId="58DF8BA0" w14:textId="77777777" w:rsidR="00766C8D" w:rsidRPr="00E62E95" w:rsidRDefault="00766C8D" w:rsidP="007C6BD1">
      <w:pPr>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Where,</w:t>
      </w:r>
    </w:p>
    <w:p w14:paraId="12FC5C1C" w14:textId="77777777" w:rsidR="00766C8D" w:rsidRPr="00E62E95" w:rsidRDefault="00766C8D" w:rsidP="007C6BD1">
      <w:pPr>
        <w:spacing w:line="360" w:lineRule="auto"/>
        <w:jc w:val="both"/>
        <w:rPr>
          <w:rFonts w:ascii="Times New Roman" w:eastAsiaTheme="minorEastAsia" w:hAnsi="Times New Roman" w:cs="Times New Roman"/>
          <w:sz w:val="24"/>
          <w:szCs w:val="24"/>
        </w:rPr>
      </w:pPr>
      <w:proofErr w:type="spellStart"/>
      <w:r w:rsidRPr="00E62E95">
        <w:rPr>
          <w:rFonts w:ascii="Times New Roman" w:eastAsiaTheme="minorEastAsia" w:hAnsi="Times New Roman" w:cs="Times New Roman"/>
          <w:sz w:val="24"/>
          <w:szCs w:val="24"/>
        </w:rPr>
        <w:t>CF</w:t>
      </w:r>
      <w:r w:rsidRPr="00E62E95">
        <w:rPr>
          <w:rFonts w:ascii="Times New Roman" w:eastAsiaTheme="minorEastAsia" w:hAnsi="Times New Roman" w:cs="Times New Roman"/>
          <w:sz w:val="24"/>
          <w:szCs w:val="24"/>
          <w:vertAlign w:val="subscript"/>
        </w:rPr>
        <w:t>n</w:t>
      </w:r>
      <w:proofErr w:type="spellEnd"/>
      <w:r w:rsidRPr="00E62E95">
        <w:rPr>
          <w:rFonts w:ascii="Times New Roman" w:eastAsiaTheme="minorEastAsia" w:hAnsi="Times New Roman" w:cs="Times New Roman"/>
          <w:sz w:val="24"/>
          <w:szCs w:val="24"/>
        </w:rPr>
        <w:t>= Periodic expected net cash</w:t>
      </w:r>
      <w:r>
        <w:rPr>
          <w:rFonts w:ascii="Times New Roman" w:eastAsiaTheme="minorEastAsia" w:hAnsi="Times New Roman" w:cs="Times New Roman"/>
          <w:sz w:val="24"/>
          <w:szCs w:val="24"/>
        </w:rPr>
        <w:t>-</w:t>
      </w:r>
      <w:r w:rsidRPr="00E62E95">
        <w:rPr>
          <w:rFonts w:ascii="Times New Roman" w:eastAsiaTheme="minorEastAsia" w:hAnsi="Times New Roman" w:cs="Times New Roman"/>
          <w:sz w:val="24"/>
          <w:szCs w:val="24"/>
        </w:rPr>
        <w:t>flow of the project for period n.</w:t>
      </w:r>
    </w:p>
    <w:p w14:paraId="76664F9F" w14:textId="77777777" w:rsidR="00766C8D" w:rsidRPr="00E62E95" w:rsidRDefault="00766C8D" w:rsidP="007C6BD1">
      <w:pPr>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i= Cost of Capital associated with the firm or investment project.</w:t>
      </w:r>
    </w:p>
    <w:p w14:paraId="4E098278" w14:textId="77777777" w:rsidR="00766C8D" w:rsidRPr="00E62E95" w:rsidRDefault="00766C8D" w:rsidP="007C6BD1">
      <w:pPr>
        <w:spacing w:line="360" w:lineRule="auto"/>
        <w:jc w:val="both"/>
        <w:rPr>
          <w:rFonts w:ascii="Times New Roman" w:eastAsiaTheme="minorEastAsia" w:hAnsi="Times New Roman" w:cs="Times New Roman"/>
          <w:sz w:val="24"/>
          <w:szCs w:val="24"/>
        </w:rPr>
      </w:pPr>
    </w:p>
    <w:p w14:paraId="5DDF0B3C" w14:textId="77777777" w:rsidR="00766C8D" w:rsidRPr="00817582" w:rsidRDefault="00766C8D" w:rsidP="007C6BD1">
      <w:pPr>
        <w:spacing w:line="360" w:lineRule="auto"/>
        <w:jc w:val="both"/>
        <w:rPr>
          <w:rFonts w:ascii="Times New Roman" w:eastAsiaTheme="minorEastAsia" w:hAnsi="Times New Roman" w:cs="Times New Roman"/>
          <w:b/>
          <w:sz w:val="24"/>
          <w:szCs w:val="24"/>
        </w:rPr>
      </w:pPr>
      <w:r w:rsidRPr="00817582">
        <w:rPr>
          <w:rFonts w:ascii="Times New Roman" w:eastAsiaTheme="minorEastAsia" w:hAnsi="Times New Roman" w:cs="Times New Roman"/>
          <w:b/>
          <w:sz w:val="24"/>
          <w:szCs w:val="24"/>
        </w:rPr>
        <w:t>NPV of Project A:</w:t>
      </w:r>
    </w:p>
    <w:p w14:paraId="50BEEE3D" w14:textId="77777777" w:rsidR="00766C8D" w:rsidRPr="00E62E95" w:rsidRDefault="00817582" w:rsidP="007C6BD1">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NPV of</w:t>
      </w:r>
      <w:r w:rsidR="00766C8D" w:rsidRPr="00E62E95">
        <w:rPr>
          <w:rFonts w:ascii="Times New Roman" w:eastAsiaTheme="minorEastAsia" w:hAnsi="Times New Roman" w:cs="Times New Roman"/>
          <w:sz w:val="24"/>
          <w:szCs w:val="24"/>
        </w:rPr>
        <w:t xml:space="preserve"> Project A is</w:t>
      </w:r>
    </w:p>
    <w:p w14:paraId="47C67426" w14:textId="77777777" w:rsidR="00766C8D" w:rsidRPr="00E62E95" w:rsidRDefault="00766C8D" w:rsidP="007C6BD1">
      <w:pPr>
        <w:spacing w:line="360" w:lineRule="auto"/>
        <w:jc w:val="both"/>
        <w:rPr>
          <w:rFonts w:ascii="Times New Roman" w:eastAsiaTheme="minorEastAsia" w:hAnsi="Times New Roman" w:cs="Times New Roman"/>
          <w:sz w:val="24"/>
          <w:szCs w:val="24"/>
        </w:rPr>
      </w:pPr>
    </w:p>
    <w:p w14:paraId="2362B56A" w14:textId="77777777" w:rsidR="00766C8D" w:rsidRPr="00561B7E" w:rsidRDefault="00766C8D" w:rsidP="007C6BD1">
      <w:pPr>
        <w:spacing w:line="360" w:lineRule="auto"/>
        <w:jc w:val="both"/>
        <w:rPr>
          <w:rFonts w:ascii="Times New Roman" w:eastAsiaTheme="minorEastAsia" w:hAnsi="Times New Roman" w:cs="Times New Roman"/>
          <w:sz w:val="24"/>
          <w:szCs w:val="24"/>
          <w:lang w:val="en-US"/>
        </w:rPr>
      </w:pPr>
      <w:r w:rsidRPr="00561B7E">
        <w:rPr>
          <w:rFonts w:ascii="Times New Roman" w:eastAsiaTheme="minorEastAsia" w:hAnsi="Times New Roman" w:cs="Times New Roman"/>
          <w:sz w:val="24"/>
          <w:szCs w:val="24"/>
          <w:lang w:val="en-US"/>
        </w:rPr>
        <w:t xml:space="preserve">NPV= [ </w:t>
      </w:r>
      <m:oMath>
        <m:f>
          <m:fPr>
            <m:ctrlPr>
              <w:rPr>
                <w:rFonts w:ascii="Cambria Math" w:hAnsi="Cambria Math" w:cs="Times New Roman"/>
                <w:sz w:val="24"/>
                <w:szCs w:val="24"/>
                <w:lang w:val="en-US"/>
              </w:rPr>
            </m:ctrlPr>
          </m:fPr>
          <m:num>
            <m:r>
              <w:rPr>
                <w:rFonts w:ascii="Cambria Math" w:hAnsi="Cambria Math" w:cs="Times New Roman"/>
                <w:sz w:val="24"/>
                <w:szCs w:val="24"/>
                <w:lang w:val="en-US"/>
              </w:rPr>
              <m:t>25</m:t>
            </m:r>
          </m:num>
          <m:den>
            <m:sSup>
              <m:sSupPr>
                <m:ctrlPr>
                  <w:rPr>
                    <w:rFonts w:ascii="Cambria Math" w:hAnsi="Cambria Math" w:cs="Times New Roman"/>
                    <w:sz w:val="24"/>
                    <w:szCs w:val="24"/>
                    <w:lang w:val="en-US"/>
                  </w:rPr>
                </m:ctrlPr>
              </m:sSupPr>
              <m:e>
                <m:r>
                  <w:rPr>
                    <w:rFonts w:ascii="Cambria Math" w:hAnsi="Cambria Math" w:cs="Times New Roman"/>
                    <w:sz w:val="24"/>
                    <w:szCs w:val="24"/>
                    <w:lang w:val="en-US"/>
                  </w:rPr>
                  <m:t>(1+.0975)</m:t>
                </m:r>
              </m:e>
              <m:sup>
                <m:r>
                  <w:rPr>
                    <w:rFonts w:ascii="Cambria Math" w:hAnsi="Cambria Math" w:cs="Times New Roman"/>
                    <w:sz w:val="24"/>
                    <w:szCs w:val="24"/>
                    <w:lang w:val="en-US"/>
                  </w:rPr>
                  <m:t>1</m:t>
                </m:r>
              </m:sup>
            </m:sSup>
          </m:den>
        </m:f>
      </m:oMath>
      <w:r w:rsidRPr="00561B7E">
        <w:rPr>
          <w:rFonts w:ascii="Times New Roman" w:eastAsiaTheme="minorEastAsia" w:hAnsi="Times New Roman" w:cs="Times New Roman"/>
          <w:sz w:val="24"/>
          <w:szCs w:val="24"/>
          <w:lang w:val="en-US"/>
        </w:rPr>
        <w:t>+</w:t>
      </w:r>
      <m:oMath>
        <m:f>
          <m:fPr>
            <m:ctrlPr>
              <w:rPr>
                <w:rFonts w:ascii="Cambria Math" w:eastAsiaTheme="minorEastAsia" w:hAnsi="Cambria Math" w:cs="Times New Roman"/>
                <w:i/>
                <w:sz w:val="24"/>
                <w:szCs w:val="24"/>
                <w:lang w:val="en-US"/>
              </w:rPr>
            </m:ctrlPr>
          </m:fPr>
          <m:num>
            <m:r>
              <w:rPr>
                <w:rFonts w:ascii="Cambria Math" w:eastAsiaTheme="minorEastAsia" w:hAnsi="Cambria Math" w:cs="Times New Roman"/>
                <w:sz w:val="24"/>
                <w:szCs w:val="24"/>
                <w:lang w:val="en-US"/>
              </w:rPr>
              <m:t>25</m:t>
            </m:r>
          </m:num>
          <m:den>
            <m:sSup>
              <m:sSupPr>
                <m:ctrlPr>
                  <w:rPr>
                    <w:rFonts w:ascii="Cambria Math" w:eastAsiaTheme="minorEastAsia" w:hAnsi="Cambria Math" w:cs="Times New Roman"/>
                    <w:i/>
                    <w:sz w:val="24"/>
                    <w:szCs w:val="24"/>
                    <w:lang w:val="en-US"/>
                  </w:rPr>
                </m:ctrlPr>
              </m:sSupPr>
              <m:e>
                <m:r>
                  <w:rPr>
                    <w:rFonts w:ascii="Cambria Math" w:eastAsiaTheme="minorEastAsia" w:hAnsi="Cambria Math" w:cs="Times New Roman"/>
                    <w:sz w:val="24"/>
                    <w:szCs w:val="24"/>
                    <w:lang w:val="en-US"/>
                  </w:rPr>
                  <m:t>(1+.0975)</m:t>
                </m:r>
              </m:e>
              <m:sup>
                <m:r>
                  <w:rPr>
                    <w:rFonts w:ascii="Cambria Math" w:eastAsiaTheme="minorEastAsia" w:hAnsi="Cambria Math" w:cs="Times New Roman"/>
                    <w:sz w:val="24"/>
                    <w:szCs w:val="24"/>
                    <w:lang w:val="en-US"/>
                  </w:rPr>
                  <m:t>2</m:t>
                </m:r>
              </m:sup>
            </m:sSup>
          </m:den>
        </m:f>
      </m:oMath>
      <w:r w:rsidRPr="00561B7E">
        <w:rPr>
          <w:rFonts w:ascii="Times New Roman" w:eastAsiaTheme="minorEastAsia" w:hAnsi="Times New Roman" w:cs="Times New Roman"/>
          <w:sz w:val="24"/>
          <w:szCs w:val="24"/>
          <w:lang w:val="en-US"/>
        </w:rPr>
        <w:t>+</w:t>
      </w:r>
      <m:oMath>
        <m:f>
          <m:fPr>
            <m:ctrlPr>
              <w:rPr>
                <w:rFonts w:ascii="Cambria Math" w:eastAsiaTheme="minorEastAsia" w:hAnsi="Cambria Math" w:cs="Times New Roman"/>
                <w:i/>
                <w:sz w:val="24"/>
                <w:szCs w:val="24"/>
                <w:lang w:val="en-US"/>
              </w:rPr>
            </m:ctrlPr>
          </m:fPr>
          <m:num>
            <m:r>
              <w:rPr>
                <w:rFonts w:ascii="Cambria Math" w:eastAsiaTheme="minorEastAsia" w:hAnsi="Cambria Math" w:cs="Times New Roman"/>
                <w:sz w:val="24"/>
                <w:szCs w:val="24"/>
                <w:lang w:val="en-US"/>
              </w:rPr>
              <m:t>20</m:t>
            </m:r>
          </m:num>
          <m:den>
            <m:sSup>
              <m:sSupPr>
                <m:ctrlPr>
                  <w:rPr>
                    <w:rFonts w:ascii="Cambria Math" w:eastAsiaTheme="minorEastAsia" w:hAnsi="Cambria Math" w:cs="Times New Roman"/>
                    <w:i/>
                    <w:sz w:val="24"/>
                    <w:szCs w:val="24"/>
                    <w:lang w:val="en-US"/>
                  </w:rPr>
                </m:ctrlPr>
              </m:sSupPr>
              <m:e>
                <m:r>
                  <w:rPr>
                    <w:rFonts w:ascii="Cambria Math" w:eastAsiaTheme="minorEastAsia" w:hAnsi="Cambria Math" w:cs="Times New Roman"/>
                    <w:sz w:val="24"/>
                    <w:szCs w:val="24"/>
                    <w:lang w:val="en-US"/>
                  </w:rPr>
                  <m:t>(1+.0975)</m:t>
                </m:r>
              </m:e>
              <m:sup>
                <m:r>
                  <w:rPr>
                    <w:rFonts w:ascii="Cambria Math" w:eastAsiaTheme="minorEastAsia" w:hAnsi="Cambria Math" w:cs="Times New Roman"/>
                    <w:sz w:val="24"/>
                    <w:szCs w:val="24"/>
                    <w:lang w:val="en-US"/>
                  </w:rPr>
                  <m:t>3</m:t>
                </m:r>
              </m:sup>
            </m:sSup>
          </m:den>
        </m:f>
      </m:oMath>
      <w:r w:rsidRPr="00561B7E">
        <w:rPr>
          <w:rFonts w:ascii="Times New Roman" w:eastAsiaTheme="minorEastAsia" w:hAnsi="Times New Roman" w:cs="Times New Roman"/>
          <w:sz w:val="24"/>
          <w:szCs w:val="24"/>
          <w:lang w:val="en-US"/>
        </w:rPr>
        <w:t>+</w:t>
      </w:r>
      <m:oMath>
        <m:f>
          <m:fPr>
            <m:ctrlPr>
              <w:rPr>
                <w:rFonts w:ascii="Cambria Math" w:eastAsiaTheme="minorEastAsia" w:hAnsi="Cambria Math" w:cs="Times New Roman"/>
                <w:i/>
                <w:sz w:val="24"/>
                <w:szCs w:val="24"/>
                <w:lang w:val="en-US"/>
              </w:rPr>
            </m:ctrlPr>
          </m:fPr>
          <m:num>
            <m:r>
              <w:rPr>
                <w:rFonts w:ascii="Cambria Math" w:eastAsiaTheme="minorEastAsia" w:hAnsi="Cambria Math" w:cs="Times New Roman"/>
                <w:sz w:val="24"/>
                <w:szCs w:val="24"/>
                <w:lang w:val="en-US"/>
              </w:rPr>
              <m:t>55</m:t>
            </m:r>
          </m:num>
          <m:den>
            <m:sSup>
              <m:sSupPr>
                <m:ctrlPr>
                  <w:rPr>
                    <w:rFonts w:ascii="Cambria Math" w:eastAsiaTheme="minorEastAsia" w:hAnsi="Cambria Math" w:cs="Times New Roman"/>
                    <w:i/>
                    <w:sz w:val="24"/>
                    <w:szCs w:val="24"/>
                    <w:lang w:val="en-US"/>
                  </w:rPr>
                </m:ctrlPr>
              </m:sSupPr>
              <m:e>
                <m:r>
                  <w:rPr>
                    <w:rFonts w:ascii="Cambria Math" w:eastAsiaTheme="minorEastAsia" w:hAnsi="Cambria Math" w:cs="Times New Roman"/>
                    <w:sz w:val="24"/>
                    <w:szCs w:val="24"/>
                    <w:lang w:val="en-US"/>
                  </w:rPr>
                  <m:t>(1+.0975)</m:t>
                </m:r>
              </m:e>
              <m:sup>
                <m:r>
                  <w:rPr>
                    <w:rFonts w:ascii="Cambria Math" w:eastAsiaTheme="minorEastAsia" w:hAnsi="Cambria Math" w:cs="Times New Roman"/>
                    <w:sz w:val="24"/>
                    <w:szCs w:val="24"/>
                    <w:lang w:val="en-US"/>
                  </w:rPr>
                  <m:t>4</m:t>
                </m:r>
              </m:sup>
            </m:sSup>
          </m:den>
        </m:f>
      </m:oMath>
      <w:r w:rsidRPr="00561B7E">
        <w:rPr>
          <w:rFonts w:ascii="Times New Roman" w:eastAsiaTheme="minorEastAsia" w:hAnsi="Times New Roman" w:cs="Times New Roman"/>
          <w:sz w:val="24"/>
          <w:szCs w:val="24"/>
          <w:lang w:val="en-US"/>
        </w:rPr>
        <w:t>+]-</w:t>
      </w:r>
      <w:r w:rsidRPr="00E62E95">
        <w:rPr>
          <w:rFonts w:ascii="Times New Roman" w:eastAsiaTheme="minorEastAsia" w:hAnsi="Times New Roman" w:cs="Times New Roman"/>
          <w:sz w:val="24"/>
          <w:szCs w:val="24"/>
          <w:lang w:val="en-US"/>
        </w:rPr>
        <w:t xml:space="preserve"> 80</w:t>
      </w:r>
    </w:p>
    <w:p w14:paraId="1CD674A8" w14:textId="77777777" w:rsidR="00766C8D" w:rsidRPr="00E62E95" w:rsidRDefault="00766C8D" w:rsidP="007C6BD1">
      <w:pPr>
        <w:spacing w:line="360" w:lineRule="auto"/>
        <w:jc w:val="both"/>
        <w:rPr>
          <w:rFonts w:ascii="Times New Roman" w:eastAsia="Times New Roman" w:hAnsi="Times New Roman" w:cs="Times New Roman"/>
          <w:color w:val="000000"/>
          <w:sz w:val="24"/>
          <w:szCs w:val="24"/>
          <w:lang w:val="en-US"/>
        </w:rPr>
      </w:pPr>
      <w:r w:rsidRPr="00E62E95">
        <w:rPr>
          <w:rFonts w:ascii="Times New Roman" w:eastAsia="Times New Roman" w:hAnsi="Times New Roman" w:cs="Times New Roman"/>
          <w:color w:val="000000"/>
          <w:sz w:val="24"/>
          <w:szCs w:val="24"/>
          <w:lang w:val="en-US"/>
        </w:rPr>
        <w:t xml:space="preserve">        = </w:t>
      </w:r>
      <w:r w:rsidR="00D9546D" w:rsidRPr="00D9546D">
        <w:rPr>
          <w:rFonts w:ascii="Times New Roman" w:hAnsi="Times New Roman" w:cs="Times New Roman"/>
          <w:sz w:val="24"/>
          <w:szCs w:val="24"/>
        </w:rPr>
        <w:t>£</w:t>
      </w:r>
      <w:r w:rsidRPr="00E62E95">
        <w:rPr>
          <w:rFonts w:ascii="Times New Roman" w:eastAsia="Times New Roman" w:hAnsi="Times New Roman" w:cs="Times New Roman"/>
          <w:color w:val="000000"/>
          <w:sz w:val="24"/>
          <w:szCs w:val="24"/>
          <w:lang w:val="en-US"/>
        </w:rPr>
        <w:t>9.68 Million.</w:t>
      </w:r>
    </w:p>
    <w:p w14:paraId="6A462001" w14:textId="77777777" w:rsidR="00766C8D" w:rsidRPr="00E62E95" w:rsidRDefault="00766C8D" w:rsidP="007C6BD1">
      <w:pPr>
        <w:spacing w:line="360" w:lineRule="auto"/>
        <w:jc w:val="both"/>
        <w:rPr>
          <w:rFonts w:ascii="Times New Roman" w:eastAsia="Times New Roman" w:hAnsi="Times New Roman" w:cs="Times New Roman"/>
          <w:color w:val="000000"/>
          <w:sz w:val="24"/>
          <w:szCs w:val="24"/>
          <w:lang w:val="en-US"/>
        </w:rPr>
      </w:pPr>
    </w:p>
    <w:p w14:paraId="7611DED1" w14:textId="69C5CAAA" w:rsidR="00766C8D" w:rsidRPr="00641C0B" w:rsidRDefault="00766C8D" w:rsidP="007C6BD1">
      <w:pPr>
        <w:spacing w:line="360" w:lineRule="auto"/>
        <w:jc w:val="both"/>
        <w:rPr>
          <w:rFonts w:ascii="Times New Roman" w:hAnsi="Times New Roman" w:cs="Times New Roman"/>
          <w:sz w:val="24"/>
          <w:szCs w:val="24"/>
        </w:rPr>
      </w:pPr>
      <w:r w:rsidRPr="00E62E95">
        <w:rPr>
          <w:rFonts w:ascii="Times New Roman" w:hAnsi="Times New Roman" w:cs="Times New Roman"/>
          <w:sz w:val="24"/>
          <w:szCs w:val="24"/>
        </w:rPr>
        <w:lastRenderedPageBreak/>
        <w:t xml:space="preserve">This Positive NPV is indicating that the shareholder’s wealth </w:t>
      </w:r>
      <w:r w:rsidR="004D04AB">
        <w:rPr>
          <w:rFonts w:ascii="Times New Roman" w:hAnsi="Times New Roman" w:cs="Times New Roman"/>
          <w:sz w:val="24"/>
          <w:szCs w:val="24"/>
        </w:rPr>
        <w:t xml:space="preserve">within </w:t>
      </w:r>
      <w:r w:rsidRPr="00E62E95">
        <w:rPr>
          <w:rFonts w:ascii="Times New Roman" w:hAnsi="Times New Roman" w:cs="Times New Roman"/>
          <w:sz w:val="24"/>
          <w:szCs w:val="24"/>
        </w:rPr>
        <w:t>the company will be improved by</w:t>
      </w:r>
      <w:r w:rsidR="009E5061">
        <w:rPr>
          <w:rFonts w:ascii="Times New Roman" w:hAnsi="Times New Roman" w:cs="Times New Roman"/>
          <w:sz w:val="24"/>
          <w:szCs w:val="24"/>
        </w:rPr>
        <w:t xml:space="preserve"> </w:t>
      </w:r>
      <w:r w:rsidRPr="00E62E95">
        <w:rPr>
          <w:rFonts w:ascii="Times New Roman" w:hAnsi="Times New Roman" w:cs="Times New Roman"/>
          <w:sz w:val="24"/>
          <w:szCs w:val="24"/>
        </w:rPr>
        <w:t xml:space="preserve"> </w:t>
      </w:r>
      <w:r w:rsidR="00D9546D" w:rsidRPr="00D9546D">
        <w:rPr>
          <w:rFonts w:ascii="Times New Roman" w:hAnsi="Times New Roman" w:cs="Times New Roman"/>
          <w:sz w:val="24"/>
          <w:szCs w:val="24"/>
        </w:rPr>
        <w:t>£</w:t>
      </w:r>
      <w:r w:rsidRPr="00E62E95">
        <w:rPr>
          <w:rFonts w:ascii="Times New Roman" w:hAnsi="Times New Roman" w:cs="Times New Roman"/>
          <w:sz w:val="24"/>
          <w:szCs w:val="24"/>
        </w:rPr>
        <w:t xml:space="preserve">9.68 million if the company accepts the project A as the project will yield adequate cash flow to repay the cost of capital of the firm and excess cash flow of </w:t>
      </w:r>
      <w:r w:rsidR="00D9546D" w:rsidRPr="00D9546D">
        <w:rPr>
          <w:rFonts w:ascii="Times New Roman" w:hAnsi="Times New Roman" w:cs="Times New Roman"/>
          <w:sz w:val="24"/>
          <w:szCs w:val="24"/>
        </w:rPr>
        <w:t>£</w:t>
      </w:r>
      <w:r w:rsidRPr="00E62E95">
        <w:rPr>
          <w:rFonts w:ascii="Times New Roman" w:hAnsi="Times New Roman" w:cs="Times New Roman"/>
          <w:sz w:val="24"/>
          <w:szCs w:val="24"/>
        </w:rPr>
        <w:t>9.68 million will be added to the shareholders wealth of the company.</w:t>
      </w:r>
    </w:p>
    <w:p w14:paraId="269DDC8E" w14:textId="77777777" w:rsidR="00766C8D" w:rsidRPr="00817582" w:rsidRDefault="00766C8D" w:rsidP="007C6BD1">
      <w:pPr>
        <w:spacing w:line="360" w:lineRule="auto"/>
        <w:jc w:val="both"/>
        <w:rPr>
          <w:rFonts w:ascii="Times New Roman" w:eastAsiaTheme="minorEastAsia" w:hAnsi="Times New Roman" w:cs="Times New Roman"/>
          <w:b/>
          <w:sz w:val="24"/>
          <w:szCs w:val="24"/>
        </w:rPr>
      </w:pPr>
      <w:r w:rsidRPr="00817582">
        <w:rPr>
          <w:rFonts w:ascii="Times New Roman" w:eastAsiaTheme="minorEastAsia" w:hAnsi="Times New Roman" w:cs="Times New Roman"/>
          <w:b/>
          <w:sz w:val="24"/>
          <w:szCs w:val="24"/>
        </w:rPr>
        <w:t>NPV of Project B:</w:t>
      </w:r>
    </w:p>
    <w:p w14:paraId="11230B55" w14:textId="77777777" w:rsidR="00766C8D" w:rsidRPr="00E62E95" w:rsidRDefault="00766C8D" w:rsidP="007C6BD1">
      <w:pPr>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NPV</w:t>
      </w:r>
      <w:r w:rsidR="00817582">
        <w:rPr>
          <w:rFonts w:ascii="Times New Roman" w:eastAsiaTheme="minorEastAsia" w:hAnsi="Times New Roman" w:cs="Times New Roman"/>
          <w:sz w:val="24"/>
          <w:szCs w:val="24"/>
        </w:rPr>
        <w:t xml:space="preserve"> of</w:t>
      </w:r>
      <w:r w:rsidRPr="00E62E95">
        <w:rPr>
          <w:rFonts w:ascii="Times New Roman" w:eastAsiaTheme="minorEastAsia" w:hAnsi="Times New Roman" w:cs="Times New Roman"/>
          <w:sz w:val="24"/>
          <w:szCs w:val="24"/>
        </w:rPr>
        <w:t xml:space="preserve"> Project B is</w:t>
      </w:r>
    </w:p>
    <w:p w14:paraId="087663E5" w14:textId="77777777" w:rsidR="00766C8D" w:rsidRPr="00E62E95" w:rsidRDefault="00766C8D" w:rsidP="007C6BD1">
      <w:pPr>
        <w:spacing w:line="360" w:lineRule="auto"/>
        <w:jc w:val="both"/>
        <w:rPr>
          <w:rFonts w:ascii="Times New Roman" w:eastAsiaTheme="minorEastAsia" w:hAnsi="Times New Roman" w:cs="Times New Roman"/>
          <w:sz w:val="24"/>
          <w:szCs w:val="24"/>
        </w:rPr>
      </w:pPr>
    </w:p>
    <w:p w14:paraId="40E2FB84" w14:textId="77777777" w:rsidR="00766C8D" w:rsidRPr="00561B7E" w:rsidRDefault="00766C8D" w:rsidP="007C6BD1">
      <w:pPr>
        <w:spacing w:line="360" w:lineRule="auto"/>
        <w:jc w:val="both"/>
        <w:rPr>
          <w:rFonts w:ascii="Times New Roman" w:eastAsiaTheme="minorEastAsia" w:hAnsi="Times New Roman" w:cs="Times New Roman"/>
          <w:sz w:val="24"/>
          <w:szCs w:val="24"/>
          <w:lang w:val="en-US"/>
        </w:rPr>
      </w:pPr>
      <w:r w:rsidRPr="00561B7E">
        <w:rPr>
          <w:rFonts w:ascii="Times New Roman" w:eastAsiaTheme="minorEastAsia" w:hAnsi="Times New Roman" w:cs="Times New Roman"/>
          <w:sz w:val="24"/>
          <w:szCs w:val="24"/>
          <w:lang w:val="en-US"/>
        </w:rPr>
        <w:t xml:space="preserve">NPV= [ </w:t>
      </w:r>
      <m:oMath>
        <m:f>
          <m:fPr>
            <m:ctrlPr>
              <w:rPr>
                <w:rFonts w:ascii="Cambria Math" w:hAnsi="Cambria Math" w:cs="Times New Roman"/>
                <w:sz w:val="24"/>
                <w:szCs w:val="24"/>
                <w:lang w:val="en-US"/>
              </w:rPr>
            </m:ctrlPr>
          </m:fPr>
          <m:num>
            <m:r>
              <w:rPr>
                <w:rFonts w:ascii="Cambria Math" w:hAnsi="Cambria Math" w:cs="Times New Roman"/>
                <w:sz w:val="24"/>
                <w:szCs w:val="24"/>
                <w:lang w:val="en-US"/>
              </w:rPr>
              <m:t>50</m:t>
            </m:r>
          </m:num>
          <m:den>
            <m:sSup>
              <m:sSupPr>
                <m:ctrlPr>
                  <w:rPr>
                    <w:rFonts w:ascii="Cambria Math" w:hAnsi="Cambria Math" w:cs="Times New Roman"/>
                    <w:sz w:val="24"/>
                    <w:szCs w:val="24"/>
                    <w:lang w:val="en-US"/>
                  </w:rPr>
                </m:ctrlPr>
              </m:sSupPr>
              <m:e>
                <m:r>
                  <w:rPr>
                    <w:rFonts w:ascii="Cambria Math" w:hAnsi="Cambria Math" w:cs="Times New Roman"/>
                    <w:sz w:val="24"/>
                    <w:szCs w:val="24"/>
                    <w:lang w:val="en-US"/>
                  </w:rPr>
                  <m:t>(1+.0975)</m:t>
                </m:r>
              </m:e>
              <m:sup>
                <m:r>
                  <w:rPr>
                    <w:rFonts w:ascii="Cambria Math" w:hAnsi="Cambria Math" w:cs="Times New Roman"/>
                    <w:sz w:val="24"/>
                    <w:szCs w:val="24"/>
                    <w:lang w:val="en-US"/>
                  </w:rPr>
                  <m:t>1</m:t>
                </m:r>
              </m:sup>
            </m:sSup>
          </m:den>
        </m:f>
      </m:oMath>
      <w:r w:rsidRPr="00561B7E">
        <w:rPr>
          <w:rFonts w:ascii="Times New Roman" w:eastAsiaTheme="minorEastAsia" w:hAnsi="Times New Roman" w:cs="Times New Roman"/>
          <w:sz w:val="24"/>
          <w:szCs w:val="24"/>
          <w:lang w:val="en-US"/>
        </w:rPr>
        <w:t>+</w:t>
      </w:r>
      <m:oMath>
        <m:f>
          <m:fPr>
            <m:ctrlPr>
              <w:rPr>
                <w:rFonts w:ascii="Cambria Math" w:eastAsiaTheme="minorEastAsia" w:hAnsi="Cambria Math" w:cs="Times New Roman"/>
                <w:i/>
                <w:sz w:val="24"/>
                <w:szCs w:val="24"/>
                <w:lang w:val="en-US"/>
              </w:rPr>
            </m:ctrlPr>
          </m:fPr>
          <m:num>
            <m:r>
              <w:rPr>
                <w:rFonts w:ascii="Cambria Math" w:eastAsiaTheme="minorEastAsia" w:hAnsi="Cambria Math" w:cs="Times New Roman"/>
                <w:sz w:val="24"/>
                <w:szCs w:val="24"/>
                <w:lang w:val="en-US"/>
              </w:rPr>
              <m:t>20</m:t>
            </m:r>
          </m:num>
          <m:den>
            <m:sSup>
              <m:sSupPr>
                <m:ctrlPr>
                  <w:rPr>
                    <w:rFonts w:ascii="Cambria Math" w:eastAsiaTheme="minorEastAsia" w:hAnsi="Cambria Math" w:cs="Times New Roman"/>
                    <w:i/>
                    <w:sz w:val="24"/>
                    <w:szCs w:val="24"/>
                    <w:lang w:val="en-US"/>
                  </w:rPr>
                </m:ctrlPr>
              </m:sSupPr>
              <m:e>
                <m:r>
                  <w:rPr>
                    <w:rFonts w:ascii="Cambria Math" w:eastAsiaTheme="minorEastAsia" w:hAnsi="Cambria Math" w:cs="Times New Roman"/>
                    <w:sz w:val="24"/>
                    <w:szCs w:val="24"/>
                    <w:lang w:val="en-US"/>
                  </w:rPr>
                  <m:t>(1+.0975)</m:t>
                </m:r>
              </m:e>
              <m:sup>
                <m:r>
                  <w:rPr>
                    <w:rFonts w:ascii="Cambria Math" w:eastAsiaTheme="minorEastAsia" w:hAnsi="Cambria Math" w:cs="Times New Roman"/>
                    <w:sz w:val="24"/>
                    <w:szCs w:val="24"/>
                    <w:lang w:val="en-US"/>
                  </w:rPr>
                  <m:t>2</m:t>
                </m:r>
              </m:sup>
            </m:sSup>
          </m:den>
        </m:f>
      </m:oMath>
      <w:r w:rsidRPr="00561B7E">
        <w:rPr>
          <w:rFonts w:ascii="Times New Roman" w:eastAsiaTheme="minorEastAsia" w:hAnsi="Times New Roman" w:cs="Times New Roman"/>
          <w:sz w:val="24"/>
          <w:szCs w:val="24"/>
          <w:lang w:val="en-US"/>
        </w:rPr>
        <w:t>+</w:t>
      </w:r>
      <m:oMath>
        <m:f>
          <m:fPr>
            <m:ctrlPr>
              <w:rPr>
                <w:rFonts w:ascii="Cambria Math" w:eastAsiaTheme="minorEastAsia" w:hAnsi="Cambria Math" w:cs="Times New Roman"/>
                <w:i/>
                <w:sz w:val="24"/>
                <w:szCs w:val="24"/>
                <w:lang w:val="en-US"/>
              </w:rPr>
            </m:ctrlPr>
          </m:fPr>
          <m:num>
            <m:r>
              <w:rPr>
                <w:rFonts w:ascii="Cambria Math" w:eastAsiaTheme="minorEastAsia" w:hAnsi="Cambria Math" w:cs="Times New Roman"/>
                <w:sz w:val="24"/>
                <w:szCs w:val="24"/>
                <w:lang w:val="en-US"/>
              </w:rPr>
              <m:t>20</m:t>
            </m:r>
          </m:num>
          <m:den>
            <m:sSup>
              <m:sSupPr>
                <m:ctrlPr>
                  <w:rPr>
                    <w:rFonts w:ascii="Cambria Math" w:eastAsiaTheme="minorEastAsia" w:hAnsi="Cambria Math" w:cs="Times New Roman"/>
                    <w:i/>
                    <w:sz w:val="24"/>
                    <w:szCs w:val="24"/>
                    <w:lang w:val="en-US"/>
                  </w:rPr>
                </m:ctrlPr>
              </m:sSupPr>
              <m:e>
                <m:r>
                  <w:rPr>
                    <w:rFonts w:ascii="Cambria Math" w:eastAsiaTheme="minorEastAsia" w:hAnsi="Cambria Math" w:cs="Times New Roman"/>
                    <w:sz w:val="24"/>
                    <w:szCs w:val="24"/>
                    <w:lang w:val="en-US"/>
                  </w:rPr>
                  <m:t>(1+.0975)</m:t>
                </m:r>
              </m:e>
              <m:sup>
                <m:r>
                  <w:rPr>
                    <w:rFonts w:ascii="Cambria Math" w:eastAsiaTheme="minorEastAsia" w:hAnsi="Cambria Math" w:cs="Times New Roman"/>
                    <w:sz w:val="24"/>
                    <w:szCs w:val="24"/>
                    <w:lang w:val="en-US"/>
                  </w:rPr>
                  <m:t>3</m:t>
                </m:r>
              </m:sup>
            </m:sSup>
          </m:den>
        </m:f>
      </m:oMath>
      <w:r w:rsidRPr="00561B7E">
        <w:rPr>
          <w:rFonts w:ascii="Times New Roman" w:eastAsiaTheme="minorEastAsia" w:hAnsi="Times New Roman" w:cs="Times New Roman"/>
          <w:sz w:val="24"/>
          <w:szCs w:val="24"/>
          <w:lang w:val="en-US"/>
        </w:rPr>
        <w:t>+</w:t>
      </w:r>
      <m:oMath>
        <m:f>
          <m:fPr>
            <m:ctrlPr>
              <w:rPr>
                <w:rFonts w:ascii="Cambria Math" w:eastAsiaTheme="minorEastAsia" w:hAnsi="Cambria Math" w:cs="Times New Roman"/>
                <w:i/>
                <w:sz w:val="24"/>
                <w:szCs w:val="24"/>
                <w:lang w:val="en-US"/>
              </w:rPr>
            </m:ctrlPr>
          </m:fPr>
          <m:num>
            <m:r>
              <w:rPr>
                <w:rFonts w:ascii="Cambria Math" w:eastAsiaTheme="minorEastAsia" w:hAnsi="Cambria Math" w:cs="Times New Roman"/>
                <w:sz w:val="24"/>
                <w:szCs w:val="24"/>
                <w:lang w:val="en-US"/>
              </w:rPr>
              <m:t>20</m:t>
            </m:r>
          </m:num>
          <m:den>
            <m:sSup>
              <m:sSupPr>
                <m:ctrlPr>
                  <w:rPr>
                    <w:rFonts w:ascii="Cambria Math" w:eastAsiaTheme="minorEastAsia" w:hAnsi="Cambria Math" w:cs="Times New Roman"/>
                    <w:i/>
                    <w:sz w:val="24"/>
                    <w:szCs w:val="24"/>
                    <w:lang w:val="en-US"/>
                  </w:rPr>
                </m:ctrlPr>
              </m:sSupPr>
              <m:e>
                <m:r>
                  <w:rPr>
                    <w:rFonts w:ascii="Cambria Math" w:eastAsiaTheme="minorEastAsia" w:hAnsi="Cambria Math" w:cs="Times New Roman"/>
                    <w:sz w:val="24"/>
                    <w:szCs w:val="24"/>
                    <w:lang w:val="en-US"/>
                  </w:rPr>
                  <m:t>(1+.0975)</m:t>
                </m:r>
              </m:e>
              <m:sup>
                <m:r>
                  <w:rPr>
                    <w:rFonts w:ascii="Cambria Math" w:eastAsiaTheme="minorEastAsia" w:hAnsi="Cambria Math" w:cs="Times New Roman"/>
                    <w:sz w:val="24"/>
                    <w:szCs w:val="24"/>
                    <w:lang w:val="en-US"/>
                  </w:rPr>
                  <m:t>4</m:t>
                </m:r>
              </m:sup>
            </m:sSup>
          </m:den>
        </m:f>
      </m:oMath>
      <w:r w:rsidRPr="00561B7E">
        <w:rPr>
          <w:rFonts w:ascii="Times New Roman" w:eastAsiaTheme="minorEastAsia" w:hAnsi="Times New Roman" w:cs="Times New Roman"/>
          <w:sz w:val="24"/>
          <w:szCs w:val="24"/>
          <w:lang w:val="en-US"/>
        </w:rPr>
        <w:t>+]-</w:t>
      </w:r>
      <w:r w:rsidRPr="00E62E95">
        <w:rPr>
          <w:rFonts w:ascii="Times New Roman" w:eastAsiaTheme="minorEastAsia" w:hAnsi="Times New Roman" w:cs="Times New Roman"/>
          <w:sz w:val="24"/>
          <w:szCs w:val="24"/>
          <w:lang w:val="en-US"/>
        </w:rPr>
        <w:t xml:space="preserve"> 75</w:t>
      </w:r>
    </w:p>
    <w:p w14:paraId="5ED7E10D" w14:textId="77777777" w:rsidR="00766C8D" w:rsidRPr="00E62E95" w:rsidRDefault="00766C8D" w:rsidP="007C6BD1">
      <w:pPr>
        <w:spacing w:line="360" w:lineRule="auto"/>
        <w:jc w:val="both"/>
        <w:rPr>
          <w:rFonts w:ascii="Times New Roman" w:eastAsia="Times New Roman" w:hAnsi="Times New Roman" w:cs="Times New Roman"/>
          <w:color w:val="000000"/>
          <w:sz w:val="24"/>
          <w:szCs w:val="24"/>
          <w:lang w:val="en-US"/>
        </w:rPr>
      </w:pPr>
      <w:r w:rsidRPr="00E62E95">
        <w:rPr>
          <w:rFonts w:ascii="Times New Roman" w:eastAsia="Times New Roman" w:hAnsi="Times New Roman" w:cs="Times New Roman"/>
          <w:color w:val="000000"/>
          <w:sz w:val="24"/>
          <w:szCs w:val="24"/>
          <w:lang w:val="en-US"/>
        </w:rPr>
        <w:t xml:space="preserve">        = </w:t>
      </w:r>
      <w:r w:rsidR="00817582" w:rsidRPr="00D9546D">
        <w:rPr>
          <w:rFonts w:ascii="Times New Roman" w:hAnsi="Times New Roman" w:cs="Times New Roman"/>
          <w:sz w:val="24"/>
          <w:szCs w:val="24"/>
        </w:rPr>
        <w:t>£</w:t>
      </w:r>
      <w:r w:rsidRPr="00E62E95">
        <w:rPr>
          <w:rFonts w:ascii="Times New Roman" w:eastAsia="Times New Roman" w:hAnsi="Times New Roman" w:cs="Times New Roman"/>
          <w:color w:val="000000"/>
          <w:sz w:val="24"/>
          <w:szCs w:val="24"/>
          <w:lang w:val="en-US"/>
        </w:rPr>
        <w:t>16.08 Million.</w:t>
      </w:r>
    </w:p>
    <w:p w14:paraId="1AE1915B" w14:textId="77777777" w:rsidR="00766C8D" w:rsidRPr="00E62E95" w:rsidRDefault="00766C8D" w:rsidP="007C6BD1">
      <w:pPr>
        <w:spacing w:line="360" w:lineRule="auto"/>
        <w:jc w:val="both"/>
        <w:rPr>
          <w:rFonts w:ascii="Times New Roman" w:eastAsia="Times New Roman" w:hAnsi="Times New Roman" w:cs="Times New Roman"/>
          <w:color w:val="000000"/>
          <w:sz w:val="24"/>
          <w:szCs w:val="24"/>
          <w:lang w:val="en-US"/>
        </w:rPr>
      </w:pPr>
    </w:p>
    <w:p w14:paraId="5A921D88" w14:textId="77777777" w:rsidR="00766C8D" w:rsidRPr="00E62E95" w:rsidRDefault="00766C8D" w:rsidP="007C6BD1">
      <w:pPr>
        <w:spacing w:line="360" w:lineRule="auto"/>
        <w:jc w:val="both"/>
        <w:rPr>
          <w:rFonts w:ascii="Times New Roman" w:hAnsi="Times New Roman" w:cs="Times New Roman"/>
          <w:sz w:val="24"/>
          <w:szCs w:val="24"/>
        </w:rPr>
      </w:pPr>
      <w:r w:rsidRPr="00E62E95">
        <w:rPr>
          <w:rFonts w:ascii="Times New Roman" w:hAnsi="Times New Roman" w:cs="Times New Roman"/>
          <w:sz w:val="24"/>
          <w:szCs w:val="24"/>
        </w:rPr>
        <w:t xml:space="preserve">This Positive NPV is indicating that the shareholder’s wealth of the company will be improved by </w:t>
      </w:r>
      <w:r w:rsidR="00D9546D" w:rsidRPr="00D9546D">
        <w:rPr>
          <w:rFonts w:ascii="Times New Roman" w:hAnsi="Times New Roman" w:cs="Times New Roman"/>
          <w:sz w:val="24"/>
          <w:szCs w:val="24"/>
        </w:rPr>
        <w:t>£</w:t>
      </w:r>
      <w:r w:rsidRPr="00E62E95">
        <w:rPr>
          <w:rFonts w:ascii="Times New Roman" w:hAnsi="Times New Roman" w:cs="Times New Roman"/>
          <w:sz w:val="24"/>
          <w:szCs w:val="24"/>
        </w:rPr>
        <w:t xml:space="preserve">16.08 million if the company accepts the project B as the project will yield adequate cash flow to repay the cost of capital of the firm and excess cash flow of </w:t>
      </w:r>
      <w:r w:rsidR="00D9546D" w:rsidRPr="00D9546D">
        <w:rPr>
          <w:rFonts w:ascii="Times New Roman" w:hAnsi="Times New Roman" w:cs="Times New Roman"/>
          <w:sz w:val="24"/>
          <w:szCs w:val="24"/>
        </w:rPr>
        <w:t>£</w:t>
      </w:r>
      <w:r w:rsidRPr="00E62E95">
        <w:rPr>
          <w:rFonts w:ascii="Times New Roman" w:hAnsi="Times New Roman" w:cs="Times New Roman"/>
          <w:sz w:val="24"/>
          <w:szCs w:val="24"/>
        </w:rPr>
        <w:t>16.08 million will be added to the shareholders wealth of the company.</w:t>
      </w:r>
    </w:p>
    <w:p w14:paraId="3283E391" w14:textId="77777777" w:rsidR="00766C8D" w:rsidRPr="00E62E95" w:rsidRDefault="00766C8D" w:rsidP="007C6BD1">
      <w:pPr>
        <w:spacing w:line="360" w:lineRule="auto"/>
        <w:jc w:val="both"/>
        <w:rPr>
          <w:rFonts w:ascii="Times New Roman" w:eastAsiaTheme="minorEastAsia" w:hAnsi="Times New Roman" w:cs="Times New Roman"/>
          <w:sz w:val="24"/>
          <w:szCs w:val="24"/>
        </w:rPr>
      </w:pPr>
    </w:p>
    <w:p w14:paraId="08BE0081" w14:textId="77777777" w:rsidR="00766C8D" w:rsidRPr="00817582" w:rsidRDefault="00766C8D" w:rsidP="007C6BD1">
      <w:pPr>
        <w:spacing w:line="360" w:lineRule="auto"/>
        <w:jc w:val="both"/>
        <w:rPr>
          <w:rFonts w:ascii="Times New Roman" w:hAnsi="Times New Roman" w:cs="Times New Roman"/>
          <w:b/>
          <w:sz w:val="24"/>
          <w:szCs w:val="24"/>
          <w:lang w:val="en-US"/>
        </w:rPr>
      </w:pPr>
      <w:r w:rsidRPr="00817582">
        <w:rPr>
          <w:rFonts w:ascii="Times New Roman" w:hAnsi="Times New Roman" w:cs="Times New Roman"/>
          <w:b/>
          <w:sz w:val="24"/>
          <w:szCs w:val="24"/>
          <w:lang w:val="en-US"/>
        </w:rPr>
        <w:t>Decision rule for project selection under NPV:</w:t>
      </w:r>
    </w:p>
    <w:p w14:paraId="7C260BA2" w14:textId="7750E2DD" w:rsidR="00766C8D" w:rsidRPr="00E62E95" w:rsidRDefault="00766C8D" w:rsidP="007C6BD1">
      <w:pPr>
        <w:spacing w:line="360" w:lineRule="auto"/>
        <w:jc w:val="both"/>
        <w:rPr>
          <w:rFonts w:ascii="Times New Roman" w:hAnsi="Times New Roman" w:cs="Times New Roman"/>
          <w:sz w:val="24"/>
          <w:szCs w:val="24"/>
          <w:lang w:val="en-US"/>
        </w:rPr>
      </w:pPr>
      <w:r w:rsidRPr="00E62E95">
        <w:rPr>
          <w:rFonts w:ascii="Times New Roman" w:hAnsi="Times New Roman" w:cs="Times New Roman"/>
          <w:sz w:val="24"/>
          <w:szCs w:val="24"/>
          <w:lang w:val="en-US"/>
        </w:rPr>
        <w:t xml:space="preserve">The decision rule </w:t>
      </w:r>
      <w:r w:rsidR="00472233">
        <w:rPr>
          <w:rFonts w:ascii="Times New Roman" w:hAnsi="Times New Roman" w:cs="Times New Roman"/>
          <w:sz w:val="24"/>
          <w:szCs w:val="24"/>
          <w:lang w:val="en-US"/>
        </w:rPr>
        <w:t xml:space="preserve">within </w:t>
      </w:r>
      <w:r w:rsidRPr="00E62E95">
        <w:rPr>
          <w:rFonts w:ascii="Times New Roman" w:hAnsi="Times New Roman" w:cs="Times New Roman"/>
          <w:sz w:val="24"/>
          <w:szCs w:val="24"/>
          <w:lang w:val="en-US"/>
        </w:rPr>
        <w:t xml:space="preserve">NPV for mutually exclusive projects is to select the project which offers higher NPV as the selection of such project will result </w:t>
      </w:r>
      <w:r w:rsidR="007845BB">
        <w:rPr>
          <w:rFonts w:ascii="Times New Roman" w:hAnsi="Times New Roman" w:cs="Times New Roman"/>
          <w:sz w:val="24"/>
          <w:szCs w:val="24"/>
          <w:lang w:val="en-US"/>
        </w:rPr>
        <w:t>with an</w:t>
      </w:r>
      <w:r w:rsidRPr="00E62E95">
        <w:rPr>
          <w:rFonts w:ascii="Times New Roman" w:hAnsi="Times New Roman" w:cs="Times New Roman"/>
          <w:sz w:val="24"/>
          <w:szCs w:val="24"/>
          <w:lang w:val="en-US"/>
        </w:rPr>
        <w:t xml:space="preserve"> increased shareholder wealth of the firm. Thus, Project B should be selected as the NPV for Project B (</w:t>
      </w:r>
      <w:r w:rsidR="00D9546D" w:rsidRPr="00D9546D">
        <w:rPr>
          <w:rFonts w:ascii="Times New Roman" w:hAnsi="Times New Roman" w:cs="Times New Roman"/>
          <w:sz w:val="24"/>
          <w:szCs w:val="24"/>
        </w:rPr>
        <w:t>£</w:t>
      </w:r>
      <w:r w:rsidRPr="00E62E95">
        <w:rPr>
          <w:rFonts w:ascii="Times New Roman" w:hAnsi="Times New Roman" w:cs="Times New Roman"/>
          <w:sz w:val="24"/>
          <w:szCs w:val="24"/>
          <w:lang w:val="en-US"/>
        </w:rPr>
        <w:t>16.08 Milli</w:t>
      </w:r>
      <w:r>
        <w:rPr>
          <w:rFonts w:ascii="Times New Roman" w:hAnsi="Times New Roman" w:cs="Times New Roman"/>
          <w:sz w:val="24"/>
          <w:szCs w:val="24"/>
          <w:lang w:val="en-US"/>
        </w:rPr>
        <w:t>on) is larger than the NPV of Pro</w:t>
      </w:r>
      <w:r w:rsidRPr="00E62E95">
        <w:rPr>
          <w:rFonts w:ascii="Times New Roman" w:hAnsi="Times New Roman" w:cs="Times New Roman"/>
          <w:sz w:val="24"/>
          <w:szCs w:val="24"/>
          <w:lang w:val="en-US"/>
        </w:rPr>
        <w:t>ject A (</w:t>
      </w:r>
      <w:r w:rsidR="00D9546D" w:rsidRPr="00D9546D">
        <w:rPr>
          <w:rFonts w:ascii="Times New Roman" w:hAnsi="Times New Roman" w:cs="Times New Roman"/>
          <w:sz w:val="24"/>
          <w:szCs w:val="24"/>
        </w:rPr>
        <w:t>£</w:t>
      </w:r>
      <w:r w:rsidRPr="00E62E95">
        <w:rPr>
          <w:rFonts w:ascii="Times New Roman" w:hAnsi="Times New Roman" w:cs="Times New Roman"/>
          <w:sz w:val="24"/>
          <w:szCs w:val="24"/>
          <w:lang w:val="en-US"/>
        </w:rPr>
        <w:t>9.68 Million).</w:t>
      </w:r>
    </w:p>
    <w:p w14:paraId="357020B5" w14:textId="77777777" w:rsidR="007C6BD1" w:rsidRDefault="007C6BD1" w:rsidP="007C6BD1">
      <w:pPr>
        <w:tabs>
          <w:tab w:val="left" w:pos="2744"/>
        </w:tabs>
        <w:spacing w:line="360" w:lineRule="auto"/>
        <w:jc w:val="both"/>
        <w:rPr>
          <w:rFonts w:ascii="Times New Roman" w:eastAsiaTheme="minorEastAsia" w:hAnsi="Times New Roman" w:cs="Times New Roman"/>
          <w:sz w:val="24"/>
          <w:szCs w:val="24"/>
        </w:rPr>
      </w:pPr>
    </w:p>
    <w:p w14:paraId="0076D9DE" w14:textId="77777777" w:rsidR="007C6BD1" w:rsidRDefault="007C6BD1" w:rsidP="007C6BD1">
      <w:pPr>
        <w:tabs>
          <w:tab w:val="left" w:pos="2744"/>
        </w:tabs>
        <w:spacing w:line="360" w:lineRule="auto"/>
        <w:jc w:val="both"/>
        <w:rPr>
          <w:rFonts w:ascii="Times New Roman" w:eastAsiaTheme="minorEastAsia" w:hAnsi="Times New Roman" w:cs="Times New Roman"/>
          <w:sz w:val="24"/>
          <w:szCs w:val="24"/>
        </w:rPr>
      </w:pPr>
    </w:p>
    <w:p w14:paraId="51389385" w14:textId="77777777" w:rsidR="00641C0B" w:rsidRDefault="00641C0B" w:rsidP="007C6BD1">
      <w:pPr>
        <w:tabs>
          <w:tab w:val="left" w:pos="2744"/>
        </w:tabs>
        <w:spacing w:line="360" w:lineRule="auto"/>
        <w:jc w:val="both"/>
        <w:rPr>
          <w:rFonts w:ascii="Times New Roman" w:eastAsiaTheme="minorEastAsia" w:hAnsi="Times New Roman" w:cs="Times New Roman"/>
          <w:sz w:val="24"/>
          <w:szCs w:val="24"/>
        </w:rPr>
      </w:pPr>
    </w:p>
    <w:p w14:paraId="5A993D96" w14:textId="5BD68EFE" w:rsidR="00766C8D" w:rsidRPr="00E62E95" w:rsidRDefault="00766C8D" w:rsidP="007C6BD1">
      <w:pPr>
        <w:tabs>
          <w:tab w:val="left" w:pos="2744"/>
        </w:tabs>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ab/>
      </w:r>
    </w:p>
    <w:p w14:paraId="7E47E5F5" w14:textId="2C8BF40B" w:rsidR="00817582" w:rsidRPr="007C6BD1" w:rsidRDefault="00817582" w:rsidP="007C6BD1">
      <w:pPr>
        <w:pStyle w:val="Heading2"/>
        <w:numPr>
          <w:ilvl w:val="0"/>
          <w:numId w:val="11"/>
        </w:numPr>
        <w:spacing w:line="360" w:lineRule="auto"/>
        <w:rPr>
          <w:b/>
          <w:color w:val="ED7D31" w:themeColor="accent2"/>
        </w:rPr>
      </w:pPr>
      <w:bookmarkStart w:id="9" w:name="_Toc69159411"/>
      <w:r w:rsidRPr="00580C99">
        <w:rPr>
          <w:b/>
          <w:color w:val="ED7D31" w:themeColor="accent2"/>
        </w:rPr>
        <w:lastRenderedPageBreak/>
        <w:t>Advantages and shortcomings of the PBP, ARR and NPV techniques.</w:t>
      </w:r>
      <w:bookmarkEnd w:id="9"/>
    </w:p>
    <w:p w14:paraId="274DF6BE" w14:textId="77777777" w:rsidR="00817582" w:rsidRPr="00817582" w:rsidRDefault="00817582" w:rsidP="007C6BD1">
      <w:pPr>
        <w:spacing w:line="360" w:lineRule="auto"/>
        <w:rPr>
          <w:rFonts w:ascii="Times New Roman" w:hAnsi="Times New Roman" w:cs="Times New Roman"/>
          <w:b/>
          <w:sz w:val="24"/>
          <w:szCs w:val="24"/>
        </w:rPr>
      </w:pPr>
      <w:r w:rsidRPr="00817582">
        <w:rPr>
          <w:rFonts w:ascii="Times New Roman" w:hAnsi="Times New Roman" w:cs="Times New Roman"/>
          <w:b/>
          <w:sz w:val="24"/>
          <w:szCs w:val="24"/>
        </w:rPr>
        <w:t>Payback Period:</w:t>
      </w:r>
    </w:p>
    <w:p w14:paraId="74FFB1E9" w14:textId="77777777" w:rsidR="00766C8D" w:rsidRPr="00E62E95" w:rsidRDefault="00766C8D" w:rsidP="007C6BD1">
      <w:pPr>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Advantages of Payback Period:</w:t>
      </w:r>
    </w:p>
    <w:p w14:paraId="10591E26" w14:textId="49D4DA04" w:rsidR="00766C8D" w:rsidRPr="00E62E95" w:rsidRDefault="00766C8D" w:rsidP="007C6BD1">
      <w:pPr>
        <w:pStyle w:val="ListParagraph"/>
        <w:numPr>
          <w:ilvl w:val="0"/>
          <w:numId w:val="2"/>
        </w:numPr>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Payback period is widely used capital budgeting techniques </w:t>
      </w:r>
      <w:r w:rsidR="00AD4AF3">
        <w:rPr>
          <w:rFonts w:ascii="Times New Roman" w:eastAsiaTheme="minorEastAsia" w:hAnsi="Times New Roman" w:cs="Times New Roman"/>
          <w:sz w:val="24"/>
          <w:szCs w:val="24"/>
        </w:rPr>
        <w:t xml:space="preserve">within </w:t>
      </w:r>
      <w:r w:rsidRPr="00E62E95">
        <w:rPr>
          <w:rFonts w:ascii="Times New Roman" w:eastAsiaTheme="minorEastAsia" w:hAnsi="Times New Roman" w:cs="Times New Roman"/>
          <w:sz w:val="24"/>
          <w:szCs w:val="24"/>
        </w:rPr>
        <w:t xml:space="preserve">the small and medium enterprise as this capital budgeting technique does not have any complex and critical assumptions inherent </w:t>
      </w:r>
      <w:r w:rsidR="00433B03">
        <w:rPr>
          <w:rFonts w:ascii="Times New Roman" w:eastAsiaTheme="minorEastAsia" w:hAnsi="Times New Roman" w:cs="Times New Roman"/>
          <w:sz w:val="24"/>
          <w:szCs w:val="24"/>
        </w:rPr>
        <w:t xml:space="preserve">within </w:t>
      </w:r>
      <w:r w:rsidRPr="00E62E95">
        <w:rPr>
          <w:rFonts w:ascii="Times New Roman" w:eastAsiaTheme="minorEastAsia" w:hAnsi="Times New Roman" w:cs="Times New Roman"/>
          <w:sz w:val="24"/>
          <w:szCs w:val="24"/>
        </w:rPr>
        <w:t>its mathematical approach</w:t>
      </w:r>
      <w:r w:rsidR="00641C0B">
        <w:rPr>
          <w:rFonts w:ascii="Times New Roman" w:eastAsiaTheme="minorEastAsia" w:hAnsi="Times New Roman" w:cs="Times New Roman"/>
          <w:sz w:val="24"/>
          <w:szCs w:val="24"/>
        </w:rPr>
        <w:t xml:space="preserve"> </w:t>
      </w:r>
      <w:r w:rsidR="00641C0B">
        <w:rPr>
          <w:rFonts w:ascii="Times New Roman" w:hAnsi="Times New Roman" w:cs="Times New Roman"/>
          <w:sz w:val="24"/>
          <w:szCs w:val="24"/>
          <w:lang w:val="en-US"/>
        </w:rPr>
        <w:t>(</w:t>
      </w:r>
      <w:r w:rsidR="00641C0B" w:rsidRPr="00185A5B">
        <w:rPr>
          <w:rFonts w:ascii="Times New Roman" w:hAnsi="Times New Roman" w:cs="Times New Roman"/>
          <w:color w:val="222222"/>
          <w:sz w:val="24"/>
          <w:szCs w:val="24"/>
          <w:shd w:val="clear" w:color="auto" w:fill="FFFFFF"/>
        </w:rPr>
        <w:t>Berk</w:t>
      </w:r>
      <w:r w:rsidR="00641C0B">
        <w:rPr>
          <w:rFonts w:ascii="Times New Roman" w:hAnsi="Times New Roman" w:cs="Times New Roman"/>
          <w:color w:val="222222"/>
          <w:sz w:val="24"/>
          <w:szCs w:val="24"/>
          <w:shd w:val="clear" w:color="auto" w:fill="FFFFFF"/>
        </w:rPr>
        <w:t xml:space="preserve"> et al., 2013)</w:t>
      </w:r>
      <w:r w:rsidRPr="00E62E95">
        <w:rPr>
          <w:rFonts w:ascii="Times New Roman" w:eastAsiaTheme="minorEastAsia" w:hAnsi="Times New Roman" w:cs="Times New Roman"/>
          <w:sz w:val="24"/>
          <w:szCs w:val="24"/>
        </w:rPr>
        <w:t>.</w:t>
      </w:r>
    </w:p>
    <w:p w14:paraId="45E65DDD" w14:textId="5E4B70F8" w:rsidR="00766C8D" w:rsidRPr="00E62E95" w:rsidRDefault="00766C8D" w:rsidP="007C6BD1">
      <w:pPr>
        <w:pStyle w:val="ListParagraph"/>
        <w:numPr>
          <w:ilvl w:val="0"/>
          <w:numId w:val="2"/>
        </w:numPr>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Payback period focuses on reducing the liquidity risk of the business as the acceptance of projects </w:t>
      </w:r>
      <w:r w:rsidR="008E5B83">
        <w:rPr>
          <w:rFonts w:ascii="Times New Roman" w:eastAsiaTheme="minorEastAsia" w:hAnsi="Times New Roman" w:cs="Times New Roman"/>
          <w:sz w:val="24"/>
          <w:szCs w:val="24"/>
        </w:rPr>
        <w:t xml:space="preserve">within its </w:t>
      </w:r>
      <w:r w:rsidRPr="00E62E95">
        <w:rPr>
          <w:rFonts w:ascii="Times New Roman" w:eastAsiaTheme="minorEastAsia" w:hAnsi="Times New Roman" w:cs="Times New Roman"/>
          <w:sz w:val="24"/>
          <w:szCs w:val="24"/>
        </w:rPr>
        <w:t xml:space="preserve">shorter payback period not only ensures the reduction of potential financial risk associated </w:t>
      </w:r>
      <w:r w:rsidR="008E5B83">
        <w:rPr>
          <w:rFonts w:ascii="Times New Roman" w:eastAsiaTheme="minorEastAsia" w:hAnsi="Times New Roman" w:cs="Times New Roman"/>
          <w:sz w:val="24"/>
          <w:szCs w:val="24"/>
        </w:rPr>
        <w:t xml:space="preserve">within </w:t>
      </w:r>
      <w:r w:rsidRPr="00E62E95">
        <w:rPr>
          <w:rFonts w:ascii="Times New Roman" w:eastAsiaTheme="minorEastAsia" w:hAnsi="Times New Roman" w:cs="Times New Roman"/>
          <w:sz w:val="24"/>
          <w:szCs w:val="24"/>
        </w:rPr>
        <w:t xml:space="preserve">the expected cash flows of the project but only ensures greater liquidity to the firm </w:t>
      </w:r>
      <w:r w:rsidR="008E5B83">
        <w:rPr>
          <w:rFonts w:ascii="Times New Roman" w:eastAsiaTheme="minorEastAsia" w:hAnsi="Times New Roman" w:cs="Times New Roman"/>
          <w:sz w:val="24"/>
          <w:szCs w:val="24"/>
        </w:rPr>
        <w:t xml:space="preserve">within </w:t>
      </w:r>
      <w:r w:rsidRPr="00E62E95">
        <w:rPr>
          <w:rFonts w:ascii="Times New Roman" w:eastAsiaTheme="minorEastAsia" w:hAnsi="Times New Roman" w:cs="Times New Roman"/>
          <w:sz w:val="24"/>
          <w:szCs w:val="24"/>
        </w:rPr>
        <w:t xml:space="preserve">recouping the investment expenditure within short period of time. </w:t>
      </w:r>
    </w:p>
    <w:p w14:paraId="31ABBAC2" w14:textId="77777777" w:rsidR="00766C8D" w:rsidRPr="00E62E95" w:rsidRDefault="00766C8D" w:rsidP="007C6BD1">
      <w:pPr>
        <w:tabs>
          <w:tab w:val="left" w:pos="8389"/>
        </w:tabs>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Disadvantages of Payback period:</w:t>
      </w:r>
    </w:p>
    <w:p w14:paraId="2428654B" w14:textId="77777777" w:rsidR="00766C8D" w:rsidRPr="00E62E95" w:rsidRDefault="00766C8D" w:rsidP="007C6BD1">
      <w:pPr>
        <w:pStyle w:val="ListParagraph"/>
        <w:numPr>
          <w:ilvl w:val="0"/>
          <w:numId w:val="3"/>
        </w:numPr>
        <w:tabs>
          <w:tab w:val="left" w:pos="8389"/>
        </w:tabs>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This capital budgeting technique ignores the assumption of time value of money as this technique puts similar weights to the different period cash flows, thus treating the cash flows of current period and cash flows of future as the same. </w:t>
      </w:r>
    </w:p>
    <w:p w14:paraId="3CC2A64B" w14:textId="77777777" w:rsidR="00766C8D" w:rsidRPr="00E62E95" w:rsidRDefault="00766C8D" w:rsidP="007C6BD1">
      <w:pPr>
        <w:pStyle w:val="ListParagraph"/>
        <w:numPr>
          <w:ilvl w:val="0"/>
          <w:numId w:val="3"/>
        </w:numPr>
        <w:tabs>
          <w:tab w:val="left" w:pos="8389"/>
        </w:tabs>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This method considers only the cash flows that is received from the project before the payback period, thus discarding the cash flows that occurs after the cut-off period of payback period regardless of their substantial size. </w:t>
      </w:r>
    </w:p>
    <w:p w14:paraId="48D95775" w14:textId="4479E44C" w:rsidR="00817582" w:rsidRPr="007C6BD1" w:rsidRDefault="00766C8D" w:rsidP="007C6BD1">
      <w:pPr>
        <w:pStyle w:val="ListParagraph"/>
        <w:numPr>
          <w:ilvl w:val="0"/>
          <w:numId w:val="3"/>
        </w:numPr>
        <w:tabs>
          <w:tab w:val="left" w:pos="8389"/>
        </w:tabs>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This method is applicable only for the conventional investment projects and fails to make conclusive investment decisions in unconventional projects </w:t>
      </w:r>
      <w:r w:rsidR="00053790">
        <w:rPr>
          <w:rFonts w:ascii="Times New Roman" w:eastAsiaTheme="minorEastAsia" w:hAnsi="Times New Roman" w:cs="Times New Roman"/>
          <w:sz w:val="24"/>
          <w:szCs w:val="24"/>
        </w:rPr>
        <w:t xml:space="preserve">characterised </w:t>
      </w:r>
      <w:r w:rsidRPr="00E62E95">
        <w:rPr>
          <w:rFonts w:ascii="Times New Roman" w:eastAsiaTheme="minorEastAsia" w:hAnsi="Times New Roman" w:cs="Times New Roman"/>
          <w:sz w:val="24"/>
          <w:szCs w:val="24"/>
        </w:rPr>
        <w:t>by no adequate initial investment or the investment fund is spread across the lifetime of the project.</w:t>
      </w:r>
    </w:p>
    <w:p w14:paraId="54FD0895" w14:textId="77777777" w:rsidR="00766C8D" w:rsidRPr="00817582" w:rsidRDefault="00817582" w:rsidP="007C6BD1">
      <w:pPr>
        <w:tabs>
          <w:tab w:val="left" w:pos="8389"/>
        </w:tabs>
        <w:spacing w:line="360" w:lineRule="auto"/>
        <w:jc w:val="both"/>
        <w:rPr>
          <w:rFonts w:ascii="Times New Roman" w:eastAsiaTheme="minorEastAsia" w:hAnsi="Times New Roman" w:cs="Times New Roman"/>
          <w:b/>
          <w:sz w:val="24"/>
          <w:szCs w:val="24"/>
        </w:rPr>
      </w:pPr>
      <w:r w:rsidRPr="00817582">
        <w:rPr>
          <w:rFonts w:ascii="Times New Roman" w:eastAsiaTheme="minorEastAsia" w:hAnsi="Times New Roman" w:cs="Times New Roman"/>
          <w:b/>
          <w:sz w:val="24"/>
          <w:szCs w:val="24"/>
        </w:rPr>
        <w:t>Accounting Rate of Return:</w:t>
      </w:r>
    </w:p>
    <w:p w14:paraId="0A3F173F" w14:textId="77777777" w:rsidR="00766C8D" w:rsidRPr="00E62E95" w:rsidRDefault="00766C8D" w:rsidP="007C6BD1">
      <w:pPr>
        <w:tabs>
          <w:tab w:val="left" w:pos="8389"/>
        </w:tabs>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Advantages of Accounting Rate of Return:</w:t>
      </w:r>
    </w:p>
    <w:p w14:paraId="316B7A91" w14:textId="408EE937" w:rsidR="00766C8D" w:rsidRPr="00E62E95" w:rsidRDefault="00766C8D" w:rsidP="007C6BD1">
      <w:pPr>
        <w:pStyle w:val="ListParagraph"/>
        <w:numPr>
          <w:ilvl w:val="0"/>
          <w:numId w:val="4"/>
        </w:numPr>
        <w:tabs>
          <w:tab w:val="left" w:pos="8389"/>
        </w:tabs>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This capital investment assessment method is based on the accounting profit concept and the information regarding the profitability of the firm can be accessed and obtained effortless from the prepared financial statements of the firm</w:t>
      </w:r>
      <w:r w:rsidR="00641C0B">
        <w:rPr>
          <w:rFonts w:ascii="Times New Roman" w:eastAsiaTheme="minorEastAsia" w:hAnsi="Times New Roman" w:cs="Times New Roman"/>
          <w:sz w:val="24"/>
          <w:szCs w:val="24"/>
        </w:rPr>
        <w:t xml:space="preserve"> (</w:t>
      </w:r>
      <w:r w:rsidR="00641C0B" w:rsidRPr="00185A5B">
        <w:rPr>
          <w:rFonts w:ascii="Times New Roman" w:hAnsi="Times New Roman" w:cs="Times New Roman"/>
          <w:color w:val="222222"/>
          <w:sz w:val="24"/>
          <w:szCs w:val="24"/>
          <w:shd w:val="clear" w:color="auto" w:fill="FFFFFF"/>
        </w:rPr>
        <w:t>Brigham</w:t>
      </w:r>
      <w:r w:rsidR="00641C0B">
        <w:rPr>
          <w:rFonts w:ascii="Times New Roman" w:hAnsi="Times New Roman" w:cs="Times New Roman"/>
          <w:color w:val="222222"/>
          <w:sz w:val="24"/>
          <w:szCs w:val="24"/>
          <w:shd w:val="clear" w:color="auto" w:fill="FFFFFF"/>
        </w:rPr>
        <w:t xml:space="preserve"> </w:t>
      </w:r>
      <w:r w:rsidR="00641C0B" w:rsidRPr="00185A5B">
        <w:rPr>
          <w:rFonts w:ascii="Times New Roman" w:hAnsi="Times New Roman" w:cs="Times New Roman"/>
          <w:color w:val="222222"/>
          <w:sz w:val="24"/>
          <w:szCs w:val="24"/>
          <w:shd w:val="clear" w:color="auto" w:fill="FFFFFF"/>
        </w:rPr>
        <w:t>and Houston, 2021</w:t>
      </w:r>
      <w:r w:rsidR="00641C0B">
        <w:rPr>
          <w:rFonts w:ascii="Times New Roman" w:hAnsi="Times New Roman" w:cs="Times New Roman"/>
          <w:color w:val="222222"/>
          <w:sz w:val="24"/>
          <w:szCs w:val="24"/>
          <w:shd w:val="clear" w:color="auto" w:fill="FFFFFF"/>
        </w:rPr>
        <w:t>)</w:t>
      </w:r>
      <w:r w:rsidRPr="00E62E95">
        <w:rPr>
          <w:rFonts w:ascii="Times New Roman" w:eastAsiaTheme="minorEastAsia" w:hAnsi="Times New Roman" w:cs="Times New Roman"/>
          <w:sz w:val="24"/>
          <w:szCs w:val="24"/>
        </w:rPr>
        <w:t xml:space="preserve">. The </w:t>
      </w:r>
      <w:r w:rsidR="00D9546D" w:rsidRPr="00E62E95">
        <w:rPr>
          <w:rFonts w:ascii="Times New Roman" w:eastAsiaTheme="minorEastAsia" w:hAnsi="Times New Roman" w:cs="Times New Roman"/>
          <w:sz w:val="24"/>
          <w:szCs w:val="24"/>
        </w:rPr>
        <w:t>availabi</w:t>
      </w:r>
      <w:r w:rsidR="00D9546D">
        <w:rPr>
          <w:rFonts w:ascii="Times New Roman" w:eastAsiaTheme="minorEastAsia" w:hAnsi="Times New Roman" w:cs="Times New Roman"/>
          <w:sz w:val="24"/>
          <w:szCs w:val="24"/>
        </w:rPr>
        <w:t>li</w:t>
      </w:r>
      <w:r w:rsidR="00D9546D" w:rsidRPr="00E62E95">
        <w:rPr>
          <w:rFonts w:ascii="Times New Roman" w:eastAsiaTheme="minorEastAsia" w:hAnsi="Times New Roman" w:cs="Times New Roman"/>
          <w:sz w:val="24"/>
          <w:szCs w:val="24"/>
        </w:rPr>
        <w:t>ty</w:t>
      </w:r>
      <w:r w:rsidRPr="00E62E95">
        <w:rPr>
          <w:rFonts w:ascii="Times New Roman" w:eastAsiaTheme="minorEastAsia" w:hAnsi="Times New Roman" w:cs="Times New Roman"/>
          <w:sz w:val="24"/>
          <w:szCs w:val="24"/>
        </w:rPr>
        <w:t xml:space="preserve"> of these financial information regarding the profit</w:t>
      </w:r>
      <w:r w:rsidR="00D9546D">
        <w:rPr>
          <w:rFonts w:ascii="Times New Roman" w:eastAsiaTheme="minorEastAsia" w:hAnsi="Times New Roman" w:cs="Times New Roman"/>
          <w:sz w:val="24"/>
          <w:szCs w:val="24"/>
        </w:rPr>
        <w:t xml:space="preserve">ability of the firm </w:t>
      </w:r>
      <w:r w:rsidR="00D9546D">
        <w:rPr>
          <w:rFonts w:ascii="Times New Roman" w:eastAsiaTheme="minorEastAsia" w:hAnsi="Times New Roman" w:cs="Times New Roman"/>
          <w:sz w:val="24"/>
          <w:szCs w:val="24"/>
        </w:rPr>
        <w:lastRenderedPageBreak/>
        <w:t>f</w:t>
      </w:r>
      <w:r w:rsidR="00D9546D" w:rsidRPr="00E62E95">
        <w:rPr>
          <w:rFonts w:ascii="Times New Roman" w:eastAsiaTheme="minorEastAsia" w:hAnsi="Times New Roman" w:cs="Times New Roman"/>
          <w:sz w:val="24"/>
          <w:szCs w:val="24"/>
        </w:rPr>
        <w:t>acilit</w:t>
      </w:r>
      <w:r w:rsidR="00D9546D">
        <w:rPr>
          <w:rFonts w:ascii="Times New Roman" w:eastAsiaTheme="minorEastAsia" w:hAnsi="Times New Roman" w:cs="Times New Roman"/>
          <w:sz w:val="24"/>
          <w:szCs w:val="24"/>
        </w:rPr>
        <w:t>at</w:t>
      </w:r>
      <w:r w:rsidR="00D9546D" w:rsidRPr="00E62E95">
        <w:rPr>
          <w:rFonts w:ascii="Times New Roman" w:eastAsiaTheme="minorEastAsia" w:hAnsi="Times New Roman" w:cs="Times New Roman"/>
          <w:sz w:val="24"/>
          <w:szCs w:val="24"/>
        </w:rPr>
        <w:t>es</w:t>
      </w:r>
      <w:r w:rsidRPr="00E62E95">
        <w:rPr>
          <w:rFonts w:ascii="Times New Roman" w:eastAsiaTheme="minorEastAsia" w:hAnsi="Times New Roman" w:cs="Times New Roman"/>
          <w:sz w:val="24"/>
          <w:szCs w:val="24"/>
        </w:rPr>
        <w:t xml:space="preserve"> not only the capital investment decision of the firm but also performance monitoring </w:t>
      </w:r>
      <w:r w:rsidR="00D9546D" w:rsidRPr="00E62E95">
        <w:rPr>
          <w:rFonts w:ascii="Times New Roman" w:eastAsiaTheme="minorEastAsia" w:hAnsi="Times New Roman" w:cs="Times New Roman"/>
          <w:sz w:val="24"/>
          <w:szCs w:val="24"/>
        </w:rPr>
        <w:t>function</w:t>
      </w:r>
      <w:r w:rsidRPr="00E62E95">
        <w:rPr>
          <w:rFonts w:ascii="Times New Roman" w:eastAsiaTheme="minorEastAsia" w:hAnsi="Times New Roman" w:cs="Times New Roman"/>
          <w:sz w:val="24"/>
          <w:szCs w:val="24"/>
        </w:rPr>
        <w:t xml:space="preserve"> of the project.</w:t>
      </w:r>
    </w:p>
    <w:p w14:paraId="460BBCE4" w14:textId="77777777" w:rsidR="00766C8D" w:rsidRPr="00E62E95" w:rsidRDefault="00766C8D" w:rsidP="007C6BD1">
      <w:pPr>
        <w:tabs>
          <w:tab w:val="left" w:pos="8389"/>
        </w:tabs>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Disadvantages of Accounting Rate of Return:</w:t>
      </w:r>
    </w:p>
    <w:p w14:paraId="4B5A5371" w14:textId="0E199DF1" w:rsidR="00766C8D" w:rsidRPr="00E62E95" w:rsidRDefault="00766C8D" w:rsidP="007C6BD1">
      <w:pPr>
        <w:pStyle w:val="ListParagraph"/>
        <w:numPr>
          <w:ilvl w:val="0"/>
          <w:numId w:val="4"/>
        </w:numPr>
        <w:tabs>
          <w:tab w:val="left" w:pos="8389"/>
        </w:tabs>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Since this method is based on the accounting standards and principles, a significant change </w:t>
      </w:r>
      <w:r w:rsidR="004E5F92">
        <w:rPr>
          <w:rFonts w:ascii="Times New Roman" w:eastAsiaTheme="minorEastAsia" w:hAnsi="Times New Roman" w:cs="Times New Roman"/>
          <w:sz w:val="24"/>
          <w:szCs w:val="24"/>
        </w:rPr>
        <w:t xml:space="preserve">within </w:t>
      </w:r>
      <w:r w:rsidRPr="00E62E95">
        <w:rPr>
          <w:rFonts w:ascii="Times New Roman" w:eastAsiaTheme="minorEastAsia" w:hAnsi="Times New Roman" w:cs="Times New Roman"/>
          <w:sz w:val="24"/>
          <w:szCs w:val="24"/>
        </w:rPr>
        <w:t>the accounting standards</w:t>
      </w:r>
      <w:r>
        <w:rPr>
          <w:rFonts w:ascii="Times New Roman" w:eastAsiaTheme="minorEastAsia" w:hAnsi="Times New Roman" w:cs="Times New Roman"/>
          <w:sz w:val="24"/>
          <w:szCs w:val="24"/>
        </w:rPr>
        <w:t xml:space="preserve"> and policies</w:t>
      </w:r>
      <w:r w:rsidRPr="00E62E95">
        <w:rPr>
          <w:rFonts w:ascii="Times New Roman" w:eastAsiaTheme="minorEastAsia" w:hAnsi="Times New Roman" w:cs="Times New Roman"/>
          <w:sz w:val="24"/>
          <w:szCs w:val="24"/>
        </w:rPr>
        <w:t xml:space="preserve"> can result in </w:t>
      </w:r>
      <w:r w:rsidR="00606662">
        <w:rPr>
          <w:rFonts w:ascii="Times New Roman" w:eastAsiaTheme="minorEastAsia" w:hAnsi="Times New Roman" w:cs="Times New Roman"/>
          <w:sz w:val="24"/>
          <w:szCs w:val="24"/>
        </w:rPr>
        <w:t xml:space="preserve">a </w:t>
      </w:r>
      <w:r w:rsidRPr="00E62E95">
        <w:rPr>
          <w:rFonts w:ascii="Times New Roman" w:eastAsiaTheme="minorEastAsia" w:hAnsi="Times New Roman" w:cs="Times New Roman"/>
          <w:sz w:val="24"/>
          <w:szCs w:val="24"/>
        </w:rPr>
        <w:t xml:space="preserve">significant change </w:t>
      </w:r>
      <w:r w:rsidR="00606662">
        <w:rPr>
          <w:rFonts w:ascii="Times New Roman" w:eastAsiaTheme="minorEastAsia" w:hAnsi="Times New Roman" w:cs="Times New Roman"/>
          <w:sz w:val="24"/>
          <w:szCs w:val="24"/>
        </w:rPr>
        <w:t xml:space="preserve">within </w:t>
      </w:r>
      <w:r w:rsidRPr="00E62E95">
        <w:rPr>
          <w:rFonts w:ascii="Times New Roman" w:eastAsiaTheme="minorEastAsia" w:hAnsi="Times New Roman" w:cs="Times New Roman"/>
          <w:sz w:val="24"/>
          <w:szCs w:val="24"/>
        </w:rPr>
        <w:t xml:space="preserve">the profitability of the firm. For example, changing the depreciation schedule from straight line method to MACRS method will result in significant changes </w:t>
      </w:r>
      <w:r w:rsidR="00606662">
        <w:rPr>
          <w:rFonts w:ascii="Times New Roman" w:eastAsiaTheme="minorEastAsia" w:hAnsi="Times New Roman" w:cs="Times New Roman"/>
          <w:sz w:val="24"/>
          <w:szCs w:val="24"/>
        </w:rPr>
        <w:t xml:space="preserve">within </w:t>
      </w:r>
      <w:r w:rsidRPr="00E62E95">
        <w:rPr>
          <w:rFonts w:ascii="Times New Roman" w:eastAsiaTheme="minorEastAsia" w:hAnsi="Times New Roman" w:cs="Times New Roman"/>
          <w:sz w:val="24"/>
          <w:szCs w:val="24"/>
        </w:rPr>
        <w:t>the profitability of the firm.</w:t>
      </w:r>
    </w:p>
    <w:p w14:paraId="633FF402" w14:textId="0E0785ED" w:rsidR="00766C8D" w:rsidRPr="00E62E95" w:rsidRDefault="00766C8D" w:rsidP="007C6BD1">
      <w:pPr>
        <w:pStyle w:val="ListParagraph"/>
        <w:numPr>
          <w:ilvl w:val="0"/>
          <w:numId w:val="4"/>
        </w:numPr>
        <w:tabs>
          <w:tab w:val="left" w:pos="8389"/>
        </w:tabs>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Since this method provides investment decision based on accounting profit and ignores the cash flows of the project, accepting project with higher ARR does not ensure that it will </w:t>
      </w:r>
      <w:r w:rsidR="00606662">
        <w:rPr>
          <w:rFonts w:ascii="Times New Roman" w:eastAsiaTheme="minorEastAsia" w:hAnsi="Times New Roman" w:cs="Times New Roman"/>
          <w:sz w:val="24"/>
          <w:szCs w:val="24"/>
        </w:rPr>
        <w:t xml:space="preserve">maximise </w:t>
      </w:r>
      <w:r w:rsidRPr="00E62E95">
        <w:rPr>
          <w:rFonts w:ascii="Times New Roman" w:eastAsiaTheme="minorEastAsia" w:hAnsi="Times New Roman" w:cs="Times New Roman"/>
          <w:sz w:val="24"/>
          <w:szCs w:val="24"/>
        </w:rPr>
        <w:t>the shareholders wealth</w:t>
      </w:r>
      <w:r w:rsidR="00641C0B">
        <w:rPr>
          <w:rFonts w:ascii="Times New Roman" w:eastAsiaTheme="minorEastAsia" w:hAnsi="Times New Roman" w:cs="Times New Roman"/>
          <w:sz w:val="24"/>
          <w:szCs w:val="24"/>
        </w:rPr>
        <w:t xml:space="preserve"> (</w:t>
      </w:r>
      <w:r w:rsidR="00641C0B" w:rsidRPr="00185A5B">
        <w:rPr>
          <w:rFonts w:ascii="Times New Roman" w:hAnsi="Times New Roman" w:cs="Times New Roman"/>
          <w:color w:val="222222"/>
          <w:sz w:val="24"/>
          <w:szCs w:val="24"/>
          <w:shd w:val="clear" w:color="auto" w:fill="FFFFFF"/>
        </w:rPr>
        <w:t>Brigham</w:t>
      </w:r>
      <w:r w:rsidR="00641C0B">
        <w:rPr>
          <w:rFonts w:ascii="Times New Roman" w:hAnsi="Times New Roman" w:cs="Times New Roman"/>
          <w:color w:val="222222"/>
          <w:sz w:val="24"/>
          <w:szCs w:val="24"/>
          <w:shd w:val="clear" w:color="auto" w:fill="FFFFFF"/>
        </w:rPr>
        <w:t xml:space="preserve"> </w:t>
      </w:r>
      <w:r w:rsidR="00641C0B" w:rsidRPr="00185A5B">
        <w:rPr>
          <w:rFonts w:ascii="Times New Roman" w:hAnsi="Times New Roman" w:cs="Times New Roman"/>
          <w:color w:val="222222"/>
          <w:sz w:val="24"/>
          <w:szCs w:val="24"/>
          <w:shd w:val="clear" w:color="auto" w:fill="FFFFFF"/>
        </w:rPr>
        <w:t>and Houston, 2021</w:t>
      </w:r>
      <w:r w:rsidR="00641C0B">
        <w:rPr>
          <w:rFonts w:ascii="Times New Roman" w:hAnsi="Times New Roman" w:cs="Times New Roman"/>
          <w:color w:val="222222"/>
          <w:sz w:val="24"/>
          <w:szCs w:val="24"/>
          <w:shd w:val="clear" w:color="auto" w:fill="FFFFFF"/>
        </w:rPr>
        <w:t>)</w:t>
      </w:r>
      <w:r w:rsidRPr="00E62E95">
        <w:rPr>
          <w:rFonts w:ascii="Times New Roman" w:eastAsiaTheme="minorEastAsia" w:hAnsi="Times New Roman" w:cs="Times New Roman"/>
          <w:sz w:val="24"/>
          <w:szCs w:val="24"/>
        </w:rPr>
        <w:t>.’</w:t>
      </w:r>
    </w:p>
    <w:p w14:paraId="2780E864" w14:textId="77777777" w:rsidR="00766C8D" w:rsidRPr="00E62E95" w:rsidRDefault="00766C8D" w:rsidP="007C6BD1">
      <w:pPr>
        <w:pStyle w:val="ListParagraph"/>
        <w:numPr>
          <w:ilvl w:val="0"/>
          <w:numId w:val="4"/>
        </w:numPr>
        <w:tabs>
          <w:tab w:val="left" w:pos="8389"/>
        </w:tabs>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 xml:space="preserve">Like other traditional capital budgeting technique such as payback period method, it ignores the time value of money concept. </w:t>
      </w:r>
    </w:p>
    <w:p w14:paraId="175FFAE1" w14:textId="77777777" w:rsidR="00766C8D" w:rsidRDefault="00766C8D" w:rsidP="007C6BD1">
      <w:pPr>
        <w:tabs>
          <w:tab w:val="left" w:pos="8389"/>
        </w:tabs>
        <w:spacing w:line="360" w:lineRule="auto"/>
        <w:jc w:val="both"/>
        <w:rPr>
          <w:rFonts w:ascii="Times New Roman" w:eastAsiaTheme="minorEastAsia" w:hAnsi="Times New Roman" w:cs="Times New Roman"/>
          <w:sz w:val="24"/>
          <w:szCs w:val="24"/>
        </w:rPr>
      </w:pPr>
    </w:p>
    <w:p w14:paraId="58284634" w14:textId="77777777" w:rsidR="00817582" w:rsidRPr="00817582" w:rsidRDefault="00817582" w:rsidP="007C6BD1">
      <w:pPr>
        <w:tabs>
          <w:tab w:val="left" w:pos="8389"/>
        </w:tabs>
        <w:spacing w:line="360" w:lineRule="auto"/>
        <w:jc w:val="both"/>
        <w:rPr>
          <w:rFonts w:ascii="Times New Roman" w:eastAsiaTheme="minorEastAsia" w:hAnsi="Times New Roman" w:cs="Times New Roman"/>
          <w:b/>
          <w:sz w:val="24"/>
          <w:szCs w:val="24"/>
        </w:rPr>
      </w:pPr>
      <w:r w:rsidRPr="00817582">
        <w:rPr>
          <w:rFonts w:ascii="Times New Roman" w:eastAsiaTheme="minorEastAsia" w:hAnsi="Times New Roman" w:cs="Times New Roman"/>
          <w:b/>
          <w:sz w:val="24"/>
          <w:szCs w:val="24"/>
        </w:rPr>
        <w:t>Net Present Value:</w:t>
      </w:r>
    </w:p>
    <w:p w14:paraId="1C1A2923" w14:textId="77777777" w:rsidR="00766C8D" w:rsidRPr="00E62E95" w:rsidRDefault="00766C8D" w:rsidP="007C6BD1">
      <w:pPr>
        <w:tabs>
          <w:tab w:val="left" w:pos="8389"/>
        </w:tabs>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Advantages of Net Present Value:</w:t>
      </w:r>
    </w:p>
    <w:p w14:paraId="32A8DAF0" w14:textId="6F299B2A" w:rsidR="00766C8D" w:rsidRPr="00E62E95" w:rsidRDefault="00766C8D" w:rsidP="007C6BD1">
      <w:pPr>
        <w:pStyle w:val="ListParagraph"/>
        <w:numPr>
          <w:ilvl w:val="0"/>
          <w:numId w:val="5"/>
        </w:numPr>
        <w:tabs>
          <w:tab w:val="left" w:pos="8389"/>
        </w:tabs>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This method can be used to derive the overall firm value of a company due to its value additively feature which allows the determination of firm value of a company by determining</w:t>
      </w:r>
      <w:r>
        <w:rPr>
          <w:rFonts w:ascii="Times New Roman" w:eastAsiaTheme="minorEastAsia" w:hAnsi="Times New Roman" w:cs="Times New Roman"/>
          <w:sz w:val="24"/>
          <w:szCs w:val="24"/>
        </w:rPr>
        <w:t xml:space="preserve"> and aggregating the NPV</w:t>
      </w:r>
      <w:r w:rsidRPr="00E62E95">
        <w:rPr>
          <w:rFonts w:ascii="Times New Roman" w:eastAsiaTheme="minorEastAsia" w:hAnsi="Times New Roman" w:cs="Times New Roman"/>
          <w:sz w:val="24"/>
          <w:szCs w:val="24"/>
        </w:rPr>
        <w:t xml:space="preserve"> of all investment projects undertaken by the firm</w:t>
      </w:r>
      <w:r w:rsidR="00641C0B">
        <w:rPr>
          <w:rFonts w:ascii="Times New Roman" w:eastAsiaTheme="minorEastAsia" w:hAnsi="Times New Roman" w:cs="Times New Roman"/>
          <w:sz w:val="24"/>
          <w:szCs w:val="24"/>
        </w:rPr>
        <w:t xml:space="preserve"> (</w:t>
      </w:r>
      <w:r w:rsidR="00641C0B" w:rsidRPr="00185A5B">
        <w:rPr>
          <w:rFonts w:ascii="Times New Roman" w:hAnsi="Times New Roman" w:cs="Times New Roman"/>
          <w:color w:val="222222"/>
          <w:sz w:val="24"/>
          <w:szCs w:val="24"/>
          <w:shd w:val="clear" w:color="auto" w:fill="FFFFFF"/>
        </w:rPr>
        <w:t>Brigham</w:t>
      </w:r>
      <w:r w:rsidR="00641C0B">
        <w:rPr>
          <w:rFonts w:ascii="Times New Roman" w:hAnsi="Times New Roman" w:cs="Times New Roman"/>
          <w:color w:val="222222"/>
          <w:sz w:val="24"/>
          <w:szCs w:val="24"/>
          <w:shd w:val="clear" w:color="auto" w:fill="FFFFFF"/>
        </w:rPr>
        <w:t xml:space="preserve"> </w:t>
      </w:r>
      <w:r w:rsidR="00641C0B" w:rsidRPr="00185A5B">
        <w:rPr>
          <w:rFonts w:ascii="Times New Roman" w:hAnsi="Times New Roman" w:cs="Times New Roman"/>
          <w:color w:val="222222"/>
          <w:sz w:val="24"/>
          <w:szCs w:val="24"/>
          <w:shd w:val="clear" w:color="auto" w:fill="FFFFFF"/>
        </w:rPr>
        <w:t>and Houston, 2021</w:t>
      </w:r>
      <w:r w:rsidR="00641C0B">
        <w:rPr>
          <w:rFonts w:ascii="Times New Roman" w:hAnsi="Times New Roman" w:cs="Times New Roman"/>
          <w:color w:val="222222"/>
          <w:sz w:val="24"/>
          <w:szCs w:val="24"/>
          <w:shd w:val="clear" w:color="auto" w:fill="FFFFFF"/>
        </w:rPr>
        <w:t>)</w:t>
      </w:r>
      <w:r w:rsidRPr="00E62E95">
        <w:rPr>
          <w:rFonts w:ascii="Times New Roman" w:eastAsiaTheme="minorEastAsia" w:hAnsi="Times New Roman" w:cs="Times New Roman"/>
          <w:sz w:val="24"/>
          <w:szCs w:val="24"/>
        </w:rPr>
        <w:t>.</w:t>
      </w:r>
    </w:p>
    <w:p w14:paraId="12E3FE02" w14:textId="77777777" w:rsidR="00766C8D" w:rsidRPr="00E62E95" w:rsidRDefault="00766C8D" w:rsidP="007C6BD1">
      <w:pPr>
        <w:pStyle w:val="ListParagraph"/>
        <w:numPr>
          <w:ilvl w:val="0"/>
          <w:numId w:val="5"/>
        </w:numPr>
        <w:tabs>
          <w:tab w:val="left" w:pos="8389"/>
        </w:tabs>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This method incorporates the time value of money assumption as it provides conclusive investment appraisal decision based on the discounting process and considers all the cash flows such as salvage value associated with the project in determining the investment viability of the project.</w:t>
      </w:r>
    </w:p>
    <w:p w14:paraId="4F945DE1" w14:textId="77777777" w:rsidR="00766C8D" w:rsidRPr="00E62E95" w:rsidRDefault="00766C8D" w:rsidP="007C6BD1">
      <w:pPr>
        <w:tabs>
          <w:tab w:val="left" w:pos="8389"/>
        </w:tabs>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Disadvantage of Net Present Value:</w:t>
      </w:r>
    </w:p>
    <w:p w14:paraId="09E261B3" w14:textId="3E0DC313" w:rsidR="00766C8D" w:rsidRPr="00E62E95" w:rsidRDefault="00766C8D" w:rsidP="007C6BD1">
      <w:pPr>
        <w:pStyle w:val="ListParagraph"/>
        <w:numPr>
          <w:ilvl w:val="0"/>
          <w:numId w:val="6"/>
        </w:numPr>
        <w:tabs>
          <w:tab w:val="left" w:pos="8389"/>
        </w:tabs>
        <w:spacing w:line="360" w:lineRule="auto"/>
        <w:jc w:val="both"/>
        <w:rPr>
          <w:rFonts w:ascii="Times New Roman" w:eastAsiaTheme="minorEastAsia" w:hAnsi="Times New Roman" w:cs="Times New Roman"/>
          <w:sz w:val="24"/>
          <w:szCs w:val="24"/>
        </w:rPr>
      </w:pPr>
      <w:r w:rsidRPr="00E62E95">
        <w:rPr>
          <w:rFonts w:ascii="Times New Roman" w:eastAsiaTheme="minorEastAsia" w:hAnsi="Times New Roman" w:cs="Times New Roman"/>
          <w:sz w:val="24"/>
          <w:szCs w:val="24"/>
        </w:rPr>
        <w:t>This method is empirically criti</w:t>
      </w:r>
      <w:r>
        <w:rPr>
          <w:rFonts w:ascii="Times New Roman" w:eastAsiaTheme="minorEastAsia" w:hAnsi="Times New Roman" w:cs="Times New Roman"/>
          <w:sz w:val="24"/>
          <w:szCs w:val="24"/>
        </w:rPr>
        <w:t>ci</w:t>
      </w:r>
      <w:r w:rsidRPr="00E62E95">
        <w:rPr>
          <w:rFonts w:ascii="Times New Roman" w:eastAsiaTheme="minorEastAsia" w:hAnsi="Times New Roman" w:cs="Times New Roman"/>
          <w:sz w:val="24"/>
          <w:szCs w:val="24"/>
        </w:rPr>
        <w:t xml:space="preserve">sed because of being an absolute measure which makes biased decision </w:t>
      </w:r>
      <w:r w:rsidR="00D07C2E">
        <w:rPr>
          <w:rFonts w:ascii="Times New Roman" w:eastAsiaTheme="minorEastAsia" w:hAnsi="Times New Roman" w:cs="Times New Roman"/>
          <w:sz w:val="24"/>
          <w:szCs w:val="24"/>
        </w:rPr>
        <w:t xml:space="preserve">within </w:t>
      </w:r>
      <w:r w:rsidRPr="00E62E95">
        <w:rPr>
          <w:rFonts w:ascii="Times New Roman" w:eastAsiaTheme="minorEastAsia" w:hAnsi="Times New Roman" w:cs="Times New Roman"/>
          <w:sz w:val="24"/>
          <w:szCs w:val="24"/>
        </w:rPr>
        <w:t xml:space="preserve">selecting the </w:t>
      </w:r>
      <w:r w:rsidR="001031CA" w:rsidRPr="00E62E95">
        <w:rPr>
          <w:rFonts w:ascii="Times New Roman" w:eastAsiaTheme="minorEastAsia" w:hAnsi="Times New Roman" w:cs="Times New Roman"/>
          <w:sz w:val="24"/>
          <w:szCs w:val="24"/>
        </w:rPr>
        <w:t>long-term</w:t>
      </w:r>
      <w:r w:rsidRPr="00E62E95">
        <w:rPr>
          <w:rFonts w:ascii="Times New Roman" w:eastAsiaTheme="minorEastAsia" w:hAnsi="Times New Roman" w:cs="Times New Roman"/>
          <w:sz w:val="24"/>
          <w:szCs w:val="24"/>
        </w:rPr>
        <w:t xml:space="preserve"> projects as it ignores the investment size associated with the project</w:t>
      </w:r>
      <w:r>
        <w:rPr>
          <w:rFonts w:ascii="Times New Roman" w:eastAsiaTheme="minorEastAsia" w:hAnsi="Times New Roman" w:cs="Times New Roman"/>
          <w:sz w:val="24"/>
          <w:szCs w:val="24"/>
        </w:rPr>
        <w:t>s</w:t>
      </w:r>
      <w:r w:rsidRPr="00E62E95">
        <w:rPr>
          <w:rFonts w:ascii="Times New Roman" w:eastAsiaTheme="minorEastAsia" w:hAnsi="Times New Roman" w:cs="Times New Roman"/>
          <w:sz w:val="24"/>
          <w:szCs w:val="24"/>
        </w:rPr>
        <w:t xml:space="preserve">. </w:t>
      </w:r>
    </w:p>
    <w:p w14:paraId="4CCAC527" w14:textId="77777777" w:rsidR="00766C8D" w:rsidRPr="00342789" w:rsidRDefault="00766C8D" w:rsidP="007C6BD1">
      <w:pPr>
        <w:spacing w:line="360" w:lineRule="auto"/>
        <w:jc w:val="both"/>
        <w:rPr>
          <w:rFonts w:ascii="Times New Roman" w:hAnsi="Times New Roman" w:cs="Times New Roman"/>
          <w:sz w:val="24"/>
          <w:szCs w:val="24"/>
          <w:lang w:val="en-US"/>
        </w:rPr>
      </w:pPr>
    </w:p>
    <w:p w14:paraId="19FA3AB1" w14:textId="77777777" w:rsidR="00342789" w:rsidRDefault="00D9546D" w:rsidP="007C6BD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non-financial factors influencing the capital budgeting decision of a business firm are:</w:t>
      </w:r>
    </w:p>
    <w:p w14:paraId="2FAA63C1" w14:textId="5CC34ACE" w:rsidR="00D9546D" w:rsidRDefault="002748EF" w:rsidP="007C6BD1">
      <w:pPr>
        <w:pStyle w:val="ListParagraph"/>
        <w:numPr>
          <w:ilvl w:val="0"/>
          <w:numId w:val="6"/>
        </w:num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w:t>
      </w:r>
      <w:r w:rsidR="00D9546D">
        <w:rPr>
          <w:rFonts w:ascii="Times New Roman" w:hAnsi="Times New Roman" w:cs="Times New Roman"/>
          <w:sz w:val="24"/>
          <w:szCs w:val="24"/>
          <w:lang w:val="en-US"/>
        </w:rPr>
        <w:t>Structure as well as corporate culture of the business.</w:t>
      </w:r>
    </w:p>
    <w:p w14:paraId="36C1B995" w14:textId="77777777" w:rsidR="00D9546D" w:rsidRDefault="00D9546D" w:rsidP="007C6BD1">
      <w:pPr>
        <w:pStyle w:val="ListParagraph"/>
        <w:numPr>
          <w:ilvl w:val="0"/>
          <w:numId w:val="6"/>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Government policies such as tax rebates, government grants and subsidies.</w:t>
      </w:r>
    </w:p>
    <w:p w14:paraId="40F95422" w14:textId="77777777" w:rsidR="00D9546D" w:rsidRDefault="00D9546D" w:rsidP="007C6BD1">
      <w:pPr>
        <w:pStyle w:val="ListParagraph"/>
        <w:numPr>
          <w:ilvl w:val="0"/>
          <w:numId w:val="6"/>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Prevailing standards, policies and intensity of competition within the industry.</w:t>
      </w:r>
    </w:p>
    <w:p w14:paraId="381D6F5F" w14:textId="77777777" w:rsidR="00D9546D" w:rsidRDefault="00D9546D" w:rsidP="007C6BD1">
      <w:pPr>
        <w:pStyle w:val="ListParagraph"/>
        <w:numPr>
          <w:ilvl w:val="0"/>
          <w:numId w:val="6"/>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Existing and potential legal rules and regulation as well as legislation imposed by the government or regional authority.</w:t>
      </w:r>
    </w:p>
    <w:p w14:paraId="5C46733D" w14:textId="4346EBE6" w:rsidR="00D9546D" w:rsidRDefault="00D9546D" w:rsidP="007C6BD1">
      <w:pPr>
        <w:pStyle w:val="ListParagraph"/>
        <w:numPr>
          <w:ilvl w:val="0"/>
          <w:numId w:val="6"/>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Strategic and operational planning, goals and objectives </w:t>
      </w:r>
      <w:r w:rsidR="002748EF">
        <w:rPr>
          <w:rFonts w:ascii="Times New Roman" w:hAnsi="Times New Roman" w:cs="Times New Roman"/>
          <w:sz w:val="24"/>
          <w:szCs w:val="24"/>
          <w:lang w:val="en-US"/>
        </w:rPr>
        <w:t xml:space="preserve">within </w:t>
      </w:r>
      <w:r>
        <w:rPr>
          <w:rFonts w:ascii="Times New Roman" w:hAnsi="Times New Roman" w:cs="Times New Roman"/>
          <w:sz w:val="24"/>
          <w:szCs w:val="24"/>
          <w:lang w:val="en-US"/>
        </w:rPr>
        <w:t>the business.</w:t>
      </w:r>
    </w:p>
    <w:p w14:paraId="15BFE24D" w14:textId="46D367FF" w:rsidR="00D9546D" w:rsidRDefault="00D9546D" w:rsidP="007C6BD1">
      <w:pPr>
        <w:pStyle w:val="ListParagraph"/>
        <w:numPr>
          <w:ilvl w:val="0"/>
          <w:numId w:val="6"/>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skills and experience of the workforce.</w:t>
      </w:r>
    </w:p>
    <w:p w14:paraId="37496D3D" w14:textId="4B4E99D0" w:rsidR="001031CA" w:rsidRDefault="001031CA" w:rsidP="001031CA">
      <w:pPr>
        <w:spacing w:line="360" w:lineRule="auto"/>
        <w:jc w:val="both"/>
        <w:rPr>
          <w:rFonts w:ascii="Times New Roman" w:hAnsi="Times New Roman" w:cs="Times New Roman"/>
          <w:sz w:val="24"/>
          <w:szCs w:val="24"/>
          <w:lang w:val="en-US"/>
        </w:rPr>
      </w:pPr>
    </w:p>
    <w:p w14:paraId="216F9D07" w14:textId="51E7CE90" w:rsidR="001031CA" w:rsidRDefault="001031CA" w:rsidP="001031CA">
      <w:pPr>
        <w:spacing w:line="360" w:lineRule="auto"/>
        <w:jc w:val="both"/>
        <w:rPr>
          <w:rFonts w:ascii="Times New Roman" w:hAnsi="Times New Roman" w:cs="Times New Roman"/>
          <w:sz w:val="24"/>
          <w:szCs w:val="24"/>
          <w:lang w:val="en-US"/>
        </w:rPr>
      </w:pPr>
    </w:p>
    <w:p w14:paraId="44EC4CEB" w14:textId="384FAEB6" w:rsidR="001031CA" w:rsidRDefault="001031CA" w:rsidP="001031CA">
      <w:pPr>
        <w:spacing w:line="360" w:lineRule="auto"/>
        <w:jc w:val="both"/>
        <w:rPr>
          <w:rFonts w:ascii="Times New Roman" w:hAnsi="Times New Roman" w:cs="Times New Roman"/>
          <w:sz w:val="24"/>
          <w:szCs w:val="24"/>
          <w:lang w:val="en-US"/>
        </w:rPr>
      </w:pPr>
    </w:p>
    <w:p w14:paraId="63EE3FB3" w14:textId="460EB016" w:rsidR="001031CA" w:rsidRDefault="001031CA" w:rsidP="001031CA">
      <w:pPr>
        <w:spacing w:line="360" w:lineRule="auto"/>
        <w:jc w:val="both"/>
        <w:rPr>
          <w:rFonts w:ascii="Times New Roman" w:hAnsi="Times New Roman" w:cs="Times New Roman"/>
          <w:sz w:val="24"/>
          <w:szCs w:val="24"/>
          <w:lang w:val="en-US"/>
        </w:rPr>
      </w:pPr>
    </w:p>
    <w:p w14:paraId="3C8611B6" w14:textId="7E624529" w:rsidR="001031CA" w:rsidRDefault="001031CA" w:rsidP="001031CA">
      <w:pPr>
        <w:spacing w:line="360" w:lineRule="auto"/>
        <w:jc w:val="both"/>
        <w:rPr>
          <w:rFonts w:ascii="Times New Roman" w:hAnsi="Times New Roman" w:cs="Times New Roman"/>
          <w:sz w:val="24"/>
          <w:szCs w:val="24"/>
          <w:lang w:val="en-US"/>
        </w:rPr>
      </w:pPr>
    </w:p>
    <w:p w14:paraId="1B043221" w14:textId="0B03D5C3" w:rsidR="001031CA" w:rsidRDefault="001031CA" w:rsidP="001031CA">
      <w:pPr>
        <w:spacing w:line="360" w:lineRule="auto"/>
        <w:jc w:val="both"/>
        <w:rPr>
          <w:rFonts w:ascii="Times New Roman" w:hAnsi="Times New Roman" w:cs="Times New Roman"/>
          <w:sz w:val="24"/>
          <w:szCs w:val="24"/>
          <w:lang w:val="en-US"/>
        </w:rPr>
      </w:pPr>
    </w:p>
    <w:p w14:paraId="2D2C4F0A" w14:textId="17E10B20" w:rsidR="001031CA" w:rsidRDefault="001031CA" w:rsidP="001031CA">
      <w:pPr>
        <w:spacing w:line="360" w:lineRule="auto"/>
        <w:jc w:val="both"/>
        <w:rPr>
          <w:rFonts w:ascii="Times New Roman" w:hAnsi="Times New Roman" w:cs="Times New Roman"/>
          <w:sz w:val="24"/>
          <w:szCs w:val="24"/>
          <w:lang w:val="en-US"/>
        </w:rPr>
      </w:pPr>
    </w:p>
    <w:p w14:paraId="2F7491F5" w14:textId="26103AD9" w:rsidR="001031CA" w:rsidRDefault="001031CA" w:rsidP="001031CA">
      <w:pPr>
        <w:spacing w:line="360" w:lineRule="auto"/>
        <w:jc w:val="both"/>
        <w:rPr>
          <w:rFonts w:ascii="Times New Roman" w:hAnsi="Times New Roman" w:cs="Times New Roman"/>
          <w:sz w:val="24"/>
          <w:szCs w:val="24"/>
          <w:lang w:val="en-US"/>
        </w:rPr>
      </w:pPr>
    </w:p>
    <w:p w14:paraId="57AE5E50" w14:textId="576507D7" w:rsidR="001031CA" w:rsidRDefault="001031CA" w:rsidP="001031CA">
      <w:pPr>
        <w:spacing w:line="360" w:lineRule="auto"/>
        <w:jc w:val="both"/>
        <w:rPr>
          <w:rFonts w:ascii="Times New Roman" w:hAnsi="Times New Roman" w:cs="Times New Roman"/>
          <w:sz w:val="24"/>
          <w:szCs w:val="24"/>
          <w:lang w:val="en-US"/>
        </w:rPr>
      </w:pPr>
    </w:p>
    <w:p w14:paraId="59EAA8B5" w14:textId="1A570D49" w:rsidR="001031CA" w:rsidRDefault="001031CA" w:rsidP="001031CA">
      <w:pPr>
        <w:spacing w:line="360" w:lineRule="auto"/>
        <w:jc w:val="both"/>
        <w:rPr>
          <w:rFonts w:ascii="Times New Roman" w:hAnsi="Times New Roman" w:cs="Times New Roman"/>
          <w:sz w:val="24"/>
          <w:szCs w:val="24"/>
          <w:lang w:val="en-US"/>
        </w:rPr>
      </w:pPr>
    </w:p>
    <w:p w14:paraId="18A561B8" w14:textId="1BA28C2A" w:rsidR="001031CA" w:rsidRDefault="001031CA" w:rsidP="001031CA">
      <w:pPr>
        <w:spacing w:line="360" w:lineRule="auto"/>
        <w:jc w:val="both"/>
        <w:rPr>
          <w:rFonts w:ascii="Times New Roman" w:hAnsi="Times New Roman" w:cs="Times New Roman"/>
          <w:sz w:val="24"/>
          <w:szCs w:val="24"/>
          <w:lang w:val="en-US"/>
        </w:rPr>
      </w:pPr>
    </w:p>
    <w:p w14:paraId="45E7E333" w14:textId="6C04015A" w:rsidR="001031CA" w:rsidRDefault="001031CA" w:rsidP="001031CA">
      <w:pPr>
        <w:spacing w:line="360" w:lineRule="auto"/>
        <w:jc w:val="both"/>
        <w:rPr>
          <w:rFonts w:ascii="Times New Roman" w:hAnsi="Times New Roman" w:cs="Times New Roman"/>
          <w:sz w:val="24"/>
          <w:szCs w:val="24"/>
          <w:lang w:val="en-US"/>
        </w:rPr>
      </w:pPr>
    </w:p>
    <w:p w14:paraId="70B4D420" w14:textId="77777777" w:rsidR="001031CA" w:rsidRPr="001031CA" w:rsidRDefault="001031CA" w:rsidP="001031CA">
      <w:pPr>
        <w:spacing w:line="360" w:lineRule="auto"/>
        <w:jc w:val="both"/>
        <w:rPr>
          <w:rFonts w:ascii="Times New Roman" w:hAnsi="Times New Roman" w:cs="Times New Roman"/>
          <w:sz w:val="24"/>
          <w:szCs w:val="24"/>
          <w:lang w:val="en-US"/>
        </w:rPr>
      </w:pPr>
    </w:p>
    <w:p w14:paraId="71548160" w14:textId="77777777" w:rsidR="00817582" w:rsidRDefault="00817582" w:rsidP="007C6BD1">
      <w:pPr>
        <w:spacing w:line="360" w:lineRule="auto"/>
        <w:jc w:val="both"/>
        <w:rPr>
          <w:rFonts w:ascii="Times New Roman" w:hAnsi="Times New Roman" w:cs="Times New Roman"/>
          <w:sz w:val="24"/>
          <w:szCs w:val="24"/>
          <w:lang w:val="en-US"/>
        </w:rPr>
      </w:pPr>
    </w:p>
    <w:p w14:paraId="51F4471F" w14:textId="77777777" w:rsidR="00817582" w:rsidRPr="00817582" w:rsidRDefault="00817582" w:rsidP="007C6BD1">
      <w:pPr>
        <w:pStyle w:val="Heading1"/>
        <w:spacing w:line="360" w:lineRule="auto"/>
        <w:rPr>
          <w:b/>
          <w:lang w:val="en-US"/>
        </w:rPr>
      </w:pPr>
      <w:bookmarkStart w:id="10" w:name="_Toc69159412"/>
      <w:r w:rsidRPr="00817582">
        <w:rPr>
          <w:b/>
          <w:lang w:val="en-US"/>
        </w:rPr>
        <w:lastRenderedPageBreak/>
        <w:t>Conclusion:</w:t>
      </w:r>
      <w:bookmarkEnd w:id="10"/>
    </w:p>
    <w:p w14:paraId="235944DC" w14:textId="031C90E8" w:rsidR="00817582" w:rsidRPr="00342789" w:rsidRDefault="00817582" w:rsidP="007C6BD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study is indicating that Unilever is required to improve its sales revenue to ensure its sustainable development </w:t>
      </w:r>
      <w:r w:rsidR="00E25D66">
        <w:rPr>
          <w:rFonts w:ascii="Times New Roman" w:hAnsi="Times New Roman" w:cs="Times New Roman"/>
          <w:sz w:val="24"/>
          <w:szCs w:val="24"/>
          <w:lang w:val="en-US"/>
        </w:rPr>
        <w:t xml:space="preserve">within </w:t>
      </w:r>
      <w:r>
        <w:rPr>
          <w:rFonts w:ascii="Times New Roman" w:hAnsi="Times New Roman" w:cs="Times New Roman"/>
          <w:sz w:val="24"/>
          <w:szCs w:val="24"/>
          <w:lang w:val="en-US"/>
        </w:rPr>
        <w:t xml:space="preserve">this competitive and global business environment as the declining sales revenue and increasing cost of sales is creating substantial threat and financial uncertainty for Unilever. </w:t>
      </w:r>
    </w:p>
    <w:p w14:paraId="32B3622C" w14:textId="77777777" w:rsidR="00342789" w:rsidRPr="00342789" w:rsidRDefault="00342789" w:rsidP="007C6BD1">
      <w:pPr>
        <w:spacing w:line="360" w:lineRule="auto"/>
        <w:jc w:val="both"/>
        <w:rPr>
          <w:rFonts w:ascii="Times New Roman" w:hAnsi="Times New Roman" w:cs="Times New Roman"/>
          <w:sz w:val="24"/>
          <w:szCs w:val="24"/>
          <w:lang w:val="en-US"/>
        </w:rPr>
      </w:pPr>
    </w:p>
    <w:p w14:paraId="26C9F8F1" w14:textId="77777777" w:rsidR="00342789" w:rsidRPr="00342789" w:rsidRDefault="00342789" w:rsidP="007C6BD1">
      <w:pPr>
        <w:spacing w:line="360" w:lineRule="auto"/>
        <w:jc w:val="both"/>
        <w:rPr>
          <w:rFonts w:ascii="Times New Roman" w:hAnsi="Times New Roman" w:cs="Times New Roman"/>
          <w:sz w:val="24"/>
          <w:szCs w:val="24"/>
          <w:lang w:val="en-US"/>
        </w:rPr>
      </w:pPr>
    </w:p>
    <w:p w14:paraId="2D600FEA" w14:textId="77777777" w:rsidR="00342789" w:rsidRPr="00342789" w:rsidRDefault="00342789" w:rsidP="007C6BD1">
      <w:pPr>
        <w:spacing w:line="360" w:lineRule="auto"/>
        <w:jc w:val="both"/>
        <w:rPr>
          <w:rFonts w:ascii="Times New Roman" w:hAnsi="Times New Roman" w:cs="Times New Roman"/>
          <w:sz w:val="24"/>
          <w:szCs w:val="24"/>
          <w:lang w:val="en-US"/>
        </w:rPr>
      </w:pPr>
    </w:p>
    <w:p w14:paraId="594F6018" w14:textId="77777777" w:rsidR="00342789" w:rsidRPr="00342789" w:rsidRDefault="00342789" w:rsidP="007C6BD1">
      <w:pPr>
        <w:spacing w:line="360" w:lineRule="auto"/>
        <w:jc w:val="both"/>
        <w:rPr>
          <w:rFonts w:ascii="Times New Roman" w:hAnsi="Times New Roman" w:cs="Times New Roman"/>
          <w:sz w:val="24"/>
          <w:szCs w:val="24"/>
          <w:lang w:val="en-US"/>
        </w:rPr>
      </w:pPr>
    </w:p>
    <w:p w14:paraId="55265BA0" w14:textId="77777777" w:rsidR="00342789" w:rsidRPr="00342789" w:rsidRDefault="00342789" w:rsidP="007C6BD1">
      <w:pPr>
        <w:spacing w:line="360" w:lineRule="auto"/>
        <w:jc w:val="both"/>
        <w:rPr>
          <w:rFonts w:ascii="Times New Roman" w:hAnsi="Times New Roman" w:cs="Times New Roman"/>
          <w:sz w:val="24"/>
          <w:szCs w:val="24"/>
          <w:lang w:val="en-US"/>
        </w:rPr>
      </w:pPr>
    </w:p>
    <w:p w14:paraId="3B95D9F9" w14:textId="77777777" w:rsidR="00342789" w:rsidRPr="00342789" w:rsidRDefault="00342789" w:rsidP="007C6BD1">
      <w:pPr>
        <w:spacing w:line="360" w:lineRule="auto"/>
        <w:jc w:val="both"/>
        <w:rPr>
          <w:rFonts w:ascii="Times New Roman" w:hAnsi="Times New Roman" w:cs="Times New Roman"/>
          <w:sz w:val="24"/>
          <w:szCs w:val="24"/>
          <w:lang w:val="en-US"/>
        </w:rPr>
      </w:pPr>
    </w:p>
    <w:p w14:paraId="7ED7FEEB" w14:textId="77777777" w:rsidR="00342789" w:rsidRPr="00342789" w:rsidRDefault="00342789" w:rsidP="007C6BD1">
      <w:pPr>
        <w:spacing w:line="360" w:lineRule="auto"/>
        <w:jc w:val="both"/>
        <w:rPr>
          <w:rFonts w:ascii="Times New Roman" w:hAnsi="Times New Roman" w:cs="Times New Roman"/>
          <w:sz w:val="24"/>
          <w:szCs w:val="24"/>
          <w:lang w:val="en-US"/>
        </w:rPr>
      </w:pPr>
    </w:p>
    <w:p w14:paraId="3F5B78EE" w14:textId="77777777" w:rsidR="00342789" w:rsidRPr="00342789" w:rsidRDefault="00342789" w:rsidP="007C6BD1">
      <w:pPr>
        <w:spacing w:line="360" w:lineRule="auto"/>
        <w:jc w:val="both"/>
        <w:rPr>
          <w:rFonts w:ascii="Times New Roman" w:hAnsi="Times New Roman" w:cs="Times New Roman"/>
          <w:sz w:val="24"/>
          <w:szCs w:val="24"/>
          <w:lang w:val="en-US"/>
        </w:rPr>
      </w:pPr>
    </w:p>
    <w:p w14:paraId="333B0A2B" w14:textId="77777777" w:rsidR="00342789" w:rsidRPr="00342789" w:rsidRDefault="00342789" w:rsidP="007C6BD1">
      <w:pPr>
        <w:spacing w:line="360" w:lineRule="auto"/>
        <w:jc w:val="both"/>
        <w:rPr>
          <w:rFonts w:ascii="Times New Roman" w:hAnsi="Times New Roman" w:cs="Times New Roman"/>
          <w:sz w:val="24"/>
          <w:szCs w:val="24"/>
          <w:lang w:val="en-US"/>
        </w:rPr>
      </w:pPr>
    </w:p>
    <w:p w14:paraId="7B01E6F0" w14:textId="77777777" w:rsidR="00342789" w:rsidRPr="00342789" w:rsidRDefault="00342789" w:rsidP="007C6BD1">
      <w:pPr>
        <w:spacing w:line="360" w:lineRule="auto"/>
        <w:jc w:val="both"/>
        <w:rPr>
          <w:rFonts w:ascii="Times New Roman" w:hAnsi="Times New Roman" w:cs="Times New Roman"/>
          <w:sz w:val="24"/>
          <w:szCs w:val="24"/>
          <w:lang w:val="en-US"/>
        </w:rPr>
      </w:pPr>
    </w:p>
    <w:p w14:paraId="130584CB" w14:textId="77777777" w:rsidR="00342789" w:rsidRPr="00342789" w:rsidRDefault="00342789" w:rsidP="007C6BD1">
      <w:pPr>
        <w:spacing w:line="360" w:lineRule="auto"/>
        <w:jc w:val="both"/>
        <w:rPr>
          <w:rFonts w:ascii="Times New Roman" w:hAnsi="Times New Roman" w:cs="Times New Roman"/>
          <w:sz w:val="24"/>
          <w:szCs w:val="24"/>
          <w:lang w:val="en-US"/>
        </w:rPr>
      </w:pPr>
    </w:p>
    <w:p w14:paraId="707290C1" w14:textId="632E4227" w:rsidR="00342789" w:rsidRDefault="00342789" w:rsidP="007C6BD1">
      <w:pPr>
        <w:spacing w:line="360" w:lineRule="auto"/>
        <w:jc w:val="both"/>
        <w:rPr>
          <w:rFonts w:ascii="Times New Roman" w:hAnsi="Times New Roman" w:cs="Times New Roman"/>
          <w:sz w:val="24"/>
          <w:szCs w:val="24"/>
          <w:lang w:val="en-US"/>
        </w:rPr>
      </w:pPr>
    </w:p>
    <w:p w14:paraId="00ACB813" w14:textId="7D1E6593" w:rsidR="001031CA" w:rsidRDefault="001031CA" w:rsidP="007C6BD1">
      <w:pPr>
        <w:spacing w:line="360" w:lineRule="auto"/>
        <w:jc w:val="both"/>
        <w:rPr>
          <w:rFonts w:ascii="Times New Roman" w:hAnsi="Times New Roman" w:cs="Times New Roman"/>
          <w:sz w:val="24"/>
          <w:szCs w:val="24"/>
          <w:lang w:val="en-US"/>
        </w:rPr>
      </w:pPr>
    </w:p>
    <w:p w14:paraId="122BACD8" w14:textId="3092A3D3" w:rsidR="001031CA" w:rsidRDefault="001031CA" w:rsidP="007C6BD1">
      <w:pPr>
        <w:spacing w:line="360" w:lineRule="auto"/>
        <w:jc w:val="both"/>
        <w:rPr>
          <w:rFonts w:ascii="Times New Roman" w:hAnsi="Times New Roman" w:cs="Times New Roman"/>
          <w:sz w:val="24"/>
          <w:szCs w:val="24"/>
          <w:lang w:val="en-US"/>
        </w:rPr>
      </w:pPr>
    </w:p>
    <w:p w14:paraId="04A3A8D4" w14:textId="159071F5" w:rsidR="001031CA" w:rsidRDefault="001031CA" w:rsidP="007C6BD1">
      <w:pPr>
        <w:spacing w:line="360" w:lineRule="auto"/>
        <w:jc w:val="both"/>
        <w:rPr>
          <w:rFonts w:ascii="Times New Roman" w:hAnsi="Times New Roman" w:cs="Times New Roman"/>
          <w:sz w:val="24"/>
          <w:szCs w:val="24"/>
          <w:lang w:val="en-US"/>
        </w:rPr>
      </w:pPr>
    </w:p>
    <w:p w14:paraId="68A4BDE0" w14:textId="13153689" w:rsidR="001031CA" w:rsidRDefault="001031CA" w:rsidP="007C6BD1">
      <w:pPr>
        <w:spacing w:line="360" w:lineRule="auto"/>
        <w:jc w:val="both"/>
        <w:rPr>
          <w:rFonts w:ascii="Times New Roman" w:hAnsi="Times New Roman" w:cs="Times New Roman"/>
          <w:sz w:val="24"/>
          <w:szCs w:val="24"/>
          <w:lang w:val="en-US"/>
        </w:rPr>
      </w:pPr>
    </w:p>
    <w:p w14:paraId="2FD9D86C" w14:textId="77777777" w:rsidR="001031CA" w:rsidRPr="00342789" w:rsidRDefault="001031CA" w:rsidP="007C6BD1">
      <w:pPr>
        <w:spacing w:line="360" w:lineRule="auto"/>
        <w:jc w:val="both"/>
        <w:rPr>
          <w:rFonts w:ascii="Times New Roman" w:hAnsi="Times New Roman" w:cs="Times New Roman"/>
          <w:sz w:val="24"/>
          <w:szCs w:val="24"/>
          <w:lang w:val="en-US"/>
        </w:rPr>
      </w:pPr>
    </w:p>
    <w:p w14:paraId="7628333F" w14:textId="379CC082" w:rsidR="00197854" w:rsidRDefault="007C6BD1" w:rsidP="007C6BD1">
      <w:pPr>
        <w:pStyle w:val="Heading1"/>
      </w:pPr>
      <w:r>
        <w:lastRenderedPageBreak/>
        <w:t>References</w:t>
      </w:r>
    </w:p>
    <w:p w14:paraId="126F89ED" w14:textId="77777777" w:rsidR="00185A5B" w:rsidRPr="00185A5B" w:rsidRDefault="00185A5B" w:rsidP="00185A5B">
      <w:pPr>
        <w:pStyle w:val="NormalWeb"/>
        <w:spacing w:before="0" w:beforeAutospacing="0" w:after="180" w:afterAutospacing="0"/>
        <w:ind w:left="450" w:hanging="450"/>
        <w:rPr>
          <w:color w:val="000000"/>
        </w:rPr>
      </w:pPr>
      <w:r w:rsidRPr="00185A5B">
        <w:rPr>
          <w:color w:val="000000"/>
        </w:rPr>
        <w:t>n.d. </w:t>
      </w:r>
      <w:r w:rsidRPr="00185A5B">
        <w:rPr>
          <w:i/>
          <w:iCs/>
          <w:color w:val="000000"/>
        </w:rPr>
        <w:t>Careers | Unilever global company website</w:t>
      </w:r>
      <w:r w:rsidRPr="00185A5B">
        <w:rPr>
          <w:color w:val="000000"/>
        </w:rPr>
        <w:t>. [online] Available at: &lt;https://www.unilever.com/Careers/&gt; [Accessed 2021].</w:t>
      </w:r>
    </w:p>
    <w:p w14:paraId="5C0AFFB8" w14:textId="77777777" w:rsidR="00185A5B" w:rsidRPr="00185A5B" w:rsidRDefault="00185A5B" w:rsidP="00185A5B">
      <w:pPr>
        <w:pStyle w:val="NormalWeb"/>
        <w:spacing w:before="0" w:beforeAutospacing="0" w:after="180" w:afterAutospacing="0"/>
        <w:ind w:left="450" w:hanging="450"/>
        <w:rPr>
          <w:color w:val="000000"/>
        </w:rPr>
      </w:pPr>
      <w:r w:rsidRPr="00185A5B">
        <w:rPr>
          <w:color w:val="000000"/>
        </w:rPr>
        <w:t>n.d. </w:t>
      </w:r>
      <w:r w:rsidRPr="00185A5B">
        <w:rPr>
          <w:i/>
          <w:iCs/>
          <w:color w:val="000000"/>
        </w:rPr>
        <w:t>Unilever global company website | Unilever Global ...</w:t>
      </w:r>
      <w:r w:rsidRPr="00185A5B">
        <w:rPr>
          <w:color w:val="000000"/>
        </w:rPr>
        <w:t>. [online] Available at: &lt;https://www.unilever.com/&gt; [Accessed 2021].</w:t>
      </w:r>
    </w:p>
    <w:p w14:paraId="150C1080" w14:textId="4110C0D8" w:rsidR="00185A5B" w:rsidRPr="00185A5B" w:rsidRDefault="00185A5B" w:rsidP="00185A5B">
      <w:pPr>
        <w:pStyle w:val="NormalWeb"/>
        <w:spacing w:before="0" w:beforeAutospacing="0" w:after="180" w:afterAutospacing="0"/>
        <w:ind w:left="450" w:hanging="450"/>
        <w:rPr>
          <w:color w:val="000000"/>
        </w:rPr>
      </w:pPr>
      <w:r w:rsidRPr="00185A5B">
        <w:rPr>
          <w:color w:val="000000"/>
        </w:rPr>
        <w:t>n.d. </w:t>
      </w:r>
      <w:r w:rsidRPr="00185A5B">
        <w:rPr>
          <w:i/>
          <w:iCs/>
          <w:color w:val="000000"/>
        </w:rPr>
        <w:t>Unilever picks London as its home over Rotterdam ...</w:t>
      </w:r>
      <w:r w:rsidRPr="00185A5B">
        <w:rPr>
          <w:color w:val="000000"/>
        </w:rPr>
        <w:t>. [online] Available at: &lt;https://www.theguardian.com/business/2020/jun/11/unilever-picks-london-as-its-home-over-rotterdam&gt; [Accessed 2021].</w:t>
      </w:r>
    </w:p>
    <w:p w14:paraId="58423170" w14:textId="4786AF9E" w:rsidR="00185A5B" w:rsidRPr="00185A5B" w:rsidRDefault="00185A5B" w:rsidP="007C6BD1">
      <w:pPr>
        <w:rPr>
          <w:rFonts w:ascii="Times New Roman" w:hAnsi="Times New Roman" w:cs="Times New Roman"/>
          <w:color w:val="222222"/>
          <w:sz w:val="24"/>
          <w:szCs w:val="24"/>
          <w:shd w:val="clear" w:color="auto" w:fill="FFFFFF"/>
        </w:rPr>
      </w:pPr>
      <w:r w:rsidRPr="00185A5B">
        <w:rPr>
          <w:rFonts w:ascii="Times New Roman" w:hAnsi="Times New Roman" w:cs="Times New Roman"/>
          <w:color w:val="222222"/>
          <w:sz w:val="24"/>
          <w:szCs w:val="24"/>
          <w:shd w:val="clear" w:color="auto" w:fill="FFFFFF"/>
        </w:rPr>
        <w:t>Arnold, G., 2008. </w:t>
      </w:r>
      <w:r w:rsidRPr="00185A5B">
        <w:rPr>
          <w:rFonts w:ascii="Times New Roman" w:hAnsi="Times New Roman" w:cs="Times New Roman"/>
          <w:i/>
          <w:iCs/>
          <w:color w:val="222222"/>
          <w:sz w:val="24"/>
          <w:szCs w:val="24"/>
          <w:shd w:val="clear" w:color="auto" w:fill="FFFFFF"/>
        </w:rPr>
        <w:t>Corporate financial management</w:t>
      </w:r>
      <w:r w:rsidRPr="00185A5B">
        <w:rPr>
          <w:rFonts w:ascii="Times New Roman" w:hAnsi="Times New Roman" w:cs="Times New Roman"/>
          <w:color w:val="222222"/>
          <w:sz w:val="24"/>
          <w:szCs w:val="24"/>
          <w:shd w:val="clear" w:color="auto" w:fill="FFFFFF"/>
        </w:rPr>
        <w:t>. Pearson Education.</w:t>
      </w:r>
    </w:p>
    <w:p w14:paraId="7E6F75E4" w14:textId="77777777" w:rsidR="00185A5B" w:rsidRPr="00185A5B" w:rsidRDefault="00185A5B" w:rsidP="007C6BD1">
      <w:pPr>
        <w:rPr>
          <w:rFonts w:ascii="Times New Roman" w:hAnsi="Times New Roman" w:cs="Times New Roman"/>
          <w:color w:val="222222"/>
          <w:sz w:val="24"/>
          <w:szCs w:val="24"/>
          <w:shd w:val="clear" w:color="auto" w:fill="FFFFFF"/>
        </w:rPr>
      </w:pPr>
      <w:r w:rsidRPr="00185A5B">
        <w:rPr>
          <w:rFonts w:ascii="Times New Roman" w:hAnsi="Times New Roman" w:cs="Times New Roman"/>
          <w:color w:val="222222"/>
          <w:sz w:val="24"/>
          <w:szCs w:val="24"/>
          <w:shd w:val="clear" w:color="auto" w:fill="FFFFFF"/>
        </w:rPr>
        <w:t xml:space="preserve">Berk, J., </w:t>
      </w:r>
      <w:proofErr w:type="spellStart"/>
      <w:r w:rsidRPr="00185A5B">
        <w:rPr>
          <w:rFonts w:ascii="Times New Roman" w:hAnsi="Times New Roman" w:cs="Times New Roman"/>
          <w:color w:val="222222"/>
          <w:sz w:val="24"/>
          <w:szCs w:val="24"/>
          <w:shd w:val="clear" w:color="auto" w:fill="FFFFFF"/>
        </w:rPr>
        <w:t>DeMarzo</w:t>
      </w:r>
      <w:proofErr w:type="spellEnd"/>
      <w:r w:rsidRPr="00185A5B">
        <w:rPr>
          <w:rFonts w:ascii="Times New Roman" w:hAnsi="Times New Roman" w:cs="Times New Roman"/>
          <w:color w:val="222222"/>
          <w:sz w:val="24"/>
          <w:szCs w:val="24"/>
          <w:shd w:val="clear" w:color="auto" w:fill="FFFFFF"/>
        </w:rPr>
        <w:t xml:space="preserve">, P., </w:t>
      </w:r>
      <w:proofErr w:type="spellStart"/>
      <w:r w:rsidRPr="00185A5B">
        <w:rPr>
          <w:rFonts w:ascii="Times New Roman" w:hAnsi="Times New Roman" w:cs="Times New Roman"/>
          <w:color w:val="222222"/>
          <w:sz w:val="24"/>
          <w:szCs w:val="24"/>
          <w:shd w:val="clear" w:color="auto" w:fill="FFFFFF"/>
        </w:rPr>
        <w:t>Harford</w:t>
      </w:r>
      <w:proofErr w:type="spellEnd"/>
      <w:r w:rsidRPr="00185A5B">
        <w:rPr>
          <w:rFonts w:ascii="Times New Roman" w:hAnsi="Times New Roman" w:cs="Times New Roman"/>
          <w:color w:val="222222"/>
          <w:sz w:val="24"/>
          <w:szCs w:val="24"/>
          <w:shd w:val="clear" w:color="auto" w:fill="FFFFFF"/>
        </w:rPr>
        <w:t xml:space="preserve">, J., Ford, G., </w:t>
      </w:r>
      <w:proofErr w:type="spellStart"/>
      <w:r w:rsidRPr="00185A5B">
        <w:rPr>
          <w:rFonts w:ascii="Times New Roman" w:hAnsi="Times New Roman" w:cs="Times New Roman"/>
          <w:color w:val="222222"/>
          <w:sz w:val="24"/>
          <w:szCs w:val="24"/>
          <w:shd w:val="clear" w:color="auto" w:fill="FFFFFF"/>
        </w:rPr>
        <w:t>Mollica</w:t>
      </w:r>
      <w:proofErr w:type="spellEnd"/>
      <w:r w:rsidRPr="00185A5B">
        <w:rPr>
          <w:rFonts w:ascii="Times New Roman" w:hAnsi="Times New Roman" w:cs="Times New Roman"/>
          <w:color w:val="222222"/>
          <w:sz w:val="24"/>
          <w:szCs w:val="24"/>
          <w:shd w:val="clear" w:color="auto" w:fill="FFFFFF"/>
        </w:rPr>
        <w:t>, V. and Finch, N., 2013. </w:t>
      </w:r>
      <w:r w:rsidRPr="00185A5B">
        <w:rPr>
          <w:rFonts w:ascii="Times New Roman" w:hAnsi="Times New Roman" w:cs="Times New Roman"/>
          <w:i/>
          <w:iCs/>
          <w:color w:val="222222"/>
          <w:sz w:val="24"/>
          <w:szCs w:val="24"/>
          <w:shd w:val="clear" w:color="auto" w:fill="FFFFFF"/>
        </w:rPr>
        <w:t>Fundamentals of corporate finance</w:t>
      </w:r>
      <w:r w:rsidRPr="00185A5B">
        <w:rPr>
          <w:rFonts w:ascii="Times New Roman" w:hAnsi="Times New Roman" w:cs="Times New Roman"/>
          <w:color w:val="222222"/>
          <w:sz w:val="24"/>
          <w:szCs w:val="24"/>
          <w:shd w:val="clear" w:color="auto" w:fill="FFFFFF"/>
        </w:rPr>
        <w:t>. Pearson Higher Education AU.</w:t>
      </w:r>
    </w:p>
    <w:p w14:paraId="150AB4BA" w14:textId="77777777" w:rsidR="00185A5B" w:rsidRPr="00185A5B" w:rsidRDefault="00185A5B" w:rsidP="007C6BD1">
      <w:pPr>
        <w:rPr>
          <w:rFonts w:ascii="Times New Roman" w:hAnsi="Times New Roman" w:cs="Times New Roman"/>
          <w:color w:val="222222"/>
          <w:sz w:val="24"/>
          <w:szCs w:val="24"/>
          <w:shd w:val="clear" w:color="auto" w:fill="FFFFFF"/>
        </w:rPr>
      </w:pPr>
      <w:proofErr w:type="spellStart"/>
      <w:r w:rsidRPr="00185A5B">
        <w:rPr>
          <w:rFonts w:ascii="Times New Roman" w:hAnsi="Times New Roman" w:cs="Times New Roman"/>
          <w:color w:val="222222"/>
          <w:sz w:val="24"/>
          <w:szCs w:val="24"/>
          <w:shd w:val="clear" w:color="auto" w:fill="FFFFFF"/>
        </w:rPr>
        <w:t>Besley</w:t>
      </w:r>
      <w:proofErr w:type="spellEnd"/>
      <w:r w:rsidRPr="00185A5B">
        <w:rPr>
          <w:rFonts w:ascii="Times New Roman" w:hAnsi="Times New Roman" w:cs="Times New Roman"/>
          <w:color w:val="222222"/>
          <w:sz w:val="24"/>
          <w:szCs w:val="24"/>
          <w:shd w:val="clear" w:color="auto" w:fill="FFFFFF"/>
        </w:rPr>
        <w:t>, S. and Brigham, E.F., 2008. </w:t>
      </w:r>
      <w:r w:rsidRPr="00185A5B">
        <w:rPr>
          <w:rFonts w:ascii="Times New Roman" w:hAnsi="Times New Roman" w:cs="Times New Roman"/>
          <w:i/>
          <w:iCs/>
          <w:color w:val="222222"/>
          <w:sz w:val="24"/>
          <w:szCs w:val="24"/>
          <w:shd w:val="clear" w:color="auto" w:fill="FFFFFF"/>
        </w:rPr>
        <w:t>Essentials of managerial finance</w:t>
      </w:r>
      <w:r w:rsidRPr="00185A5B">
        <w:rPr>
          <w:rFonts w:ascii="Times New Roman" w:hAnsi="Times New Roman" w:cs="Times New Roman"/>
          <w:color w:val="222222"/>
          <w:sz w:val="24"/>
          <w:szCs w:val="24"/>
          <w:shd w:val="clear" w:color="auto" w:fill="FFFFFF"/>
        </w:rPr>
        <w:t>. Thomson South-Western.</w:t>
      </w:r>
    </w:p>
    <w:p w14:paraId="56C3F1A6" w14:textId="77777777" w:rsidR="00185A5B" w:rsidRPr="00185A5B" w:rsidRDefault="00185A5B" w:rsidP="007C6BD1">
      <w:pPr>
        <w:rPr>
          <w:rFonts w:ascii="Times New Roman" w:hAnsi="Times New Roman" w:cs="Times New Roman"/>
          <w:color w:val="222222"/>
          <w:sz w:val="24"/>
          <w:szCs w:val="24"/>
          <w:shd w:val="clear" w:color="auto" w:fill="FFFFFF"/>
        </w:rPr>
      </w:pPr>
      <w:r w:rsidRPr="00185A5B">
        <w:rPr>
          <w:rFonts w:ascii="Times New Roman" w:hAnsi="Times New Roman" w:cs="Times New Roman"/>
          <w:color w:val="222222"/>
          <w:sz w:val="24"/>
          <w:szCs w:val="24"/>
          <w:shd w:val="clear" w:color="auto" w:fill="FFFFFF"/>
        </w:rPr>
        <w:t>Boer, F.P., 2002. Financial management of R&amp;D 2002. </w:t>
      </w:r>
      <w:r w:rsidRPr="00185A5B">
        <w:rPr>
          <w:rFonts w:ascii="Times New Roman" w:hAnsi="Times New Roman" w:cs="Times New Roman"/>
          <w:i/>
          <w:iCs/>
          <w:color w:val="222222"/>
          <w:sz w:val="24"/>
          <w:szCs w:val="24"/>
          <w:shd w:val="clear" w:color="auto" w:fill="FFFFFF"/>
        </w:rPr>
        <w:t>Research-technology management</w:t>
      </w:r>
      <w:r w:rsidRPr="00185A5B">
        <w:rPr>
          <w:rFonts w:ascii="Times New Roman" w:hAnsi="Times New Roman" w:cs="Times New Roman"/>
          <w:color w:val="222222"/>
          <w:sz w:val="24"/>
          <w:szCs w:val="24"/>
          <w:shd w:val="clear" w:color="auto" w:fill="FFFFFF"/>
        </w:rPr>
        <w:t>, </w:t>
      </w:r>
      <w:r w:rsidRPr="00185A5B">
        <w:rPr>
          <w:rFonts w:ascii="Times New Roman" w:hAnsi="Times New Roman" w:cs="Times New Roman"/>
          <w:i/>
          <w:iCs/>
          <w:color w:val="222222"/>
          <w:sz w:val="24"/>
          <w:szCs w:val="24"/>
          <w:shd w:val="clear" w:color="auto" w:fill="FFFFFF"/>
        </w:rPr>
        <w:t>45</w:t>
      </w:r>
      <w:r w:rsidRPr="00185A5B">
        <w:rPr>
          <w:rFonts w:ascii="Times New Roman" w:hAnsi="Times New Roman" w:cs="Times New Roman"/>
          <w:color w:val="222222"/>
          <w:sz w:val="24"/>
          <w:szCs w:val="24"/>
          <w:shd w:val="clear" w:color="auto" w:fill="FFFFFF"/>
        </w:rPr>
        <w:t>(4), pp.23-35.</w:t>
      </w:r>
    </w:p>
    <w:p w14:paraId="361A6258" w14:textId="77777777" w:rsidR="00185A5B" w:rsidRPr="00185A5B" w:rsidRDefault="00185A5B" w:rsidP="007C6BD1">
      <w:pPr>
        <w:rPr>
          <w:rFonts w:ascii="Times New Roman" w:hAnsi="Times New Roman" w:cs="Times New Roman"/>
          <w:color w:val="222222"/>
          <w:sz w:val="24"/>
          <w:szCs w:val="24"/>
          <w:shd w:val="clear" w:color="auto" w:fill="FFFFFF"/>
        </w:rPr>
      </w:pPr>
      <w:r w:rsidRPr="00185A5B">
        <w:rPr>
          <w:rFonts w:ascii="Times New Roman" w:hAnsi="Times New Roman" w:cs="Times New Roman"/>
          <w:color w:val="222222"/>
          <w:sz w:val="24"/>
          <w:szCs w:val="24"/>
          <w:shd w:val="clear" w:color="auto" w:fill="FFFFFF"/>
        </w:rPr>
        <w:t xml:space="preserve">Brigham, E. and </w:t>
      </w:r>
      <w:proofErr w:type="spellStart"/>
      <w:r w:rsidRPr="00185A5B">
        <w:rPr>
          <w:rFonts w:ascii="Times New Roman" w:hAnsi="Times New Roman" w:cs="Times New Roman"/>
          <w:color w:val="222222"/>
          <w:sz w:val="24"/>
          <w:szCs w:val="24"/>
          <w:shd w:val="clear" w:color="auto" w:fill="FFFFFF"/>
        </w:rPr>
        <w:t>Daves</w:t>
      </w:r>
      <w:proofErr w:type="spellEnd"/>
      <w:r w:rsidRPr="00185A5B">
        <w:rPr>
          <w:rFonts w:ascii="Times New Roman" w:hAnsi="Times New Roman" w:cs="Times New Roman"/>
          <w:color w:val="222222"/>
          <w:sz w:val="24"/>
          <w:szCs w:val="24"/>
          <w:shd w:val="clear" w:color="auto" w:fill="FFFFFF"/>
        </w:rPr>
        <w:t>, P., 2012. </w:t>
      </w:r>
      <w:r w:rsidRPr="00185A5B">
        <w:rPr>
          <w:rFonts w:ascii="Times New Roman" w:hAnsi="Times New Roman" w:cs="Times New Roman"/>
          <w:i/>
          <w:iCs/>
          <w:color w:val="222222"/>
          <w:sz w:val="24"/>
          <w:szCs w:val="24"/>
          <w:shd w:val="clear" w:color="auto" w:fill="FFFFFF"/>
        </w:rPr>
        <w:t>Intermediate financial management</w:t>
      </w:r>
      <w:r w:rsidRPr="00185A5B">
        <w:rPr>
          <w:rFonts w:ascii="Times New Roman" w:hAnsi="Times New Roman" w:cs="Times New Roman"/>
          <w:color w:val="222222"/>
          <w:sz w:val="24"/>
          <w:szCs w:val="24"/>
          <w:shd w:val="clear" w:color="auto" w:fill="FFFFFF"/>
        </w:rPr>
        <w:t>. Nelson Education.</w:t>
      </w:r>
    </w:p>
    <w:p w14:paraId="626FE03C" w14:textId="77777777" w:rsidR="00185A5B" w:rsidRPr="00185A5B" w:rsidRDefault="00185A5B" w:rsidP="007C6BD1">
      <w:pPr>
        <w:rPr>
          <w:rFonts w:ascii="Times New Roman" w:hAnsi="Times New Roman" w:cs="Times New Roman"/>
          <w:color w:val="222222"/>
          <w:sz w:val="24"/>
          <w:szCs w:val="24"/>
          <w:shd w:val="clear" w:color="auto" w:fill="FFFFFF"/>
        </w:rPr>
      </w:pPr>
      <w:r w:rsidRPr="00185A5B">
        <w:rPr>
          <w:rFonts w:ascii="Times New Roman" w:hAnsi="Times New Roman" w:cs="Times New Roman"/>
          <w:color w:val="222222"/>
          <w:sz w:val="24"/>
          <w:szCs w:val="24"/>
          <w:shd w:val="clear" w:color="auto" w:fill="FFFFFF"/>
        </w:rPr>
        <w:t>Brigham, E.F. and Ehrhardt, M.C., 2013. </w:t>
      </w:r>
      <w:r w:rsidRPr="00185A5B">
        <w:rPr>
          <w:rFonts w:ascii="Times New Roman" w:hAnsi="Times New Roman" w:cs="Times New Roman"/>
          <w:i/>
          <w:iCs/>
          <w:color w:val="222222"/>
          <w:sz w:val="24"/>
          <w:szCs w:val="24"/>
          <w:shd w:val="clear" w:color="auto" w:fill="FFFFFF"/>
        </w:rPr>
        <w:t>Financial Management: Theory &amp; Practice (Book Only)</w:t>
      </w:r>
      <w:r w:rsidRPr="00185A5B">
        <w:rPr>
          <w:rFonts w:ascii="Times New Roman" w:hAnsi="Times New Roman" w:cs="Times New Roman"/>
          <w:color w:val="222222"/>
          <w:sz w:val="24"/>
          <w:szCs w:val="24"/>
          <w:shd w:val="clear" w:color="auto" w:fill="FFFFFF"/>
        </w:rPr>
        <w:t>. Cengage Learning.</w:t>
      </w:r>
    </w:p>
    <w:p w14:paraId="78FA40ED" w14:textId="77777777" w:rsidR="00185A5B" w:rsidRPr="00185A5B" w:rsidRDefault="00185A5B" w:rsidP="007C6BD1">
      <w:pPr>
        <w:rPr>
          <w:rFonts w:ascii="Times New Roman" w:hAnsi="Times New Roman" w:cs="Times New Roman"/>
          <w:color w:val="222222"/>
          <w:sz w:val="24"/>
          <w:szCs w:val="24"/>
          <w:shd w:val="clear" w:color="auto" w:fill="FFFFFF"/>
        </w:rPr>
      </w:pPr>
      <w:r w:rsidRPr="00185A5B">
        <w:rPr>
          <w:rFonts w:ascii="Times New Roman" w:hAnsi="Times New Roman" w:cs="Times New Roman"/>
          <w:color w:val="222222"/>
          <w:sz w:val="24"/>
          <w:szCs w:val="24"/>
          <w:shd w:val="clear" w:color="auto" w:fill="FFFFFF"/>
        </w:rPr>
        <w:t>Brigham, E.F. and Houston, J.F., 2021. </w:t>
      </w:r>
      <w:r w:rsidRPr="00185A5B">
        <w:rPr>
          <w:rFonts w:ascii="Times New Roman" w:hAnsi="Times New Roman" w:cs="Times New Roman"/>
          <w:i/>
          <w:iCs/>
          <w:color w:val="222222"/>
          <w:sz w:val="24"/>
          <w:szCs w:val="24"/>
          <w:shd w:val="clear" w:color="auto" w:fill="FFFFFF"/>
        </w:rPr>
        <w:t>Fundamentals of financial management</w:t>
      </w:r>
      <w:r w:rsidRPr="00185A5B">
        <w:rPr>
          <w:rFonts w:ascii="Times New Roman" w:hAnsi="Times New Roman" w:cs="Times New Roman"/>
          <w:color w:val="222222"/>
          <w:sz w:val="24"/>
          <w:szCs w:val="24"/>
          <w:shd w:val="clear" w:color="auto" w:fill="FFFFFF"/>
        </w:rPr>
        <w:t>. Cengage Learning.</w:t>
      </w:r>
    </w:p>
    <w:p w14:paraId="3399A9DA" w14:textId="77777777" w:rsidR="00185A5B" w:rsidRPr="00185A5B" w:rsidRDefault="00185A5B" w:rsidP="007C6BD1">
      <w:pPr>
        <w:rPr>
          <w:rFonts w:ascii="Times New Roman" w:hAnsi="Times New Roman" w:cs="Times New Roman"/>
          <w:color w:val="222222"/>
          <w:sz w:val="24"/>
          <w:szCs w:val="24"/>
          <w:shd w:val="clear" w:color="auto" w:fill="FFFFFF"/>
        </w:rPr>
      </w:pPr>
      <w:proofErr w:type="spellStart"/>
      <w:r w:rsidRPr="00185A5B">
        <w:rPr>
          <w:rFonts w:ascii="Times New Roman" w:hAnsi="Times New Roman" w:cs="Times New Roman"/>
          <w:color w:val="222222"/>
          <w:sz w:val="24"/>
          <w:szCs w:val="24"/>
          <w:shd w:val="clear" w:color="auto" w:fill="FFFFFF"/>
        </w:rPr>
        <w:t>Burtonshaw-Gunn</w:t>
      </w:r>
      <w:proofErr w:type="spellEnd"/>
      <w:r w:rsidRPr="00185A5B">
        <w:rPr>
          <w:rFonts w:ascii="Times New Roman" w:hAnsi="Times New Roman" w:cs="Times New Roman"/>
          <w:color w:val="222222"/>
          <w:sz w:val="24"/>
          <w:szCs w:val="24"/>
          <w:shd w:val="clear" w:color="auto" w:fill="FFFFFF"/>
        </w:rPr>
        <w:t>, S.A., 2009. </w:t>
      </w:r>
      <w:r w:rsidRPr="00185A5B">
        <w:rPr>
          <w:rFonts w:ascii="Times New Roman" w:hAnsi="Times New Roman" w:cs="Times New Roman"/>
          <w:i/>
          <w:iCs/>
          <w:color w:val="222222"/>
          <w:sz w:val="24"/>
          <w:szCs w:val="24"/>
          <w:shd w:val="clear" w:color="auto" w:fill="FFFFFF"/>
        </w:rPr>
        <w:t>Risk and financial management in construction</w:t>
      </w:r>
      <w:r w:rsidRPr="00185A5B">
        <w:rPr>
          <w:rFonts w:ascii="Times New Roman" w:hAnsi="Times New Roman" w:cs="Times New Roman"/>
          <w:color w:val="222222"/>
          <w:sz w:val="24"/>
          <w:szCs w:val="24"/>
          <w:shd w:val="clear" w:color="auto" w:fill="FFFFFF"/>
        </w:rPr>
        <w:t>. Gower Publishing, Ltd..</w:t>
      </w:r>
    </w:p>
    <w:p w14:paraId="2915DD73" w14:textId="77777777" w:rsidR="00185A5B" w:rsidRPr="00185A5B" w:rsidRDefault="00185A5B" w:rsidP="007C6BD1">
      <w:pPr>
        <w:rPr>
          <w:rFonts w:ascii="Times New Roman" w:hAnsi="Times New Roman" w:cs="Times New Roman"/>
          <w:color w:val="222222"/>
          <w:sz w:val="24"/>
          <w:szCs w:val="24"/>
          <w:shd w:val="clear" w:color="auto" w:fill="FFFFFF"/>
        </w:rPr>
      </w:pPr>
      <w:r w:rsidRPr="00185A5B">
        <w:rPr>
          <w:rFonts w:ascii="Times New Roman" w:hAnsi="Times New Roman" w:cs="Times New Roman"/>
          <w:color w:val="222222"/>
          <w:sz w:val="24"/>
          <w:szCs w:val="24"/>
          <w:shd w:val="clear" w:color="auto" w:fill="FFFFFF"/>
        </w:rPr>
        <w:t>Connolly, E. and Bank, J., 2021. Access to small business finance. </w:t>
      </w:r>
      <w:r w:rsidRPr="00185A5B">
        <w:rPr>
          <w:rFonts w:ascii="Times New Roman" w:hAnsi="Times New Roman" w:cs="Times New Roman"/>
          <w:i/>
          <w:iCs/>
          <w:color w:val="222222"/>
          <w:sz w:val="24"/>
          <w:szCs w:val="24"/>
          <w:shd w:val="clear" w:color="auto" w:fill="FFFFFF"/>
        </w:rPr>
        <w:t>RBA Bulletin, September, viewed January</w:t>
      </w:r>
      <w:r w:rsidRPr="00185A5B">
        <w:rPr>
          <w:rFonts w:ascii="Times New Roman" w:hAnsi="Times New Roman" w:cs="Times New Roman"/>
          <w:color w:val="222222"/>
          <w:sz w:val="24"/>
          <w:szCs w:val="24"/>
          <w:shd w:val="clear" w:color="auto" w:fill="FFFFFF"/>
        </w:rPr>
        <w:t>.</w:t>
      </w:r>
    </w:p>
    <w:p w14:paraId="46DD42AB" w14:textId="77777777" w:rsidR="00185A5B" w:rsidRPr="00185A5B" w:rsidRDefault="00185A5B" w:rsidP="007C6BD1">
      <w:pPr>
        <w:rPr>
          <w:rFonts w:ascii="Times New Roman" w:hAnsi="Times New Roman" w:cs="Times New Roman"/>
          <w:color w:val="222222"/>
          <w:sz w:val="24"/>
          <w:szCs w:val="24"/>
          <w:shd w:val="clear" w:color="auto" w:fill="FFFFFF"/>
        </w:rPr>
      </w:pPr>
      <w:proofErr w:type="spellStart"/>
      <w:r w:rsidRPr="00185A5B">
        <w:rPr>
          <w:rFonts w:ascii="Times New Roman" w:hAnsi="Times New Roman" w:cs="Times New Roman"/>
          <w:color w:val="222222"/>
          <w:sz w:val="24"/>
          <w:szCs w:val="24"/>
          <w:shd w:val="clear" w:color="auto" w:fill="FFFFFF"/>
        </w:rPr>
        <w:t>Eiteman</w:t>
      </w:r>
      <w:proofErr w:type="spellEnd"/>
      <w:r w:rsidRPr="00185A5B">
        <w:rPr>
          <w:rFonts w:ascii="Times New Roman" w:hAnsi="Times New Roman" w:cs="Times New Roman"/>
          <w:color w:val="222222"/>
          <w:sz w:val="24"/>
          <w:szCs w:val="24"/>
          <w:shd w:val="clear" w:color="auto" w:fill="FFFFFF"/>
        </w:rPr>
        <w:t xml:space="preserve">, D.K., </w:t>
      </w:r>
      <w:proofErr w:type="spellStart"/>
      <w:r w:rsidRPr="00185A5B">
        <w:rPr>
          <w:rFonts w:ascii="Times New Roman" w:hAnsi="Times New Roman" w:cs="Times New Roman"/>
          <w:color w:val="222222"/>
          <w:sz w:val="24"/>
          <w:szCs w:val="24"/>
          <w:shd w:val="clear" w:color="auto" w:fill="FFFFFF"/>
        </w:rPr>
        <w:t>Stonehill</w:t>
      </w:r>
      <w:proofErr w:type="spellEnd"/>
      <w:r w:rsidRPr="00185A5B">
        <w:rPr>
          <w:rFonts w:ascii="Times New Roman" w:hAnsi="Times New Roman" w:cs="Times New Roman"/>
          <w:color w:val="222222"/>
          <w:sz w:val="24"/>
          <w:szCs w:val="24"/>
          <w:shd w:val="clear" w:color="auto" w:fill="FFFFFF"/>
        </w:rPr>
        <w:t>, A.I., Moffett, M.H. and Kwok, C., 2000. </w:t>
      </w:r>
      <w:r w:rsidRPr="00185A5B">
        <w:rPr>
          <w:rFonts w:ascii="Times New Roman" w:hAnsi="Times New Roman" w:cs="Times New Roman"/>
          <w:i/>
          <w:iCs/>
          <w:color w:val="222222"/>
          <w:sz w:val="24"/>
          <w:szCs w:val="24"/>
          <w:shd w:val="clear" w:color="auto" w:fill="FFFFFF"/>
        </w:rPr>
        <w:t>Multinational business finance</w:t>
      </w:r>
      <w:r w:rsidRPr="00185A5B">
        <w:rPr>
          <w:rFonts w:ascii="Times New Roman" w:hAnsi="Times New Roman" w:cs="Times New Roman"/>
          <w:color w:val="222222"/>
          <w:sz w:val="24"/>
          <w:szCs w:val="24"/>
          <w:shd w:val="clear" w:color="auto" w:fill="FFFFFF"/>
        </w:rPr>
        <w:t>. Addison-Wesley.</w:t>
      </w:r>
    </w:p>
    <w:p w14:paraId="3153754F" w14:textId="77777777" w:rsidR="00185A5B" w:rsidRPr="00185A5B" w:rsidRDefault="00185A5B" w:rsidP="007C6BD1">
      <w:pPr>
        <w:rPr>
          <w:rFonts w:ascii="Times New Roman" w:hAnsi="Times New Roman" w:cs="Times New Roman"/>
          <w:color w:val="222222"/>
          <w:sz w:val="24"/>
          <w:szCs w:val="24"/>
          <w:shd w:val="clear" w:color="auto" w:fill="FFFFFF"/>
        </w:rPr>
      </w:pPr>
      <w:proofErr w:type="spellStart"/>
      <w:r w:rsidRPr="00185A5B">
        <w:rPr>
          <w:rFonts w:ascii="Times New Roman" w:hAnsi="Times New Roman" w:cs="Times New Roman"/>
          <w:color w:val="222222"/>
          <w:sz w:val="24"/>
          <w:szCs w:val="24"/>
          <w:shd w:val="clear" w:color="auto" w:fill="FFFFFF"/>
        </w:rPr>
        <w:t>Guiso</w:t>
      </w:r>
      <w:proofErr w:type="spellEnd"/>
      <w:r w:rsidRPr="00185A5B">
        <w:rPr>
          <w:rFonts w:ascii="Times New Roman" w:hAnsi="Times New Roman" w:cs="Times New Roman"/>
          <w:color w:val="222222"/>
          <w:sz w:val="24"/>
          <w:szCs w:val="24"/>
          <w:shd w:val="clear" w:color="auto" w:fill="FFFFFF"/>
        </w:rPr>
        <w:t>, L., 2003. Small business finance in Italy. </w:t>
      </w:r>
      <w:r w:rsidRPr="00185A5B">
        <w:rPr>
          <w:rFonts w:ascii="Times New Roman" w:hAnsi="Times New Roman" w:cs="Times New Roman"/>
          <w:i/>
          <w:iCs/>
          <w:color w:val="222222"/>
          <w:sz w:val="24"/>
          <w:szCs w:val="24"/>
          <w:shd w:val="clear" w:color="auto" w:fill="FFFFFF"/>
        </w:rPr>
        <w:t>EIB papers</w:t>
      </w:r>
      <w:r w:rsidRPr="00185A5B">
        <w:rPr>
          <w:rFonts w:ascii="Times New Roman" w:hAnsi="Times New Roman" w:cs="Times New Roman"/>
          <w:color w:val="222222"/>
          <w:sz w:val="24"/>
          <w:szCs w:val="24"/>
          <w:shd w:val="clear" w:color="auto" w:fill="FFFFFF"/>
        </w:rPr>
        <w:t>, </w:t>
      </w:r>
      <w:r w:rsidRPr="00185A5B">
        <w:rPr>
          <w:rFonts w:ascii="Times New Roman" w:hAnsi="Times New Roman" w:cs="Times New Roman"/>
          <w:i/>
          <w:iCs/>
          <w:color w:val="222222"/>
          <w:sz w:val="24"/>
          <w:szCs w:val="24"/>
          <w:shd w:val="clear" w:color="auto" w:fill="FFFFFF"/>
        </w:rPr>
        <w:t>8</w:t>
      </w:r>
      <w:r w:rsidRPr="00185A5B">
        <w:rPr>
          <w:rFonts w:ascii="Times New Roman" w:hAnsi="Times New Roman" w:cs="Times New Roman"/>
          <w:color w:val="222222"/>
          <w:sz w:val="24"/>
          <w:szCs w:val="24"/>
          <w:shd w:val="clear" w:color="auto" w:fill="FFFFFF"/>
        </w:rPr>
        <w:t>(2), pp.121-149.</w:t>
      </w:r>
    </w:p>
    <w:p w14:paraId="69C833B5" w14:textId="77777777" w:rsidR="00185A5B" w:rsidRPr="00185A5B" w:rsidRDefault="00185A5B" w:rsidP="007C6BD1">
      <w:pPr>
        <w:rPr>
          <w:rFonts w:ascii="Times New Roman" w:hAnsi="Times New Roman" w:cs="Times New Roman"/>
          <w:color w:val="222222"/>
          <w:sz w:val="24"/>
          <w:szCs w:val="24"/>
          <w:shd w:val="clear" w:color="auto" w:fill="FFFFFF"/>
        </w:rPr>
      </w:pPr>
      <w:r w:rsidRPr="00185A5B">
        <w:rPr>
          <w:rFonts w:ascii="Times New Roman" w:hAnsi="Times New Roman" w:cs="Times New Roman"/>
          <w:color w:val="222222"/>
          <w:sz w:val="24"/>
          <w:szCs w:val="24"/>
          <w:shd w:val="clear" w:color="auto" w:fill="FFFFFF"/>
        </w:rPr>
        <w:t>Higgins, R.C. and Reimers, M., 1995. </w:t>
      </w:r>
      <w:r w:rsidRPr="00185A5B">
        <w:rPr>
          <w:rFonts w:ascii="Times New Roman" w:hAnsi="Times New Roman" w:cs="Times New Roman"/>
          <w:i/>
          <w:iCs/>
          <w:color w:val="222222"/>
          <w:sz w:val="24"/>
          <w:szCs w:val="24"/>
          <w:shd w:val="clear" w:color="auto" w:fill="FFFFFF"/>
        </w:rPr>
        <w:t>Analysis for financial management</w:t>
      </w:r>
      <w:r w:rsidRPr="00185A5B">
        <w:rPr>
          <w:rFonts w:ascii="Times New Roman" w:hAnsi="Times New Roman" w:cs="Times New Roman"/>
          <w:color w:val="222222"/>
          <w:sz w:val="24"/>
          <w:szCs w:val="24"/>
          <w:shd w:val="clear" w:color="auto" w:fill="FFFFFF"/>
        </w:rPr>
        <w:t> (No. s 53). Chicago: Irwin.</w:t>
      </w:r>
    </w:p>
    <w:p w14:paraId="4074A90E" w14:textId="77777777" w:rsidR="00185A5B" w:rsidRPr="00185A5B" w:rsidRDefault="00185A5B" w:rsidP="007C6BD1">
      <w:pPr>
        <w:rPr>
          <w:rFonts w:ascii="Times New Roman" w:hAnsi="Times New Roman" w:cs="Times New Roman"/>
          <w:color w:val="222222"/>
          <w:sz w:val="24"/>
          <w:szCs w:val="24"/>
          <w:shd w:val="clear" w:color="auto" w:fill="FFFFFF"/>
        </w:rPr>
      </w:pPr>
      <w:proofErr w:type="spellStart"/>
      <w:r w:rsidRPr="00185A5B">
        <w:rPr>
          <w:rFonts w:ascii="Times New Roman" w:hAnsi="Times New Roman" w:cs="Times New Roman"/>
          <w:color w:val="222222"/>
          <w:sz w:val="24"/>
          <w:szCs w:val="24"/>
          <w:shd w:val="clear" w:color="auto" w:fill="FFFFFF"/>
        </w:rPr>
        <w:t>Hilgert</w:t>
      </w:r>
      <w:proofErr w:type="spellEnd"/>
      <w:r w:rsidRPr="00185A5B">
        <w:rPr>
          <w:rFonts w:ascii="Times New Roman" w:hAnsi="Times New Roman" w:cs="Times New Roman"/>
          <w:color w:val="222222"/>
          <w:sz w:val="24"/>
          <w:szCs w:val="24"/>
          <w:shd w:val="clear" w:color="auto" w:fill="FFFFFF"/>
        </w:rPr>
        <w:t xml:space="preserve">, M.A., Hogarth, J.M. and Beverly, S.G., 2003. Household financial management: The connection between knowledge and </w:t>
      </w:r>
      <w:proofErr w:type="spellStart"/>
      <w:r w:rsidRPr="00185A5B">
        <w:rPr>
          <w:rFonts w:ascii="Times New Roman" w:hAnsi="Times New Roman" w:cs="Times New Roman"/>
          <w:color w:val="222222"/>
          <w:sz w:val="24"/>
          <w:szCs w:val="24"/>
          <w:shd w:val="clear" w:color="auto" w:fill="FFFFFF"/>
        </w:rPr>
        <w:t>behavior</w:t>
      </w:r>
      <w:proofErr w:type="spellEnd"/>
      <w:r w:rsidRPr="00185A5B">
        <w:rPr>
          <w:rFonts w:ascii="Times New Roman" w:hAnsi="Times New Roman" w:cs="Times New Roman"/>
          <w:color w:val="222222"/>
          <w:sz w:val="24"/>
          <w:szCs w:val="24"/>
          <w:shd w:val="clear" w:color="auto" w:fill="FFFFFF"/>
        </w:rPr>
        <w:t>. </w:t>
      </w:r>
      <w:r w:rsidRPr="00185A5B">
        <w:rPr>
          <w:rFonts w:ascii="Times New Roman" w:hAnsi="Times New Roman" w:cs="Times New Roman"/>
          <w:i/>
          <w:iCs/>
          <w:color w:val="222222"/>
          <w:sz w:val="24"/>
          <w:szCs w:val="24"/>
          <w:shd w:val="clear" w:color="auto" w:fill="FFFFFF"/>
        </w:rPr>
        <w:t>Fed. Res. Bull.</w:t>
      </w:r>
      <w:r w:rsidRPr="00185A5B">
        <w:rPr>
          <w:rFonts w:ascii="Times New Roman" w:hAnsi="Times New Roman" w:cs="Times New Roman"/>
          <w:color w:val="222222"/>
          <w:sz w:val="24"/>
          <w:szCs w:val="24"/>
          <w:shd w:val="clear" w:color="auto" w:fill="FFFFFF"/>
        </w:rPr>
        <w:t>, </w:t>
      </w:r>
      <w:r w:rsidRPr="00185A5B">
        <w:rPr>
          <w:rFonts w:ascii="Times New Roman" w:hAnsi="Times New Roman" w:cs="Times New Roman"/>
          <w:i/>
          <w:iCs/>
          <w:color w:val="222222"/>
          <w:sz w:val="24"/>
          <w:szCs w:val="24"/>
          <w:shd w:val="clear" w:color="auto" w:fill="FFFFFF"/>
        </w:rPr>
        <w:t>89</w:t>
      </w:r>
      <w:r w:rsidRPr="00185A5B">
        <w:rPr>
          <w:rFonts w:ascii="Times New Roman" w:hAnsi="Times New Roman" w:cs="Times New Roman"/>
          <w:color w:val="222222"/>
          <w:sz w:val="24"/>
          <w:szCs w:val="24"/>
          <w:shd w:val="clear" w:color="auto" w:fill="FFFFFF"/>
        </w:rPr>
        <w:t>, p.309.</w:t>
      </w:r>
    </w:p>
    <w:p w14:paraId="5686530E" w14:textId="77777777" w:rsidR="00185A5B" w:rsidRPr="00185A5B" w:rsidRDefault="00185A5B" w:rsidP="007C6BD1">
      <w:pPr>
        <w:rPr>
          <w:rFonts w:ascii="Times New Roman" w:hAnsi="Times New Roman" w:cs="Times New Roman"/>
          <w:color w:val="222222"/>
          <w:sz w:val="24"/>
          <w:szCs w:val="24"/>
          <w:shd w:val="clear" w:color="auto" w:fill="FFFFFF"/>
        </w:rPr>
      </w:pPr>
      <w:proofErr w:type="spellStart"/>
      <w:r w:rsidRPr="00185A5B">
        <w:rPr>
          <w:rFonts w:ascii="Times New Roman" w:hAnsi="Times New Roman" w:cs="Times New Roman"/>
          <w:color w:val="222222"/>
          <w:sz w:val="24"/>
          <w:szCs w:val="24"/>
          <w:shd w:val="clear" w:color="auto" w:fill="FFFFFF"/>
        </w:rPr>
        <w:t>Hunjra</w:t>
      </w:r>
      <w:proofErr w:type="spellEnd"/>
      <w:r w:rsidRPr="00185A5B">
        <w:rPr>
          <w:rFonts w:ascii="Times New Roman" w:hAnsi="Times New Roman" w:cs="Times New Roman"/>
          <w:color w:val="222222"/>
          <w:sz w:val="24"/>
          <w:szCs w:val="24"/>
          <w:shd w:val="clear" w:color="auto" w:fill="FFFFFF"/>
        </w:rPr>
        <w:t xml:space="preserve">, A.I., Butt, B.Z. and Rehman, K.U., 2010. Financial management practices and their impact on </w:t>
      </w:r>
    </w:p>
    <w:p w14:paraId="7A2D192C" w14:textId="77777777" w:rsidR="00185A5B" w:rsidRPr="00185A5B" w:rsidRDefault="00185A5B" w:rsidP="007C6BD1">
      <w:pPr>
        <w:rPr>
          <w:rFonts w:ascii="Times New Roman" w:hAnsi="Times New Roman" w:cs="Times New Roman"/>
          <w:color w:val="222222"/>
          <w:sz w:val="24"/>
          <w:szCs w:val="24"/>
          <w:shd w:val="clear" w:color="auto" w:fill="FFFFFF"/>
        </w:rPr>
      </w:pPr>
      <w:proofErr w:type="spellStart"/>
      <w:r w:rsidRPr="00185A5B">
        <w:rPr>
          <w:rFonts w:ascii="Times New Roman" w:hAnsi="Times New Roman" w:cs="Times New Roman"/>
          <w:color w:val="222222"/>
          <w:sz w:val="24"/>
          <w:szCs w:val="24"/>
          <w:shd w:val="clear" w:color="auto" w:fill="FFFFFF"/>
        </w:rPr>
        <w:t>Kraemer-Eis</w:t>
      </w:r>
      <w:proofErr w:type="spellEnd"/>
      <w:r w:rsidRPr="00185A5B">
        <w:rPr>
          <w:rFonts w:ascii="Times New Roman" w:hAnsi="Times New Roman" w:cs="Times New Roman"/>
          <w:color w:val="222222"/>
          <w:sz w:val="24"/>
          <w:szCs w:val="24"/>
          <w:shd w:val="clear" w:color="auto" w:fill="FFFFFF"/>
        </w:rPr>
        <w:t xml:space="preserve">, H., Lang, F., Torfs, W. and </w:t>
      </w:r>
      <w:proofErr w:type="spellStart"/>
      <w:r w:rsidRPr="00185A5B">
        <w:rPr>
          <w:rFonts w:ascii="Times New Roman" w:hAnsi="Times New Roman" w:cs="Times New Roman"/>
          <w:color w:val="222222"/>
          <w:sz w:val="24"/>
          <w:szCs w:val="24"/>
          <w:shd w:val="clear" w:color="auto" w:fill="FFFFFF"/>
        </w:rPr>
        <w:t>Gvetadze</w:t>
      </w:r>
      <w:proofErr w:type="spellEnd"/>
      <w:r w:rsidRPr="00185A5B">
        <w:rPr>
          <w:rFonts w:ascii="Times New Roman" w:hAnsi="Times New Roman" w:cs="Times New Roman"/>
          <w:color w:val="222222"/>
          <w:sz w:val="24"/>
          <w:szCs w:val="24"/>
          <w:shd w:val="clear" w:color="auto" w:fill="FFFFFF"/>
        </w:rPr>
        <w:t>, S., 2015. European small business finance outlook. </w:t>
      </w:r>
      <w:r w:rsidRPr="00185A5B">
        <w:rPr>
          <w:rFonts w:ascii="Times New Roman" w:hAnsi="Times New Roman" w:cs="Times New Roman"/>
          <w:i/>
          <w:iCs/>
          <w:color w:val="222222"/>
          <w:sz w:val="24"/>
          <w:szCs w:val="24"/>
          <w:shd w:val="clear" w:color="auto" w:fill="FFFFFF"/>
        </w:rPr>
        <w:t>EIF Research &amp; Market Analysis</w:t>
      </w:r>
      <w:r w:rsidRPr="00185A5B">
        <w:rPr>
          <w:rFonts w:ascii="Times New Roman" w:hAnsi="Times New Roman" w:cs="Times New Roman"/>
          <w:color w:val="222222"/>
          <w:sz w:val="24"/>
          <w:szCs w:val="24"/>
          <w:shd w:val="clear" w:color="auto" w:fill="FFFFFF"/>
        </w:rPr>
        <w:t>.</w:t>
      </w:r>
    </w:p>
    <w:p w14:paraId="2F2BAC10" w14:textId="77777777" w:rsidR="00185A5B" w:rsidRPr="00185A5B" w:rsidRDefault="00185A5B" w:rsidP="007C6BD1">
      <w:pPr>
        <w:rPr>
          <w:rFonts w:ascii="Times New Roman" w:hAnsi="Times New Roman" w:cs="Times New Roman"/>
          <w:color w:val="222222"/>
          <w:sz w:val="24"/>
          <w:szCs w:val="24"/>
          <w:shd w:val="clear" w:color="auto" w:fill="FFFFFF"/>
        </w:rPr>
      </w:pPr>
      <w:r w:rsidRPr="00185A5B">
        <w:rPr>
          <w:rFonts w:ascii="Times New Roman" w:hAnsi="Times New Roman" w:cs="Times New Roman"/>
          <w:color w:val="222222"/>
          <w:sz w:val="24"/>
          <w:szCs w:val="24"/>
          <w:shd w:val="clear" w:color="auto" w:fill="FFFFFF"/>
        </w:rPr>
        <w:lastRenderedPageBreak/>
        <w:t>Pham, T.H., Yap, K. and Dowling, N.A., 2012. The impact of financial management practices and financial attitudes on the relationship between materialism and compulsive buying. </w:t>
      </w:r>
      <w:r w:rsidRPr="00185A5B">
        <w:rPr>
          <w:rFonts w:ascii="Times New Roman" w:hAnsi="Times New Roman" w:cs="Times New Roman"/>
          <w:i/>
          <w:iCs/>
          <w:color w:val="222222"/>
          <w:sz w:val="24"/>
          <w:szCs w:val="24"/>
          <w:shd w:val="clear" w:color="auto" w:fill="FFFFFF"/>
        </w:rPr>
        <w:t>Journal of Economic Psychology</w:t>
      </w:r>
      <w:r w:rsidRPr="00185A5B">
        <w:rPr>
          <w:rFonts w:ascii="Times New Roman" w:hAnsi="Times New Roman" w:cs="Times New Roman"/>
          <w:color w:val="222222"/>
          <w:sz w:val="24"/>
          <w:szCs w:val="24"/>
          <w:shd w:val="clear" w:color="auto" w:fill="FFFFFF"/>
        </w:rPr>
        <w:t>, </w:t>
      </w:r>
      <w:r w:rsidRPr="00185A5B">
        <w:rPr>
          <w:rFonts w:ascii="Times New Roman" w:hAnsi="Times New Roman" w:cs="Times New Roman"/>
          <w:i/>
          <w:iCs/>
          <w:color w:val="222222"/>
          <w:sz w:val="24"/>
          <w:szCs w:val="24"/>
          <w:shd w:val="clear" w:color="auto" w:fill="FFFFFF"/>
        </w:rPr>
        <w:t>33</w:t>
      </w:r>
      <w:r w:rsidRPr="00185A5B">
        <w:rPr>
          <w:rFonts w:ascii="Times New Roman" w:hAnsi="Times New Roman" w:cs="Times New Roman"/>
          <w:color w:val="222222"/>
          <w:sz w:val="24"/>
          <w:szCs w:val="24"/>
          <w:shd w:val="clear" w:color="auto" w:fill="FFFFFF"/>
        </w:rPr>
        <w:t>(3), pp.461-470.</w:t>
      </w:r>
    </w:p>
    <w:p w14:paraId="3974BE0D" w14:textId="77777777" w:rsidR="00185A5B" w:rsidRPr="00185A5B" w:rsidRDefault="00185A5B" w:rsidP="007C6BD1">
      <w:pPr>
        <w:rPr>
          <w:rFonts w:ascii="Times New Roman" w:hAnsi="Times New Roman" w:cs="Times New Roman"/>
          <w:color w:val="222222"/>
          <w:sz w:val="24"/>
          <w:szCs w:val="24"/>
          <w:shd w:val="clear" w:color="auto" w:fill="FFFFFF"/>
        </w:rPr>
      </w:pPr>
      <w:r w:rsidRPr="00185A5B">
        <w:rPr>
          <w:rFonts w:ascii="Times New Roman" w:hAnsi="Times New Roman" w:cs="Times New Roman"/>
          <w:color w:val="222222"/>
          <w:sz w:val="24"/>
          <w:szCs w:val="24"/>
          <w:shd w:val="clear" w:color="auto" w:fill="FFFFFF"/>
        </w:rPr>
        <w:t>Saunders, A., 2014. </w:t>
      </w:r>
      <w:r w:rsidRPr="00185A5B">
        <w:rPr>
          <w:rFonts w:ascii="Times New Roman" w:hAnsi="Times New Roman" w:cs="Times New Roman"/>
          <w:i/>
          <w:iCs/>
          <w:color w:val="222222"/>
          <w:sz w:val="24"/>
          <w:szCs w:val="24"/>
          <w:shd w:val="clear" w:color="auto" w:fill="FFFFFF"/>
        </w:rPr>
        <w:t>Financial institutions management</w:t>
      </w:r>
      <w:r w:rsidRPr="00185A5B">
        <w:rPr>
          <w:rFonts w:ascii="Times New Roman" w:hAnsi="Times New Roman" w:cs="Times New Roman"/>
          <w:color w:val="222222"/>
          <w:sz w:val="24"/>
          <w:szCs w:val="24"/>
          <w:shd w:val="clear" w:color="auto" w:fill="FFFFFF"/>
        </w:rPr>
        <w:t>. Macmillan Press.</w:t>
      </w:r>
    </w:p>
    <w:p w14:paraId="4EABC333" w14:textId="77777777" w:rsidR="00185A5B" w:rsidRPr="00185A5B" w:rsidRDefault="00185A5B" w:rsidP="007C6BD1">
      <w:pPr>
        <w:rPr>
          <w:rFonts w:ascii="Times New Roman" w:hAnsi="Times New Roman" w:cs="Times New Roman"/>
          <w:color w:val="222222"/>
          <w:sz w:val="24"/>
          <w:szCs w:val="24"/>
          <w:shd w:val="clear" w:color="auto" w:fill="FFFFFF"/>
        </w:rPr>
      </w:pPr>
      <w:r w:rsidRPr="00185A5B">
        <w:rPr>
          <w:rFonts w:ascii="Times New Roman" w:hAnsi="Times New Roman" w:cs="Times New Roman"/>
          <w:color w:val="222222"/>
          <w:sz w:val="24"/>
          <w:szCs w:val="24"/>
          <w:shd w:val="clear" w:color="auto" w:fill="FFFFFF"/>
        </w:rPr>
        <w:t xml:space="preserve">Shapiro, A.C. and </w:t>
      </w:r>
      <w:proofErr w:type="spellStart"/>
      <w:r w:rsidRPr="00185A5B">
        <w:rPr>
          <w:rFonts w:ascii="Times New Roman" w:hAnsi="Times New Roman" w:cs="Times New Roman"/>
          <w:color w:val="222222"/>
          <w:sz w:val="24"/>
          <w:szCs w:val="24"/>
          <w:shd w:val="clear" w:color="auto" w:fill="FFFFFF"/>
        </w:rPr>
        <w:t>Hanouna</w:t>
      </w:r>
      <w:proofErr w:type="spellEnd"/>
      <w:r w:rsidRPr="00185A5B">
        <w:rPr>
          <w:rFonts w:ascii="Times New Roman" w:hAnsi="Times New Roman" w:cs="Times New Roman"/>
          <w:color w:val="222222"/>
          <w:sz w:val="24"/>
          <w:szCs w:val="24"/>
          <w:shd w:val="clear" w:color="auto" w:fill="FFFFFF"/>
        </w:rPr>
        <w:t>, P., 2019. </w:t>
      </w:r>
      <w:r w:rsidRPr="00185A5B">
        <w:rPr>
          <w:rFonts w:ascii="Times New Roman" w:hAnsi="Times New Roman" w:cs="Times New Roman"/>
          <w:i/>
          <w:iCs/>
          <w:color w:val="222222"/>
          <w:sz w:val="24"/>
          <w:szCs w:val="24"/>
          <w:shd w:val="clear" w:color="auto" w:fill="FFFFFF"/>
        </w:rPr>
        <w:t>Multinational financial management</w:t>
      </w:r>
      <w:r w:rsidRPr="00185A5B">
        <w:rPr>
          <w:rFonts w:ascii="Times New Roman" w:hAnsi="Times New Roman" w:cs="Times New Roman"/>
          <w:color w:val="222222"/>
          <w:sz w:val="24"/>
          <w:szCs w:val="24"/>
          <w:shd w:val="clear" w:color="auto" w:fill="FFFFFF"/>
        </w:rPr>
        <w:t>. John Wiley &amp; Sons.</w:t>
      </w:r>
    </w:p>
    <w:p w14:paraId="2E6C6A7F" w14:textId="77777777" w:rsidR="00185A5B" w:rsidRPr="00185A5B" w:rsidRDefault="00185A5B" w:rsidP="007C6BD1">
      <w:pPr>
        <w:rPr>
          <w:rFonts w:ascii="Times New Roman" w:hAnsi="Times New Roman" w:cs="Times New Roman"/>
          <w:color w:val="222222"/>
          <w:sz w:val="24"/>
          <w:szCs w:val="24"/>
          <w:shd w:val="clear" w:color="auto" w:fill="FFFFFF"/>
        </w:rPr>
      </w:pPr>
      <w:r w:rsidRPr="00185A5B">
        <w:rPr>
          <w:rFonts w:ascii="Times New Roman" w:hAnsi="Times New Roman" w:cs="Times New Roman"/>
          <w:color w:val="222222"/>
          <w:sz w:val="24"/>
          <w:szCs w:val="24"/>
          <w:shd w:val="clear" w:color="auto" w:fill="FFFFFF"/>
        </w:rPr>
        <w:t>Tsai, H., Pan, S. and Lee, J., 2011. Recent research in hospitality financial management. </w:t>
      </w:r>
      <w:r w:rsidRPr="00185A5B">
        <w:rPr>
          <w:rFonts w:ascii="Times New Roman" w:hAnsi="Times New Roman" w:cs="Times New Roman"/>
          <w:i/>
          <w:iCs/>
          <w:color w:val="222222"/>
          <w:sz w:val="24"/>
          <w:szCs w:val="24"/>
          <w:shd w:val="clear" w:color="auto" w:fill="FFFFFF"/>
        </w:rPr>
        <w:t>International Journal of Contemporary Hospitality Management</w:t>
      </w:r>
      <w:r w:rsidRPr="00185A5B">
        <w:rPr>
          <w:rFonts w:ascii="Times New Roman" w:hAnsi="Times New Roman" w:cs="Times New Roman"/>
          <w:color w:val="222222"/>
          <w:sz w:val="24"/>
          <w:szCs w:val="24"/>
          <w:shd w:val="clear" w:color="auto" w:fill="FFFFFF"/>
        </w:rPr>
        <w:t>.</w:t>
      </w:r>
    </w:p>
    <w:p w14:paraId="103E645B" w14:textId="77777777" w:rsidR="00185A5B" w:rsidRPr="00185A5B" w:rsidRDefault="00185A5B" w:rsidP="007C6BD1">
      <w:pPr>
        <w:rPr>
          <w:rFonts w:ascii="Times New Roman" w:hAnsi="Times New Roman" w:cs="Times New Roman"/>
          <w:color w:val="222222"/>
          <w:sz w:val="24"/>
          <w:szCs w:val="24"/>
          <w:shd w:val="clear" w:color="auto" w:fill="FFFFFF"/>
        </w:rPr>
      </w:pPr>
      <w:r w:rsidRPr="00185A5B">
        <w:rPr>
          <w:rFonts w:ascii="Times New Roman" w:hAnsi="Times New Roman" w:cs="Times New Roman"/>
          <w:color w:val="222222"/>
          <w:sz w:val="24"/>
          <w:szCs w:val="24"/>
          <w:shd w:val="clear" w:color="auto" w:fill="FFFFFF"/>
        </w:rPr>
        <w:t>Van Horne James, C., 2002. </w:t>
      </w:r>
      <w:r w:rsidRPr="00185A5B">
        <w:rPr>
          <w:rFonts w:ascii="Times New Roman" w:hAnsi="Times New Roman" w:cs="Times New Roman"/>
          <w:i/>
          <w:iCs/>
          <w:color w:val="222222"/>
          <w:sz w:val="24"/>
          <w:szCs w:val="24"/>
          <w:shd w:val="clear" w:color="auto" w:fill="FFFFFF"/>
        </w:rPr>
        <w:t>Financial Management &amp; Policy, 12/E</w:t>
      </w:r>
      <w:r w:rsidRPr="00185A5B">
        <w:rPr>
          <w:rFonts w:ascii="Times New Roman" w:hAnsi="Times New Roman" w:cs="Times New Roman"/>
          <w:color w:val="222222"/>
          <w:sz w:val="24"/>
          <w:szCs w:val="24"/>
          <w:shd w:val="clear" w:color="auto" w:fill="FFFFFF"/>
        </w:rPr>
        <w:t>. Pearson Education India.</w:t>
      </w:r>
    </w:p>
    <w:p w14:paraId="449C9ED8" w14:textId="77777777" w:rsidR="00185A5B" w:rsidRPr="00185A5B" w:rsidRDefault="00185A5B" w:rsidP="007C6BD1">
      <w:pPr>
        <w:rPr>
          <w:rFonts w:ascii="Times New Roman" w:hAnsi="Times New Roman" w:cs="Times New Roman"/>
          <w:sz w:val="28"/>
          <w:szCs w:val="28"/>
        </w:rPr>
      </w:pPr>
      <w:proofErr w:type="spellStart"/>
      <w:r w:rsidRPr="00185A5B">
        <w:rPr>
          <w:rFonts w:ascii="Times New Roman" w:hAnsi="Times New Roman" w:cs="Times New Roman"/>
          <w:color w:val="222222"/>
          <w:sz w:val="24"/>
          <w:szCs w:val="24"/>
          <w:shd w:val="clear" w:color="auto" w:fill="FFFFFF"/>
        </w:rPr>
        <w:t>Winborg</w:t>
      </w:r>
      <w:proofErr w:type="spellEnd"/>
      <w:r w:rsidRPr="00185A5B">
        <w:rPr>
          <w:rFonts w:ascii="Times New Roman" w:hAnsi="Times New Roman" w:cs="Times New Roman"/>
          <w:color w:val="222222"/>
          <w:sz w:val="24"/>
          <w:szCs w:val="24"/>
          <w:shd w:val="clear" w:color="auto" w:fill="FFFFFF"/>
        </w:rPr>
        <w:t xml:space="preserve">, J. and </w:t>
      </w:r>
      <w:proofErr w:type="spellStart"/>
      <w:r w:rsidRPr="00185A5B">
        <w:rPr>
          <w:rFonts w:ascii="Times New Roman" w:hAnsi="Times New Roman" w:cs="Times New Roman"/>
          <w:color w:val="222222"/>
          <w:sz w:val="24"/>
          <w:szCs w:val="24"/>
          <w:shd w:val="clear" w:color="auto" w:fill="FFFFFF"/>
        </w:rPr>
        <w:t>Landström</w:t>
      </w:r>
      <w:proofErr w:type="spellEnd"/>
      <w:r w:rsidRPr="00185A5B">
        <w:rPr>
          <w:rFonts w:ascii="Times New Roman" w:hAnsi="Times New Roman" w:cs="Times New Roman"/>
          <w:color w:val="222222"/>
          <w:sz w:val="24"/>
          <w:szCs w:val="24"/>
          <w:shd w:val="clear" w:color="auto" w:fill="FFFFFF"/>
        </w:rPr>
        <w:t xml:space="preserve">, H., 2001. Financial bootstrapping in small businesses: Examining small business managers' resource acquisition </w:t>
      </w:r>
      <w:proofErr w:type="spellStart"/>
      <w:r w:rsidRPr="00185A5B">
        <w:rPr>
          <w:rFonts w:ascii="Times New Roman" w:hAnsi="Times New Roman" w:cs="Times New Roman"/>
          <w:color w:val="222222"/>
          <w:sz w:val="24"/>
          <w:szCs w:val="24"/>
          <w:shd w:val="clear" w:color="auto" w:fill="FFFFFF"/>
        </w:rPr>
        <w:t>behaviors</w:t>
      </w:r>
      <w:proofErr w:type="spellEnd"/>
      <w:r w:rsidRPr="00185A5B">
        <w:rPr>
          <w:rFonts w:ascii="Times New Roman" w:hAnsi="Times New Roman" w:cs="Times New Roman"/>
          <w:color w:val="222222"/>
          <w:sz w:val="24"/>
          <w:szCs w:val="24"/>
          <w:shd w:val="clear" w:color="auto" w:fill="FFFFFF"/>
        </w:rPr>
        <w:t>. </w:t>
      </w:r>
      <w:r w:rsidRPr="00185A5B">
        <w:rPr>
          <w:rFonts w:ascii="Times New Roman" w:hAnsi="Times New Roman" w:cs="Times New Roman"/>
          <w:i/>
          <w:iCs/>
          <w:color w:val="222222"/>
          <w:sz w:val="24"/>
          <w:szCs w:val="24"/>
          <w:shd w:val="clear" w:color="auto" w:fill="FFFFFF"/>
        </w:rPr>
        <w:t>Journal of business venturing</w:t>
      </w:r>
      <w:r w:rsidRPr="00185A5B">
        <w:rPr>
          <w:rFonts w:ascii="Times New Roman" w:hAnsi="Times New Roman" w:cs="Times New Roman"/>
          <w:color w:val="222222"/>
          <w:sz w:val="24"/>
          <w:szCs w:val="24"/>
          <w:shd w:val="clear" w:color="auto" w:fill="FFFFFF"/>
        </w:rPr>
        <w:t>, </w:t>
      </w:r>
      <w:r w:rsidRPr="00185A5B">
        <w:rPr>
          <w:rFonts w:ascii="Times New Roman" w:hAnsi="Times New Roman" w:cs="Times New Roman"/>
          <w:i/>
          <w:iCs/>
          <w:color w:val="222222"/>
          <w:sz w:val="24"/>
          <w:szCs w:val="24"/>
          <w:shd w:val="clear" w:color="auto" w:fill="FFFFFF"/>
        </w:rPr>
        <w:t>16</w:t>
      </w:r>
      <w:r w:rsidRPr="00185A5B">
        <w:rPr>
          <w:rFonts w:ascii="Times New Roman" w:hAnsi="Times New Roman" w:cs="Times New Roman"/>
          <w:color w:val="222222"/>
          <w:sz w:val="24"/>
          <w:szCs w:val="24"/>
          <w:shd w:val="clear" w:color="auto" w:fill="FFFFFF"/>
        </w:rPr>
        <w:t>(3), pp.235-254.</w:t>
      </w:r>
    </w:p>
    <w:sectPr w:rsidR="00185A5B" w:rsidRPr="00185A5B">
      <w:headerReference w:type="default" r:id="rId67"/>
      <w:footerReference w:type="default" r:id="rId6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AC9C35" w14:textId="77777777" w:rsidR="000D5A1A" w:rsidRDefault="000D5A1A" w:rsidP="00817582">
      <w:pPr>
        <w:spacing w:after="0" w:line="240" w:lineRule="auto"/>
      </w:pPr>
      <w:r>
        <w:separator/>
      </w:r>
    </w:p>
  </w:endnote>
  <w:endnote w:type="continuationSeparator" w:id="0">
    <w:p w14:paraId="4A2508E2" w14:textId="77777777" w:rsidR="000D5A1A" w:rsidRDefault="000D5A1A" w:rsidP="008175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385783"/>
      <w:docPartObj>
        <w:docPartGallery w:val="Page Numbers (Bottom of Page)"/>
        <w:docPartUnique/>
      </w:docPartObj>
    </w:sdtPr>
    <w:sdtEndPr>
      <w:rPr>
        <w:noProof/>
      </w:rPr>
    </w:sdtEndPr>
    <w:sdtContent>
      <w:p w14:paraId="0FC072F2" w14:textId="41B620C9" w:rsidR="00641C0B" w:rsidRDefault="00641C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7B26D8" w14:textId="77777777" w:rsidR="00641C0B" w:rsidRDefault="00641C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42FDEF" w14:textId="77777777" w:rsidR="000D5A1A" w:rsidRDefault="000D5A1A" w:rsidP="00817582">
      <w:pPr>
        <w:spacing w:after="0" w:line="240" w:lineRule="auto"/>
      </w:pPr>
      <w:r>
        <w:separator/>
      </w:r>
    </w:p>
  </w:footnote>
  <w:footnote w:type="continuationSeparator" w:id="0">
    <w:p w14:paraId="29AA564B" w14:textId="77777777" w:rsidR="000D5A1A" w:rsidRDefault="000D5A1A" w:rsidP="008175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56E8C8" w14:textId="0EB65B42" w:rsidR="001031CA" w:rsidRDefault="001031CA">
    <w:pPr>
      <w:pStyle w:val="Header"/>
    </w:pPr>
    <w:r>
      <w:rPr>
        <w:rFonts w:ascii="Times New Roman" w:hAnsi="Times New Roman" w:cs="Times New Roman"/>
        <w:sz w:val="24"/>
        <w:szCs w:val="24"/>
        <w:lang w:val="en-US"/>
      </w:rPr>
      <w:t>LCMB7002 by Leanne Lawrence</w:t>
    </w:r>
  </w:p>
  <w:p w14:paraId="730B3518" w14:textId="77777777" w:rsidR="001031CA" w:rsidRDefault="00103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520B21"/>
    <w:multiLevelType w:val="hybridMultilevel"/>
    <w:tmpl w:val="B1A2383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F325CA"/>
    <w:multiLevelType w:val="hybridMultilevel"/>
    <w:tmpl w:val="268C3D0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9350C9"/>
    <w:multiLevelType w:val="hybridMultilevel"/>
    <w:tmpl w:val="EF226E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AEF2F25"/>
    <w:multiLevelType w:val="hybridMultilevel"/>
    <w:tmpl w:val="BEC872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F111F5D"/>
    <w:multiLevelType w:val="hybridMultilevel"/>
    <w:tmpl w:val="E6ACEF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AC22AFC"/>
    <w:multiLevelType w:val="hybridMultilevel"/>
    <w:tmpl w:val="7FD0F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CF4B6C"/>
    <w:multiLevelType w:val="hybridMultilevel"/>
    <w:tmpl w:val="347CF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F6A2218"/>
    <w:multiLevelType w:val="hybridMultilevel"/>
    <w:tmpl w:val="4524D3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0BE1816"/>
    <w:multiLevelType w:val="hybridMultilevel"/>
    <w:tmpl w:val="66600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A8F351A"/>
    <w:multiLevelType w:val="hybridMultilevel"/>
    <w:tmpl w:val="D97278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A612DE2"/>
    <w:multiLevelType w:val="hybridMultilevel"/>
    <w:tmpl w:val="0804DC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5"/>
  </w:num>
  <w:num w:numId="4">
    <w:abstractNumId w:val="2"/>
  </w:num>
  <w:num w:numId="5">
    <w:abstractNumId w:val="9"/>
  </w:num>
  <w:num w:numId="6">
    <w:abstractNumId w:val="6"/>
  </w:num>
  <w:num w:numId="7">
    <w:abstractNumId w:val="4"/>
  </w:num>
  <w:num w:numId="8">
    <w:abstractNumId w:val="3"/>
  </w:num>
  <w:num w:numId="9">
    <w:abstractNumId w:val="10"/>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3MrY0Mrc0MTc1NrRU0lEKTi0uzszPAykwrAUA7RG1bCwAAAA="/>
  </w:docVars>
  <w:rsids>
    <w:rsidRoot w:val="00197854"/>
    <w:rsid w:val="00053790"/>
    <w:rsid w:val="0006341C"/>
    <w:rsid w:val="000642E2"/>
    <w:rsid w:val="00074979"/>
    <w:rsid w:val="00077EE2"/>
    <w:rsid w:val="000D5A1A"/>
    <w:rsid w:val="000E44F4"/>
    <w:rsid w:val="000F43EE"/>
    <w:rsid w:val="001031CA"/>
    <w:rsid w:val="00103D06"/>
    <w:rsid w:val="00104F40"/>
    <w:rsid w:val="00105EE1"/>
    <w:rsid w:val="00121D9A"/>
    <w:rsid w:val="00130E15"/>
    <w:rsid w:val="00164C65"/>
    <w:rsid w:val="001827F8"/>
    <w:rsid w:val="00185A5B"/>
    <w:rsid w:val="00197854"/>
    <w:rsid w:val="001A08A0"/>
    <w:rsid w:val="001D617D"/>
    <w:rsid w:val="00203444"/>
    <w:rsid w:val="00210117"/>
    <w:rsid w:val="002748EF"/>
    <w:rsid w:val="00297D71"/>
    <w:rsid w:val="002C00C3"/>
    <w:rsid w:val="003076D7"/>
    <w:rsid w:val="00315D01"/>
    <w:rsid w:val="00321450"/>
    <w:rsid w:val="00330ED6"/>
    <w:rsid w:val="00342789"/>
    <w:rsid w:val="00343993"/>
    <w:rsid w:val="00345A51"/>
    <w:rsid w:val="00365006"/>
    <w:rsid w:val="00384281"/>
    <w:rsid w:val="003D6619"/>
    <w:rsid w:val="00433B03"/>
    <w:rsid w:val="00435C75"/>
    <w:rsid w:val="00460A5B"/>
    <w:rsid w:val="00472233"/>
    <w:rsid w:val="004A1627"/>
    <w:rsid w:val="004D04AB"/>
    <w:rsid w:val="004E4086"/>
    <w:rsid w:val="004E5F92"/>
    <w:rsid w:val="00501AAE"/>
    <w:rsid w:val="0050788D"/>
    <w:rsid w:val="00527CC7"/>
    <w:rsid w:val="00580C99"/>
    <w:rsid w:val="005A7DCE"/>
    <w:rsid w:val="005B51B9"/>
    <w:rsid w:val="005E6E72"/>
    <w:rsid w:val="005F4E36"/>
    <w:rsid w:val="00603CC0"/>
    <w:rsid w:val="00606662"/>
    <w:rsid w:val="00630552"/>
    <w:rsid w:val="00640863"/>
    <w:rsid w:val="00641C0B"/>
    <w:rsid w:val="00653E12"/>
    <w:rsid w:val="006548FE"/>
    <w:rsid w:val="006A2FD7"/>
    <w:rsid w:val="006B3021"/>
    <w:rsid w:val="00700873"/>
    <w:rsid w:val="00746465"/>
    <w:rsid w:val="00766C8D"/>
    <w:rsid w:val="007845BB"/>
    <w:rsid w:val="007A2E4F"/>
    <w:rsid w:val="007C2908"/>
    <w:rsid w:val="007C530F"/>
    <w:rsid w:val="007C66AB"/>
    <w:rsid w:val="007C6BD1"/>
    <w:rsid w:val="007D61C9"/>
    <w:rsid w:val="007F7C14"/>
    <w:rsid w:val="008134A6"/>
    <w:rsid w:val="00817582"/>
    <w:rsid w:val="008441F2"/>
    <w:rsid w:val="00866427"/>
    <w:rsid w:val="00870798"/>
    <w:rsid w:val="00897CA3"/>
    <w:rsid w:val="008C6AFA"/>
    <w:rsid w:val="008D343B"/>
    <w:rsid w:val="008E5B83"/>
    <w:rsid w:val="00910C9A"/>
    <w:rsid w:val="00913385"/>
    <w:rsid w:val="00917470"/>
    <w:rsid w:val="009176C2"/>
    <w:rsid w:val="00951EDA"/>
    <w:rsid w:val="009820D1"/>
    <w:rsid w:val="009869C1"/>
    <w:rsid w:val="009A3D00"/>
    <w:rsid w:val="009D7279"/>
    <w:rsid w:val="009E34D0"/>
    <w:rsid w:val="009E5061"/>
    <w:rsid w:val="009F3D39"/>
    <w:rsid w:val="009F5707"/>
    <w:rsid w:val="00A273B4"/>
    <w:rsid w:val="00A53CEE"/>
    <w:rsid w:val="00AA3CAD"/>
    <w:rsid w:val="00AB167E"/>
    <w:rsid w:val="00AD0DAE"/>
    <w:rsid w:val="00AD4AF3"/>
    <w:rsid w:val="00B100AF"/>
    <w:rsid w:val="00B278AA"/>
    <w:rsid w:val="00B320EF"/>
    <w:rsid w:val="00B5505E"/>
    <w:rsid w:val="00B73B0F"/>
    <w:rsid w:val="00B74EB5"/>
    <w:rsid w:val="00B9496D"/>
    <w:rsid w:val="00BB73C3"/>
    <w:rsid w:val="00BC002A"/>
    <w:rsid w:val="00BC1CFA"/>
    <w:rsid w:val="00BD1C07"/>
    <w:rsid w:val="00BE48AC"/>
    <w:rsid w:val="00BF34CF"/>
    <w:rsid w:val="00BF4A32"/>
    <w:rsid w:val="00C21EA5"/>
    <w:rsid w:val="00C4475C"/>
    <w:rsid w:val="00C5428E"/>
    <w:rsid w:val="00C751EB"/>
    <w:rsid w:val="00CA5FE4"/>
    <w:rsid w:val="00CA6CDE"/>
    <w:rsid w:val="00CF440E"/>
    <w:rsid w:val="00CF6BE1"/>
    <w:rsid w:val="00D0657B"/>
    <w:rsid w:val="00D07C2E"/>
    <w:rsid w:val="00D26B42"/>
    <w:rsid w:val="00D3382D"/>
    <w:rsid w:val="00D40647"/>
    <w:rsid w:val="00D5479D"/>
    <w:rsid w:val="00D563EF"/>
    <w:rsid w:val="00D64B54"/>
    <w:rsid w:val="00D9546D"/>
    <w:rsid w:val="00DA6750"/>
    <w:rsid w:val="00DB0DAD"/>
    <w:rsid w:val="00DB23D3"/>
    <w:rsid w:val="00DC4B52"/>
    <w:rsid w:val="00DD5F73"/>
    <w:rsid w:val="00E133A8"/>
    <w:rsid w:val="00E20173"/>
    <w:rsid w:val="00E24BBC"/>
    <w:rsid w:val="00E25D66"/>
    <w:rsid w:val="00E516F5"/>
    <w:rsid w:val="00E636AA"/>
    <w:rsid w:val="00E741D2"/>
    <w:rsid w:val="00E772C6"/>
    <w:rsid w:val="00E80356"/>
    <w:rsid w:val="00EA4C45"/>
    <w:rsid w:val="00EB28A7"/>
    <w:rsid w:val="00EC0160"/>
    <w:rsid w:val="00EC326C"/>
    <w:rsid w:val="00EE6B31"/>
    <w:rsid w:val="00F16985"/>
    <w:rsid w:val="00F2416A"/>
    <w:rsid w:val="00F73E76"/>
    <w:rsid w:val="00F85F58"/>
    <w:rsid w:val="00F90D07"/>
    <w:rsid w:val="00FB2566"/>
    <w:rsid w:val="00FC7F4A"/>
    <w:rsid w:val="00FE4D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26A38"/>
  <w15:chartTrackingRefBased/>
  <w15:docId w15:val="{CDBEF5C6-0A0C-4E14-BB78-FF08A531F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854"/>
    <w:rPr>
      <w:lang w:val="en-GB"/>
    </w:rPr>
  </w:style>
  <w:style w:type="paragraph" w:styleId="Heading1">
    <w:name w:val="heading 1"/>
    <w:basedOn w:val="Normal"/>
    <w:next w:val="Normal"/>
    <w:link w:val="Heading1Char"/>
    <w:uiPriority w:val="9"/>
    <w:qFormat/>
    <w:rsid w:val="00D9546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C66A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7854"/>
    <w:pPr>
      <w:ind w:left="720"/>
      <w:contextualSpacing/>
    </w:pPr>
  </w:style>
  <w:style w:type="table" w:styleId="GridTable4-Accent1">
    <w:name w:val="Grid Table 4 Accent 1"/>
    <w:basedOn w:val="TableNormal"/>
    <w:uiPriority w:val="49"/>
    <w:rsid w:val="0034278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5Dark-Accent2">
    <w:name w:val="Grid Table 5 Dark Accent 2"/>
    <w:basedOn w:val="TableNormal"/>
    <w:uiPriority w:val="50"/>
    <w:rsid w:val="0034278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6ColourfulAccent5">
    <w:name w:val="Grid Table 6 Colorful Accent 5"/>
    <w:basedOn w:val="TableNormal"/>
    <w:uiPriority w:val="51"/>
    <w:rsid w:val="00342789"/>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6ColourfulAccent1">
    <w:name w:val="Grid Table 6 Colorful Accent 1"/>
    <w:basedOn w:val="TableNormal"/>
    <w:uiPriority w:val="51"/>
    <w:rsid w:val="00342789"/>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5Dark-Accent6">
    <w:name w:val="Grid Table 5 Dark Accent 6"/>
    <w:basedOn w:val="TableNormal"/>
    <w:uiPriority w:val="50"/>
    <w:rsid w:val="0034278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urfulAccent2">
    <w:name w:val="Grid Table 6 Colorful Accent 2"/>
    <w:basedOn w:val="TableNormal"/>
    <w:uiPriority w:val="51"/>
    <w:rsid w:val="00342789"/>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urfulAccent6">
    <w:name w:val="Grid Table 6 Colorful Accent 6"/>
    <w:basedOn w:val="TableNormal"/>
    <w:uiPriority w:val="51"/>
    <w:rsid w:val="00342789"/>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7ColourfulAccent1">
    <w:name w:val="Grid Table 7 Colorful Accent 1"/>
    <w:basedOn w:val="TableNormal"/>
    <w:uiPriority w:val="52"/>
    <w:rsid w:val="00342789"/>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5Dark-Accent5">
    <w:name w:val="Grid Table 5 Dark Accent 5"/>
    <w:basedOn w:val="TableNormal"/>
    <w:uiPriority w:val="50"/>
    <w:rsid w:val="0034278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7ColourfulAccent5">
    <w:name w:val="Grid Table 7 Colorful Accent 5"/>
    <w:basedOn w:val="TableNormal"/>
    <w:uiPriority w:val="52"/>
    <w:rsid w:val="00342789"/>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1LightAccent2">
    <w:name w:val="Grid Table 1 Light Accent 2"/>
    <w:basedOn w:val="TableNormal"/>
    <w:uiPriority w:val="46"/>
    <w:rsid w:val="00766C8D"/>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4-Accent2">
    <w:name w:val="Grid Table 4 Accent 2"/>
    <w:basedOn w:val="TableNormal"/>
    <w:uiPriority w:val="49"/>
    <w:rsid w:val="00766C8D"/>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Hyperlink">
    <w:name w:val="Hyperlink"/>
    <w:basedOn w:val="DefaultParagraphFont"/>
    <w:uiPriority w:val="99"/>
    <w:unhideWhenUsed/>
    <w:rsid w:val="000E44F4"/>
    <w:rPr>
      <w:color w:val="0000FF"/>
      <w:u w:val="single"/>
    </w:rPr>
  </w:style>
  <w:style w:type="character" w:customStyle="1" w:styleId="Heading1Char">
    <w:name w:val="Heading 1 Char"/>
    <w:basedOn w:val="DefaultParagraphFont"/>
    <w:link w:val="Heading1"/>
    <w:uiPriority w:val="9"/>
    <w:rsid w:val="00D9546D"/>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7C66AB"/>
    <w:rPr>
      <w:rFonts w:asciiTheme="majorHAnsi" w:eastAsiaTheme="majorEastAsia" w:hAnsiTheme="majorHAnsi" w:cstheme="majorBidi"/>
      <w:color w:val="2E74B5" w:themeColor="accent1" w:themeShade="BF"/>
      <w:sz w:val="26"/>
      <w:szCs w:val="26"/>
      <w:lang w:val="en-GB"/>
    </w:rPr>
  </w:style>
  <w:style w:type="paragraph" w:styleId="Header">
    <w:name w:val="header"/>
    <w:basedOn w:val="Normal"/>
    <w:link w:val="HeaderChar"/>
    <w:uiPriority w:val="99"/>
    <w:unhideWhenUsed/>
    <w:rsid w:val="008175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7582"/>
    <w:rPr>
      <w:lang w:val="en-GB"/>
    </w:rPr>
  </w:style>
  <w:style w:type="paragraph" w:styleId="Footer">
    <w:name w:val="footer"/>
    <w:basedOn w:val="Normal"/>
    <w:link w:val="FooterChar"/>
    <w:uiPriority w:val="99"/>
    <w:unhideWhenUsed/>
    <w:rsid w:val="008175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7582"/>
    <w:rPr>
      <w:lang w:val="en-GB"/>
    </w:rPr>
  </w:style>
  <w:style w:type="table" w:styleId="GridTable4-Accent5">
    <w:name w:val="Grid Table 4 Accent 5"/>
    <w:basedOn w:val="TableNormal"/>
    <w:uiPriority w:val="49"/>
    <w:rsid w:val="00817582"/>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Heading">
    <w:name w:val="TOC Heading"/>
    <w:basedOn w:val="Heading1"/>
    <w:next w:val="Normal"/>
    <w:uiPriority w:val="39"/>
    <w:unhideWhenUsed/>
    <w:qFormat/>
    <w:rsid w:val="00580C99"/>
    <w:pPr>
      <w:outlineLvl w:val="9"/>
    </w:pPr>
    <w:rPr>
      <w:lang w:val="en-US"/>
    </w:rPr>
  </w:style>
  <w:style w:type="paragraph" w:styleId="TOC1">
    <w:name w:val="toc 1"/>
    <w:basedOn w:val="Normal"/>
    <w:next w:val="Normal"/>
    <w:autoRedefine/>
    <w:uiPriority w:val="39"/>
    <w:unhideWhenUsed/>
    <w:rsid w:val="00580C99"/>
    <w:pPr>
      <w:spacing w:after="100"/>
    </w:pPr>
  </w:style>
  <w:style w:type="paragraph" w:styleId="TOC2">
    <w:name w:val="toc 2"/>
    <w:basedOn w:val="Normal"/>
    <w:next w:val="Normal"/>
    <w:autoRedefine/>
    <w:uiPriority w:val="39"/>
    <w:unhideWhenUsed/>
    <w:rsid w:val="00580C99"/>
    <w:pPr>
      <w:spacing w:after="100"/>
      <w:ind w:left="220"/>
    </w:pPr>
  </w:style>
  <w:style w:type="paragraph" w:styleId="NormalWeb">
    <w:name w:val="Normal (Web)"/>
    <w:basedOn w:val="Normal"/>
    <w:uiPriority w:val="99"/>
    <w:unhideWhenUsed/>
    <w:rsid w:val="00185A5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Caption">
    <w:name w:val="caption"/>
    <w:basedOn w:val="Normal"/>
    <w:next w:val="Normal"/>
    <w:uiPriority w:val="35"/>
    <w:unhideWhenUsed/>
    <w:qFormat/>
    <w:rsid w:val="00185A5B"/>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185A5B"/>
    <w:rPr>
      <w:color w:val="808080"/>
    </w:rPr>
  </w:style>
  <w:style w:type="paragraph" w:styleId="BalloonText">
    <w:name w:val="Balloon Text"/>
    <w:basedOn w:val="Normal"/>
    <w:link w:val="BalloonTextChar"/>
    <w:uiPriority w:val="99"/>
    <w:semiHidden/>
    <w:unhideWhenUsed/>
    <w:rsid w:val="001031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31CA"/>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634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10.png"/><Relationship Id="rId42" Type="http://schemas.openxmlformats.org/officeDocument/2006/relationships/chart" Target="charts/chart13.xml"/><Relationship Id="rId47" Type="http://schemas.openxmlformats.org/officeDocument/2006/relationships/chart" Target="charts/chart15.xml"/><Relationship Id="rId63" Type="http://schemas.openxmlformats.org/officeDocument/2006/relationships/image" Target="media/image35.png"/><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5.png"/><Relationship Id="rId11" Type="http://schemas.openxmlformats.org/officeDocument/2006/relationships/image" Target="media/image4.png"/><Relationship Id="rId24" Type="http://schemas.openxmlformats.org/officeDocument/2006/relationships/image" Target="media/image12.png"/><Relationship Id="rId32" Type="http://schemas.openxmlformats.org/officeDocument/2006/relationships/chart" Target="charts/chart9.xml"/><Relationship Id="rId37" Type="http://schemas.openxmlformats.org/officeDocument/2006/relationships/chart" Target="charts/chart11.xml"/><Relationship Id="rId40" Type="http://schemas.openxmlformats.org/officeDocument/2006/relationships/chart" Target="charts/chart12.xml"/><Relationship Id="rId45" Type="http://schemas.openxmlformats.org/officeDocument/2006/relationships/chart" Target="charts/chart14.xml"/><Relationship Id="rId53" Type="http://schemas.openxmlformats.org/officeDocument/2006/relationships/image" Target="media/image29.png"/><Relationship Id="rId58" Type="http://schemas.openxmlformats.org/officeDocument/2006/relationships/image" Target="media/image32.png"/><Relationship Id="rId66" Type="http://schemas.openxmlformats.org/officeDocument/2006/relationships/image" Target="media/image38.jpeg"/><Relationship Id="rId5" Type="http://schemas.openxmlformats.org/officeDocument/2006/relationships/webSettings" Target="webSettings.xml"/><Relationship Id="rId61" Type="http://schemas.openxmlformats.org/officeDocument/2006/relationships/image" Target="media/image34.png"/><Relationship Id="rId19" Type="http://schemas.openxmlformats.org/officeDocument/2006/relationships/image" Target="media/image9.png"/><Relationship Id="rId14" Type="http://schemas.openxmlformats.org/officeDocument/2006/relationships/image" Target="media/image6.png"/><Relationship Id="rId22" Type="http://schemas.openxmlformats.org/officeDocument/2006/relationships/chart" Target="charts/chart5.xml"/><Relationship Id="rId27" Type="http://schemas.openxmlformats.org/officeDocument/2006/relationships/chart" Target="charts/chart7.xml"/><Relationship Id="rId30" Type="http://schemas.openxmlformats.org/officeDocument/2006/relationships/chart" Target="charts/chart8.xml"/><Relationship Id="rId35" Type="http://schemas.openxmlformats.org/officeDocument/2006/relationships/chart" Target="charts/chart10.xml"/><Relationship Id="rId43" Type="http://schemas.openxmlformats.org/officeDocument/2006/relationships/image" Target="media/image23.png"/><Relationship Id="rId48" Type="http://schemas.openxmlformats.org/officeDocument/2006/relationships/image" Target="media/image26.png"/><Relationship Id="rId56" Type="http://schemas.openxmlformats.org/officeDocument/2006/relationships/image" Target="media/image31.png"/><Relationship Id="rId64" Type="http://schemas.openxmlformats.org/officeDocument/2006/relationships/image" Target="media/image36.png"/><Relationship Id="rId69"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28.pn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chart" Target="charts/chart3.xml"/><Relationship Id="rId25" Type="http://schemas.openxmlformats.org/officeDocument/2006/relationships/chart" Target="charts/chart6.xml"/><Relationship Id="rId33" Type="http://schemas.openxmlformats.org/officeDocument/2006/relationships/image" Target="media/image17.jpeg"/><Relationship Id="rId38" Type="http://schemas.openxmlformats.org/officeDocument/2006/relationships/image" Target="media/image20.png"/><Relationship Id="rId46" Type="http://schemas.openxmlformats.org/officeDocument/2006/relationships/image" Target="media/image25.png"/><Relationship Id="rId59" Type="http://schemas.openxmlformats.org/officeDocument/2006/relationships/image" Target="media/image33.png"/><Relationship Id="rId67" Type="http://schemas.openxmlformats.org/officeDocument/2006/relationships/header" Target="header1.xml"/><Relationship Id="rId20" Type="http://schemas.openxmlformats.org/officeDocument/2006/relationships/chart" Target="charts/chart4.xml"/><Relationship Id="rId41" Type="http://schemas.openxmlformats.org/officeDocument/2006/relationships/image" Target="media/image22.png"/><Relationship Id="rId54" Type="http://schemas.openxmlformats.org/officeDocument/2006/relationships/image" Target="media/image30.png"/><Relationship Id="rId62" Type="http://schemas.openxmlformats.org/officeDocument/2006/relationships/chart" Target="charts/chart21.xm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image" Target="media/image11.jpeg"/><Relationship Id="rId28" Type="http://schemas.openxmlformats.org/officeDocument/2006/relationships/image" Target="media/image14.png"/><Relationship Id="rId36" Type="http://schemas.openxmlformats.org/officeDocument/2006/relationships/image" Target="media/image19.png"/><Relationship Id="rId49" Type="http://schemas.openxmlformats.org/officeDocument/2006/relationships/image" Target="media/image27.png"/><Relationship Id="rId57" Type="http://schemas.openxmlformats.org/officeDocument/2006/relationships/chart" Target="charts/chart19.xml"/><Relationship Id="rId10" Type="http://schemas.openxmlformats.org/officeDocument/2006/relationships/image" Target="media/image3.jpeg"/><Relationship Id="rId31" Type="http://schemas.openxmlformats.org/officeDocument/2006/relationships/image" Target="media/image16.png"/><Relationship Id="rId44" Type="http://schemas.openxmlformats.org/officeDocument/2006/relationships/image" Target="media/image24.png"/><Relationship Id="rId52" Type="http://schemas.openxmlformats.org/officeDocument/2006/relationships/chart" Target="charts/chart17.xml"/><Relationship Id="rId60" Type="http://schemas.openxmlformats.org/officeDocument/2006/relationships/chart" Target="charts/chart20.xml"/><Relationship Id="rId65"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8.png"/><Relationship Id="rId39" Type="http://schemas.openxmlformats.org/officeDocument/2006/relationships/image" Target="media/image21.png"/><Relationship Id="rId34" Type="http://schemas.openxmlformats.org/officeDocument/2006/relationships/image" Target="media/image18.png"/><Relationship Id="rId50" Type="http://schemas.openxmlformats.org/officeDocument/2006/relationships/chart" Target="charts/chart16.xml"/><Relationship Id="rId55" Type="http://schemas.openxmlformats.org/officeDocument/2006/relationships/chart" Target="charts/chart18.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package" Target="../embeddings/Microsoft_Excel_Worksheet11.xlsx"/></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13.xml"/><Relationship Id="rId1" Type="http://schemas.microsoft.com/office/2011/relationships/chartStyle" Target="style13.xml"/><Relationship Id="rId4" Type="http://schemas.openxmlformats.org/officeDocument/2006/relationships/package" Target="../embeddings/Microsoft_Excel_Worksheet12.xlsx"/></Relationships>
</file>

<file path=word/charts/_rels/chart14.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14.xml"/><Relationship Id="rId1" Type="http://schemas.microsoft.com/office/2011/relationships/chartStyle" Target="style14.xml"/><Relationship Id="rId4" Type="http://schemas.openxmlformats.org/officeDocument/2006/relationships/package" Target="../embeddings/Microsoft_Excel_Worksheet13.xlsx"/></Relationships>
</file>

<file path=word/charts/_rels/chart15.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5.xml"/><Relationship Id="rId1" Type="http://schemas.microsoft.com/office/2011/relationships/chartStyle" Target="style15.xml"/><Relationship Id="rId4" Type="http://schemas.openxmlformats.org/officeDocument/2006/relationships/package" Target="../embeddings/Microsoft_Excel_Worksheet14.xlsx"/></Relationships>
</file>

<file path=word/charts/_rels/chart16.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6.xml"/><Relationship Id="rId1" Type="http://schemas.microsoft.com/office/2011/relationships/chartStyle" Target="style16.xml"/><Relationship Id="rId4" Type="http://schemas.openxmlformats.org/officeDocument/2006/relationships/package" Target="../embeddings/Microsoft_Excel_Worksheet15.xlsx"/></Relationships>
</file>

<file path=word/charts/_rels/chart17.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7.xml"/><Relationship Id="rId1" Type="http://schemas.microsoft.com/office/2011/relationships/chartStyle" Target="style17.xml"/><Relationship Id="rId4" Type="http://schemas.openxmlformats.org/officeDocument/2006/relationships/package" Target="../embeddings/Microsoft_Excel_Worksheet16.xlsx"/></Relationships>
</file>

<file path=word/charts/_rels/chart18.xml.rels><?xml version="1.0" encoding="UTF-8" standalone="yes"?>
<Relationships xmlns="http://schemas.openxmlformats.org/package/2006/relationships"><Relationship Id="rId3" Type="http://schemas.openxmlformats.org/officeDocument/2006/relationships/themeOverride" Target="../theme/themeOverride13.xml"/><Relationship Id="rId2" Type="http://schemas.microsoft.com/office/2011/relationships/chartColorStyle" Target="colors18.xml"/><Relationship Id="rId1" Type="http://schemas.microsoft.com/office/2011/relationships/chartStyle" Target="style18.xml"/><Relationship Id="rId4" Type="http://schemas.openxmlformats.org/officeDocument/2006/relationships/package" Target="../embeddings/Microsoft_Excel_Worksheet17.xlsx"/></Relationships>
</file>

<file path=word/charts/_rels/chart19.xml.rels><?xml version="1.0" encoding="UTF-8" standalone="yes"?>
<Relationships xmlns="http://schemas.openxmlformats.org/package/2006/relationships"><Relationship Id="rId3" Type="http://schemas.openxmlformats.org/officeDocument/2006/relationships/themeOverride" Target="../theme/themeOverride14.xml"/><Relationship Id="rId2" Type="http://schemas.microsoft.com/office/2011/relationships/chartColorStyle" Target="colors19.xml"/><Relationship Id="rId1" Type="http://schemas.microsoft.com/office/2011/relationships/chartStyle" Target="style19.xml"/><Relationship Id="rId4" Type="http://schemas.openxmlformats.org/officeDocument/2006/relationships/package" Target="../embeddings/Microsoft_Excel_Worksheet18.xlsx"/></Relationships>
</file>

<file path=word/charts/_rels/chart20.xml.rels><?xml version="1.0" encoding="UTF-8" standalone="yes"?>
<Relationships xmlns="http://schemas.openxmlformats.org/package/2006/relationships"><Relationship Id="rId3" Type="http://schemas.openxmlformats.org/officeDocument/2006/relationships/themeOverride" Target="../theme/themeOverride15.xml"/><Relationship Id="rId2" Type="http://schemas.microsoft.com/office/2011/relationships/chartColorStyle" Target="colors20.xml"/><Relationship Id="rId1" Type="http://schemas.microsoft.com/office/2011/relationships/chartStyle" Target="style20.xml"/><Relationship Id="rId4" Type="http://schemas.openxmlformats.org/officeDocument/2006/relationships/package" Target="../embeddings/Microsoft_Excel_Worksheet19.xlsx"/></Relationships>
</file>

<file path=word/charts/_rels/chart21.xml.rels><?xml version="1.0" encoding="UTF-8" standalone="yes"?>
<Relationships xmlns="http://schemas.openxmlformats.org/package/2006/relationships"><Relationship Id="rId3" Type="http://schemas.openxmlformats.org/officeDocument/2006/relationships/themeOverride" Target="../theme/themeOverride16.xml"/><Relationship Id="rId2" Type="http://schemas.microsoft.com/office/2011/relationships/chartColorStyle" Target="colors21.xml"/><Relationship Id="rId1" Type="http://schemas.microsoft.com/office/2011/relationships/chartStyle" Target="style21.xml"/><Relationship Id="rId4" Type="http://schemas.openxmlformats.org/officeDocument/2006/relationships/package" Target="../embeddings/Microsoft_Excel_Worksheet20.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Global Market Share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BFB-4EB4-9FDB-C01176FB8F2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BFB-4EB4-9FDB-C01176FB8F2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BFB-4EB4-9FDB-C01176FB8F2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BFB-4EB4-9FDB-C01176FB8F2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BFB-4EB4-9FDB-C01176FB8F2A}"/>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8BFB-4EB4-9FDB-C01176FB8F2A}"/>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8BFB-4EB4-9FDB-C01176FB8F2A}"/>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8BFB-4EB4-9FDB-C01176FB8F2A}"/>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0"/>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Sheet1!$A$2:$A$9</c:f>
              <c:strCache>
                <c:ptCount val="8"/>
                <c:pt idx="0">
                  <c:v>Unilever</c:v>
                </c:pt>
                <c:pt idx="1">
                  <c:v>Proter &amp; Gamble</c:v>
                </c:pt>
                <c:pt idx="2">
                  <c:v>Nestle</c:v>
                </c:pt>
                <c:pt idx="3">
                  <c:v>Johnson &amp; Johnson</c:v>
                </c:pt>
                <c:pt idx="4">
                  <c:v>Coca-Cola</c:v>
                </c:pt>
                <c:pt idx="5">
                  <c:v>PepsiCo</c:v>
                </c:pt>
                <c:pt idx="6">
                  <c:v>Reckitt Benckiser</c:v>
                </c:pt>
                <c:pt idx="7">
                  <c:v>Others</c:v>
                </c:pt>
              </c:strCache>
            </c:strRef>
          </c:cat>
          <c:val>
            <c:numRef>
              <c:f>Sheet1!$B$2:$B$9</c:f>
              <c:numCache>
                <c:formatCode>0%</c:formatCode>
                <c:ptCount val="8"/>
                <c:pt idx="0">
                  <c:v>0.1</c:v>
                </c:pt>
                <c:pt idx="1">
                  <c:v>0.09</c:v>
                </c:pt>
                <c:pt idx="2">
                  <c:v>0.09</c:v>
                </c:pt>
                <c:pt idx="3" formatCode="0.00%">
                  <c:v>8.1000000000000003E-2</c:v>
                </c:pt>
                <c:pt idx="4" formatCode="0.00%">
                  <c:v>7.8E-2</c:v>
                </c:pt>
                <c:pt idx="5">
                  <c:v>0.06</c:v>
                </c:pt>
                <c:pt idx="6">
                  <c:v>7.0000000000000007E-2</c:v>
                </c:pt>
                <c:pt idx="7" formatCode="0.00%">
                  <c:v>0.43099999999999999</c:v>
                </c:pt>
              </c:numCache>
            </c:numRef>
          </c:val>
          <c:extLst>
            <c:ext xmlns:c16="http://schemas.microsoft.com/office/drawing/2014/chart" uri="{C3380CC4-5D6E-409C-BE32-E72D297353CC}">
              <c16:uniqueId val="{00000010-8BFB-4EB4-9FDB-C01176FB8F2A}"/>
            </c:ext>
          </c:extLst>
        </c:ser>
        <c:dLbls>
          <c:showLegendKey val="0"/>
          <c:showVal val="0"/>
          <c:showCatName val="0"/>
          <c:showSerName val="0"/>
          <c:showPercent val="0"/>
          <c:showBubbleSize val="0"/>
          <c:showLeaderLines val="0"/>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Current Ratio of Unilever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Current Ratio</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2016</c:v>
                </c:pt>
                <c:pt idx="1">
                  <c:v>2017</c:v>
                </c:pt>
                <c:pt idx="2">
                  <c:v>2018</c:v>
                </c:pt>
                <c:pt idx="3">
                  <c:v>2019</c:v>
                </c:pt>
                <c:pt idx="4">
                  <c:v>2020</c:v>
                </c:pt>
              </c:numCache>
            </c:numRef>
          </c:cat>
          <c:val>
            <c:numRef>
              <c:f>Sheet1!$B$2:$B$6</c:f>
              <c:numCache>
                <c:formatCode>General</c:formatCode>
                <c:ptCount val="5"/>
                <c:pt idx="0">
                  <c:v>0.68</c:v>
                </c:pt>
                <c:pt idx="1">
                  <c:v>0.73</c:v>
                </c:pt>
                <c:pt idx="2">
                  <c:v>0.78</c:v>
                </c:pt>
                <c:pt idx="3">
                  <c:v>0.78</c:v>
                </c:pt>
                <c:pt idx="4">
                  <c:v>0.78</c:v>
                </c:pt>
              </c:numCache>
            </c:numRef>
          </c:val>
          <c:smooth val="0"/>
          <c:extLst>
            <c:ext xmlns:c16="http://schemas.microsoft.com/office/drawing/2014/chart" uri="{C3380CC4-5D6E-409C-BE32-E72D297353CC}">
              <c16:uniqueId val="{00000000-1312-431E-A4BD-23072DA24AF6}"/>
            </c:ext>
          </c:extLst>
        </c:ser>
        <c:dLbls>
          <c:showLegendKey val="0"/>
          <c:showVal val="0"/>
          <c:showCatName val="0"/>
          <c:showSerName val="0"/>
          <c:showPercent val="0"/>
          <c:showBubbleSize val="0"/>
        </c:dLbls>
        <c:marker val="1"/>
        <c:smooth val="0"/>
        <c:axId val="979344688"/>
        <c:axId val="979345232"/>
      </c:lineChart>
      <c:catAx>
        <c:axId val="9793446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9345232"/>
        <c:crosses val="autoZero"/>
        <c:auto val="1"/>
        <c:lblAlgn val="ctr"/>
        <c:lblOffset val="100"/>
        <c:noMultiLvlLbl val="0"/>
      </c:catAx>
      <c:valAx>
        <c:axId val="9793452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9344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Current Ratio Analysis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Unilever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5.3453767156910505E-3"/>
                  <c:y val="6.1340456686560813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66CE-4C56-807D-73C95FB61F0A}"/>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c:f>
              <c:numCache>
                <c:formatCode>General</c:formatCode>
                <c:ptCount val="3"/>
                <c:pt idx="0">
                  <c:v>2018</c:v>
                </c:pt>
                <c:pt idx="1">
                  <c:v>2019</c:v>
                </c:pt>
                <c:pt idx="2">
                  <c:v>2020</c:v>
                </c:pt>
              </c:numCache>
            </c:numRef>
          </c:cat>
          <c:val>
            <c:numRef>
              <c:f>Sheet1!$B$2:$B$4</c:f>
              <c:numCache>
                <c:formatCode>General</c:formatCode>
                <c:ptCount val="3"/>
                <c:pt idx="0">
                  <c:v>0.78</c:v>
                </c:pt>
                <c:pt idx="1">
                  <c:v>0.78</c:v>
                </c:pt>
                <c:pt idx="2">
                  <c:v>0.78</c:v>
                </c:pt>
              </c:numCache>
            </c:numRef>
          </c:val>
          <c:extLst>
            <c:ext xmlns:c16="http://schemas.microsoft.com/office/drawing/2014/chart" uri="{C3380CC4-5D6E-409C-BE32-E72D297353CC}">
              <c16:uniqueId val="{00000001-66CE-4C56-807D-73C95FB61F0A}"/>
            </c:ext>
          </c:extLst>
        </c:ser>
        <c:ser>
          <c:idx val="1"/>
          <c:order val="1"/>
          <c:tx>
            <c:strRef>
              <c:f>Sheet1!$C$1</c:f>
              <c:strCache>
                <c:ptCount val="1"/>
                <c:pt idx="0">
                  <c:v>Procter &amp; Gamble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1.1574074074074073E-2"/>
                  <c:y val="1.1904761904761904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2-66CE-4C56-807D-73C95FB61F0A}"/>
                </c:ext>
              </c:extLst>
            </c:dLbl>
            <c:spPr>
              <a:noFill/>
              <a:ln>
                <a:noFill/>
              </a:ln>
              <a:effectLst/>
            </c:spPr>
            <c:txPr>
              <a:bodyPr rot="0" spcFirstLastPara="1" vertOverflow="ellipsis" vert="horz" wrap="square" lIns="38100" tIns="19050" rIns="38100" bIns="19050" anchor="ctr" anchorCtr="0">
                <a:spAutoFit/>
              </a:bodyPr>
              <a:lstStyle/>
              <a:p>
                <a:pPr algn="l">
                  <a:defRPr sz="900" b="1"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c:f>
              <c:numCache>
                <c:formatCode>General</c:formatCode>
                <c:ptCount val="3"/>
                <c:pt idx="0">
                  <c:v>2018</c:v>
                </c:pt>
                <c:pt idx="1">
                  <c:v>2019</c:v>
                </c:pt>
                <c:pt idx="2">
                  <c:v>2020</c:v>
                </c:pt>
              </c:numCache>
            </c:numRef>
          </c:cat>
          <c:val>
            <c:numRef>
              <c:f>Sheet1!$C$2:$C$4</c:f>
              <c:numCache>
                <c:formatCode>General</c:formatCode>
                <c:ptCount val="3"/>
                <c:pt idx="0">
                  <c:v>0.83</c:v>
                </c:pt>
                <c:pt idx="1">
                  <c:v>0.75</c:v>
                </c:pt>
                <c:pt idx="2">
                  <c:v>0.85</c:v>
                </c:pt>
              </c:numCache>
            </c:numRef>
          </c:val>
          <c:extLst>
            <c:ext xmlns:c16="http://schemas.microsoft.com/office/drawing/2014/chart" uri="{C3380CC4-5D6E-409C-BE32-E72D297353CC}">
              <c16:uniqueId val="{00000003-66CE-4C56-807D-73C95FB61F0A}"/>
            </c:ext>
          </c:extLst>
        </c:ser>
        <c:ser>
          <c:idx val="2"/>
          <c:order val="2"/>
          <c:tx>
            <c:strRef>
              <c:f>Sheet1!$D$1</c:f>
              <c:strCache>
                <c:ptCount val="1"/>
                <c:pt idx="0">
                  <c:v>Johnson &amp; Johnson</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c:f>
              <c:numCache>
                <c:formatCode>General</c:formatCode>
                <c:ptCount val="3"/>
                <c:pt idx="0">
                  <c:v>2018</c:v>
                </c:pt>
                <c:pt idx="1">
                  <c:v>2019</c:v>
                </c:pt>
                <c:pt idx="2">
                  <c:v>2020</c:v>
                </c:pt>
              </c:numCache>
            </c:numRef>
          </c:cat>
          <c:val>
            <c:numRef>
              <c:f>Sheet1!$D$2:$D$4</c:f>
              <c:numCache>
                <c:formatCode>General</c:formatCode>
                <c:ptCount val="3"/>
                <c:pt idx="0">
                  <c:v>1.47</c:v>
                </c:pt>
                <c:pt idx="1">
                  <c:v>1.26</c:v>
                </c:pt>
                <c:pt idx="2">
                  <c:v>1.21</c:v>
                </c:pt>
              </c:numCache>
            </c:numRef>
          </c:val>
          <c:extLst>
            <c:ext xmlns:c16="http://schemas.microsoft.com/office/drawing/2014/chart" uri="{C3380CC4-5D6E-409C-BE32-E72D297353CC}">
              <c16:uniqueId val="{00000004-66CE-4C56-807D-73C95FB61F0A}"/>
            </c:ext>
          </c:extLst>
        </c:ser>
        <c:dLbls>
          <c:dLblPos val="outEnd"/>
          <c:showLegendKey val="0"/>
          <c:showVal val="1"/>
          <c:showCatName val="0"/>
          <c:showSerName val="0"/>
          <c:showPercent val="0"/>
          <c:showBubbleSize val="0"/>
        </c:dLbls>
        <c:gapWidth val="115"/>
        <c:overlap val="-20"/>
        <c:axId val="979347408"/>
        <c:axId val="979348496"/>
      </c:barChart>
      <c:catAx>
        <c:axId val="979347408"/>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79348496"/>
        <c:crosses val="autoZero"/>
        <c:auto val="1"/>
        <c:lblAlgn val="ctr"/>
        <c:lblOffset val="100"/>
        <c:noMultiLvlLbl val="0"/>
      </c:catAx>
      <c:valAx>
        <c:axId val="979348496"/>
        <c:scaling>
          <c:orientation val="minMax"/>
          <c:min val="0.5"/>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79347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Quick Ratio of Unilever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Quick Ratio</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2016</c:v>
                </c:pt>
                <c:pt idx="1">
                  <c:v>2017</c:v>
                </c:pt>
                <c:pt idx="2">
                  <c:v>2018</c:v>
                </c:pt>
                <c:pt idx="3">
                  <c:v>2019</c:v>
                </c:pt>
                <c:pt idx="4">
                  <c:v>2020</c:v>
                </c:pt>
              </c:numCache>
            </c:numRef>
          </c:cat>
          <c:val>
            <c:numRef>
              <c:f>Sheet1!$B$2:$B$6</c:f>
              <c:numCache>
                <c:formatCode>0.00</c:formatCode>
                <c:ptCount val="5"/>
                <c:pt idx="0">
                  <c:v>0.45188752675617827</c:v>
                </c:pt>
                <c:pt idx="1">
                  <c:v>0.54075160719678994</c:v>
                </c:pt>
                <c:pt idx="2">
                  <c:v>0.54157394294962569</c:v>
                </c:pt>
                <c:pt idx="3">
                  <c:v>0.56578320144913719</c:v>
                </c:pt>
                <c:pt idx="4">
                  <c:v>0.54987373737373735</c:v>
                </c:pt>
              </c:numCache>
            </c:numRef>
          </c:val>
          <c:smooth val="0"/>
          <c:extLst>
            <c:ext xmlns:c16="http://schemas.microsoft.com/office/drawing/2014/chart" uri="{C3380CC4-5D6E-409C-BE32-E72D297353CC}">
              <c16:uniqueId val="{00000000-4990-4041-8C86-136A348F2EF6}"/>
            </c:ext>
          </c:extLst>
        </c:ser>
        <c:dLbls>
          <c:showLegendKey val="0"/>
          <c:showVal val="0"/>
          <c:showCatName val="0"/>
          <c:showSerName val="0"/>
          <c:showPercent val="0"/>
          <c:showBubbleSize val="0"/>
        </c:dLbls>
        <c:marker val="1"/>
        <c:smooth val="0"/>
        <c:axId val="970968928"/>
        <c:axId val="970972736"/>
      </c:lineChart>
      <c:catAx>
        <c:axId val="970968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0972736"/>
        <c:crosses val="autoZero"/>
        <c:auto val="1"/>
        <c:lblAlgn val="ctr"/>
        <c:lblOffset val="100"/>
        <c:noMultiLvlLbl val="0"/>
      </c:catAx>
      <c:valAx>
        <c:axId val="97097273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0968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Quick Ratio Analysis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Unilever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5.3453767156910505E-3"/>
                  <c:y val="6.1340456686560813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D065-4939-B193-CDC178B875FF}"/>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c:f>
              <c:numCache>
                <c:formatCode>General</c:formatCode>
                <c:ptCount val="3"/>
                <c:pt idx="0">
                  <c:v>2018</c:v>
                </c:pt>
                <c:pt idx="1">
                  <c:v>2019</c:v>
                </c:pt>
                <c:pt idx="2">
                  <c:v>2020</c:v>
                </c:pt>
              </c:numCache>
            </c:numRef>
          </c:cat>
          <c:val>
            <c:numRef>
              <c:f>Sheet1!$B$2:$B$4</c:f>
              <c:numCache>
                <c:formatCode>0.00</c:formatCode>
                <c:ptCount val="3"/>
                <c:pt idx="0">
                  <c:v>0.54157394294962569</c:v>
                </c:pt>
                <c:pt idx="1">
                  <c:v>0.56578320144913719</c:v>
                </c:pt>
                <c:pt idx="2">
                  <c:v>0.54987373737373735</c:v>
                </c:pt>
              </c:numCache>
            </c:numRef>
          </c:val>
          <c:extLst>
            <c:ext xmlns:c16="http://schemas.microsoft.com/office/drawing/2014/chart" uri="{C3380CC4-5D6E-409C-BE32-E72D297353CC}">
              <c16:uniqueId val="{00000001-D065-4939-B193-CDC178B875FF}"/>
            </c:ext>
          </c:extLst>
        </c:ser>
        <c:ser>
          <c:idx val="1"/>
          <c:order val="1"/>
          <c:tx>
            <c:strRef>
              <c:f>Sheet1!$C$1</c:f>
              <c:strCache>
                <c:ptCount val="1"/>
                <c:pt idx="0">
                  <c:v>Procter &amp; Gamble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1.1574074074074073E-2"/>
                  <c:y val="1.1904761904761904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2-D065-4939-B193-CDC178B875FF}"/>
                </c:ext>
              </c:extLst>
            </c:dLbl>
            <c:spPr>
              <a:noFill/>
              <a:ln>
                <a:noFill/>
              </a:ln>
              <a:effectLst/>
            </c:spPr>
            <c:txPr>
              <a:bodyPr rot="0" spcFirstLastPara="1" vertOverflow="ellipsis" vert="horz" wrap="square" lIns="38100" tIns="19050" rIns="38100" bIns="19050" anchor="ctr" anchorCtr="0">
                <a:spAutoFit/>
              </a:bodyPr>
              <a:lstStyle/>
              <a:p>
                <a:pPr algn="l">
                  <a:defRPr sz="900" b="1"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c:f>
              <c:numCache>
                <c:formatCode>General</c:formatCode>
                <c:ptCount val="3"/>
                <c:pt idx="0">
                  <c:v>2018</c:v>
                </c:pt>
                <c:pt idx="1">
                  <c:v>2019</c:v>
                </c:pt>
                <c:pt idx="2">
                  <c:v>2020</c:v>
                </c:pt>
              </c:numCache>
            </c:numRef>
          </c:cat>
          <c:val>
            <c:numRef>
              <c:f>Sheet1!$C$2:$C$4</c:f>
              <c:numCache>
                <c:formatCode>0.00</c:formatCode>
                <c:ptCount val="3"/>
                <c:pt idx="0">
                  <c:v>0.65807274143853811</c:v>
                </c:pt>
                <c:pt idx="1">
                  <c:v>0.58165339375562297</c:v>
                </c:pt>
                <c:pt idx="2">
                  <c:v>0.68198083454633673</c:v>
                </c:pt>
              </c:numCache>
            </c:numRef>
          </c:val>
          <c:extLst>
            <c:ext xmlns:c16="http://schemas.microsoft.com/office/drawing/2014/chart" uri="{C3380CC4-5D6E-409C-BE32-E72D297353CC}">
              <c16:uniqueId val="{00000003-D065-4939-B193-CDC178B875FF}"/>
            </c:ext>
          </c:extLst>
        </c:ser>
        <c:ser>
          <c:idx val="2"/>
          <c:order val="2"/>
          <c:tx>
            <c:strRef>
              <c:f>Sheet1!$D$1</c:f>
              <c:strCache>
                <c:ptCount val="1"/>
                <c:pt idx="0">
                  <c:v>Johnson &amp; Johnson</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2"/>
              <c:layout>
                <c:manualLayout>
                  <c:x val="-7.9508547008546926E-2"/>
                  <c:y val="-8.6411751998271957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4-D065-4939-B193-CDC178B875FF}"/>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c:f>
              <c:numCache>
                <c:formatCode>General</c:formatCode>
                <c:ptCount val="3"/>
                <c:pt idx="0">
                  <c:v>2018</c:v>
                </c:pt>
                <c:pt idx="1">
                  <c:v>2019</c:v>
                </c:pt>
                <c:pt idx="2">
                  <c:v>2020</c:v>
                </c:pt>
              </c:numCache>
            </c:numRef>
          </c:cat>
          <c:val>
            <c:numRef>
              <c:f>Sheet1!$D$2:$D$4</c:f>
              <c:numCache>
                <c:formatCode>0.00</c:formatCode>
                <c:ptCount val="3"/>
                <c:pt idx="0">
                  <c:v>1.1986551392891451</c:v>
                </c:pt>
                <c:pt idx="1">
                  <c:v>1.0080636191747303</c:v>
                </c:pt>
                <c:pt idx="2">
                  <c:v>0.9858800272986139</c:v>
                </c:pt>
              </c:numCache>
            </c:numRef>
          </c:val>
          <c:extLst>
            <c:ext xmlns:c16="http://schemas.microsoft.com/office/drawing/2014/chart" uri="{C3380CC4-5D6E-409C-BE32-E72D297353CC}">
              <c16:uniqueId val="{00000005-D065-4939-B193-CDC178B875FF}"/>
            </c:ext>
          </c:extLst>
        </c:ser>
        <c:dLbls>
          <c:dLblPos val="outEnd"/>
          <c:showLegendKey val="0"/>
          <c:showVal val="1"/>
          <c:showCatName val="0"/>
          <c:showSerName val="0"/>
          <c:showPercent val="0"/>
          <c:showBubbleSize val="0"/>
        </c:dLbls>
        <c:gapWidth val="115"/>
        <c:overlap val="-20"/>
        <c:axId val="970973280"/>
        <c:axId val="970973824"/>
      </c:barChart>
      <c:catAx>
        <c:axId val="970973280"/>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70973824"/>
        <c:crosses val="autoZero"/>
        <c:auto val="1"/>
        <c:lblAlgn val="ctr"/>
        <c:lblOffset val="100"/>
        <c:noMultiLvlLbl val="0"/>
      </c:catAx>
      <c:valAx>
        <c:axId val="970973824"/>
        <c:scaling>
          <c:orientation val="minMax"/>
          <c:min val="0.30000000000000004"/>
        </c:scaling>
        <c:delete val="0"/>
        <c:axPos val="b"/>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70973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Gross</a:t>
            </a:r>
            <a:r>
              <a:rPr lang="en-US" baseline="0"/>
              <a:t> Profit Margin</a:t>
            </a:r>
            <a:r>
              <a:rPr lang="en-US"/>
              <a:t> of Unilever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Gross Profit Margin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2016</c:v>
                </c:pt>
                <c:pt idx="1">
                  <c:v>2017</c:v>
                </c:pt>
                <c:pt idx="2">
                  <c:v>2018</c:v>
                </c:pt>
                <c:pt idx="3">
                  <c:v>2019</c:v>
                </c:pt>
                <c:pt idx="4">
                  <c:v>2020</c:v>
                </c:pt>
              </c:numCache>
            </c:numRef>
          </c:cat>
          <c:val>
            <c:numRef>
              <c:f>Sheet1!$B$2:$B$6</c:f>
              <c:numCache>
                <c:formatCode>0.0%</c:formatCode>
                <c:ptCount val="5"/>
                <c:pt idx="0">
                  <c:v>0.42653614857814959</c:v>
                </c:pt>
                <c:pt idx="1">
                  <c:v>0.56868658661453975</c:v>
                </c:pt>
                <c:pt idx="2">
                  <c:v>0.43699737162135655</c:v>
                </c:pt>
                <c:pt idx="3">
                  <c:v>0.44013081954597921</c:v>
                </c:pt>
                <c:pt idx="4">
                  <c:v>0.43450831953315983</c:v>
                </c:pt>
              </c:numCache>
            </c:numRef>
          </c:val>
          <c:smooth val="0"/>
          <c:extLst>
            <c:ext xmlns:c16="http://schemas.microsoft.com/office/drawing/2014/chart" uri="{C3380CC4-5D6E-409C-BE32-E72D297353CC}">
              <c16:uniqueId val="{00000000-DA35-402E-9C9A-855014F194BA}"/>
            </c:ext>
          </c:extLst>
        </c:ser>
        <c:dLbls>
          <c:showLegendKey val="0"/>
          <c:showVal val="0"/>
          <c:showCatName val="0"/>
          <c:showSerName val="0"/>
          <c:showPercent val="0"/>
          <c:showBubbleSize val="0"/>
        </c:dLbls>
        <c:marker val="1"/>
        <c:smooth val="0"/>
        <c:axId val="970974368"/>
        <c:axId val="970976000"/>
      </c:lineChart>
      <c:catAx>
        <c:axId val="970974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0976000"/>
        <c:crosses val="autoZero"/>
        <c:auto val="1"/>
        <c:lblAlgn val="ctr"/>
        <c:lblOffset val="100"/>
        <c:noMultiLvlLbl val="0"/>
      </c:catAx>
      <c:valAx>
        <c:axId val="97097600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0974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Gross</a:t>
            </a:r>
            <a:r>
              <a:rPr lang="en-US" baseline="0"/>
              <a:t> Profit Margin</a:t>
            </a:r>
            <a:r>
              <a:rPr lang="en-US"/>
              <a:t> Analysis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Unilever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3.201594992933654E-3"/>
                  <c:y val="1.9095976580373986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BAE0-41CA-A645-06309FA430CD}"/>
                </c:ext>
              </c:extLst>
            </c:dLbl>
            <c:dLbl>
              <c:idx val="1"/>
              <c:layout>
                <c:manualLayout>
                  <c:x val="-2.136752136752137E-3"/>
                  <c:y val="1.2961762799740765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1-BAE0-41CA-A645-06309FA430CD}"/>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c:f>
              <c:numCache>
                <c:formatCode>General</c:formatCode>
                <c:ptCount val="3"/>
                <c:pt idx="0">
                  <c:v>2018</c:v>
                </c:pt>
                <c:pt idx="1">
                  <c:v>2019</c:v>
                </c:pt>
                <c:pt idx="2">
                  <c:v>2020</c:v>
                </c:pt>
              </c:numCache>
            </c:numRef>
          </c:cat>
          <c:val>
            <c:numRef>
              <c:f>Sheet1!$B$2:$B$4</c:f>
              <c:numCache>
                <c:formatCode>0.0%</c:formatCode>
                <c:ptCount val="3"/>
                <c:pt idx="0">
                  <c:v>0.43699737162135655</c:v>
                </c:pt>
                <c:pt idx="1">
                  <c:v>0.44013081954597921</c:v>
                </c:pt>
                <c:pt idx="2">
                  <c:v>0.43450831953315983</c:v>
                </c:pt>
              </c:numCache>
            </c:numRef>
          </c:val>
          <c:extLst>
            <c:ext xmlns:c16="http://schemas.microsoft.com/office/drawing/2014/chart" uri="{C3380CC4-5D6E-409C-BE32-E72D297353CC}">
              <c16:uniqueId val="{00000002-BAE0-41CA-A645-06309FA430CD}"/>
            </c:ext>
          </c:extLst>
        </c:ser>
        <c:ser>
          <c:idx val="1"/>
          <c:order val="1"/>
          <c:tx>
            <c:strRef>
              <c:f>Sheet1!$C$1</c:f>
              <c:strCache>
                <c:ptCount val="1"/>
                <c:pt idx="0">
                  <c:v>Procter &amp; Gamble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1.1574074074074073E-2"/>
                  <c:y val="1.1904761904761904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3-BAE0-41CA-A645-06309FA430CD}"/>
                </c:ext>
              </c:extLst>
            </c:dLbl>
            <c:spPr>
              <a:noFill/>
              <a:ln>
                <a:noFill/>
              </a:ln>
              <a:effectLst/>
            </c:spPr>
            <c:txPr>
              <a:bodyPr rot="0" spcFirstLastPara="1" vertOverflow="ellipsis" vert="horz" wrap="square" lIns="38100" tIns="19050" rIns="38100" bIns="19050" anchor="ctr" anchorCtr="0">
                <a:spAutoFit/>
              </a:bodyPr>
              <a:lstStyle/>
              <a:p>
                <a:pPr algn="l">
                  <a:defRPr sz="900" b="1"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c:f>
              <c:numCache>
                <c:formatCode>General</c:formatCode>
                <c:ptCount val="3"/>
                <c:pt idx="0">
                  <c:v>2018</c:v>
                </c:pt>
                <c:pt idx="1">
                  <c:v>2019</c:v>
                </c:pt>
                <c:pt idx="2">
                  <c:v>2020</c:v>
                </c:pt>
              </c:numCache>
            </c:numRef>
          </c:cat>
          <c:val>
            <c:numRef>
              <c:f>Sheet1!$C$2:$C$4</c:f>
              <c:numCache>
                <c:formatCode>0.0%</c:formatCode>
                <c:ptCount val="3"/>
                <c:pt idx="0">
                  <c:v>0.48479770169978453</c:v>
                </c:pt>
                <c:pt idx="1">
                  <c:v>0.48631877548608238</c:v>
                </c:pt>
                <c:pt idx="2">
                  <c:v>0.5031712473572939</c:v>
                </c:pt>
              </c:numCache>
            </c:numRef>
          </c:val>
          <c:extLst>
            <c:ext xmlns:c16="http://schemas.microsoft.com/office/drawing/2014/chart" uri="{C3380CC4-5D6E-409C-BE32-E72D297353CC}">
              <c16:uniqueId val="{00000004-BAE0-41CA-A645-06309FA430CD}"/>
            </c:ext>
          </c:extLst>
        </c:ser>
        <c:ser>
          <c:idx val="2"/>
          <c:order val="2"/>
          <c:tx>
            <c:strRef>
              <c:f>Sheet1!$D$1</c:f>
              <c:strCache>
                <c:ptCount val="1"/>
                <c:pt idx="0">
                  <c:v>Johnson &amp; Johnson</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2"/>
              <c:layout>
                <c:manualLayout>
                  <c:x val="-7.9508547008546926E-2"/>
                  <c:y val="-8.6411751998271957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5-BAE0-41CA-A645-06309FA430CD}"/>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c:f>
              <c:numCache>
                <c:formatCode>General</c:formatCode>
                <c:ptCount val="3"/>
                <c:pt idx="0">
                  <c:v>2018</c:v>
                </c:pt>
                <c:pt idx="1">
                  <c:v>2019</c:v>
                </c:pt>
                <c:pt idx="2">
                  <c:v>2020</c:v>
                </c:pt>
              </c:numCache>
            </c:numRef>
          </c:cat>
          <c:val>
            <c:numRef>
              <c:f>Sheet1!$D$2:$D$4</c:f>
              <c:numCache>
                <c:formatCode>0.0%</c:formatCode>
                <c:ptCount val="3"/>
                <c:pt idx="0">
                  <c:v>0.66792512962577066</c:v>
                </c:pt>
                <c:pt idx="1">
                  <c:v>0.66420502321500385</c:v>
                </c:pt>
                <c:pt idx="2">
                  <c:v>0.65553051233580539</c:v>
                </c:pt>
              </c:numCache>
            </c:numRef>
          </c:val>
          <c:extLst>
            <c:ext xmlns:c16="http://schemas.microsoft.com/office/drawing/2014/chart" uri="{C3380CC4-5D6E-409C-BE32-E72D297353CC}">
              <c16:uniqueId val="{00000006-BAE0-41CA-A645-06309FA430CD}"/>
            </c:ext>
          </c:extLst>
        </c:ser>
        <c:dLbls>
          <c:dLblPos val="outEnd"/>
          <c:showLegendKey val="0"/>
          <c:showVal val="1"/>
          <c:showCatName val="0"/>
          <c:showSerName val="0"/>
          <c:showPercent val="0"/>
          <c:showBubbleSize val="0"/>
        </c:dLbls>
        <c:gapWidth val="115"/>
        <c:overlap val="-20"/>
        <c:axId val="970970560"/>
        <c:axId val="1135877408"/>
      </c:barChart>
      <c:catAx>
        <c:axId val="970970560"/>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35877408"/>
        <c:crosses val="autoZero"/>
        <c:auto val="1"/>
        <c:lblAlgn val="ctr"/>
        <c:lblOffset val="100"/>
        <c:noMultiLvlLbl val="0"/>
      </c:catAx>
      <c:valAx>
        <c:axId val="1135877408"/>
        <c:scaling>
          <c:orientation val="minMax"/>
          <c:min val="0.4"/>
        </c:scaling>
        <c:delete val="0"/>
        <c:axPos val="b"/>
        <c:majorGridlines>
          <c:spPr>
            <a:ln w="9525" cap="flat" cmpd="sng" algn="ctr">
              <a:solidFill>
                <a:schemeClr val="lt1">
                  <a:lumMod val="95000"/>
                  <a:alpha val="10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70970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Net Profit Margin </a:t>
            </a:r>
            <a:r>
              <a:rPr lang="en-US"/>
              <a:t>of Unilever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Net Profit Margin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2016</c:v>
                </c:pt>
                <c:pt idx="1">
                  <c:v>2017</c:v>
                </c:pt>
                <c:pt idx="2">
                  <c:v>2018</c:v>
                </c:pt>
                <c:pt idx="3">
                  <c:v>2019</c:v>
                </c:pt>
                <c:pt idx="4">
                  <c:v>2020</c:v>
                </c:pt>
              </c:numCache>
            </c:numRef>
          </c:cat>
          <c:val>
            <c:numRef>
              <c:f>Sheet1!$B$2:$B$6</c:f>
              <c:numCache>
                <c:formatCode>0.0%</c:formatCode>
                <c:ptCount val="5"/>
                <c:pt idx="0">
                  <c:v>0.10523020886688293</c:v>
                </c:pt>
                <c:pt idx="1">
                  <c:v>0.12074839430326724</c:v>
                </c:pt>
                <c:pt idx="2">
                  <c:v>0.19198932956729825</c:v>
                </c:pt>
                <c:pt idx="3">
                  <c:v>0.11592920353982301</c:v>
                </c:pt>
                <c:pt idx="4">
                  <c:v>0.1197263622742686</c:v>
                </c:pt>
              </c:numCache>
            </c:numRef>
          </c:val>
          <c:smooth val="0"/>
          <c:extLst>
            <c:ext xmlns:c16="http://schemas.microsoft.com/office/drawing/2014/chart" uri="{C3380CC4-5D6E-409C-BE32-E72D297353CC}">
              <c16:uniqueId val="{00000000-F3DF-4835-804A-35E70DC5BF3D}"/>
            </c:ext>
          </c:extLst>
        </c:ser>
        <c:dLbls>
          <c:showLegendKey val="0"/>
          <c:showVal val="0"/>
          <c:showCatName val="0"/>
          <c:showSerName val="0"/>
          <c:showPercent val="0"/>
          <c:showBubbleSize val="0"/>
        </c:dLbls>
        <c:marker val="1"/>
        <c:smooth val="0"/>
        <c:axId val="1135880672"/>
        <c:axId val="1135874688"/>
      </c:lineChart>
      <c:catAx>
        <c:axId val="1135880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5874688"/>
        <c:crosses val="autoZero"/>
        <c:auto val="1"/>
        <c:lblAlgn val="ctr"/>
        <c:lblOffset val="100"/>
        <c:noMultiLvlLbl val="0"/>
      </c:catAx>
      <c:valAx>
        <c:axId val="1135874688"/>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5880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baseline="0"/>
              <a:t>Net Profit Margin</a:t>
            </a:r>
            <a:r>
              <a:rPr lang="en-US"/>
              <a:t> Analysis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Unilever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3.201594992933654E-3"/>
                  <c:y val="1.9095976580373986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793B-445B-BCD1-287DADBF5AE7}"/>
                </c:ext>
              </c:extLst>
            </c:dLbl>
            <c:dLbl>
              <c:idx val="1"/>
              <c:layout>
                <c:manualLayout>
                  <c:x val="-2.136752136752137E-3"/>
                  <c:y val="1.2961762799740765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1-793B-445B-BCD1-287DADBF5AE7}"/>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c:f>
              <c:numCache>
                <c:formatCode>General</c:formatCode>
                <c:ptCount val="3"/>
                <c:pt idx="0">
                  <c:v>2018</c:v>
                </c:pt>
                <c:pt idx="1">
                  <c:v>2019</c:v>
                </c:pt>
                <c:pt idx="2">
                  <c:v>2020</c:v>
                </c:pt>
              </c:numCache>
            </c:numRef>
          </c:cat>
          <c:val>
            <c:numRef>
              <c:f>Sheet1!$B$2:$B$4</c:f>
              <c:numCache>
                <c:formatCode>0.0%</c:formatCode>
                <c:ptCount val="3"/>
                <c:pt idx="0">
                  <c:v>0.19198932956729825</c:v>
                </c:pt>
                <c:pt idx="1">
                  <c:v>0.11592920353982301</c:v>
                </c:pt>
                <c:pt idx="2">
                  <c:v>0.1197263622742686</c:v>
                </c:pt>
              </c:numCache>
            </c:numRef>
          </c:val>
          <c:extLst>
            <c:ext xmlns:c16="http://schemas.microsoft.com/office/drawing/2014/chart" uri="{C3380CC4-5D6E-409C-BE32-E72D297353CC}">
              <c16:uniqueId val="{00000002-793B-445B-BCD1-287DADBF5AE7}"/>
            </c:ext>
          </c:extLst>
        </c:ser>
        <c:ser>
          <c:idx val="1"/>
          <c:order val="1"/>
          <c:tx>
            <c:strRef>
              <c:f>Sheet1!$C$1</c:f>
              <c:strCache>
                <c:ptCount val="1"/>
                <c:pt idx="0">
                  <c:v>Procter &amp; Gamble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1.1574074074074073E-2"/>
                  <c:y val="1.1904761904761904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3-793B-445B-BCD1-287DADBF5AE7}"/>
                </c:ext>
              </c:extLst>
            </c:dLbl>
            <c:dLbl>
              <c:idx val="2"/>
              <c:layout>
                <c:manualLayout>
                  <c:x val="-8.547008547008704E-3"/>
                  <c:y val="1.7282350399654353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4-793B-445B-BCD1-287DADBF5AE7}"/>
                </c:ext>
              </c:extLst>
            </c:dLbl>
            <c:spPr>
              <a:noFill/>
              <a:ln>
                <a:noFill/>
              </a:ln>
              <a:effectLst/>
            </c:spPr>
            <c:txPr>
              <a:bodyPr rot="0" spcFirstLastPara="1" vertOverflow="ellipsis" vert="horz" wrap="square" lIns="38100" tIns="19050" rIns="38100" bIns="19050" anchor="ctr" anchorCtr="0">
                <a:spAutoFit/>
              </a:bodyPr>
              <a:lstStyle/>
              <a:p>
                <a:pPr algn="l">
                  <a:defRPr sz="800" b="1"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c:f>
              <c:numCache>
                <c:formatCode>General</c:formatCode>
                <c:ptCount val="3"/>
                <c:pt idx="0">
                  <c:v>2018</c:v>
                </c:pt>
                <c:pt idx="1">
                  <c:v>2019</c:v>
                </c:pt>
                <c:pt idx="2">
                  <c:v>2020</c:v>
                </c:pt>
              </c:numCache>
            </c:numRef>
          </c:cat>
          <c:val>
            <c:numRef>
              <c:f>Sheet1!$C$2:$C$4</c:f>
              <c:numCache>
                <c:formatCode>0.0%</c:formatCode>
                <c:ptCount val="3"/>
                <c:pt idx="0">
                  <c:v>0.14754907828585109</c:v>
                </c:pt>
                <c:pt idx="1">
                  <c:v>5.8595827669759473E-2</c:v>
                </c:pt>
                <c:pt idx="2">
                  <c:v>0.18467935165609584</c:v>
                </c:pt>
              </c:numCache>
            </c:numRef>
          </c:val>
          <c:extLst>
            <c:ext xmlns:c16="http://schemas.microsoft.com/office/drawing/2014/chart" uri="{C3380CC4-5D6E-409C-BE32-E72D297353CC}">
              <c16:uniqueId val="{00000005-793B-445B-BCD1-287DADBF5AE7}"/>
            </c:ext>
          </c:extLst>
        </c:ser>
        <c:ser>
          <c:idx val="2"/>
          <c:order val="2"/>
          <c:tx>
            <c:strRef>
              <c:f>Sheet1!$D$1</c:f>
              <c:strCache>
                <c:ptCount val="1"/>
                <c:pt idx="0">
                  <c:v>Johnson &amp; Johnson</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3.6773504273504273E-2"/>
                  <c:y val="-7.9209857626047916E-17"/>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6-793B-445B-BCD1-287DADBF5AE7}"/>
                </c:ext>
              </c:extLst>
            </c:dLbl>
            <c:dLbl>
              <c:idx val="2"/>
              <c:layout>
                <c:manualLayout>
                  <c:x val="-5.6004273504273505E-2"/>
                  <c:y val="-2.592352559948153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7-793B-445B-BCD1-287DADBF5AE7}"/>
                </c:ext>
              </c:extLst>
            </c:dLbl>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c:f>
              <c:numCache>
                <c:formatCode>General</c:formatCode>
                <c:ptCount val="3"/>
                <c:pt idx="0">
                  <c:v>2018</c:v>
                </c:pt>
                <c:pt idx="1">
                  <c:v>2019</c:v>
                </c:pt>
                <c:pt idx="2">
                  <c:v>2020</c:v>
                </c:pt>
              </c:numCache>
            </c:numRef>
          </c:cat>
          <c:val>
            <c:numRef>
              <c:f>Sheet1!$D$2:$D$4</c:f>
              <c:numCache>
                <c:formatCode>0.0%</c:formatCode>
                <c:ptCount val="3"/>
                <c:pt idx="0">
                  <c:v>0.18750689498780354</c:v>
                </c:pt>
                <c:pt idx="1">
                  <c:v>0.18424548190935791</c:v>
                </c:pt>
                <c:pt idx="2">
                  <c:v>0.1782996461635403</c:v>
                </c:pt>
              </c:numCache>
            </c:numRef>
          </c:val>
          <c:extLst>
            <c:ext xmlns:c16="http://schemas.microsoft.com/office/drawing/2014/chart" uri="{C3380CC4-5D6E-409C-BE32-E72D297353CC}">
              <c16:uniqueId val="{00000008-793B-445B-BCD1-287DADBF5AE7}"/>
            </c:ext>
          </c:extLst>
        </c:ser>
        <c:dLbls>
          <c:dLblPos val="outEnd"/>
          <c:showLegendKey val="0"/>
          <c:showVal val="1"/>
          <c:showCatName val="0"/>
          <c:showSerName val="0"/>
          <c:showPercent val="0"/>
          <c:showBubbleSize val="0"/>
        </c:dLbls>
        <c:gapWidth val="115"/>
        <c:overlap val="-20"/>
        <c:axId val="1135877952"/>
        <c:axId val="1135874144"/>
      </c:barChart>
      <c:catAx>
        <c:axId val="113587795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35874144"/>
        <c:crosses val="autoZero"/>
        <c:auto val="1"/>
        <c:lblAlgn val="ctr"/>
        <c:lblOffset val="100"/>
        <c:noMultiLvlLbl val="0"/>
      </c:catAx>
      <c:valAx>
        <c:axId val="1135874144"/>
        <c:scaling>
          <c:orientation val="minMax"/>
          <c:min val="2.0000000000000004E-2"/>
        </c:scaling>
        <c:delete val="0"/>
        <c:axPos val="b"/>
        <c:majorGridlines>
          <c:spPr>
            <a:ln w="9525" cap="flat" cmpd="sng" algn="ctr">
              <a:solidFill>
                <a:schemeClr val="lt1">
                  <a:lumMod val="95000"/>
                  <a:alpha val="10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35877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Return on Asset</a:t>
            </a:r>
            <a:r>
              <a:rPr lang="en-US"/>
              <a:t> of Unilever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Return on Asset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2016</c:v>
                </c:pt>
                <c:pt idx="1">
                  <c:v>2017</c:v>
                </c:pt>
                <c:pt idx="2">
                  <c:v>2018</c:v>
                </c:pt>
                <c:pt idx="3">
                  <c:v>2019</c:v>
                </c:pt>
                <c:pt idx="4">
                  <c:v>2020</c:v>
                </c:pt>
              </c:numCache>
            </c:numRef>
          </c:cat>
          <c:val>
            <c:numRef>
              <c:f>Sheet1!$B$2:$B$6</c:f>
              <c:numCache>
                <c:formatCode>0.0%</c:formatCode>
                <c:ptCount val="5"/>
                <c:pt idx="0">
                  <c:v>9.8300519236562758E-2</c:v>
                </c:pt>
                <c:pt idx="1">
                  <c:v>0.10758895247574024</c:v>
                </c:pt>
                <c:pt idx="2">
                  <c:v>0.16462594187298171</c:v>
                </c:pt>
                <c:pt idx="3">
                  <c:v>9.2985217418140295E-2</c:v>
                </c:pt>
                <c:pt idx="4">
                  <c:v>8.975893820482124E-2</c:v>
                </c:pt>
              </c:numCache>
            </c:numRef>
          </c:val>
          <c:smooth val="0"/>
          <c:extLst>
            <c:ext xmlns:c16="http://schemas.microsoft.com/office/drawing/2014/chart" uri="{C3380CC4-5D6E-409C-BE32-E72D297353CC}">
              <c16:uniqueId val="{00000000-E97A-410F-8D7F-EBF794C38D89}"/>
            </c:ext>
          </c:extLst>
        </c:ser>
        <c:dLbls>
          <c:showLegendKey val="0"/>
          <c:showVal val="0"/>
          <c:showCatName val="0"/>
          <c:showSerName val="0"/>
          <c:showPercent val="0"/>
          <c:showBubbleSize val="0"/>
        </c:dLbls>
        <c:marker val="1"/>
        <c:smooth val="0"/>
        <c:axId val="1135878496"/>
        <c:axId val="1135876864"/>
      </c:lineChart>
      <c:catAx>
        <c:axId val="1135878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5876864"/>
        <c:crosses val="autoZero"/>
        <c:auto val="1"/>
        <c:lblAlgn val="ctr"/>
        <c:lblOffset val="100"/>
        <c:noMultiLvlLbl val="0"/>
      </c:catAx>
      <c:valAx>
        <c:axId val="113587686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58784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baseline="0"/>
              <a:t>Return on Asset </a:t>
            </a:r>
            <a:r>
              <a:rPr lang="en-US"/>
              <a:t>Analysis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Unilever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3.201594992933654E-3"/>
                  <c:y val="1.9095976580373986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0FDB-4DF7-A8B5-39DC6EF929AD}"/>
                </c:ext>
              </c:extLst>
            </c:dLbl>
            <c:dLbl>
              <c:idx val="1"/>
              <c:layout>
                <c:manualLayout>
                  <c:x val="-2.136752136752137E-3"/>
                  <c:y val="1.2961762799740765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1-0FDB-4DF7-A8B5-39DC6EF929AD}"/>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c:f>
              <c:numCache>
                <c:formatCode>General</c:formatCode>
                <c:ptCount val="3"/>
                <c:pt idx="0">
                  <c:v>2018</c:v>
                </c:pt>
                <c:pt idx="1">
                  <c:v>2019</c:v>
                </c:pt>
                <c:pt idx="2">
                  <c:v>2020</c:v>
                </c:pt>
              </c:numCache>
            </c:numRef>
          </c:cat>
          <c:val>
            <c:numRef>
              <c:f>Sheet1!$B$2:$B$4</c:f>
              <c:numCache>
                <c:formatCode>0.0%</c:formatCode>
                <c:ptCount val="3"/>
                <c:pt idx="0">
                  <c:v>0.16462594187298171</c:v>
                </c:pt>
                <c:pt idx="1">
                  <c:v>9.2985217418140295E-2</c:v>
                </c:pt>
                <c:pt idx="2">
                  <c:v>8.975893820482124E-2</c:v>
                </c:pt>
              </c:numCache>
            </c:numRef>
          </c:val>
          <c:extLst>
            <c:ext xmlns:c16="http://schemas.microsoft.com/office/drawing/2014/chart" uri="{C3380CC4-5D6E-409C-BE32-E72D297353CC}">
              <c16:uniqueId val="{00000002-0FDB-4DF7-A8B5-39DC6EF929AD}"/>
            </c:ext>
          </c:extLst>
        </c:ser>
        <c:ser>
          <c:idx val="1"/>
          <c:order val="1"/>
          <c:tx>
            <c:strRef>
              <c:f>Sheet1!$C$1</c:f>
              <c:strCache>
                <c:ptCount val="1"/>
                <c:pt idx="0">
                  <c:v>Procter &amp; Gamble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1.1574074074074073E-2"/>
                  <c:y val="1.1904761904761904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3-0FDB-4DF7-A8B5-39DC6EF929AD}"/>
                </c:ext>
              </c:extLst>
            </c:dLbl>
            <c:dLbl>
              <c:idx val="2"/>
              <c:layout>
                <c:manualLayout>
                  <c:x val="-8.547008547008704E-3"/>
                  <c:y val="1.7282350399654353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4-0FDB-4DF7-A8B5-39DC6EF929AD}"/>
                </c:ext>
              </c:extLst>
            </c:dLbl>
            <c:spPr>
              <a:noFill/>
              <a:ln>
                <a:noFill/>
              </a:ln>
              <a:effectLst/>
            </c:spPr>
            <c:txPr>
              <a:bodyPr rot="0" spcFirstLastPara="1" vertOverflow="ellipsis" vert="horz" wrap="square" lIns="38100" tIns="19050" rIns="38100" bIns="19050" anchor="ctr" anchorCtr="0">
                <a:spAutoFit/>
              </a:bodyPr>
              <a:lstStyle/>
              <a:p>
                <a:pPr algn="l">
                  <a:defRPr sz="800" b="1"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c:f>
              <c:numCache>
                <c:formatCode>General</c:formatCode>
                <c:ptCount val="3"/>
                <c:pt idx="0">
                  <c:v>2018</c:v>
                </c:pt>
                <c:pt idx="1">
                  <c:v>2019</c:v>
                </c:pt>
                <c:pt idx="2">
                  <c:v>2020</c:v>
                </c:pt>
              </c:numCache>
            </c:numRef>
          </c:cat>
          <c:val>
            <c:numRef>
              <c:f>Sheet1!$C$2:$C$4</c:f>
              <c:numCache>
                <c:formatCode>0.0%</c:formatCode>
                <c:ptCount val="3"/>
                <c:pt idx="0">
                  <c:v>8.3348829346631736E-2</c:v>
                </c:pt>
                <c:pt idx="1">
                  <c:v>3.4458490811937963E-2</c:v>
                </c:pt>
                <c:pt idx="2">
                  <c:v>8.6999999999999994E-2</c:v>
                </c:pt>
              </c:numCache>
            </c:numRef>
          </c:val>
          <c:extLst>
            <c:ext xmlns:c16="http://schemas.microsoft.com/office/drawing/2014/chart" uri="{C3380CC4-5D6E-409C-BE32-E72D297353CC}">
              <c16:uniqueId val="{00000005-0FDB-4DF7-A8B5-39DC6EF929AD}"/>
            </c:ext>
          </c:extLst>
        </c:ser>
        <c:ser>
          <c:idx val="2"/>
          <c:order val="2"/>
          <c:tx>
            <c:strRef>
              <c:f>Sheet1!$D$1</c:f>
              <c:strCache>
                <c:ptCount val="1"/>
                <c:pt idx="0">
                  <c:v>Johnson &amp; Johnson</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3.6773504273504273E-2"/>
                  <c:y val="-7.9209857626047916E-17"/>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6-0FDB-4DF7-A8B5-39DC6EF929AD}"/>
                </c:ext>
              </c:extLst>
            </c:dLbl>
            <c:dLbl>
              <c:idx val="2"/>
              <c:layout>
                <c:manualLayout>
                  <c:x val="-5.6004273504273505E-2"/>
                  <c:y val="-2.592352559948153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7-0FDB-4DF7-A8B5-39DC6EF929AD}"/>
                </c:ext>
              </c:extLst>
            </c:dLbl>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c:f>
              <c:numCache>
                <c:formatCode>General</c:formatCode>
                <c:ptCount val="3"/>
                <c:pt idx="0">
                  <c:v>2018</c:v>
                </c:pt>
                <c:pt idx="1">
                  <c:v>2019</c:v>
                </c:pt>
                <c:pt idx="2">
                  <c:v>2020</c:v>
                </c:pt>
              </c:numCache>
            </c:numRef>
          </c:cat>
          <c:val>
            <c:numRef>
              <c:f>Sheet1!$D$2:$D$4</c:f>
              <c:numCache>
                <c:formatCode>0.0%</c:formatCode>
                <c:ptCount val="3"/>
                <c:pt idx="0">
                  <c:v>0.10001046066137531</c:v>
                </c:pt>
                <c:pt idx="1">
                  <c:v>9.0999999999999998E-2</c:v>
                </c:pt>
                <c:pt idx="2">
                  <c:v>8.4130959323933358E-2</c:v>
                </c:pt>
              </c:numCache>
            </c:numRef>
          </c:val>
          <c:extLst>
            <c:ext xmlns:c16="http://schemas.microsoft.com/office/drawing/2014/chart" uri="{C3380CC4-5D6E-409C-BE32-E72D297353CC}">
              <c16:uniqueId val="{00000008-0FDB-4DF7-A8B5-39DC6EF929AD}"/>
            </c:ext>
          </c:extLst>
        </c:ser>
        <c:dLbls>
          <c:dLblPos val="outEnd"/>
          <c:showLegendKey val="0"/>
          <c:showVal val="1"/>
          <c:showCatName val="0"/>
          <c:showSerName val="0"/>
          <c:showPercent val="0"/>
          <c:showBubbleSize val="0"/>
        </c:dLbls>
        <c:gapWidth val="115"/>
        <c:overlap val="-20"/>
        <c:axId val="895639216"/>
        <c:axId val="895639760"/>
      </c:barChart>
      <c:catAx>
        <c:axId val="895639216"/>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95639760"/>
        <c:crosses val="autoZero"/>
        <c:auto val="1"/>
        <c:lblAlgn val="ctr"/>
        <c:lblOffset val="100"/>
        <c:noMultiLvlLbl val="0"/>
      </c:catAx>
      <c:valAx>
        <c:axId val="895639760"/>
        <c:scaling>
          <c:orientation val="minMax"/>
          <c:min val="2.0000000000000004E-2"/>
        </c:scaling>
        <c:delete val="0"/>
        <c:axPos val="b"/>
        <c:majorGridlines>
          <c:spPr>
            <a:ln w="9525" cap="flat" cmpd="sng" algn="ctr">
              <a:solidFill>
                <a:schemeClr val="lt1">
                  <a:lumMod val="95000"/>
                  <a:alpha val="10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956392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Return on Equity </a:t>
            </a:r>
            <a:r>
              <a:rPr lang="en-US"/>
              <a:t>of Unilever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Return on Equity</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2016</c:v>
                </c:pt>
                <c:pt idx="1">
                  <c:v>2017</c:v>
                </c:pt>
                <c:pt idx="2">
                  <c:v>2018</c:v>
                </c:pt>
                <c:pt idx="3">
                  <c:v>2019</c:v>
                </c:pt>
                <c:pt idx="4">
                  <c:v>2020</c:v>
                </c:pt>
              </c:numCache>
            </c:numRef>
          </c:cat>
          <c:val>
            <c:numRef>
              <c:f>Sheet1!$B$2:$B$6</c:f>
              <c:numCache>
                <c:formatCode>0.0%</c:formatCode>
                <c:ptCount val="5"/>
                <c:pt idx="0">
                  <c:v>0.32667844522968198</c:v>
                </c:pt>
                <c:pt idx="1">
                  <c:v>0.45082366024883574</c:v>
                </c:pt>
                <c:pt idx="2">
                  <c:v>0.79629027009437037</c:v>
                </c:pt>
                <c:pt idx="3">
                  <c:v>0.43396226415094341</c:v>
                </c:pt>
                <c:pt idx="4">
                  <c:v>0.3439818748229963</c:v>
                </c:pt>
              </c:numCache>
            </c:numRef>
          </c:val>
          <c:smooth val="0"/>
          <c:extLst>
            <c:ext xmlns:c16="http://schemas.microsoft.com/office/drawing/2014/chart" uri="{C3380CC4-5D6E-409C-BE32-E72D297353CC}">
              <c16:uniqueId val="{00000000-BA65-44BA-9015-A42D1657BA07}"/>
            </c:ext>
          </c:extLst>
        </c:ser>
        <c:dLbls>
          <c:showLegendKey val="0"/>
          <c:showVal val="0"/>
          <c:showCatName val="0"/>
          <c:showSerName val="0"/>
          <c:showPercent val="0"/>
          <c:showBubbleSize val="0"/>
        </c:dLbls>
        <c:marker val="1"/>
        <c:smooth val="0"/>
        <c:axId val="895636496"/>
        <c:axId val="895640304"/>
      </c:lineChart>
      <c:catAx>
        <c:axId val="895636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640304"/>
        <c:crosses val="autoZero"/>
        <c:auto val="1"/>
        <c:lblAlgn val="ctr"/>
        <c:lblOffset val="100"/>
        <c:noMultiLvlLbl val="0"/>
      </c:catAx>
      <c:valAx>
        <c:axId val="895640304"/>
        <c:scaling>
          <c:orientation val="minMax"/>
          <c:min val="0.2"/>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6364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Return on Equity Analysis </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6.4293021064674605E-2"/>
          <c:y val="0.23748160773487242"/>
          <c:w val="0.88187680866814722"/>
          <c:h val="0.64068530643002097"/>
        </c:manualLayout>
      </c:layout>
      <c:barChart>
        <c:barDir val="bar"/>
        <c:grouping val="clustered"/>
        <c:varyColors val="0"/>
        <c:ser>
          <c:idx val="0"/>
          <c:order val="0"/>
          <c:tx>
            <c:strRef>
              <c:f>Sheet1!$B$1</c:f>
              <c:strCache>
                <c:ptCount val="1"/>
                <c:pt idx="0">
                  <c:v>Unilever</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dLbl>
              <c:idx val="0"/>
              <c:layout>
                <c:manualLayout>
                  <c:x val="-3.201594992933654E-3"/>
                  <c:y val="1.9095976580373986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3CC5-41E7-B888-B1902B3C5DBC}"/>
                </c:ext>
              </c:extLst>
            </c:dLbl>
            <c:dLbl>
              <c:idx val="1"/>
              <c:layout>
                <c:manualLayout>
                  <c:x val="-2.136752136752137E-3"/>
                  <c:y val="1.2961762799740765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1-3CC5-41E7-B888-B1902B3C5DB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Sheet1!$B$2:$B$4</c:f>
              <c:numCache>
                <c:formatCode>0.0%</c:formatCode>
                <c:ptCount val="3"/>
                <c:pt idx="0">
                  <c:v>0.79629027009437037</c:v>
                </c:pt>
                <c:pt idx="1">
                  <c:v>0.43396226415094341</c:v>
                </c:pt>
                <c:pt idx="2">
                  <c:v>0.3439818748229963</c:v>
                </c:pt>
              </c:numCache>
            </c:numRef>
          </c:val>
          <c:extLst>
            <c:ext xmlns:c16="http://schemas.microsoft.com/office/drawing/2014/chart" uri="{C3380CC4-5D6E-409C-BE32-E72D297353CC}">
              <c16:uniqueId val="{00000002-3CC5-41E7-B888-B1902B3C5DBC}"/>
            </c:ext>
          </c:extLst>
        </c:ser>
        <c:ser>
          <c:idx val="1"/>
          <c:order val="1"/>
          <c:tx>
            <c:strRef>
              <c:f>Sheet1!$D$1</c:f>
              <c:strCache>
                <c:ptCount val="1"/>
                <c:pt idx="0">
                  <c:v>Procter &amp; Gamble</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dLbls>
            <c:dLbl>
              <c:idx val="0"/>
              <c:layout>
                <c:manualLayout>
                  <c:x val="-1.1574074074074073E-2"/>
                  <c:y val="1.1904761904761904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3-3CC5-41E7-B888-B1902B3C5DBC}"/>
                </c:ext>
              </c:extLst>
            </c:dLbl>
            <c:dLbl>
              <c:idx val="2"/>
              <c:layout>
                <c:manualLayout>
                  <c:x val="-8.547008547008586E-3"/>
                  <c:y val="-4.3205875999135484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4-3CC5-41E7-B888-B1902B3C5DBC}"/>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Sheet1!$D$2:$D$4</c:f>
              <c:numCache>
                <c:formatCode>0.0%</c:formatCode>
                <c:ptCount val="3"/>
                <c:pt idx="0">
                  <c:v>0.18646824121173156</c:v>
                </c:pt>
                <c:pt idx="1">
                  <c:v>8.3356102482187514E-2</c:v>
                </c:pt>
                <c:pt idx="2">
                  <c:v>0.27951277784888434</c:v>
                </c:pt>
              </c:numCache>
            </c:numRef>
          </c:val>
          <c:extLst>
            <c:ext xmlns:c16="http://schemas.microsoft.com/office/drawing/2014/chart" uri="{C3380CC4-5D6E-409C-BE32-E72D297353CC}">
              <c16:uniqueId val="{00000005-3CC5-41E7-B888-B1902B3C5DBC}"/>
            </c:ext>
          </c:extLst>
        </c:ser>
        <c:ser>
          <c:idx val="2"/>
          <c:order val="2"/>
          <c:tx>
            <c:strRef>
              <c:f>Sheet1!$F$1</c:f>
              <c:strCache>
                <c:ptCount val="1"/>
                <c:pt idx="0">
                  <c:v>Johnson &amp; Johnson</c:v>
                </c:pt>
              </c:strCache>
            </c:strRef>
          </c:tx>
          <c:spPr>
            <a:noFill/>
            <a:ln w="9525" cap="flat" cmpd="sng" algn="ctr">
              <a:solidFill>
                <a:schemeClr val="accent5"/>
              </a:solidFill>
              <a:miter lim="800000"/>
            </a:ln>
            <a:effectLst>
              <a:glow rad="63500">
                <a:schemeClr val="accent5">
                  <a:satMod val="175000"/>
                  <a:alpha val="25000"/>
                </a:schemeClr>
              </a:glow>
            </a:effectLst>
          </c:spPr>
          <c:invertIfNegative val="0"/>
          <c:dLbls>
            <c:dLbl>
              <c:idx val="0"/>
              <c:layout>
                <c:manualLayout>
                  <c:x val="8.0982905982906368E-3"/>
                  <c:y val="-8.6411751998271766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6-3CC5-41E7-B888-B1902B3C5DBC}"/>
                </c:ext>
              </c:extLst>
            </c:dLbl>
            <c:dLbl>
              <c:idx val="1"/>
              <c:layout>
                <c:manualLayout>
                  <c:x val="-1.4893162393162433E-2"/>
                  <c:y val="-4.3205875999136672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7-3CC5-41E7-B888-B1902B3C5DBC}"/>
                </c:ext>
              </c:extLst>
            </c:dLbl>
            <c:dLbl>
              <c:idx val="2"/>
              <c:layout>
                <c:manualLayout>
                  <c:x val="-1.1132478632478633E-2"/>
                  <c:y val="-1.2961762799740765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8-3CC5-41E7-B888-B1902B3C5DBC}"/>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Sheet1!$F$2:$F$4</c:f>
              <c:numCache>
                <c:formatCode>0.0%</c:formatCode>
                <c:ptCount val="3"/>
                <c:pt idx="0">
                  <c:v>0.25600816709064134</c:v>
                </c:pt>
                <c:pt idx="1">
                  <c:v>0.25422474819660001</c:v>
                </c:pt>
                <c:pt idx="2">
                  <c:v>0.23252947311861943</c:v>
                </c:pt>
              </c:numCache>
            </c:numRef>
          </c:val>
          <c:extLst>
            <c:ext xmlns:c16="http://schemas.microsoft.com/office/drawing/2014/chart" uri="{C3380CC4-5D6E-409C-BE32-E72D297353CC}">
              <c16:uniqueId val="{00000009-3CC5-41E7-B888-B1902B3C5DBC}"/>
            </c:ext>
          </c:extLst>
        </c:ser>
        <c:dLbls>
          <c:dLblPos val="outEnd"/>
          <c:showLegendKey val="0"/>
          <c:showVal val="1"/>
          <c:showCatName val="0"/>
          <c:showSerName val="0"/>
          <c:showPercent val="0"/>
          <c:showBubbleSize val="0"/>
        </c:dLbls>
        <c:gapWidth val="182"/>
        <c:overlap val="-50"/>
        <c:axId val="895637040"/>
        <c:axId val="895638672"/>
      </c:barChart>
      <c:catAx>
        <c:axId val="895637040"/>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95638672"/>
        <c:crosses val="autoZero"/>
        <c:auto val="1"/>
        <c:lblAlgn val="ctr"/>
        <c:lblOffset val="100"/>
        <c:noMultiLvlLbl val="0"/>
      </c:catAx>
      <c:valAx>
        <c:axId val="895638672"/>
        <c:scaling>
          <c:orientation val="minMax"/>
          <c:min val="5.000000000000001E-2"/>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9563704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Asset Turnover </a:t>
            </a:r>
            <a:r>
              <a:rPr lang="en-US"/>
              <a:t>of Unilever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Asset Turnover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2016</c:v>
                </c:pt>
                <c:pt idx="1">
                  <c:v>2017</c:v>
                </c:pt>
                <c:pt idx="2">
                  <c:v>2018</c:v>
                </c:pt>
                <c:pt idx="3">
                  <c:v>2019</c:v>
                </c:pt>
                <c:pt idx="4">
                  <c:v>2020</c:v>
                </c:pt>
              </c:numCache>
            </c:numRef>
          </c:cat>
          <c:val>
            <c:numRef>
              <c:f>Sheet1!$B$2:$B$6</c:f>
              <c:numCache>
                <c:formatCode>0.00</c:formatCode>
                <c:ptCount val="5"/>
                <c:pt idx="0">
                  <c:v>0.9341473355898563</c:v>
                </c:pt>
                <c:pt idx="1">
                  <c:v>0.89101766608609112</c:v>
                </c:pt>
                <c:pt idx="2">
                  <c:v>0.857474434876211</c:v>
                </c:pt>
                <c:pt idx="3">
                  <c:v>0.80208622658395823</c:v>
                </c:pt>
                <c:pt idx="4">
                  <c:v>0.74970070500598585</c:v>
                </c:pt>
              </c:numCache>
            </c:numRef>
          </c:val>
          <c:smooth val="0"/>
          <c:extLst>
            <c:ext xmlns:c16="http://schemas.microsoft.com/office/drawing/2014/chart" uri="{C3380CC4-5D6E-409C-BE32-E72D297353CC}">
              <c16:uniqueId val="{00000000-A744-4B38-B518-F49FF8658A0D}"/>
            </c:ext>
          </c:extLst>
        </c:ser>
        <c:dLbls>
          <c:showLegendKey val="0"/>
          <c:showVal val="0"/>
          <c:showCatName val="0"/>
          <c:showSerName val="0"/>
          <c:showPercent val="0"/>
          <c:showBubbleSize val="0"/>
        </c:dLbls>
        <c:marker val="1"/>
        <c:smooth val="0"/>
        <c:axId val="895634320"/>
        <c:axId val="974561104"/>
      </c:lineChart>
      <c:catAx>
        <c:axId val="895634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4561104"/>
        <c:crosses val="autoZero"/>
        <c:auto val="1"/>
        <c:lblAlgn val="ctr"/>
        <c:lblOffset val="100"/>
        <c:noMultiLvlLbl val="0"/>
      </c:catAx>
      <c:valAx>
        <c:axId val="974561104"/>
        <c:scaling>
          <c:orientation val="minMax"/>
          <c:min val="0.2"/>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6343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Asset</a:t>
            </a:r>
            <a:r>
              <a:rPr lang="en-US" baseline="0"/>
              <a:t> Turnover Ratio</a:t>
            </a:r>
            <a:r>
              <a:rPr lang="en-US"/>
              <a:t> Analysis </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6.4293021064674605E-2"/>
          <c:y val="0.23748160773487242"/>
          <c:w val="0.88187680866814722"/>
          <c:h val="0.64068530643002097"/>
        </c:manualLayout>
      </c:layout>
      <c:barChart>
        <c:barDir val="bar"/>
        <c:grouping val="clustered"/>
        <c:varyColors val="0"/>
        <c:ser>
          <c:idx val="0"/>
          <c:order val="0"/>
          <c:tx>
            <c:strRef>
              <c:f>Sheet1!$B$1</c:f>
              <c:strCache>
                <c:ptCount val="1"/>
                <c:pt idx="0">
                  <c:v>Unilever</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dLbl>
              <c:idx val="0"/>
              <c:layout>
                <c:manualLayout>
                  <c:x val="-3.201594992933654E-3"/>
                  <c:y val="1.9095976580373986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A3C9-441B-9F47-1D44A52268CE}"/>
                </c:ext>
              </c:extLst>
            </c:dLbl>
            <c:dLbl>
              <c:idx val="1"/>
              <c:layout>
                <c:manualLayout>
                  <c:x val="-2.136752136752137E-3"/>
                  <c:y val="1.2961762799740765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1-A3C9-441B-9F47-1D44A52268C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Sheet1!$B$2:$B$4</c:f>
              <c:numCache>
                <c:formatCode>0.00</c:formatCode>
                <c:ptCount val="3"/>
                <c:pt idx="0">
                  <c:v>0.857474434876211</c:v>
                </c:pt>
                <c:pt idx="1">
                  <c:v>0.80208622658395823</c:v>
                </c:pt>
                <c:pt idx="2">
                  <c:v>0.74970070500598585</c:v>
                </c:pt>
              </c:numCache>
            </c:numRef>
          </c:val>
          <c:extLst>
            <c:ext xmlns:c16="http://schemas.microsoft.com/office/drawing/2014/chart" uri="{C3380CC4-5D6E-409C-BE32-E72D297353CC}">
              <c16:uniqueId val="{00000002-A3C9-441B-9F47-1D44A52268CE}"/>
            </c:ext>
          </c:extLst>
        </c:ser>
        <c:ser>
          <c:idx val="1"/>
          <c:order val="1"/>
          <c:tx>
            <c:strRef>
              <c:f>Sheet1!$C$1</c:f>
              <c:strCache>
                <c:ptCount val="1"/>
                <c:pt idx="0">
                  <c:v>Procter &amp; Gamble</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dLbls>
            <c:dLbl>
              <c:idx val="0"/>
              <c:layout>
                <c:manualLayout>
                  <c:x val="-1.1574074074074073E-2"/>
                  <c:y val="1.1904761904761904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3-A3C9-441B-9F47-1D44A52268CE}"/>
                </c:ext>
              </c:extLst>
            </c:dLbl>
            <c:dLbl>
              <c:idx val="2"/>
              <c:layout>
                <c:manualLayout>
                  <c:x val="-8.547008547008586E-3"/>
                  <c:y val="-4.3205875999135484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4-A3C9-441B-9F47-1D44A52268CE}"/>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Sheet1!$C$2:$C$4</c:f>
              <c:numCache>
                <c:formatCode>0.00</c:formatCode>
                <c:ptCount val="3"/>
                <c:pt idx="0">
                  <c:v>0.56488885132279609</c:v>
                </c:pt>
                <c:pt idx="1">
                  <c:v>0.58807072418436945</c:v>
                </c:pt>
                <c:pt idx="2">
                  <c:v>0.58782104391052192</c:v>
                </c:pt>
              </c:numCache>
            </c:numRef>
          </c:val>
          <c:extLst>
            <c:ext xmlns:c16="http://schemas.microsoft.com/office/drawing/2014/chart" uri="{C3380CC4-5D6E-409C-BE32-E72D297353CC}">
              <c16:uniqueId val="{00000005-A3C9-441B-9F47-1D44A52268CE}"/>
            </c:ext>
          </c:extLst>
        </c:ser>
        <c:ser>
          <c:idx val="2"/>
          <c:order val="2"/>
          <c:tx>
            <c:strRef>
              <c:f>Sheet1!$D$1</c:f>
              <c:strCache>
                <c:ptCount val="1"/>
                <c:pt idx="0">
                  <c:v>Johnson &amp; Johnson</c:v>
                </c:pt>
              </c:strCache>
            </c:strRef>
          </c:tx>
          <c:spPr>
            <a:noFill/>
            <a:ln w="9525" cap="flat" cmpd="sng" algn="ctr">
              <a:solidFill>
                <a:schemeClr val="accent5"/>
              </a:solidFill>
              <a:miter lim="800000"/>
            </a:ln>
            <a:effectLst>
              <a:glow rad="63500">
                <a:schemeClr val="accent5">
                  <a:satMod val="175000"/>
                  <a:alpha val="25000"/>
                </a:schemeClr>
              </a:glow>
            </a:effectLst>
          </c:spPr>
          <c:invertIfNegative val="0"/>
          <c:dLbls>
            <c:dLbl>
              <c:idx val="0"/>
              <c:layout>
                <c:manualLayout>
                  <c:x val="8.0982905982906368E-3"/>
                  <c:y val="-8.6411751998271766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6-A3C9-441B-9F47-1D44A52268CE}"/>
                </c:ext>
              </c:extLst>
            </c:dLbl>
            <c:dLbl>
              <c:idx val="1"/>
              <c:layout>
                <c:manualLayout>
                  <c:x val="-1.4893162393162433E-2"/>
                  <c:y val="-4.3205875999136672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7-A3C9-441B-9F47-1D44A52268CE}"/>
                </c:ext>
              </c:extLst>
            </c:dLbl>
            <c:dLbl>
              <c:idx val="2"/>
              <c:layout>
                <c:manualLayout>
                  <c:x val="-1.1132478632478633E-2"/>
                  <c:y val="-1.2961762799740765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8-A3C9-441B-9F47-1D44A52268CE}"/>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Sheet1!$D$2:$D$4</c:f>
              <c:numCache>
                <c:formatCode>0.00</c:formatCode>
                <c:ptCount val="3"/>
                <c:pt idx="0">
                  <c:v>0.53336950978725628</c:v>
                </c:pt>
                <c:pt idx="1">
                  <c:v>0.5202563907486305</c:v>
                </c:pt>
                <c:pt idx="2">
                  <c:v>0.47185152149301862</c:v>
                </c:pt>
              </c:numCache>
            </c:numRef>
          </c:val>
          <c:extLst>
            <c:ext xmlns:c16="http://schemas.microsoft.com/office/drawing/2014/chart" uri="{C3380CC4-5D6E-409C-BE32-E72D297353CC}">
              <c16:uniqueId val="{00000009-A3C9-441B-9F47-1D44A52268CE}"/>
            </c:ext>
          </c:extLst>
        </c:ser>
        <c:dLbls>
          <c:dLblPos val="outEnd"/>
          <c:showLegendKey val="0"/>
          <c:showVal val="1"/>
          <c:showCatName val="0"/>
          <c:showSerName val="0"/>
          <c:showPercent val="0"/>
          <c:showBubbleSize val="0"/>
        </c:dLbls>
        <c:gapWidth val="182"/>
        <c:overlap val="-50"/>
        <c:axId val="974560560"/>
        <c:axId val="974562192"/>
      </c:barChart>
      <c:catAx>
        <c:axId val="974560560"/>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74562192"/>
        <c:crosses val="autoZero"/>
        <c:auto val="1"/>
        <c:lblAlgn val="ctr"/>
        <c:lblOffset val="100"/>
        <c:noMultiLvlLbl val="0"/>
      </c:catAx>
      <c:valAx>
        <c:axId val="974562192"/>
        <c:scaling>
          <c:orientation val="minMax"/>
          <c:min val="0.4"/>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7456056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Fixed Asset Turnover </a:t>
            </a:r>
            <a:r>
              <a:rPr lang="en-US"/>
              <a:t>of Unilever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Fixed Asset Turnover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2016</c:v>
                </c:pt>
                <c:pt idx="1">
                  <c:v>2017</c:v>
                </c:pt>
                <c:pt idx="2">
                  <c:v>2018</c:v>
                </c:pt>
                <c:pt idx="3">
                  <c:v>2019</c:v>
                </c:pt>
                <c:pt idx="4">
                  <c:v>2020</c:v>
                </c:pt>
              </c:numCache>
            </c:numRef>
          </c:cat>
          <c:val>
            <c:numRef>
              <c:f>Sheet1!$B$2:$B$6</c:f>
              <c:numCache>
                <c:formatCode>0.00</c:formatCode>
                <c:ptCount val="5"/>
                <c:pt idx="0">
                  <c:v>1.2389940063462217</c:v>
                </c:pt>
                <c:pt idx="1">
                  <c:v>1.2404738811140363</c:v>
                </c:pt>
                <c:pt idx="2">
                  <c:v>1.1593405343945424</c:v>
                </c:pt>
                <c:pt idx="3">
                  <c:v>1.0744997519431123</c:v>
                </c:pt>
                <c:pt idx="4">
                  <c:v>0.98489379053240655</c:v>
                </c:pt>
              </c:numCache>
            </c:numRef>
          </c:val>
          <c:smooth val="0"/>
          <c:extLst>
            <c:ext xmlns:c16="http://schemas.microsoft.com/office/drawing/2014/chart" uri="{C3380CC4-5D6E-409C-BE32-E72D297353CC}">
              <c16:uniqueId val="{00000000-2184-4CEB-B8B3-5B2335F5DD04}"/>
            </c:ext>
          </c:extLst>
        </c:ser>
        <c:dLbls>
          <c:showLegendKey val="0"/>
          <c:showVal val="0"/>
          <c:showCatName val="0"/>
          <c:showSerName val="0"/>
          <c:showPercent val="0"/>
          <c:showBubbleSize val="0"/>
        </c:dLbls>
        <c:marker val="1"/>
        <c:smooth val="0"/>
        <c:axId val="974559472"/>
        <c:axId val="974563824"/>
      </c:lineChart>
      <c:catAx>
        <c:axId val="974559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4563824"/>
        <c:crosses val="autoZero"/>
        <c:auto val="1"/>
        <c:lblAlgn val="ctr"/>
        <c:lblOffset val="100"/>
        <c:noMultiLvlLbl val="0"/>
      </c:catAx>
      <c:valAx>
        <c:axId val="974563824"/>
        <c:scaling>
          <c:orientation val="minMax"/>
          <c:min val="0.2"/>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4559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Fixed Asset</a:t>
            </a:r>
            <a:r>
              <a:rPr lang="en-US" baseline="0"/>
              <a:t> Turnover</a:t>
            </a:r>
            <a:r>
              <a:rPr lang="en-US"/>
              <a:t> Analysis </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6.4293021064674605E-2"/>
          <c:y val="0.23748160773487242"/>
          <c:w val="0.88187680866814722"/>
          <c:h val="0.64068530643002097"/>
        </c:manualLayout>
      </c:layout>
      <c:barChart>
        <c:barDir val="bar"/>
        <c:grouping val="clustered"/>
        <c:varyColors val="0"/>
        <c:ser>
          <c:idx val="0"/>
          <c:order val="0"/>
          <c:tx>
            <c:strRef>
              <c:f>Sheet1!$B$1</c:f>
              <c:strCache>
                <c:ptCount val="1"/>
                <c:pt idx="0">
                  <c:v>Unilever</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dLbl>
              <c:idx val="0"/>
              <c:layout>
                <c:manualLayout>
                  <c:x val="-3.201594992933654E-3"/>
                  <c:y val="1.9095976580373986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A237-4CC2-91B3-05C63669A3AD}"/>
                </c:ext>
              </c:extLst>
            </c:dLbl>
            <c:dLbl>
              <c:idx val="1"/>
              <c:layout>
                <c:manualLayout>
                  <c:x val="-2.136752136752137E-3"/>
                  <c:y val="1.2961762799740765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1-A237-4CC2-91B3-05C63669A3A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Sheet1!$B$2:$B$4</c:f>
              <c:numCache>
                <c:formatCode>0.00</c:formatCode>
                <c:ptCount val="3"/>
                <c:pt idx="0">
                  <c:v>1.1593405343945424</c:v>
                </c:pt>
                <c:pt idx="1">
                  <c:v>1.0744997519431123</c:v>
                </c:pt>
                <c:pt idx="2">
                  <c:v>0.98489379053240655</c:v>
                </c:pt>
              </c:numCache>
            </c:numRef>
          </c:val>
          <c:extLst>
            <c:ext xmlns:c16="http://schemas.microsoft.com/office/drawing/2014/chart" uri="{C3380CC4-5D6E-409C-BE32-E72D297353CC}">
              <c16:uniqueId val="{00000002-A237-4CC2-91B3-05C63669A3AD}"/>
            </c:ext>
          </c:extLst>
        </c:ser>
        <c:ser>
          <c:idx val="1"/>
          <c:order val="1"/>
          <c:tx>
            <c:strRef>
              <c:f>Sheet1!$C$1</c:f>
              <c:strCache>
                <c:ptCount val="1"/>
                <c:pt idx="0">
                  <c:v>Procter &amp; Gamble</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dLbls>
            <c:dLbl>
              <c:idx val="0"/>
              <c:layout>
                <c:manualLayout>
                  <c:x val="-1.1574074074074073E-2"/>
                  <c:y val="1.1904761904761904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3-A237-4CC2-91B3-05C63669A3AD}"/>
                </c:ext>
              </c:extLst>
            </c:dLbl>
            <c:dLbl>
              <c:idx val="2"/>
              <c:layout>
                <c:manualLayout>
                  <c:x val="-8.547008547008586E-3"/>
                  <c:y val="-4.3205875999135484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4-A237-4CC2-91B3-05C63669A3AD}"/>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Sheet1!$C$2:$C$4</c:f>
              <c:numCache>
                <c:formatCode>0.00</c:formatCode>
                <c:ptCount val="3"/>
                <c:pt idx="0">
                  <c:v>0.7035687967154437</c:v>
                </c:pt>
                <c:pt idx="1">
                  <c:v>0.73075511217637279</c:v>
                </c:pt>
                <c:pt idx="2">
                  <c:v>0.76526484958959373</c:v>
                </c:pt>
              </c:numCache>
            </c:numRef>
          </c:val>
          <c:extLst>
            <c:ext xmlns:c16="http://schemas.microsoft.com/office/drawing/2014/chart" uri="{C3380CC4-5D6E-409C-BE32-E72D297353CC}">
              <c16:uniqueId val="{00000005-A237-4CC2-91B3-05C63669A3AD}"/>
            </c:ext>
          </c:extLst>
        </c:ser>
        <c:ser>
          <c:idx val="2"/>
          <c:order val="2"/>
          <c:tx>
            <c:strRef>
              <c:f>Sheet1!$D$1</c:f>
              <c:strCache>
                <c:ptCount val="1"/>
                <c:pt idx="0">
                  <c:v>Johnson &amp; Johnson</c:v>
                </c:pt>
              </c:strCache>
            </c:strRef>
          </c:tx>
          <c:spPr>
            <a:noFill/>
            <a:ln w="9525" cap="flat" cmpd="sng" algn="ctr">
              <a:solidFill>
                <a:schemeClr val="accent5"/>
              </a:solidFill>
              <a:miter lim="800000"/>
            </a:ln>
            <a:effectLst>
              <a:glow rad="63500">
                <a:schemeClr val="accent5">
                  <a:satMod val="175000"/>
                  <a:alpha val="25000"/>
                </a:schemeClr>
              </a:glow>
            </a:effectLst>
          </c:spPr>
          <c:invertIfNegative val="0"/>
          <c:dLbls>
            <c:dLbl>
              <c:idx val="0"/>
              <c:layout>
                <c:manualLayout>
                  <c:x val="8.0982905982906368E-3"/>
                  <c:y val="-8.6411751998271766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6-A237-4CC2-91B3-05C63669A3AD}"/>
                </c:ext>
              </c:extLst>
            </c:dLbl>
            <c:dLbl>
              <c:idx val="1"/>
              <c:layout>
                <c:manualLayout>
                  <c:x val="-1.4893162393162433E-2"/>
                  <c:y val="-4.3205875999136672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7-A237-4CC2-91B3-05C63669A3AD}"/>
                </c:ext>
              </c:extLst>
            </c:dLbl>
            <c:dLbl>
              <c:idx val="2"/>
              <c:layout>
                <c:manualLayout>
                  <c:x val="-1.1132478632478633E-2"/>
                  <c:y val="-1.2961762799740765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8-A237-4CC2-91B3-05C63669A3AD}"/>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Sheet1!$D$2:$D$4</c:f>
              <c:numCache>
                <c:formatCode>0.00</c:formatCode>
                <c:ptCount val="3"/>
                <c:pt idx="0">
                  <c:v>0.76300259069780496</c:v>
                </c:pt>
                <c:pt idx="1">
                  <c:v>0.7297117043413307</c:v>
                </c:pt>
                <c:pt idx="2">
                  <c:v>0.66736213881947648</c:v>
                </c:pt>
              </c:numCache>
            </c:numRef>
          </c:val>
          <c:extLst>
            <c:ext xmlns:c16="http://schemas.microsoft.com/office/drawing/2014/chart" uri="{C3380CC4-5D6E-409C-BE32-E72D297353CC}">
              <c16:uniqueId val="{00000009-A237-4CC2-91B3-05C63669A3AD}"/>
            </c:ext>
          </c:extLst>
        </c:ser>
        <c:dLbls>
          <c:dLblPos val="outEnd"/>
          <c:showLegendKey val="0"/>
          <c:showVal val="1"/>
          <c:showCatName val="0"/>
          <c:showSerName val="0"/>
          <c:showPercent val="0"/>
          <c:showBubbleSize val="0"/>
        </c:dLbls>
        <c:gapWidth val="182"/>
        <c:overlap val="-50"/>
        <c:axId val="974564368"/>
        <c:axId val="974564912"/>
      </c:barChart>
      <c:catAx>
        <c:axId val="974564368"/>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74564912"/>
        <c:crosses val="autoZero"/>
        <c:auto val="1"/>
        <c:lblAlgn val="ctr"/>
        <c:lblOffset val="100"/>
        <c:noMultiLvlLbl val="0"/>
      </c:catAx>
      <c:valAx>
        <c:axId val="974564912"/>
        <c:scaling>
          <c:orientation val="minMax"/>
          <c:min val="0.4"/>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745643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Debt Equity ratio </a:t>
            </a:r>
            <a:r>
              <a:rPr lang="en-US"/>
              <a:t>of Unilever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Debt  Equity ratio</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2016</c:v>
                </c:pt>
                <c:pt idx="1">
                  <c:v>2017</c:v>
                </c:pt>
                <c:pt idx="2">
                  <c:v>2018</c:v>
                </c:pt>
                <c:pt idx="3">
                  <c:v>2019</c:v>
                </c:pt>
                <c:pt idx="4">
                  <c:v>2020</c:v>
                </c:pt>
              </c:numCache>
            </c:numRef>
          </c:cat>
          <c:val>
            <c:numRef>
              <c:f>Sheet1!$B$2:$B$6</c:f>
              <c:numCache>
                <c:formatCode>0.00</c:formatCode>
                <c:ptCount val="5"/>
                <c:pt idx="0">
                  <c:v>2.3232626619552414</c:v>
                </c:pt>
                <c:pt idx="1">
                  <c:v>3.1902411899631611</c:v>
                </c:pt>
                <c:pt idx="2">
                  <c:v>3.8369671330946957</c:v>
                </c:pt>
                <c:pt idx="3">
                  <c:v>3.6670027365692066</c:v>
                </c:pt>
                <c:pt idx="4">
                  <c:v>2.8322854715378081</c:v>
                </c:pt>
              </c:numCache>
            </c:numRef>
          </c:val>
          <c:smooth val="0"/>
          <c:extLst>
            <c:ext xmlns:c16="http://schemas.microsoft.com/office/drawing/2014/chart" uri="{C3380CC4-5D6E-409C-BE32-E72D297353CC}">
              <c16:uniqueId val="{00000000-48AE-4CCF-878D-667AC323A8DD}"/>
            </c:ext>
          </c:extLst>
        </c:ser>
        <c:dLbls>
          <c:showLegendKey val="0"/>
          <c:showVal val="0"/>
          <c:showCatName val="0"/>
          <c:showSerName val="0"/>
          <c:showPercent val="0"/>
          <c:showBubbleSize val="0"/>
        </c:dLbls>
        <c:marker val="1"/>
        <c:smooth val="0"/>
        <c:axId val="653623392"/>
        <c:axId val="653623936"/>
      </c:lineChart>
      <c:catAx>
        <c:axId val="653623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623936"/>
        <c:crosses val="autoZero"/>
        <c:auto val="1"/>
        <c:lblAlgn val="ctr"/>
        <c:lblOffset val="100"/>
        <c:noMultiLvlLbl val="0"/>
      </c:catAx>
      <c:valAx>
        <c:axId val="653623936"/>
        <c:scaling>
          <c:orientation val="minMax"/>
          <c:min val="0.2"/>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6233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Debt</a:t>
            </a:r>
            <a:r>
              <a:rPr lang="en-US" baseline="0"/>
              <a:t> Equity Ratio Analysis</a:t>
            </a:r>
            <a:r>
              <a:rPr lang="en-US"/>
              <a:t>  </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6.4293021064674605E-2"/>
          <c:y val="0.23748160773487242"/>
          <c:w val="0.88187680866814722"/>
          <c:h val="0.64068530643002097"/>
        </c:manualLayout>
      </c:layout>
      <c:barChart>
        <c:barDir val="bar"/>
        <c:grouping val="clustered"/>
        <c:varyColors val="0"/>
        <c:ser>
          <c:idx val="0"/>
          <c:order val="0"/>
          <c:tx>
            <c:strRef>
              <c:f>Sheet1!$B$1</c:f>
              <c:strCache>
                <c:ptCount val="1"/>
                <c:pt idx="0">
                  <c:v>Unilever</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dLbl>
              <c:idx val="0"/>
              <c:layout>
                <c:manualLayout>
                  <c:x val="-3.201594992933654E-3"/>
                  <c:y val="1.9095976580373986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553C-4DA1-A2A7-9232C4AE4E0D}"/>
                </c:ext>
              </c:extLst>
            </c:dLbl>
            <c:dLbl>
              <c:idx val="1"/>
              <c:layout>
                <c:manualLayout>
                  <c:x val="-2.136752136752137E-3"/>
                  <c:y val="1.2961762799740765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1-553C-4DA1-A2A7-9232C4AE4E0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Sheet1!$B$2:$B$4</c:f>
              <c:numCache>
                <c:formatCode>0.00</c:formatCode>
                <c:ptCount val="3"/>
                <c:pt idx="0">
                  <c:v>3.8369671330946957</c:v>
                </c:pt>
                <c:pt idx="1">
                  <c:v>3.6670027365692066</c:v>
                </c:pt>
                <c:pt idx="2">
                  <c:v>2.8322854715378081</c:v>
                </c:pt>
              </c:numCache>
            </c:numRef>
          </c:val>
          <c:extLst>
            <c:ext xmlns:c16="http://schemas.microsoft.com/office/drawing/2014/chart" uri="{C3380CC4-5D6E-409C-BE32-E72D297353CC}">
              <c16:uniqueId val="{00000002-553C-4DA1-A2A7-9232C4AE4E0D}"/>
            </c:ext>
          </c:extLst>
        </c:ser>
        <c:ser>
          <c:idx val="1"/>
          <c:order val="1"/>
          <c:tx>
            <c:strRef>
              <c:f>Sheet1!$C$1</c:f>
              <c:strCache>
                <c:ptCount val="1"/>
                <c:pt idx="0">
                  <c:v>Procter &amp; Gamble</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dLbls>
            <c:dLbl>
              <c:idx val="0"/>
              <c:layout>
                <c:manualLayout>
                  <c:x val="-1.1574074074074073E-2"/>
                  <c:y val="1.1904761904761904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3-553C-4DA1-A2A7-9232C4AE4E0D}"/>
                </c:ext>
              </c:extLst>
            </c:dLbl>
            <c:dLbl>
              <c:idx val="2"/>
              <c:layout>
                <c:manualLayout>
                  <c:x val="-8.547008547008586E-3"/>
                  <c:y val="-4.3205875999135484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4-553C-4DA1-A2A7-9232C4AE4E0D}"/>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Sheet1!$C$2:$C$4</c:f>
              <c:numCache>
                <c:formatCode>0.00</c:formatCode>
                <c:ptCount val="3"/>
                <c:pt idx="0">
                  <c:v>1.2372028818334815</c:v>
                </c:pt>
                <c:pt idx="1">
                  <c:v>1.4190294037285356</c:v>
                </c:pt>
                <c:pt idx="2">
                  <c:v>1.5747685481462519</c:v>
                </c:pt>
              </c:numCache>
            </c:numRef>
          </c:val>
          <c:extLst>
            <c:ext xmlns:c16="http://schemas.microsoft.com/office/drawing/2014/chart" uri="{C3380CC4-5D6E-409C-BE32-E72D297353CC}">
              <c16:uniqueId val="{00000005-553C-4DA1-A2A7-9232C4AE4E0D}"/>
            </c:ext>
          </c:extLst>
        </c:ser>
        <c:ser>
          <c:idx val="2"/>
          <c:order val="2"/>
          <c:tx>
            <c:strRef>
              <c:f>Sheet1!$D$1</c:f>
              <c:strCache>
                <c:ptCount val="1"/>
                <c:pt idx="0">
                  <c:v>Johnson &amp; Johnson</c:v>
                </c:pt>
              </c:strCache>
            </c:strRef>
          </c:tx>
          <c:spPr>
            <a:noFill/>
            <a:ln w="9525" cap="flat" cmpd="sng" algn="ctr">
              <a:solidFill>
                <a:schemeClr val="accent5"/>
              </a:solidFill>
              <a:miter lim="800000"/>
            </a:ln>
            <a:effectLst>
              <a:glow rad="63500">
                <a:schemeClr val="accent5">
                  <a:satMod val="175000"/>
                  <a:alpha val="25000"/>
                </a:schemeClr>
              </a:glow>
            </a:effectLst>
          </c:spPr>
          <c:invertIfNegative val="0"/>
          <c:dLbls>
            <c:dLbl>
              <c:idx val="0"/>
              <c:layout>
                <c:manualLayout>
                  <c:x val="8.0982905982906368E-3"/>
                  <c:y val="-8.6411751998271766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6-553C-4DA1-A2A7-9232C4AE4E0D}"/>
                </c:ext>
              </c:extLst>
            </c:dLbl>
            <c:dLbl>
              <c:idx val="1"/>
              <c:layout>
                <c:manualLayout>
                  <c:x val="-1.4893162393162433E-2"/>
                  <c:y val="-4.3205875999136672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7-553C-4DA1-A2A7-9232C4AE4E0D}"/>
                </c:ext>
              </c:extLst>
            </c:dLbl>
            <c:dLbl>
              <c:idx val="2"/>
              <c:layout>
                <c:manualLayout>
                  <c:x val="-1.1132478632478633E-2"/>
                  <c:y val="-1.2961762799740765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8-553C-4DA1-A2A7-9232C4AE4E0D}"/>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Sheet1!$D$2:$D$4</c:f>
              <c:numCache>
                <c:formatCode>0.00</c:formatCode>
                <c:ptCount val="3"/>
                <c:pt idx="0">
                  <c:v>1.5598138974427633</c:v>
                </c:pt>
                <c:pt idx="1">
                  <c:v>1.6521834171276757</c:v>
                </c:pt>
                <c:pt idx="2">
                  <c:v>1.7638989854293752</c:v>
                </c:pt>
              </c:numCache>
            </c:numRef>
          </c:val>
          <c:extLst>
            <c:ext xmlns:c16="http://schemas.microsoft.com/office/drawing/2014/chart" uri="{C3380CC4-5D6E-409C-BE32-E72D297353CC}">
              <c16:uniqueId val="{00000009-553C-4DA1-A2A7-9232C4AE4E0D}"/>
            </c:ext>
          </c:extLst>
        </c:ser>
        <c:dLbls>
          <c:dLblPos val="outEnd"/>
          <c:showLegendKey val="0"/>
          <c:showVal val="1"/>
          <c:showCatName val="0"/>
          <c:showSerName val="0"/>
          <c:showPercent val="0"/>
          <c:showBubbleSize val="0"/>
        </c:dLbls>
        <c:gapWidth val="182"/>
        <c:overlap val="-50"/>
        <c:axId val="1134924576"/>
        <c:axId val="1134922944"/>
      </c:barChart>
      <c:catAx>
        <c:axId val="1134924576"/>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134922944"/>
        <c:crosses val="autoZero"/>
        <c:auto val="1"/>
        <c:lblAlgn val="ctr"/>
        <c:lblOffset val="100"/>
        <c:noMultiLvlLbl val="0"/>
      </c:catAx>
      <c:valAx>
        <c:axId val="1134922944"/>
        <c:scaling>
          <c:orientation val="minMax"/>
          <c:min val="0.4"/>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13492457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Debt to Capital ratio </a:t>
            </a:r>
            <a:r>
              <a:rPr lang="en-US"/>
              <a:t>of Unilever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Debt to Capital Ratio</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2016</c:v>
                </c:pt>
                <c:pt idx="1">
                  <c:v>2017</c:v>
                </c:pt>
                <c:pt idx="2">
                  <c:v>2018</c:v>
                </c:pt>
                <c:pt idx="3">
                  <c:v>2019</c:v>
                </c:pt>
                <c:pt idx="4">
                  <c:v>2020</c:v>
                </c:pt>
              </c:numCache>
            </c:numRef>
          </c:cat>
          <c:val>
            <c:numRef>
              <c:f>Sheet1!$B$2:$B$6</c:f>
              <c:numCache>
                <c:formatCode>0.00</c:formatCode>
                <c:ptCount val="5"/>
                <c:pt idx="0">
                  <c:v>0.6990908929805596</c:v>
                </c:pt>
                <c:pt idx="1">
                  <c:v>0.76135025296508252</c:v>
                </c:pt>
                <c:pt idx="2">
                  <c:v>0.79325888051668458</c:v>
                </c:pt>
                <c:pt idx="3">
                  <c:v>0.78572971638428546</c:v>
                </c:pt>
                <c:pt idx="4">
                  <c:v>0.7390591052188179</c:v>
                </c:pt>
              </c:numCache>
            </c:numRef>
          </c:val>
          <c:smooth val="0"/>
          <c:extLst>
            <c:ext xmlns:c16="http://schemas.microsoft.com/office/drawing/2014/chart" uri="{C3380CC4-5D6E-409C-BE32-E72D297353CC}">
              <c16:uniqueId val="{00000000-AC62-409E-ABFC-86A917314C94}"/>
            </c:ext>
          </c:extLst>
        </c:ser>
        <c:dLbls>
          <c:showLegendKey val="0"/>
          <c:showVal val="0"/>
          <c:showCatName val="0"/>
          <c:showSerName val="0"/>
          <c:showPercent val="0"/>
          <c:showBubbleSize val="0"/>
        </c:dLbls>
        <c:marker val="1"/>
        <c:smooth val="0"/>
        <c:axId val="1134921856"/>
        <c:axId val="1134920224"/>
      </c:lineChart>
      <c:catAx>
        <c:axId val="11349218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4920224"/>
        <c:crosses val="autoZero"/>
        <c:auto val="1"/>
        <c:lblAlgn val="ctr"/>
        <c:lblOffset val="100"/>
        <c:noMultiLvlLbl val="0"/>
      </c:catAx>
      <c:valAx>
        <c:axId val="1134920224"/>
        <c:scaling>
          <c:orientation val="minMax"/>
          <c:min val="0.2"/>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4921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Debt</a:t>
            </a:r>
            <a:r>
              <a:rPr lang="en-US" baseline="0"/>
              <a:t> to Capital Ratio Analysis</a:t>
            </a:r>
            <a:r>
              <a:rPr lang="en-US"/>
              <a:t>  </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6.4293021064674605E-2"/>
          <c:y val="0.23748160773487242"/>
          <c:w val="0.88187680866814722"/>
          <c:h val="0.64068530643002097"/>
        </c:manualLayout>
      </c:layout>
      <c:barChart>
        <c:barDir val="bar"/>
        <c:grouping val="clustered"/>
        <c:varyColors val="0"/>
        <c:ser>
          <c:idx val="0"/>
          <c:order val="0"/>
          <c:tx>
            <c:strRef>
              <c:f>Sheet1!$B$1</c:f>
              <c:strCache>
                <c:ptCount val="1"/>
                <c:pt idx="0">
                  <c:v>Unilever</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dLbl>
              <c:idx val="0"/>
              <c:layout>
                <c:manualLayout>
                  <c:x val="-3.201594992933654E-3"/>
                  <c:y val="1.9095976580373986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1A86-470A-9D82-C52B70D7CDB1}"/>
                </c:ext>
              </c:extLst>
            </c:dLbl>
            <c:dLbl>
              <c:idx val="1"/>
              <c:layout>
                <c:manualLayout>
                  <c:x val="-2.136752136752137E-3"/>
                  <c:y val="1.2961762799740765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1-1A86-470A-9D82-C52B70D7CDB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Sheet1!$B$2:$B$4</c:f>
              <c:numCache>
                <c:formatCode>0.00</c:formatCode>
                <c:ptCount val="3"/>
                <c:pt idx="0">
                  <c:v>0.79325888051668503</c:v>
                </c:pt>
                <c:pt idx="1">
                  <c:v>0.78572971638428546</c:v>
                </c:pt>
                <c:pt idx="2">
                  <c:v>0.7390591052188179</c:v>
                </c:pt>
              </c:numCache>
            </c:numRef>
          </c:val>
          <c:extLst>
            <c:ext xmlns:c16="http://schemas.microsoft.com/office/drawing/2014/chart" uri="{C3380CC4-5D6E-409C-BE32-E72D297353CC}">
              <c16:uniqueId val="{00000002-1A86-470A-9D82-C52B70D7CDB1}"/>
            </c:ext>
          </c:extLst>
        </c:ser>
        <c:ser>
          <c:idx val="1"/>
          <c:order val="1"/>
          <c:tx>
            <c:strRef>
              <c:f>Sheet1!$C$1</c:f>
              <c:strCache>
                <c:ptCount val="1"/>
                <c:pt idx="0">
                  <c:v>Procter &amp; Gamble</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dLbls>
            <c:dLbl>
              <c:idx val="0"/>
              <c:layout>
                <c:manualLayout>
                  <c:x val="-1.1574074074074073E-2"/>
                  <c:y val="1.1904761904761904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3-1A86-470A-9D82-C52B70D7CDB1}"/>
                </c:ext>
              </c:extLst>
            </c:dLbl>
            <c:dLbl>
              <c:idx val="2"/>
              <c:layout>
                <c:manualLayout>
                  <c:x val="-8.547008547008586E-3"/>
                  <c:y val="-4.3205875999135484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4-1A86-470A-9D82-C52B70D7CDB1}"/>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Sheet1!$C$2:$C$4</c:f>
              <c:numCache>
                <c:formatCode>0.00</c:formatCode>
                <c:ptCount val="3"/>
                <c:pt idx="0">
                  <c:v>0.5530132702222974</c:v>
                </c:pt>
                <c:pt idx="1">
                  <c:v>0.58661106042834177</c:v>
                </c:pt>
                <c:pt idx="2">
                  <c:v>0.61161557580778791</c:v>
                </c:pt>
              </c:numCache>
            </c:numRef>
          </c:val>
          <c:extLst>
            <c:ext xmlns:c16="http://schemas.microsoft.com/office/drawing/2014/chart" uri="{C3380CC4-5D6E-409C-BE32-E72D297353CC}">
              <c16:uniqueId val="{00000005-1A86-470A-9D82-C52B70D7CDB1}"/>
            </c:ext>
          </c:extLst>
        </c:ser>
        <c:ser>
          <c:idx val="2"/>
          <c:order val="2"/>
          <c:tx>
            <c:strRef>
              <c:f>Sheet1!$D$1</c:f>
              <c:strCache>
                <c:ptCount val="1"/>
                <c:pt idx="0">
                  <c:v>Johnson &amp; Johnson</c:v>
                </c:pt>
              </c:strCache>
            </c:strRef>
          </c:tx>
          <c:spPr>
            <a:noFill/>
            <a:ln w="9525" cap="flat" cmpd="sng" algn="ctr">
              <a:solidFill>
                <a:schemeClr val="accent5"/>
              </a:solidFill>
              <a:miter lim="800000"/>
            </a:ln>
            <a:effectLst>
              <a:glow rad="63500">
                <a:schemeClr val="accent5">
                  <a:satMod val="175000"/>
                  <a:alpha val="25000"/>
                </a:schemeClr>
              </a:glow>
            </a:effectLst>
          </c:spPr>
          <c:invertIfNegative val="0"/>
          <c:dLbls>
            <c:dLbl>
              <c:idx val="0"/>
              <c:layout>
                <c:manualLayout>
                  <c:x val="8.0982905982906368E-3"/>
                  <c:y val="-8.6411751998271766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6-1A86-470A-9D82-C52B70D7CDB1}"/>
                </c:ext>
              </c:extLst>
            </c:dLbl>
            <c:dLbl>
              <c:idx val="1"/>
              <c:layout>
                <c:manualLayout>
                  <c:x val="-1.4893162393162433E-2"/>
                  <c:y val="-4.3205875999136672E-3"/>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7-1A86-470A-9D82-C52B70D7CDB1}"/>
                </c:ext>
              </c:extLst>
            </c:dLbl>
            <c:dLbl>
              <c:idx val="2"/>
              <c:layout>
                <c:manualLayout>
                  <c:x val="-1.1132478632478633E-2"/>
                  <c:y val="-1.2961762799740765E-2"/>
                </c:manualLayout>
              </c:layout>
              <c:dLblPos val="outEnd"/>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8-1A86-470A-9D82-C52B70D7CDB1}"/>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Sheet1!$D$2:$D$4</c:f>
              <c:numCache>
                <c:formatCode>0.00</c:formatCode>
                <c:ptCount val="3"/>
                <c:pt idx="0">
                  <c:v>0.60934660093884441</c:v>
                </c:pt>
                <c:pt idx="1">
                  <c:v>0.62295217082572529</c:v>
                </c:pt>
                <c:pt idx="2">
                  <c:v>0.63819227646460142</c:v>
                </c:pt>
              </c:numCache>
            </c:numRef>
          </c:val>
          <c:extLst>
            <c:ext xmlns:c16="http://schemas.microsoft.com/office/drawing/2014/chart" uri="{C3380CC4-5D6E-409C-BE32-E72D297353CC}">
              <c16:uniqueId val="{00000009-1A86-470A-9D82-C52B70D7CDB1}"/>
            </c:ext>
          </c:extLst>
        </c:ser>
        <c:dLbls>
          <c:dLblPos val="outEnd"/>
          <c:showLegendKey val="0"/>
          <c:showVal val="1"/>
          <c:showCatName val="0"/>
          <c:showSerName val="0"/>
          <c:showPercent val="0"/>
          <c:showBubbleSize val="0"/>
        </c:dLbls>
        <c:gapWidth val="182"/>
        <c:overlap val="-50"/>
        <c:axId val="1134926208"/>
        <c:axId val="1134919680"/>
      </c:barChart>
      <c:catAx>
        <c:axId val="1134926208"/>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134919680"/>
        <c:crosses val="autoZero"/>
        <c:auto val="1"/>
        <c:lblAlgn val="ctr"/>
        <c:lblOffset val="100"/>
        <c:noMultiLvlLbl val="0"/>
      </c:catAx>
      <c:valAx>
        <c:axId val="1134919680"/>
        <c:scaling>
          <c:orientation val="minMax"/>
          <c:min val="0.4"/>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13492620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D892EE-CF1E-4271-9E2C-62478882C1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44</Pages>
  <Words>5656</Words>
  <Characters>32242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Lawrence Lawrence (1711795)</cp:lastModifiedBy>
  <cp:revision>2</cp:revision>
  <dcterms:created xsi:type="dcterms:W3CDTF">2021-05-06T17:58:00Z</dcterms:created>
  <dcterms:modified xsi:type="dcterms:W3CDTF">2021-05-06T17:58:00Z</dcterms:modified>
</cp:coreProperties>
</file>