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FF"/>
  <w:body>
    <w:p xmlns:wp14="http://schemas.microsoft.com/office/word/2010/wordml" w:rsidR="008A185F" w:rsidP="0088304F" w:rsidRDefault="008A185F" w14:paraId="672A6659" wp14:textId="77777777">
      <w:pPr>
        <w:rPr>
          <w:b/>
          <w:i/>
          <w:color w:val="auto"/>
          <w:sz w:val="88"/>
          <w:szCs w:val="88"/>
        </w:rPr>
      </w:pPr>
      <w:bookmarkStart w:name="__RefHeading___Toc82856599" w:id="0"/>
      <w:bookmarkEnd w:id="0"/>
    </w:p>
    <w:p xmlns:wp14="http://schemas.microsoft.com/office/word/2010/wordml" w:rsidR="007B69D3" w:rsidP="0088304F" w:rsidRDefault="007B69D3" w14:paraId="0A37501D" wp14:textId="77777777">
      <w:pPr>
        <w:rPr>
          <w:b/>
          <w:i/>
          <w:color w:val="auto"/>
          <w:sz w:val="88"/>
          <w:szCs w:val="88"/>
        </w:rPr>
      </w:pPr>
    </w:p>
    <w:p xmlns:wp14="http://schemas.microsoft.com/office/word/2010/wordml" w:rsidR="007B69D3" w:rsidP="0088304F" w:rsidRDefault="007B69D3" w14:paraId="5DAB6C7B" wp14:textId="77777777">
      <w:pPr>
        <w:rPr>
          <w:b/>
          <w:i/>
          <w:color w:val="auto"/>
          <w:sz w:val="88"/>
          <w:szCs w:val="88"/>
        </w:rPr>
      </w:pPr>
    </w:p>
    <w:p xmlns:wp14="http://schemas.microsoft.com/office/word/2010/wordml" w:rsidRPr="007B69D3" w:rsidR="008A185F" w:rsidP="40E4A2BB" w:rsidRDefault="007B69D3" w14:paraId="4F5935E7" wp14:textId="77777777">
      <w:pPr>
        <w:jc w:val="center"/>
        <w:rPr>
          <w:b w:val="1"/>
          <w:bCs w:val="1"/>
          <w:i w:val="1"/>
          <w:iCs w:val="1"/>
          <w:color w:val="auto"/>
          <w:sz w:val="72"/>
          <w:szCs w:val="72"/>
        </w:rPr>
      </w:pPr>
      <w:r w:rsidRPr="40E4A2BB" w:rsidR="007B69D3">
        <w:rPr>
          <w:b w:val="1"/>
          <w:bCs w:val="1"/>
          <w:i w:val="1"/>
          <w:iCs w:val="1"/>
          <w:color w:val="333333"/>
          <w:sz w:val="72"/>
          <w:szCs w:val="72"/>
          <w:shd w:val="clear" w:color="auto" w:fill="FFFFFF"/>
        </w:rPr>
        <w:t>Developing and Managing Individuals and Teams</w:t>
      </w:r>
    </w:p>
    <w:p w:rsidR="40E4A2BB" w:rsidP="40E4A2BB" w:rsidRDefault="40E4A2BB" w14:paraId="4C0E6C00" w14:textId="43AC81B9">
      <w:pPr>
        <w:jc w:val="center"/>
        <w:rPr>
          <w:b w:val="1"/>
          <w:bCs w:val="1"/>
          <w:i w:val="1"/>
          <w:iCs w:val="1"/>
          <w:color w:val="333333"/>
          <w:sz w:val="72"/>
          <w:szCs w:val="72"/>
        </w:rPr>
      </w:pPr>
    </w:p>
    <w:p w:rsidR="2931F7CB" w:rsidP="40E4A2BB" w:rsidRDefault="2931F7CB" w14:paraId="1F0A5D02" w14:textId="0674E18D">
      <w:pPr>
        <w:jc w:val="center"/>
        <w:rPr>
          <w:b w:val="1"/>
          <w:bCs w:val="1"/>
          <w:i w:val="1"/>
          <w:iCs w:val="1"/>
          <w:color w:val="333333"/>
          <w:sz w:val="22"/>
          <w:szCs w:val="22"/>
        </w:rPr>
      </w:pPr>
      <w:r w:rsidRPr="40E4A2BB" w:rsidR="2931F7CB">
        <w:rPr>
          <w:b w:val="1"/>
          <w:bCs w:val="1"/>
          <w:i w:val="1"/>
          <w:iCs w:val="1"/>
          <w:color w:val="333333"/>
          <w:sz w:val="22"/>
          <w:szCs w:val="22"/>
        </w:rPr>
        <w:t xml:space="preserve">Name </w:t>
      </w:r>
      <w:r w:rsidRPr="40E4A2BB" w:rsidR="2931F7CB">
        <w:rPr>
          <w:b w:val="1"/>
          <w:bCs w:val="1"/>
          <w:i w:val="1"/>
          <w:iCs w:val="1"/>
          <w:color w:val="333333"/>
          <w:sz w:val="22"/>
          <w:szCs w:val="22"/>
        </w:rPr>
        <w:t>Boghiu</w:t>
      </w:r>
      <w:r w:rsidRPr="40E4A2BB" w:rsidR="2931F7CB">
        <w:rPr>
          <w:b w:val="1"/>
          <w:bCs w:val="1"/>
          <w:i w:val="1"/>
          <w:iCs w:val="1"/>
          <w:color w:val="333333"/>
          <w:sz w:val="22"/>
          <w:szCs w:val="22"/>
        </w:rPr>
        <w:t xml:space="preserve"> Catalin Alexandru</w:t>
      </w:r>
    </w:p>
    <w:p w:rsidR="2931F7CB" w:rsidP="40E4A2BB" w:rsidRDefault="2931F7CB" w14:paraId="05813B4B" w14:textId="332059B0">
      <w:pPr>
        <w:jc w:val="center"/>
        <w:rPr>
          <w:b w:val="1"/>
          <w:bCs w:val="1"/>
          <w:i w:val="1"/>
          <w:iCs w:val="1"/>
          <w:color w:val="333333"/>
          <w:sz w:val="22"/>
          <w:szCs w:val="22"/>
        </w:rPr>
      </w:pPr>
      <w:r w:rsidRPr="40E4A2BB" w:rsidR="2931F7CB">
        <w:rPr>
          <w:b w:val="1"/>
          <w:bCs w:val="1"/>
          <w:i w:val="1"/>
          <w:iCs w:val="1"/>
          <w:color w:val="333333"/>
          <w:sz w:val="22"/>
          <w:szCs w:val="22"/>
        </w:rPr>
        <w:t>Student ID:2333790</w:t>
      </w:r>
    </w:p>
    <w:p w:rsidR="2931F7CB" w:rsidP="40E4A2BB" w:rsidRDefault="2931F7CB" w14:paraId="03D311EE" w14:textId="5E4A12E1">
      <w:pPr>
        <w:jc w:val="center"/>
        <w:rPr>
          <w:b w:val="1"/>
          <w:bCs w:val="1"/>
          <w:i w:val="1"/>
          <w:iCs w:val="1"/>
          <w:color w:val="333333"/>
          <w:sz w:val="22"/>
          <w:szCs w:val="22"/>
        </w:rPr>
      </w:pPr>
      <w:r w:rsidRPr="40E4A2BB" w:rsidR="2931F7CB">
        <w:rPr>
          <w:b w:val="1"/>
          <w:bCs w:val="1"/>
          <w:i w:val="1"/>
          <w:iCs w:val="1"/>
          <w:color w:val="333333"/>
          <w:sz w:val="22"/>
          <w:szCs w:val="22"/>
        </w:rPr>
        <w:t xml:space="preserve">Lecture </w:t>
      </w:r>
      <w:r w:rsidRPr="40E4A2BB" w:rsidR="2931F7CB">
        <w:rPr>
          <w:b w:val="1"/>
          <w:bCs w:val="1"/>
          <w:i w:val="1"/>
          <w:iCs w:val="1"/>
          <w:color w:val="333333"/>
          <w:sz w:val="22"/>
          <w:szCs w:val="22"/>
        </w:rPr>
        <w:t>Feidzu</w:t>
      </w:r>
      <w:r w:rsidRPr="40E4A2BB" w:rsidR="2931F7CB">
        <w:rPr>
          <w:b w:val="1"/>
          <w:bCs w:val="1"/>
          <w:i w:val="1"/>
          <w:iCs w:val="1"/>
          <w:color w:val="333333"/>
          <w:sz w:val="22"/>
          <w:szCs w:val="22"/>
        </w:rPr>
        <w:t xml:space="preserve"> Edu</w:t>
      </w:r>
    </w:p>
    <w:p w:rsidR="2931F7CB" w:rsidP="40E4A2BB" w:rsidRDefault="2931F7CB" w14:paraId="0D7A312A" w14:textId="3CA520A3">
      <w:pPr>
        <w:jc w:val="center"/>
        <w:rPr>
          <w:b w:val="1"/>
          <w:bCs w:val="1"/>
          <w:i w:val="1"/>
          <w:iCs w:val="1"/>
          <w:color w:val="333333"/>
          <w:sz w:val="22"/>
          <w:szCs w:val="22"/>
        </w:rPr>
      </w:pPr>
      <w:r w:rsidRPr="40E4A2BB" w:rsidR="2931F7CB">
        <w:rPr>
          <w:b w:val="1"/>
          <w:bCs w:val="1"/>
          <w:i w:val="1"/>
          <w:iCs w:val="1"/>
          <w:color w:val="333333"/>
          <w:sz w:val="22"/>
          <w:szCs w:val="22"/>
        </w:rPr>
        <w:t>Course name: Developing and Managing individuals and Teams</w:t>
      </w:r>
    </w:p>
    <w:p w:rsidR="2931F7CB" w:rsidP="40E4A2BB" w:rsidRDefault="2931F7CB" w14:paraId="1384E527" w14:textId="6FFEDBA9">
      <w:pPr>
        <w:jc w:val="center"/>
        <w:rPr>
          <w:b w:val="1"/>
          <w:bCs w:val="1"/>
          <w:i w:val="1"/>
          <w:iCs w:val="1"/>
          <w:color w:val="333333"/>
          <w:sz w:val="22"/>
          <w:szCs w:val="22"/>
        </w:rPr>
      </w:pPr>
      <w:r w:rsidRPr="40E4A2BB" w:rsidR="2931F7CB">
        <w:rPr>
          <w:b w:val="1"/>
          <w:bCs w:val="1"/>
          <w:i w:val="1"/>
          <w:iCs w:val="1"/>
          <w:color w:val="333333"/>
          <w:sz w:val="22"/>
          <w:szCs w:val="22"/>
        </w:rPr>
        <w:t>Module code: LCLM5002</w:t>
      </w:r>
    </w:p>
    <w:p xmlns:wp14="http://schemas.microsoft.com/office/word/2010/wordml" w:rsidR="008A185F" w:rsidP="0088304F" w:rsidRDefault="008A185F" w14:paraId="22E0FC93" wp14:textId="77777777">
      <w:pPr>
        <w:pStyle w:val="ContentsHeading"/>
        <w:pageBreakBefore/>
      </w:pPr>
      <w:r>
        <w:rPr>
          <w:color w:val="auto"/>
        </w:rPr>
        <w:t>Table of Contents</w:t>
      </w:r>
    </w:p>
    <w:p xmlns:wp14="http://schemas.microsoft.com/office/word/2010/wordml" w:rsidRPr="00A03C61" w:rsidR="007B69D3" w:rsidRDefault="008A185F" w14:paraId="7D0FA77F" wp14:textId="77777777">
      <w:pPr>
        <w:pStyle w:val="TOC1"/>
        <w:rPr>
          <w:rFonts w:ascii="Calibri" w:hAnsi="Calibri" w:eastAsia="Times New Roman" w:cs="Times New Roman"/>
          <w:noProof/>
          <w:color w:val="auto"/>
          <w:sz w:val="22"/>
          <w:lang w:val="en-US" w:eastAsia="en-US"/>
        </w:rPr>
      </w:pPr>
      <w:r>
        <w:fldChar w:fldCharType="begin"/>
      </w:r>
      <w:r>
        <w:instrText xml:space="preserve"> TOC \f \o "1-9" \o "1-9" </w:instrText>
      </w:r>
      <w:r>
        <w:fldChar w:fldCharType="separate"/>
      </w:r>
      <w:r w:rsidR="007B69D3">
        <w:rPr>
          <w:noProof/>
        </w:rPr>
        <w:t>Introduction</w:t>
      </w:r>
      <w:r w:rsidR="007B69D3">
        <w:rPr>
          <w:noProof/>
        </w:rPr>
        <w:tab/>
      </w:r>
      <w:r w:rsidR="007B69D3">
        <w:rPr>
          <w:noProof/>
        </w:rPr>
        <w:fldChar w:fldCharType="begin"/>
      </w:r>
      <w:r w:rsidR="007B69D3">
        <w:rPr>
          <w:noProof/>
        </w:rPr>
        <w:instrText xml:space="preserve"> PAGEREF _Toc215848295 \h </w:instrText>
      </w:r>
      <w:r w:rsidR="007B69D3">
        <w:rPr>
          <w:noProof/>
        </w:rPr>
      </w:r>
      <w:r w:rsidR="007B69D3">
        <w:rPr>
          <w:noProof/>
        </w:rPr>
        <w:fldChar w:fldCharType="separate"/>
      </w:r>
      <w:r w:rsidR="007B69D3">
        <w:rPr>
          <w:noProof/>
        </w:rPr>
        <w:t>3</w:t>
      </w:r>
      <w:r w:rsidR="007B69D3">
        <w:rPr>
          <w:noProof/>
        </w:rPr>
        <w:fldChar w:fldCharType="end"/>
      </w:r>
    </w:p>
    <w:p xmlns:wp14="http://schemas.microsoft.com/office/word/2010/wordml" w:rsidRPr="00A03C61" w:rsidR="007B69D3" w:rsidRDefault="007B69D3" w14:paraId="128CDED6" wp14:textId="77777777">
      <w:pPr>
        <w:pStyle w:val="TOC1"/>
        <w:rPr>
          <w:rFonts w:ascii="Calibri" w:hAnsi="Calibri" w:eastAsia="Times New Roman" w:cs="Times New Roman"/>
          <w:noProof/>
          <w:color w:val="auto"/>
          <w:sz w:val="22"/>
          <w:lang w:val="en-US" w:eastAsia="en-US"/>
        </w:rPr>
      </w:pPr>
      <w:r>
        <w:rPr>
          <w:noProof/>
        </w:rPr>
        <w:t>Main Body</w:t>
      </w:r>
      <w:r>
        <w:rPr>
          <w:noProof/>
        </w:rPr>
        <w:tab/>
      </w:r>
      <w:r>
        <w:rPr>
          <w:noProof/>
        </w:rPr>
        <w:fldChar w:fldCharType="begin"/>
      </w:r>
      <w:r>
        <w:rPr>
          <w:noProof/>
        </w:rPr>
        <w:instrText xml:space="preserve"> PAGEREF _Toc215848296 \h </w:instrText>
      </w:r>
      <w:r>
        <w:rPr>
          <w:noProof/>
        </w:rPr>
      </w:r>
      <w:r>
        <w:rPr>
          <w:noProof/>
        </w:rPr>
        <w:fldChar w:fldCharType="separate"/>
      </w:r>
      <w:r>
        <w:rPr>
          <w:noProof/>
        </w:rPr>
        <w:t>3</w:t>
      </w:r>
      <w:r>
        <w:rPr>
          <w:noProof/>
        </w:rPr>
        <w:fldChar w:fldCharType="end"/>
      </w:r>
    </w:p>
    <w:p xmlns:wp14="http://schemas.microsoft.com/office/word/2010/wordml" w:rsidRPr="00A03C61" w:rsidR="007B69D3" w:rsidRDefault="007B69D3" w14:paraId="3691F95A" wp14:textId="77777777">
      <w:pPr>
        <w:pStyle w:val="TOC2"/>
        <w:rPr>
          <w:rFonts w:ascii="Calibri" w:hAnsi="Calibri" w:eastAsia="Times New Roman" w:cs="Times New Roman"/>
          <w:noProof/>
          <w:color w:val="auto"/>
          <w:sz w:val="22"/>
          <w:lang w:val="en-US" w:eastAsia="en-US"/>
        </w:rPr>
      </w:pPr>
      <w:r w:rsidRPr="004048BA">
        <w:rPr>
          <w:b/>
          <w:noProof/>
        </w:rPr>
        <w:t>Explanation of Key Organisational Factors</w:t>
      </w:r>
      <w:r>
        <w:rPr>
          <w:noProof/>
        </w:rPr>
        <w:tab/>
      </w:r>
      <w:r>
        <w:rPr>
          <w:noProof/>
        </w:rPr>
        <w:fldChar w:fldCharType="begin"/>
      </w:r>
      <w:r>
        <w:rPr>
          <w:noProof/>
        </w:rPr>
        <w:instrText xml:space="preserve"> PAGEREF _Toc215848297 \h </w:instrText>
      </w:r>
      <w:r>
        <w:rPr>
          <w:noProof/>
        </w:rPr>
      </w:r>
      <w:r>
        <w:rPr>
          <w:noProof/>
        </w:rPr>
        <w:fldChar w:fldCharType="separate"/>
      </w:r>
      <w:r>
        <w:rPr>
          <w:noProof/>
        </w:rPr>
        <w:t>3</w:t>
      </w:r>
      <w:r>
        <w:rPr>
          <w:noProof/>
        </w:rPr>
        <w:fldChar w:fldCharType="end"/>
      </w:r>
    </w:p>
    <w:p xmlns:wp14="http://schemas.microsoft.com/office/word/2010/wordml" w:rsidRPr="00A03C61" w:rsidR="007B69D3" w:rsidRDefault="007B69D3" w14:paraId="5857CD84" wp14:textId="77777777">
      <w:pPr>
        <w:pStyle w:val="TOC2"/>
        <w:rPr>
          <w:rFonts w:ascii="Calibri" w:hAnsi="Calibri" w:eastAsia="Times New Roman" w:cs="Times New Roman"/>
          <w:noProof/>
          <w:color w:val="auto"/>
          <w:sz w:val="22"/>
          <w:lang w:val="en-US" w:eastAsia="en-US"/>
        </w:rPr>
      </w:pPr>
      <w:r w:rsidRPr="004048BA">
        <w:rPr>
          <w:b/>
          <w:noProof/>
        </w:rPr>
        <w:t>Evaluation of Contemporary HR Practices</w:t>
      </w:r>
      <w:r>
        <w:rPr>
          <w:noProof/>
        </w:rPr>
        <w:tab/>
      </w:r>
      <w:r>
        <w:rPr>
          <w:noProof/>
        </w:rPr>
        <w:fldChar w:fldCharType="begin"/>
      </w:r>
      <w:r>
        <w:rPr>
          <w:noProof/>
        </w:rPr>
        <w:instrText xml:space="preserve"> PAGEREF _Toc215848298 \h </w:instrText>
      </w:r>
      <w:r>
        <w:rPr>
          <w:noProof/>
        </w:rPr>
      </w:r>
      <w:r>
        <w:rPr>
          <w:noProof/>
        </w:rPr>
        <w:fldChar w:fldCharType="separate"/>
      </w:r>
      <w:r>
        <w:rPr>
          <w:noProof/>
        </w:rPr>
        <w:t>5</w:t>
      </w:r>
      <w:r>
        <w:rPr>
          <w:noProof/>
        </w:rPr>
        <w:fldChar w:fldCharType="end"/>
      </w:r>
    </w:p>
    <w:p xmlns:wp14="http://schemas.microsoft.com/office/word/2010/wordml" w:rsidRPr="00A03C61" w:rsidR="007B69D3" w:rsidRDefault="007B69D3" w14:paraId="408521A4" wp14:textId="77777777">
      <w:pPr>
        <w:pStyle w:val="TOC2"/>
        <w:rPr>
          <w:rFonts w:ascii="Calibri" w:hAnsi="Calibri" w:eastAsia="Times New Roman" w:cs="Times New Roman"/>
          <w:noProof/>
          <w:color w:val="auto"/>
          <w:sz w:val="22"/>
          <w:lang w:val="en-US" w:eastAsia="en-US"/>
        </w:rPr>
      </w:pPr>
      <w:r w:rsidRPr="004048BA">
        <w:rPr>
          <w:b/>
          <w:noProof/>
        </w:rPr>
        <w:t>Critical Evaluation of Managerial Implementation</w:t>
      </w:r>
      <w:r>
        <w:rPr>
          <w:noProof/>
        </w:rPr>
        <w:tab/>
      </w:r>
      <w:r>
        <w:rPr>
          <w:noProof/>
        </w:rPr>
        <w:fldChar w:fldCharType="begin"/>
      </w:r>
      <w:r>
        <w:rPr>
          <w:noProof/>
        </w:rPr>
        <w:instrText xml:space="preserve"> PAGEREF _Toc215848299 \h </w:instrText>
      </w:r>
      <w:r>
        <w:rPr>
          <w:noProof/>
        </w:rPr>
      </w:r>
      <w:r>
        <w:rPr>
          <w:noProof/>
        </w:rPr>
        <w:fldChar w:fldCharType="separate"/>
      </w:r>
      <w:r>
        <w:rPr>
          <w:noProof/>
        </w:rPr>
        <w:t>7</w:t>
      </w:r>
      <w:r>
        <w:rPr>
          <w:noProof/>
        </w:rPr>
        <w:fldChar w:fldCharType="end"/>
      </w:r>
    </w:p>
    <w:p xmlns:wp14="http://schemas.microsoft.com/office/word/2010/wordml" w:rsidRPr="00A03C61" w:rsidR="007B69D3" w:rsidRDefault="007B69D3" w14:paraId="2A195BF7" wp14:textId="77777777">
      <w:pPr>
        <w:pStyle w:val="TOC1"/>
        <w:rPr>
          <w:rFonts w:ascii="Calibri" w:hAnsi="Calibri" w:eastAsia="Times New Roman" w:cs="Times New Roman"/>
          <w:noProof/>
          <w:color w:val="auto"/>
          <w:sz w:val="22"/>
          <w:lang w:val="en-US" w:eastAsia="en-US"/>
        </w:rPr>
      </w:pPr>
      <w:r>
        <w:rPr>
          <w:noProof/>
        </w:rPr>
        <w:t>Recommendations</w:t>
      </w:r>
      <w:r>
        <w:rPr>
          <w:noProof/>
        </w:rPr>
        <w:tab/>
      </w:r>
      <w:r>
        <w:rPr>
          <w:noProof/>
        </w:rPr>
        <w:fldChar w:fldCharType="begin"/>
      </w:r>
      <w:r>
        <w:rPr>
          <w:noProof/>
        </w:rPr>
        <w:instrText xml:space="preserve"> PAGEREF _Toc215848300 \h </w:instrText>
      </w:r>
      <w:r>
        <w:rPr>
          <w:noProof/>
        </w:rPr>
      </w:r>
      <w:r>
        <w:rPr>
          <w:noProof/>
        </w:rPr>
        <w:fldChar w:fldCharType="separate"/>
      </w:r>
      <w:r>
        <w:rPr>
          <w:noProof/>
        </w:rPr>
        <w:t>9</w:t>
      </w:r>
      <w:r>
        <w:rPr>
          <w:noProof/>
        </w:rPr>
        <w:fldChar w:fldCharType="end"/>
      </w:r>
    </w:p>
    <w:p xmlns:wp14="http://schemas.microsoft.com/office/word/2010/wordml" w:rsidRPr="00A03C61" w:rsidR="007B69D3" w:rsidRDefault="007B69D3" w14:paraId="456EDB4C" wp14:textId="77777777">
      <w:pPr>
        <w:pStyle w:val="TOC1"/>
        <w:rPr>
          <w:rFonts w:ascii="Calibri" w:hAnsi="Calibri" w:eastAsia="Times New Roman" w:cs="Times New Roman"/>
          <w:noProof/>
          <w:color w:val="auto"/>
          <w:sz w:val="22"/>
          <w:lang w:val="en-US" w:eastAsia="en-US"/>
        </w:rPr>
      </w:pPr>
      <w:r>
        <w:rPr>
          <w:noProof/>
        </w:rPr>
        <w:t>Conclusion</w:t>
      </w:r>
      <w:r>
        <w:rPr>
          <w:noProof/>
        </w:rPr>
        <w:tab/>
      </w:r>
      <w:r>
        <w:rPr>
          <w:noProof/>
        </w:rPr>
        <w:fldChar w:fldCharType="begin"/>
      </w:r>
      <w:r>
        <w:rPr>
          <w:noProof/>
        </w:rPr>
        <w:instrText xml:space="preserve"> PAGEREF _Toc215848301 \h </w:instrText>
      </w:r>
      <w:r>
        <w:rPr>
          <w:noProof/>
        </w:rPr>
      </w:r>
      <w:r>
        <w:rPr>
          <w:noProof/>
        </w:rPr>
        <w:fldChar w:fldCharType="separate"/>
      </w:r>
      <w:r>
        <w:rPr>
          <w:noProof/>
        </w:rPr>
        <w:t>10</w:t>
      </w:r>
      <w:r>
        <w:rPr>
          <w:noProof/>
        </w:rPr>
        <w:fldChar w:fldCharType="end"/>
      </w:r>
    </w:p>
    <w:p xmlns:wp14="http://schemas.microsoft.com/office/word/2010/wordml" w:rsidRPr="00A03C61" w:rsidR="007B69D3" w:rsidRDefault="007B69D3" w14:paraId="09E8F197" wp14:textId="77777777">
      <w:pPr>
        <w:pStyle w:val="TOC1"/>
        <w:rPr>
          <w:rFonts w:ascii="Calibri" w:hAnsi="Calibri" w:eastAsia="Times New Roman" w:cs="Times New Roman"/>
          <w:noProof/>
          <w:color w:val="auto"/>
          <w:sz w:val="22"/>
          <w:lang w:val="en-US" w:eastAsia="en-US"/>
        </w:rPr>
      </w:pPr>
      <w:r>
        <w:rPr>
          <w:noProof/>
        </w:rPr>
        <w:t>References</w:t>
      </w:r>
      <w:r>
        <w:rPr>
          <w:noProof/>
        </w:rPr>
        <w:tab/>
      </w:r>
      <w:r>
        <w:rPr>
          <w:noProof/>
        </w:rPr>
        <w:fldChar w:fldCharType="begin"/>
      </w:r>
      <w:r>
        <w:rPr>
          <w:noProof/>
        </w:rPr>
        <w:instrText xml:space="preserve"> PAGEREF _Toc215848302 \h </w:instrText>
      </w:r>
      <w:r>
        <w:rPr>
          <w:noProof/>
        </w:rPr>
      </w:r>
      <w:r>
        <w:rPr>
          <w:noProof/>
        </w:rPr>
        <w:fldChar w:fldCharType="separate"/>
      </w:r>
      <w:r>
        <w:rPr>
          <w:noProof/>
        </w:rPr>
        <w:t>11</w:t>
      </w:r>
      <w:r>
        <w:rPr>
          <w:noProof/>
        </w:rPr>
        <w:fldChar w:fldCharType="end"/>
      </w:r>
    </w:p>
    <w:p xmlns:wp14="http://schemas.microsoft.com/office/word/2010/wordml" w:rsidR="008A185F" w:rsidP="0088304F" w:rsidRDefault="008A185F" w14:paraId="02EB378F" wp14:textId="77777777">
      <w:pPr>
        <w:pStyle w:val="TOC1"/>
        <w:rPr>
          <w:color w:val="auto"/>
          <w:szCs w:val="24"/>
        </w:rPr>
      </w:pPr>
      <w:r>
        <w:fldChar w:fldCharType="end"/>
      </w:r>
    </w:p>
    <w:p xmlns:wp14="http://schemas.microsoft.com/office/word/2010/wordml" w:rsidR="008A185F" w:rsidP="00591AB2" w:rsidRDefault="00591AB2" w14:paraId="2650E3BD" wp14:textId="77777777">
      <w:pPr>
        <w:jc w:val="center"/>
        <w:rPr>
          <w:b/>
          <w:color w:val="auto"/>
          <w:szCs w:val="24"/>
        </w:rPr>
      </w:pPr>
      <w:r w:rsidRPr="00591AB2">
        <w:rPr>
          <w:b/>
          <w:color w:val="auto"/>
          <w:szCs w:val="24"/>
        </w:rPr>
        <w:t>List of Figures</w:t>
      </w:r>
    </w:p>
    <w:p xmlns:wp14="http://schemas.microsoft.com/office/word/2010/wordml" w:rsidRPr="00A03C61" w:rsidR="007B69D3" w:rsidRDefault="00591AB2" w14:paraId="17E5DAD0" wp14:textId="77777777">
      <w:pPr>
        <w:pStyle w:val="TableofFigures"/>
        <w:tabs>
          <w:tab w:val="right" w:leader="dot" w:pos="9350"/>
        </w:tabs>
        <w:rPr>
          <w:rFonts w:ascii="Calibri" w:hAnsi="Calibri" w:eastAsia="Times New Roman"/>
          <w:noProof/>
          <w:color w:val="auto"/>
          <w:sz w:val="22"/>
          <w:lang w:val="en-US" w:eastAsia="en-US"/>
        </w:rPr>
      </w:pPr>
      <w:r>
        <w:rPr>
          <w:b/>
          <w:color w:val="auto"/>
          <w:szCs w:val="24"/>
        </w:rPr>
        <w:fldChar w:fldCharType="begin"/>
      </w:r>
      <w:r>
        <w:rPr>
          <w:b/>
          <w:color w:val="auto"/>
          <w:szCs w:val="24"/>
        </w:rPr>
        <w:instrText xml:space="preserve"> TOC \h \z \c "Figure" </w:instrText>
      </w:r>
      <w:r>
        <w:rPr>
          <w:b/>
          <w:color w:val="auto"/>
          <w:szCs w:val="24"/>
        </w:rPr>
        <w:fldChar w:fldCharType="separate"/>
      </w:r>
      <w:hyperlink w:history="1" w:anchor="_Toc215848291">
        <w:r w:rsidRPr="00C77CD1" w:rsidR="007B69D3">
          <w:rPr>
            <w:rStyle w:val="Hyperlink"/>
            <w:noProof/>
          </w:rPr>
          <w:t>Figure 1: Transport for London</w:t>
        </w:r>
        <w:r w:rsidR="007B69D3">
          <w:rPr>
            <w:noProof/>
            <w:webHidden/>
          </w:rPr>
          <w:tab/>
        </w:r>
        <w:r w:rsidR="007B69D3">
          <w:rPr>
            <w:noProof/>
            <w:webHidden/>
          </w:rPr>
          <w:fldChar w:fldCharType="begin"/>
        </w:r>
        <w:r w:rsidR="007B69D3">
          <w:rPr>
            <w:noProof/>
            <w:webHidden/>
          </w:rPr>
          <w:instrText xml:space="preserve"> PAGEREF _Toc215848291 \h </w:instrText>
        </w:r>
        <w:r w:rsidR="007B69D3">
          <w:rPr>
            <w:noProof/>
            <w:webHidden/>
          </w:rPr>
        </w:r>
        <w:r w:rsidR="007B69D3">
          <w:rPr>
            <w:noProof/>
            <w:webHidden/>
          </w:rPr>
          <w:fldChar w:fldCharType="separate"/>
        </w:r>
        <w:r w:rsidR="007B69D3">
          <w:rPr>
            <w:noProof/>
            <w:webHidden/>
          </w:rPr>
          <w:t>3</w:t>
        </w:r>
        <w:r w:rsidR="007B69D3">
          <w:rPr>
            <w:noProof/>
            <w:webHidden/>
          </w:rPr>
          <w:fldChar w:fldCharType="end"/>
        </w:r>
      </w:hyperlink>
    </w:p>
    <w:p xmlns:wp14="http://schemas.microsoft.com/office/word/2010/wordml" w:rsidRPr="00A03C61" w:rsidR="007B69D3" w:rsidRDefault="007B69D3" w14:paraId="4E9E34DA" wp14:textId="77777777">
      <w:pPr>
        <w:pStyle w:val="TableofFigures"/>
        <w:tabs>
          <w:tab w:val="right" w:leader="dot" w:pos="9350"/>
        </w:tabs>
        <w:rPr>
          <w:rFonts w:ascii="Calibri" w:hAnsi="Calibri" w:eastAsia="Times New Roman"/>
          <w:noProof/>
          <w:color w:val="auto"/>
          <w:sz w:val="22"/>
          <w:lang w:val="en-US" w:eastAsia="en-US"/>
        </w:rPr>
      </w:pPr>
      <w:hyperlink w:history="1" w:anchor="_Toc215848292">
        <w:r w:rsidRPr="00C77CD1">
          <w:rPr>
            <w:rStyle w:val="Hyperlink"/>
            <w:noProof/>
          </w:rPr>
          <w:t>Figure 2: Strategic HRM</w:t>
        </w:r>
        <w:r>
          <w:rPr>
            <w:noProof/>
            <w:webHidden/>
          </w:rPr>
          <w:tab/>
        </w:r>
        <w:r>
          <w:rPr>
            <w:noProof/>
            <w:webHidden/>
          </w:rPr>
          <w:fldChar w:fldCharType="begin"/>
        </w:r>
        <w:r>
          <w:rPr>
            <w:noProof/>
            <w:webHidden/>
          </w:rPr>
          <w:instrText xml:space="preserve"> PAGEREF _Toc215848292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Pr="00A03C61" w:rsidR="007B69D3" w:rsidRDefault="007B69D3" w14:paraId="064CB043" wp14:textId="77777777">
      <w:pPr>
        <w:pStyle w:val="TableofFigures"/>
        <w:tabs>
          <w:tab w:val="right" w:leader="dot" w:pos="9350"/>
        </w:tabs>
        <w:rPr>
          <w:rFonts w:ascii="Calibri" w:hAnsi="Calibri" w:eastAsia="Times New Roman"/>
          <w:noProof/>
          <w:color w:val="auto"/>
          <w:sz w:val="22"/>
          <w:lang w:val="en-US" w:eastAsia="en-US"/>
        </w:rPr>
      </w:pPr>
      <w:hyperlink w:history="1" w:anchor="_Toc215848293">
        <w:r w:rsidRPr="00C77CD1">
          <w:rPr>
            <w:rStyle w:val="Hyperlink"/>
            <w:noProof/>
          </w:rPr>
          <w:t>Figure 3: Team Culture</w:t>
        </w:r>
        <w:r>
          <w:rPr>
            <w:noProof/>
            <w:webHidden/>
          </w:rPr>
          <w:tab/>
        </w:r>
        <w:r>
          <w:rPr>
            <w:noProof/>
            <w:webHidden/>
          </w:rPr>
          <w:fldChar w:fldCharType="begin"/>
        </w:r>
        <w:r>
          <w:rPr>
            <w:noProof/>
            <w:webHidden/>
          </w:rPr>
          <w:instrText xml:space="preserve"> PAGEREF _Toc215848293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Pr="00591AB2" w:rsidR="00591AB2" w:rsidP="00591AB2" w:rsidRDefault="00591AB2" w14:paraId="6A05A809" wp14:textId="77777777">
      <w:pPr>
        <w:jc w:val="center"/>
        <w:rPr>
          <w:b/>
          <w:color w:val="auto"/>
          <w:szCs w:val="24"/>
        </w:rPr>
      </w:pPr>
      <w:r>
        <w:rPr>
          <w:b/>
          <w:color w:val="auto"/>
          <w:szCs w:val="24"/>
        </w:rPr>
        <w:fldChar w:fldCharType="end"/>
      </w:r>
    </w:p>
    <w:p xmlns:wp14="http://schemas.microsoft.com/office/word/2010/wordml" w:rsidR="008A185F" w:rsidP="0088304F" w:rsidRDefault="008A185F" w14:paraId="5A39BBE3" wp14:textId="77777777">
      <w:pPr>
        <w:rPr>
          <w:color w:val="auto"/>
          <w:szCs w:val="24"/>
        </w:rPr>
      </w:pPr>
    </w:p>
    <w:p xmlns:wp14="http://schemas.microsoft.com/office/word/2010/wordml" w:rsidR="008A185F" w:rsidP="0088304F" w:rsidRDefault="008A185F" w14:paraId="41C8F396" wp14:textId="77777777">
      <w:pPr>
        <w:rPr>
          <w:color w:val="auto"/>
          <w:szCs w:val="24"/>
        </w:rPr>
      </w:pPr>
    </w:p>
    <w:p xmlns:wp14="http://schemas.microsoft.com/office/word/2010/wordml" w:rsidR="008A185F" w:rsidP="0088304F" w:rsidRDefault="008A185F" w14:paraId="3E7A9F1C" wp14:textId="77777777">
      <w:pPr>
        <w:pStyle w:val="Heading1"/>
        <w:pageBreakBefore/>
      </w:pPr>
      <w:bookmarkStart w:name="_Toc215848295" w:id="1"/>
      <w:r>
        <w:t>Introduction</w:t>
      </w:r>
      <w:bookmarkEnd w:id="1"/>
    </w:p>
    <w:p xmlns:wp14="http://schemas.microsoft.com/office/word/2010/wordml" w:rsidR="00C27287" w:rsidP="0088304F" w:rsidRDefault="00C27287" w14:paraId="61249E13" wp14:textId="77777777">
      <w:pPr>
        <w:suppressAutoHyphens w:val="0"/>
        <w:jc w:val="left"/>
      </w:pPr>
      <w:r w:rsidRPr="00C27287">
        <w:t>The London Underground, buses, rail and transport services are all part of the TfL, which has a diverse workforce and makes the business one of the largest employers of the public sector in the UK. The business transformation pressures, adopting digital technology and shifting flexible working expectations have led to a rise in employees grievances in the organisation in the recent past. These obstacles affect the morale of workforce, performance and operational stability. The report explores causes of such problems, the review of the current HR practices, and the critical discussion of how departmental managers may apply urgent solutions and effective solutions</w:t>
      </w:r>
      <w:r w:rsidR="00A978AC">
        <w:t xml:space="preserve"> </w:t>
      </w:r>
      <w:r w:rsidRPr="00A978AC" w:rsidR="00A978AC">
        <w:rPr>
          <w:rFonts w:eastAsia="Times New Roman"/>
          <w:color w:val="auto"/>
          <w:szCs w:val="24"/>
          <w:lang w:val="en-US" w:eastAsia="en-US"/>
        </w:rPr>
        <w:t>(Transport for London, 2019)</w:t>
      </w:r>
      <w:r w:rsidRPr="00C27287">
        <w:t>.</w:t>
      </w:r>
    </w:p>
    <w:p xmlns:wp14="http://schemas.microsoft.com/office/word/2010/wordml" w:rsidR="00591AB2" w:rsidP="0088304F" w:rsidRDefault="00591AB2" w14:paraId="72A3D3EC" wp14:textId="77777777">
      <w:pPr>
        <w:suppressAutoHyphens w:val="0"/>
        <w:jc w:val="left"/>
      </w:pPr>
    </w:p>
    <w:p xmlns:wp14="http://schemas.microsoft.com/office/word/2010/wordml" w:rsidR="00591AB2" w:rsidP="00591AB2" w:rsidRDefault="00236CD2" w14:paraId="0D0B940D" wp14:textId="77777777">
      <w:pPr>
        <w:keepNext/>
        <w:suppressAutoHyphens w:val="0"/>
        <w:jc w:val="center"/>
      </w:pPr>
      <w:r>
        <w:rPr>
          <w:noProof/>
        </w:rPr>
        <w:drawing>
          <wp:inline xmlns:wp14="http://schemas.microsoft.com/office/word/2010/wordprocessingDrawing" distT="0" distB="0" distL="0" distR="0" wp14:anchorId="32B3444F" wp14:editId="7777777">
            <wp:extent cx="4248150" cy="1143000"/>
            <wp:effectExtent l="0" t="0" r="0" b="0"/>
            <wp:docPr id="1" name="Picture 2" descr="Transport of London Logo Vector File Download | Logow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nsport of London Logo Vector File Download | Logowik"/>
                    <pic:cNvPicPr>
                      <a:picLocks noChangeAspect="1" noChangeArrowheads="1"/>
                    </pic:cNvPicPr>
                  </pic:nvPicPr>
                  <pic:blipFill>
                    <a:blip r:embed="rId8">
                      <a:extLst>
                        <a:ext uri="{28A0092B-C50C-407E-A947-70E740481C1C}">
                          <a14:useLocalDpi xmlns:a14="http://schemas.microsoft.com/office/drawing/2010/main" val="0"/>
                        </a:ext>
                      </a:extLst>
                    </a:blip>
                    <a:srcRect t="31908" b="32237"/>
                    <a:stretch>
                      <a:fillRect/>
                    </a:stretch>
                  </pic:blipFill>
                  <pic:spPr bwMode="auto">
                    <a:xfrm>
                      <a:off x="0" y="0"/>
                      <a:ext cx="4248150" cy="1143000"/>
                    </a:xfrm>
                    <a:prstGeom prst="rect">
                      <a:avLst/>
                    </a:prstGeom>
                    <a:noFill/>
                    <a:ln>
                      <a:noFill/>
                    </a:ln>
                  </pic:spPr>
                </pic:pic>
              </a:graphicData>
            </a:graphic>
          </wp:inline>
        </w:drawing>
      </w:r>
    </w:p>
    <w:p xmlns:wp14="http://schemas.microsoft.com/office/word/2010/wordml" w:rsidR="0088304F" w:rsidP="00591AB2" w:rsidRDefault="00591AB2" w14:paraId="2A96709D" wp14:textId="77777777">
      <w:pPr>
        <w:pStyle w:val="Caption"/>
        <w:jc w:val="center"/>
      </w:pPr>
      <w:bookmarkStart w:name="_Toc215848291" w:id="2"/>
      <w:r>
        <w:t xml:space="preserve">Figure </w:t>
      </w:r>
      <w:r>
        <w:fldChar w:fldCharType="begin"/>
      </w:r>
      <w:r>
        <w:instrText> SEQ Figure \* ARABIC </w:instrText>
      </w:r>
      <w:r>
        <w:fldChar w:fldCharType="separate"/>
      </w:r>
      <w:r>
        <w:rPr>
          <w:noProof/>
        </w:rPr>
        <w:t>1</w:t>
      </w:r>
      <w:r>
        <w:fldChar w:fldCharType="end"/>
      </w:r>
      <w:r>
        <w:t>: Transport for London</w:t>
      </w:r>
      <w:bookmarkEnd w:id="2"/>
    </w:p>
    <w:p xmlns:wp14="http://schemas.microsoft.com/office/word/2010/wordml" w:rsidR="00C27287" w:rsidP="00591AB2" w:rsidRDefault="00591AB2" w14:paraId="5EE19F57" wp14:textId="77777777">
      <w:pPr>
        <w:suppressAutoHyphens w:val="0"/>
        <w:spacing w:line="240" w:lineRule="auto"/>
        <w:jc w:val="center"/>
        <w:rPr>
          <w:rFonts w:eastAsia="Times New Roman"/>
          <w:color w:val="auto"/>
          <w:szCs w:val="24"/>
          <w:lang w:val="en-US" w:eastAsia="en-US"/>
        </w:rPr>
      </w:pPr>
      <w:r>
        <w:t xml:space="preserve">Source: </w:t>
      </w:r>
      <w:r w:rsidRPr="00591AB2">
        <w:rPr>
          <w:rFonts w:eastAsia="Times New Roman"/>
          <w:color w:val="auto"/>
          <w:szCs w:val="24"/>
          <w:lang w:val="en-US" w:eastAsia="en-US"/>
        </w:rPr>
        <w:t>(Logowik, 2022)</w:t>
      </w:r>
    </w:p>
    <w:p xmlns:wp14="http://schemas.microsoft.com/office/word/2010/wordml" w:rsidRPr="00591AB2" w:rsidR="00591AB2" w:rsidP="00591AB2" w:rsidRDefault="00591AB2" w14:paraId="0E27B00A" wp14:textId="77777777">
      <w:pPr>
        <w:suppressAutoHyphens w:val="0"/>
        <w:spacing w:line="240" w:lineRule="auto"/>
        <w:jc w:val="center"/>
        <w:rPr>
          <w:rFonts w:eastAsia="Times New Roman"/>
          <w:color w:val="auto"/>
          <w:szCs w:val="24"/>
          <w:lang w:val="en-US" w:eastAsia="en-US"/>
        </w:rPr>
      </w:pPr>
    </w:p>
    <w:p xmlns:wp14="http://schemas.microsoft.com/office/word/2010/wordml" w:rsidR="00C331BC" w:rsidP="0088304F" w:rsidRDefault="008A185F" w14:paraId="06C349B6" wp14:textId="77777777">
      <w:pPr>
        <w:pStyle w:val="Heading1"/>
      </w:pPr>
      <w:bookmarkStart w:name="_Toc215848296" w:id="3"/>
      <w:r>
        <w:t>Main Body</w:t>
      </w:r>
      <w:bookmarkEnd w:id="3"/>
    </w:p>
    <w:p xmlns:wp14="http://schemas.microsoft.com/office/word/2010/wordml" w:rsidR="00C27287" w:rsidP="0088304F" w:rsidRDefault="00C27287" w14:paraId="5BA1F0A7" wp14:textId="77777777">
      <w:pPr>
        <w:pStyle w:val="Heading2"/>
        <w:rPr>
          <w:b/>
        </w:rPr>
      </w:pPr>
      <w:bookmarkStart w:name="_Toc215848297" w:id="4"/>
      <w:r w:rsidRPr="00A978AC">
        <w:rPr>
          <w:b/>
        </w:rPr>
        <w:t>Explanation of Key Organisational Factors</w:t>
      </w:r>
      <w:bookmarkEnd w:id="4"/>
    </w:p>
    <w:p xmlns:wp14="http://schemas.microsoft.com/office/word/2010/wordml" w:rsidRPr="00A978AC" w:rsidR="00A978AC" w:rsidP="0088304F" w:rsidRDefault="00A978AC" w14:paraId="60061E4C" wp14:textId="77777777"/>
    <w:p xmlns:wp14="http://schemas.microsoft.com/office/word/2010/wordml" w:rsidRPr="00A978AC" w:rsidR="00C27287" w:rsidP="0088304F" w:rsidRDefault="00A978AC" w14:paraId="287D8A25" wp14:textId="77777777">
      <w:pPr>
        <w:rPr>
          <w:b/>
          <w:i/>
        </w:rPr>
      </w:pPr>
      <w:r w:rsidRPr="00A978AC">
        <w:rPr>
          <w:b/>
          <w:i/>
        </w:rPr>
        <w:t>Business Transformation at TfL</w:t>
      </w:r>
    </w:p>
    <w:p xmlns:wp14="http://schemas.microsoft.com/office/word/2010/wordml" w:rsidR="00C27287" w:rsidP="0088304F" w:rsidRDefault="00C27287" w14:paraId="755710D9" wp14:textId="77777777">
      <w:r>
        <w:t xml:space="preserve">Transport for London is in a state of ongoing organisational change due to financial pressures because of the decline in </w:t>
      </w:r>
      <w:r w:rsidR="00A978AC">
        <w:t>passengers’</w:t>
      </w:r>
      <w:r>
        <w:t xml:space="preserve"> revenue following the pandemic and the shift in transport demand. The organisation has also undertaken restructuring programmes through cost reduction, reorganisational operation functions, and redistribution of resources throughout the transport system of London. These shifts have had a direct impact on job security, changed working expectations and caused uncertainty in employees in both operation transport jobs and at the corporate levels. Most roles have been restructured in an effort to be efficient and this has led to the worry about workload intensity, capabilities gaps and the pressure to work at a very high level. Moreover, the push to transform has promoted a move towards a more accountable culture through performance and facilitated the speedier decision making process which has created opposition where workers see a lack of autonomy and voice in the organisational decisions. These over-instilled pressures have led to the increased grievances of job stability, fairness and transparency of communication. Business transformation hence is a fundamental factor that affects the morale of employees and relations at the workplace at TfL.</w:t>
      </w:r>
    </w:p>
    <w:p xmlns:wp14="http://schemas.microsoft.com/office/word/2010/wordml" w:rsidR="00A978AC" w:rsidP="0088304F" w:rsidRDefault="00A978AC" w14:paraId="44EAFD9C" wp14:textId="77777777"/>
    <w:p xmlns:wp14="http://schemas.microsoft.com/office/word/2010/wordml" w:rsidR="00C27287" w:rsidP="0088304F" w:rsidRDefault="00C27287" w14:paraId="021BA735" wp14:textId="77777777">
      <w:r w:rsidRPr="00A978AC">
        <w:rPr>
          <w:b/>
          <w:i/>
        </w:rPr>
        <w:t>Digital Technology Trends</w:t>
      </w:r>
    </w:p>
    <w:p xmlns:wp14="http://schemas.microsoft.com/office/word/2010/wordml" w:rsidRPr="00A978AC" w:rsidR="00C27287" w:rsidP="0088304F" w:rsidRDefault="00C27287" w14:paraId="2A74B7C3" wp14:textId="77777777">
      <w:pPr>
        <w:suppressAutoHyphens w:val="0"/>
        <w:jc w:val="left"/>
        <w:rPr>
          <w:rFonts w:eastAsia="Times New Roman"/>
          <w:color w:val="auto"/>
          <w:szCs w:val="24"/>
          <w:lang w:val="en-US" w:eastAsia="en-US"/>
        </w:rPr>
      </w:pPr>
      <w:r>
        <w:t>The digital innovation has had a great impact on organisational processes at TfL, specifically automation, data analytics in real time, digital signalling systems, and contactless ticketing. Although these advancements will boost the level of efficiency in operations and service delivery, they will also require the staff to acquire new technical expertise and competence levels. Employees must embrace the digital tools that alter the customary working practices, causing anxiety relating to the ability, the trepidation of being replaced and their performance expectations. The growing dependency on technology is also pressure straining towards continuous learning and accelerated upskilling, some employees see this as a daunting burden, particularly those who have been in the company long enough to have the processes established. Also, automated surveillance tools and digital tools of performance measurement can affect trust perception and workplace autonomy in case employees feel that the level of surveillance is creepy. These are the aspects, which cause grievances as employees feel that there is no sufficient support offered to them and there was little access to training or unclear expectations regarding the technological change process</w:t>
      </w:r>
      <w:r w:rsidRPr="00A978AC" w:rsidR="00A978AC">
        <w:t xml:space="preserve"> </w:t>
      </w:r>
      <w:r w:rsidRPr="00A978AC" w:rsidR="00A978AC">
        <w:rPr>
          <w:rFonts w:eastAsia="Times New Roman"/>
          <w:color w:val="auto"/>
          <w:szCs w:val="24"/>
          <w:lang w:val="en-US" w:eastAsia="en-US"/>
        </w:rPr>
        <w:t>(Li, 2020)</w:t>
      </w:r>
      <w:r>
        <w:t>.</w:t>
      </w:r>
    </w:p>
    <w:p xmlns:wp14="http://schemas.microsoft.com/office/word/2010/wordml" w:rsidR="00C27287" w:rsidP="0088304F" w:rsidRDefault="00C27287" w14:paraId="4B94D5A5" wp14:textId="77777777"/>
    <w:p xmlns:wp14="http://schemas.microsoft.com/office/word/2010/wordml" w:rsidRPr="00A978AC" w:rsidR="00C27287" w:rsidP="0088304F" w:rsidRDefault="00A978AC" w14:paraId="5CA2E914" wp14:textId="77777777">
      <w:pPr>
        <w:rPr>
          <w:b/>
          <w:i/>
        </w:rPr>
      </w:pPr>
      <w:r w:rsidRPr="00A978AC">
        <w:rPr>
          <w:b/>
          <w:i/>
        </w:rPr>
        <w:t>Flexible Working Arrangements</w:t>
      </w:r>
    </w:p>
    <w:p xmlns:wp14="http://schemas.microsoft.com/office/word/2010/wordml" w:rsidRPr="00A978AC" w:rsidR="00C27287" w:rsidP="0088304F" w:rsidRDefault="00C27287" w14:paraId="10B4E348" wp14:textId="77777777">
      <w:pPr>
        <w:suppressAutoHyphens w:val="0"/>
        <w:jc w:val="left"/>
        <w:rPr>
          <w:rFonts w:eastAsia="Times New Roman"/>
          <w:color w:val="auto"/>
          <w:szCs w:val="24"/>
          <w:lang w:val="en-US" w:eastAsia="en-US"/>
        </w:rPr>
      </w:pPr>
      <w:r>
        <w:t>Working flexible at TfL also applies differently to frontline operation employees and corporate office workers, and as a result, alludes to perceived inequalities and conflicts. Though the corporate workers can work remotely or embrace mixed habits, the workers in the London Underground, bus and railway services need to work in shifts and are not much flexible. The asymmetry has questioned the issues of fairness, work-life balance and wellbeing. The workloads of frontline personnel through complex shifts, night shift, regular unpredictable service demands increase stress and fatigue. In the meantime, the issues faced by remote-working employees include a lack of interpersonal intercourse, the lack of communication and complications with cohesion in distributed teams. The discrepancy of the accessibility of flexible working has thus made a contribution towards increasing dissatisfaction, internal misalignments and resentment about the perception of inequity and management aid. Altogether, flexible working is an urgent issue with the influence on employee involvement, performance and credibility within the company</w:t>
      </w:r>
      <w:r w:rsidRPr="00A978AC" w:rsidR="00A978AC">
        <w:t xml:space="preserve"> </w:t>
      </w:r>
      <w:r w:rsidRPr="00A978AC" w:rsidR="00A978AC">
        <w:rPr>
          <w:rFonts w:eastAsia="Times New Roman"/>
          <w:color w:val="auto"/>
          <w:szCs w:val="24"/>
          <w:lang w:val="en-US" w:eastAsia="en-US"/>
        </w:rPr>
        <w:t>(Shifrin and Michel, 2022)</w:t>
      </w:r>
      <w:r>
        <w:t>.</w:t>
      </w:r>
    </w:p>
    <w:p xmlns:wp14="http://schemas.microsoft.com/office/word/2010/wordml" w:rsidR="00C27287" w:rsidP="0088304F" w:rsidRDefault="00C27287" w14:paraId="3DEEC669" wp14:textId="77777777"/>
    <w:p xmlns:wp14="http://schemas.microsoft.com/office/word/2010/wordml" w:rsidR="00C27287" w:rsidP="0088304F" w:rsidRDefault="00C27287" w14:paraId="21DEA4EA" wp14:textId="77777777">
      <w:pPr>
        <w:pStyle w:val="Heading2"/>
        <w:rPr>
          <w:b/>
        </w:rPr>
      </w:pPr>
      <w:bookmarkStart w:name="_Toc215848298" w:id="5"/>
      <w:r w:rsidRPr="00A978AC">
        <w:rPr>
          <w:b/>
        </w:rPr>
        <w:t>Evaluation of Contemporary HR Practices</w:t>
      </w:r>
      <w:bookmarkEnd w:id="5"/>
    </w:p>
    <w:p xmlns:wp14="http://schemas.microsoft.com/office/word/2010/wordml" w:rsidR="00591AB2" w:rsidP="00591AB2" w:rsidRDefault="00236CD2" w14:paraId="3656B9AB" wp14:textId="77777777">
      <w:pPr>
        <w:keepNext/>
        <w:jc w:val="center"/>
      </w:pPr>
      <w:r>
        <w:rPr>
          <w:noProof/>
        </w:rPr>
        <w:drawing>
          <wp:inline xmlns:wp14="http://schemas.microsoft.com/office/word/2010/wordprocessingDrawing" distT="0" distB="0" distL="0" distR="0" wp14:anchorId="34A171E0" wp14:editId="7777777">
            <wp:extent cx="3981450" cy="2667000"/>
            <wp:effectExtent l="0" t="0" r="0" b="0"/>
            <wp:docPr id="2" name="Picture 2" descr="Strategic Human Resource Management: Key to Business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ategic Human Resource Management: Key to Business Success"/>
                    <pic:cNvPicPr>
                      <a:picLocks noChangeAspect="1" noChangeArrowheads="1"/>
                    </pic:cNvPicPr>
                  </pic:nvPicPr>
                  <pic:blipFill>
                    <a:blip r:embed="rId9">
                      <a:extLst>
                        <a:ext uri="{28A0092B-C50C-407E-A947-70E740481C1C}">
                          <a14:useLocalDpi xmlns:a14="http://schemas.microsoft.com/office/drawing/2010/main" val="0"/>
                        </a:ext>
                      </a:extLst>
                    </a:blip>
                    <a:srcRect t="3822" b="3534"/>
                    <a:stretch>
                      <a:fillRect/>
                    </a:stretch>
                  </pic:blipFill>
                  <pic:spPr bwMode="auto">
                    <a:xfrm>
                      <a:off x="0" y="0"/>
                      <a:ext cx="3981450" cy="2667000"/>
                    </a:xfrm>
                    <a:prstGeom prst="rect">
                      <a:avLst/>
                    </a:prstGeom>
                    <a:noFill/>
                    <a:ln>
                      <a:noFill/>
                    </a:ln>
                  </pic:spPr>
                </pic:pic>
              </a:graphicData>
            </a:graphic>
          </wp:inline>
        </w:drawing>
      </w:r>
    </w:p>
    <w:p xmlns:wp14="http://schemas.microsoft.com/office/word/2010/wordml" w:rsidR="00591AB2" w:rsidP="00591AB2" w:rsidRDefault="00591AB2" w14:paraId="21C46966" wp14:textId="77777777">
      <w:pPr>
        <w:pStyle w:val="Caption"/>
        <w:jc w:val="center"/>
      </w:pPr>
      <w:bookmarkStart w:name="_Toc215848292" w:id="6"/>
      <w:r>
        <w:t xml:space="preserve">Figure </w:t>
      </w:r>
      <w:r>
        <w:fldChar w:fldCharType="begin"/>
      </w:r>
      <w:r>
        <w:instrText> SEQ Figure \* ARABIC </w:instrText>
      </w:r>
      <w:r>
        <w:fldChar w:fldCharType="separate"/>
      </w:r>
      <w:r>
        <w:rPr>
          <w:noProof/>
        </w:rPr>
        <w:t>2</w:t>
      </w:r>
      <w:r>
        <w:fldChar w:fldCharType="end"/>
      </w:r>
      <w:r>
        <w:t>: Strategic HRM</w:t>
      </w:r>
      <w:bookmarkEnd w:id="6"/>
    </w:p>
    <w:p xmlns:wp14="http://schemas.microsoft.com/office/word/2010/wordml" w:rsidR="00A978AC" w:rsidP="00591AB2" w:rsidRDefault="00591AB2" w14:paraId="4140F7D4" wp14:textId="77777777">
      <w:pPr>
        <w:suppressAutoHyphens w:val="0"/>
        <w:spacing w:line="240" w:lineRule="auto"/>
        <w:jc w:val="center"/>
        <w:rPr>
          <w:rFonts w:eastAsia="Times New Roman"/>
          <w:color w:val="auto"/>
          <w:szCs w:val="24"/>
          <w:lang w:val="en-US" w:eastAsia="en-US"/>
        </w:rPr>
      </w:pPr>
      <w:r>
        <w:t xml:space="preserve">Source: </w:t>
      </w:r>
      <w:r w:rsidRPr="00591AB2">
        <w:rPr>
          <w:rFonts w:eastAsia="Times New Roman"/>
          <w:color w:val="auto"/>
          <w:szCs w:val="24"/>
          <w:lang w:val="en-US" w:eastAsia="en-US"/>
        </w:rPr>
        <w:t>(Khattar, 2024)</w:t>
      </w:r>
    </w:p>
    <w:p xmlns:wp14="http://schemas.microsoft.com/office/word/2010/wordml" w:rsidRPr="00591AB2" w:rsidR="00591AB2" w:rsidP="00591AB2" w:rsidRDefault="00591AB2" w14:paraId="45FB0818" wp14:textId="77777777">
      <w:pPr>
        <w:suppressAutoHyphens w:val="0"/>
        <w:spacing w:line="240" w:lineRule="auto"/>
        <w:jc w:val="center"/>
        <w:rPr>
          <w:rFonts w:eastAsia="Times New Roman"/>
          <w:color w:val="auto"/>
          <w:szCs w:val="24"/>
          <w:lang w:val="en-US" w:eastAsia="en-US"/>
        </w:rPr>
      </w:pPr>
    </w:p>
    <w:p xmlns:wp14="http://schemas.microsoft.com/office/word/2010/wordml" w:rsidRPr="00A978AC" w:rsidR="00C27287" w:rsidP="0088304F" w:rsidRDefault="00A978AC" w14:paraId="73290D10" wp14:textId="77777777">
      <w:pPr>
        <w:rPr>
          <w:b/>
          <w:i/>
        </w:rPr>
      </w:pPr>
      <w:r w:rsidRPr="00A978AC">
        <w:rPr>
          <w:b/>
          <w:i/>
        </w:rPr>
        <w:t>Performance Management and Employee Voice Practices</w:t>
      </w:r>
    </w:p>
    <w:p xmlns:wp14="http://schemas.microsoft.com/office/word/2010/wordml" w:rsidRPr="00A978AC" w:rsidR="00C27287" w:rsidP="0088304F" w:rsidRDefault="00C27287" w14:paraId="4CBDB905" wp14:textId="77777777">
      <w:pPr>
        <w:suppressAutoHyphens w:val="0"/>
        <w:jc w:val="left"/>
        <w:rPr>
          <w:rFonts w:eastAsia="Times New Roman"/>
          <w:color w:val="auto"/>
          <w:szCs w:val="24"/>
          <w:lang w:val="en-US" w:eastAsia="en-US"/>
        </w:rPr>
      </w:pPr>
      <w:r>
        <w:t>The current methods of performance management are providing powerful solutions to complaints that arise following organisational change and digital transformation within TfL. An up-to-date performance system which focuses on constant feedback but not annual reviews will facilitate open communication between employees and managers. This is useful in responding to concerns in a timely manner and in eliminating resentment caused by lack of clarity of expectations. The development-oriented review and upward feedback channel, which also involves development-oriented regular check-ins, allow employees to air their problems without necessarily progressing to formal grievance. The lessening of resistance and mistrust can be achieved by successfully introducing the concept of employee voice through platforms, suggestion systems and joint consultation forums that allow transparency and involvement in decision-making processes of the changes. Performance conversations enable the alignment of individual expectations to organisational priorities, better understanding of their roles and greater accountability in an organisation that is under a pressure perpetrated by change. These practices make the organization more trustworthy, effective in engaging and minimizing conflict in a changing work environment when introduced successfully</w:t>
      </w:r>
      <w:r w:rsidRPr="00A978AC" w:rsidR="00A978AC">
        <w:t xml:space="preserve"> </w:t>
      </w:r>
      <w:r w:rsidRPr="00A978AC" w:rsidR="00A978AC">
        <w:rPr>
          <w:rFonts w:eastAsia="Times New Roman"/>
          <w:color w:val="auto"/>
          <w:szCs w:val="24"/>
          <w:lang w:val="en-US" w:eastAsia="en-US"/>
        </w:rPr>
        <w:t>(Mowbray, Wilkinson and Tse, 2021)</w:t>
      </w:r>
      <w:r>
        <w:t>.</w:t>
      </w:r>
    </w:p>
    <w:p xmlns:wp14="http://schemas.microsoft.com/office/word/2010/wordml" w:rsidR="00C27287" w:rsidP="0088304F" w:rsidRDefault="00C27287" w14:paraId="049F31CB" wp14:textId="77777777"/>
    <w:p xmlns:wp14="http://schemas.microsoft.com/office/word/2010/wordml" w:rsidRPr="00A978AC" w:rsidR="00C27287" w:rsidP="0088304F" w:rsidRDefault="00C27287" w14:paraId="0A83470F" wp14:textId="77777777">
      <w:pPr>
        <w:rPr>
          <w:b/>
          <w:i/>
        </w:rPr>
      </w:pPr>
      <w:r w:rsidRPr="00A978AC">
        <w:rPr>
          <w:b/>
          <w:i/>
        </w:rPr>
        <w:t>Learning, Develo</w:t>
      </w:r>
      <w:r w:rsidR="00A978AC">
        <w:rPr>
          <w:b/>
          <w:i/>
        </w:rPr>
        <w:t>pment and Upskilling Strategies</w:t>
      </w:r>
    </w:p>
    <w:p xmlns:wp14="http://schemas.microsoft.com/office/word/2010/wordml" w:rsidR="00C27287" w:rsidP="0088304F" w:rsidRDefault="00C27287" w14:paraId="16FA9C3A" wp14:textId="77777777">
      <w:r>
        <w:t>Relevant HR reactions to the issue of digital transformation in TfL are staff development and specific upskilling programmes. With operations transforming as a result of smart, technology-based systems, employees are in need of organized training which centers on digital adequacy, technical skill and flexibility. Modern learning methods like the modular e-learning, collaborative coaching, mentoring programme and apprenticeship permits various staff levels to advance at a comfortable rate in addition to being supported during the transition process. Provision of individual training opportunities, competency models and well-defined performance direction will mitigate job apprehension about job redesign and work security. Development opportunities also helps in retention and internal movement as well as motivation since employees do not feel threatened by technological change but feel they are treasured. The development programmes should be open to both the operational and office based position to minimize skill differences besides promote fairness. Inclusivity of the learning initiatives has been identified to enhance transformation readiness and create a culture of continuous improvement when the learning initiatives are workforce responsive and practical.</w:t>
      </w:r>
    </w:p>
    <w:p xmlns:wp14="http://schemas.microsoft.com/office/word/2010/wordml" w:rsidR="00C27287" w:rsidP="0088304F" w:rsidRDefault="00C27287" w14:paraId="53128261" wp14:textId="77777777"/>
    <w:p xmlns:wp14="http://schemas.microsoft.com/office/word/2010/wordml" w:rsidRPr="00A978AC" w:rsidR="00C27287" w:rsidP="0088304F" w:rsidRDefault="00A978AC" w14:paraId="4830CDE4" wp14:textId="77777777">
      <w:pPr>
        <w:rPr>
          <w:b/>
          <w:i/>
        </w:rPr>
      </w:pPr>
      <w:r w:rsidRPr="00A978AC">
        <w:rPr>
          <w:b/>
          <w:i/>
        </w:rPr>
        <w:t>Employee Wellbeing, Engagement and Relations Management</w:t>
      </w:r>
    </w:p>
    <w:p xmlns:wp14="http://schemas.microsoft.com/office/word/2010/wordml" w:rsidRPr="00A978AC" w:rsidR="00C27287" w:rsidP="0088304F" w:rsidRDefault="00C27287" w14:paraId="6720E07B" wp14:textId="77777777">
      <w:pPr>
        <w:suppressAutoHyphens w:val="0"/>
        <w:jc w:val="left"/>
        <w:rPr>
          <w:rFonts w:eastAsia="Times New Roman"/>
          <w:color w:val="auto"/>
          <w:szCs w:val="24"/>
          <w:lang w:val="en-US" w:eastAsia="en-US"/>
        </w:rPr>
      </w:pPr>
      <w:r>
        <w:t>Modern HR management puts more and more emphasis on wellbeing, engagement and positive employee relations especially within industries subject to high pressure and public attention like the transport operations. Effective wellbeing models that look at stress control aspects, mental health aids, work-life balance and fairness measures can assist in lowering fatigue grievances, work-life balance, and fairness grievances. The principle of employee engagement can be applied through recognition programs, joint problem solving workshops and union partner meetings which allow employees to be involved and other services. Open channels of communication and conflict resolution rules, such as mediation and facilitated dialogues, enable restoring the trust and avoiding the development of the conflicts into a long-term industrial conflict. The consistency in managing the flexible working requirements which is featured by strong employee relations processes is another way of ensuring that it balances fairness with operational demands. When the engagement, wellbeing and relations strategies are adopted together, they can restore the organisational stability, fewer staff dropouts and more culture based on the rule of respect and listening to the staff</w:t>
      </w:r>
      <w:r w:rsidRPr="00A978AC" w:rsidR="00A978AC">
        <w:t xml:space="preserve"> </w:t>
      </w:r>
      <w:r w:rsidRPr="00A978AC" w:rsidR="00A978AC">
        <w:rPr>
          <w:rFonts w:eastAsia="Times New Roman"/>
          <w:color w:val="auto"/>
          <w:szCs w:val="24"/>
          <w:lang w:val="en-US" w:eastAsia="en-US"/>
        </w:rPr>
        <w:t>(Zamokuhle Welcome Shabane et al., 2022)</w:t>
      </w:r>
      <w:r>
        <w:t>.</w:t>
      </w:r>
    </w:p>
    <w:p xmlns:wp14="http://schemas.microsoft.com/office/word/2010/wordml" w:rsidR="00C27287" w:rsidP="0088304F" w:rsidRDefault="00C27287" w14:paraId="62486C05" wp14:textId="77777777"/>
    <w:p xmlns:wp14="http://schemas.microsoft.com/office/word/2010/wordml" w:rsidR="00C27287" w:rsidP="0088304F" w:rsidRDefault="00C27287" w14:paraId="0572E952" wp14:textId="77777777">
      <w:pPr>
        <w:pStyle w:val="Heading2"/>
        <w:rPr>
          <w:b/>
        </w:rPr>
      </w:pPr>
      <w:bookmarkStart w:name="_Toc215848299" w:id="7"/>
      <w:r w:rsidRPr="00A978AC">
        <w:rPr>
          <w:b/>
        </w:rPr>
        <w:t>Critical Evaluation of Managerial Implementation</w:t>
      </w:r>
      <w:bookmarkEnd w:id="7"/>
    </w:p>
    <w:p xmlns:wp14="http://schemas.microsoft.com/office/word/2010/wordml" w:rsidRPr="00A978AC" w:rsidR="00A978AC" w:rsidP="0088304F" w:rsidRDefault="00A978AC" w14:paraId="4101652C" wp14:textId="77777777"/>
    <w:p xmlns:wp14="http://schemas.microsoft.com/office/word/2010/wordml" w:rsidRPr="00A978AC" w:rsidR="00C27287" w:rsidP="0088304F" w:rsidRDefault="00A978AC" w14:paraId="3B40C0C9" wp14:textId="77777777">
      <w:pPr>
        <w:rPr>
          <w:b/>
          <w:i/>
        </w:rPr>
      </w:pPr>
      <w:r w:rsidRPr="00A978AC">
        <w:rPr>
          <w:b/>
          <w:i/>
        </w:rPr>
        <w:t>Leadership Approaches and Communication Strategies</w:t>
      </w:r>
    </w:p>
    <w:p xmlns:wp14="http://schemas.microsoft.com/office/word/2010/wordml" w:rsidRPr="00A978AC" w:rsidR="00C27287" w:rsidP="0088304F" w:rsidRDefault="00C27287" w14:paraId="4A95CB8B" wp14:textId="77777777">
      <w:pPr>
        <w:suppressAutoHyphens w:val="0"/>
        <w:jc w:val="left"/>
        <w:rPr>
          <w:rFonts w:eastAsia="Times New Roman"/>
          <w:color w:val="auto"/>
          <w:szCs w:val="24"/>
          <w:lang w:val="en-US" w:eastAsia="en-US"/>
        </w:rPr>
      </w:pPr>
      <w:r>
        <w:t xml:space="preserve">The departmental managers are vital in providing assurance that modern HR practices are upheld by utilizing them effectively and on time at TfL. In order to facilitate quick transition and mitigate resistance, the managers are required to resort to leadership styles that stipulate openness, compassion and webbing. It is more </w:t>
      </w:r>
      <w:r w:rsidR="00A978AC">
        <w:t>suturing</w:t>
      </w:r>
      <w:r>
        <w:t xml:space="preserve"> when transformation decisions are communicated clearly and uniformly and therefore it is more likely that individuals would comprehend the cause of organisational changes as opposed to perceiving them as threats. Frequent briefing and organization of communication channels allow managers to explain what is expected, minimize misinformation and the creation of psychological safety. A participatory leadership approach ensures inclusivity and supports employees, which will reduce the tension caused by differences in digital transformation and flexible working. Trust can be reinforced by approachable managers who are accountable thus ensure that staff can feel safe even amidst uncertainty. Good leadership then becomes a force to motivate the employees to be accepting and engaged</w:t>
      </w:r>
      <w:r w:rsidRPr="00A978AC" w:rsidR="00A978AC">
        <w:t xml:space="preserve"> </w:t>
      </w:r>
      <w:r w:rsidRPr="00A978AC" w:rsidR="00A978AC">
        <w:rPr>
          <w:rFonts w:eastAsia="Times New Roman"/>
          <w:color w:val="auto"/>
          <w:szCs w:val="24"/>
          <w:lang w:val="en-US" w:eastAsia="en-US"/>
        </w:rPr>
        <w:t>(Salman, Hamed and Fisal, 2023)</w:t>
      </w:r>
      <w:r>
        <w:t>.</w:t>
      </w:r>
    </w:p>
    <w:p xmlns:wp14="http://schemas.microsoft.com/office/word/2010/wordml" w:rsidR="00C27287" w:rsidP="0088304F" w:rsidRDefault="00C27287" w14:paraId="4B99056E" wp14:textId="77777777"/>
    <w:p xmlns:wp14="http://schemas.microsoft.com/office/word/2010/wordml" w:rsidRPr="00A978AC" w:rsidR="00C27287" w:rsidP="0088304F" w:rsidRDefault="00A978AC" w14:paraId="260564ED" wp14:textId="77777777">
      <w:pPr>
        <w:rPr>
          <w:b/>
          <w:i/>
        </w:rPr>
      </w:pPr>
      <w:r w:rsidRPr="00A978AC">
        <w:rPr>
          <w:b/>
          <w:i/>
        </w:rPr>
        <w:t>Monitoring Progress and Accountability Mechanisms</w:t>
      </w:r>
    </w:p>
    <w:p xmlns:wp14="http://schemas.microsoft.com/office/word/2010/wordml" w:rsidR="00C27287" w:rsidP="0088304F" w:rsidRDefault="00C27287" w14:paraId="13D54A35" wp14:textId="77777777">
      <w:r>
        <w:t>In order to facilitate a quick action, managers should develop a precise monitoring and review channels in which the operations of HR initiatives are reviewed at the workplace. It will entail measuring goals to be achieved in training, employee wellbeing performance targets, and outcomes of grievance resolutions. The care assessment systems rely on fair measures that enable display of the enhancement or the areas that need more effort. With such data reviewed periodically, the managers can be able to determine trends that give direction towards emerging problems that may cause absenteeism, turnover and conflict at the workplace. Also the accountability mechanisms demand managers to act promptly on feedback and take the initiative before dissatisfaction arises. Open appraisal programmes help organisations to motivate their workforce to realise that their organisations are meeting their commitments. Unless actively tracked and held responsible, initiatives become credibility killers and will not produce a significant change (leaning especially to those experiencing continuous restructuring pressures).</w:t>
      </w:r>
    </w:p>
    <w:p xmlns:wp14="http://schemas.microsoft.com/office/word/2010/wordml" w:rsidR="0088304F" w:rsidP="0088304F" w:rsidRDefault="0088304F" w14:paraId="1299C43A" wp14:textId="77777777"/>
    <w:p xmlns:wp14="http://schemas.microsoft.com/office/word/2010/wordml" w:rsidR="00C27287" w:rsidP="0088304F" w:rsidRDefault="00C27287" w14:paraId="3FE3780A" wp14:textId="77777777">
      <w:pPr>
        <w:rPr>
          <w:b/>
          <w:i/>
        </w:rPr>
      </w:pPr>
      <w:r w:rsidRPr="00A978AC">
        <w:rPr>
          <w:b/>
          <w:i/>
        </w:rPr>
        <w:t>Team Work, Cultur</w:t>
      </w:r>
      <w:r w:rsidR="00A978AC">
        <w:rPr>
          <w:b/>
          <w:i/>
        </w:rPr>
        <w:t>e Building and Change Ownership</w:t>
      </w:r>
    </w:p>
    <w:p xmlns:wp14="http://schemas.microsoft.com/office/word/2010/wordml" w:rsidR="0088304F" w:rsidP="0088304F" w:rsidRDefault="00236CD2" w14:paraId="4DDBEF00" wp14:textId="77777777">
      <w:pPr>
        <w:keepNext/>
        <w:jc w:val="center"/>
      </w:pPr>
      <w:r>
        <w:rPr>
          <w:noProof/>
        </w:rPr>
        <w:drawing>
          <wp:inline xmlns:wp14="http://schemas.microsoft.com/office/word/2010/wordprocessingDrawing" distT="0" distB="0" distL="0" distR="0" wp14:anchorId="763B597D" wp14:editId="7777777">
            <wp:extent cx="3381375" cy="3143250"/>
            <wp:effectExtent l="0" t="0" r="0" b="0"/>
            <wp:docPr id="3" name="Picture 1" descr="What Is Team Culture? - OEC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eam Culture? - OEC Leadershi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1375" cy="3143250"/>
                    </a:xfrm>
                    <a:prstGeom prst="rect">
                      <a:avLst/>
                    </a:prstGeom>
                    <a:noFill/>
                    <a:ln>
                      <a:noFill/>
                    </a:ln>
                  </pic:spPr>
                </pic:pic>
              </a:graphicData>
            </a:graphic>
          </wp:inline>
        </w:drawing>
      </w:r>
    </w:p>
    <w:p xmlns:wp14="http://schemas.microsoft.com/office/word/2010/wordml" w:rsidR="0088304F" w:rsidP="0088304F" w:rsidRDefault="0088304F" w14:paraId="4E4BE8B5" wp14:textId="77777777">
      <w:pPr>
        <w:pStyle w:val="Caption"/>
        <w:jc w:val="center"/>
      </w:pPr>
      <w:bookmarkStart w:name="_Toc215848293" w:id="8"/>
      <w:r>
        <w:t xml:space="preserve">Figure </w:t>
      </w:r>
      <w:r>
        <w:fldChar w:fldCharType="begin"/>
      </w:r>
      <w:r>
        <w:instrText> SEQ Figure \* ARABIC </w:instrText>
      </w:r>
      <w:r>
        <w:fldChar w:fldCharType="separate"/>
      </w:r>
      <w:r w:rsidR="00591AB2">
        <w:rPr>
          <w:noProof/>
        </w:rPr>
        <w:t>3</w:t>
      </w:r>
      <w:r>
        <w:fldChar w:fldCharType="end"/>
      </w:r>
      <w:r>
        <w:t>: Team Culture</w:t>
      </w:r>
      <w:bookmarkEnd w:id="8"/>
    </w:p>
    <w:p xmlns:wp14="http://schemas.microsoft.com/office/word/2010/wordml" w:rsidR="0088304F" w:rsidP="0088304F" w:rsidRDefault="0088304F" w14:paraId="334584DC" wp14:textId="77777777">
      <w:pPr>
        <w:suppressAutoHyphens w:val="0"/>
        <w:jc w:val="center"/>
        <w:rPr>
          <w:rFonts w:eastAsia="Times New Roman"/>
          <w:color w:val="auto"/>
          <w:szCs w:val="24"/>
          <w:lang w:val="en-US" w:eastAsia="en-US"/>
        </w:rPr>
      </w:pPr>
      <w:r>
        <w:t xml:space="preserve">Source: </w:t>
      </w:r>
      <w:r w:rsidRPr="0088304F">
        <w:rPr>
          <w:rFonts w:eastAsia="Times New Roman"/>
          <w:color w:val="auto"/>
          <w:szCs w:val="24"/>
          <w:lang w:val="en-US" w:eastAsia="en-US"/>
        </w:rPr>
        <w:t>(Hodge, 2019)</w:t>
      </w:r>
    </w:p>
    <w:p xmlns:wp14="http://schemas.microsoft.com/office/word/2010/wordml" w:rsidRPr="0088304F" w:rsidR="0088304F" w:rsidP="0088304F" w:rsidRDefault="0088304F" w14:paraId="3461D779" wp14:textId="77777777">
      <w:pPr>
        <w:suppressAutoHyphens w:val="0"/>
        <w:jc w:val="center"/>
        <w:rPr>
          <w:rFonts w:eastAsia="Times New Roman"/>
          <w:color w:val="auto"/>
          <w:szCs w:val="24"/>
          <w:lang w:val="en-US" w:eastAsia="en-US"/>
        </w:rPr>
      </w:pPr>
    </w:p>
    <w:p xmlns:wp14="http://schemas.microsoft.com/office/word/2010/wordml" w:rsidR="00C27287" w:rsidP="0088304F" w:rsidRDefault="00C27287" w14:paraId="4998829B" wp14:textId="77777777">
      <w:r>
        <w:t>Effective interdepartmental collaboration plays a key role in the process of having HR practices integrated other than viewed as discrete interventions. Managers need to build relationships among operational teams with the union representatives and the corporate managers in order to establish the ownership of change results by all involved. Problem solving and open communication at team level would lead to a culture that is more cohesive and employees would feel appreciated. The understanding of diverse needs of different job groups is beneficial in mitigating the perceived inequality of flexible access to working. Moreover, managers need to juggle between the needs of the organization and taking into adequate consideration the wellbeing of the employees, indicating dedication to equity and respect. Active modeling of positive behaviours by managers leads to the creation of culture of trust and collective purpose, which enhance engagement and decrease conflict. With a friendly culture, the employees will be able to embrace the changes better and the chances of grievances being perpetrated are minimal. Finally, HR practices necessitate urgent implementation that is based on leadership alignment, cross-functioning and workplace culture founded on respect and shared objectives.</w:t>
      </w:r>
    </w:p>
    <w:p xmlns:wp14="http://schemas.microsoft.com/office/word/2010/wordml" w:rsidR="00C27287" w:rsidP="0088304F" w:rsidRDefault="00C27287" w14:paraId="3CF2D8B6" wp14:textId="77777777"/>
    <w:p xmlns:wp14="http://schemas.microsoft.com/office/word/2010/wordml" w:rsidR="00C27287" w:rsidP="0088304F" w:rsidRDefault="00C27287" w14:paraId="6F18CB14" wp14:textId="77777777">
      <w:pPr>
        <w:pStyle w:val="Heading1"/>
      </w:pPr>
      <w:bookmarkStart w:name="_Toc215848300" w:id="9"/>
      <w:r>
        <w:t>Recommendations</w:t>
      </w:r>
      <w:bookmarkEnd w:id="9"/>
    </w:p>
    <w:p xmlns:wp14="http://schemas.microsoft.com/office/word/2010/wordml" w:rsidR="00C27287" w:rsidP="0088304F" w:rsidRDefault="00C27287" w14:paraId="4C1B6449" wp14:textId="77777777">
      <w:pPr>
        <w:numPr>
          <w:ilvl w:val="0"/>
          <w:numId w:val="25"/>
        </w:numPr>
      </w:pPr>
      <w:r>
        <w:t>Enhance effective communication to develop trust and minimise uncertainty in the course of transformation.</w:t>
      </w:r>
    </w:p>
    <w:p xmlns:wp14="http://schemas.microsoft.com/office/word/2010/wordml" w:rsidR="00C27287" w:rsidP="0088304F" w:rsidRDefault="00C27287" w14:paraId="2FFA34B0" wp14:textId="77777777">
      <w:pPr>
        <w:numPr>
          <w:ilvl w:val="0"/>
          <w:numId w:val="25"/>
        </w:numPr>
      </w:pPr>
      <w:r>
        <w:t>Increase opportunities of digital skills training and development to all types of jobs.</w:t>
      </w:r>
    </w:p>
    <w:p xmlns:wp14="http://schemas.microsoft.com/office/word/2010/wordml" w:rsidR="00C27287" w:rsidP="0088304F" w:rsidRDefault="00C27287" w14:paraId="4F483F82" wp14:textId="77777777">
      <w:pPr>
        <w:numPr>
          <w:ilvl w:val="0"/>
          <w:numId w:val="25"/>
        </w:numPr>
      </w:pPr>
      <w:r>
        <w:t>In order to establish fairness between operational staff and corporate staff, establish balanced flexible working policies.</w:t>
      </w:r>
    </w:p>
    <w:p xmlns:wp14="http://schemas.microsoft.com/office/word/2010/wordml" w:rsidR="00C27287" w:rsidP="0088304F" w:rsidRDefault="00C27287" w14:paraId="008569DE" wp14:textId="77777777">
      <w:pPr>
        <w:numPr>
          <w:ilvl w:val="0"/>
          <w:numId w:val="25"/>
        </w:numPr>
      </w:pPr>
      <w:r>
        <w:t>Introduce continuous feedback and systems and organised employee voice forums.</w:t>
      </w:r>
    </w:p>
    <w:p xmlns:wp14="http://schemas.microsoft.com/office/word/2010/wordml" w:rsidR="00C27287" w:rsidP="0088304F" w:rsidRDefault="00C27287" w14:paraId="6929B5E3" wp14:textId="77777777">
      <w:pPr>
        <w:numPr>
          <w:ilvl w:val="0"/>
          <w:numId w:val="25"/>
        </w:numPr>
      </w:pPr>
      <w:r>
        <w:t>Increase wellbeing resources based on workload control and mental health.</w:t>
      </w:r>
    </w:p>
    <w:p xmlns:wp14="http://schemas.microsoft.com/office/word/2010/wordml" w:rsidR="00C27287" w:rsidP="0088304F" w:rsidRDefault="00C27287" w14:paraId="291D4386" wp14:textId="77777777">
      <w:pPr>
        <w:numPr>
          <w:ilvl w:val="0"/>
          <w:numId w:val="25"/>
        </w:numPr>
      </w:pPr>
      <w:r>
        <w:t>Enhance the cooperation between the managers, unions and employees to build in sustainable solutions.</w:t>
      </w:r>
    </w:p>
    <w:p xmlns:wp14="http://schemas.microsoft.com/office/word/2010/wordml" w:rsidR="00C27287" w:rsidP="0088304F" w:rsidRDefault="00C27287" w14:paraId="3A4203E7" wp14:textId="77777777">
      <w:pPr>
        <w:numPr>
          <w:ilvl w:val="0"/>
          <w:numId w:val="25"/>
        </w:numPr>
      </w:pPr>
      <w:r>
        <w:t>Track the progress with quantifiable indicators and hold oneself accountable and improved.</w:t>
      </w:r>
    </w:p>
    <w:p xmlns:wp14="http://schemas.microsoft.com/office/word/2010/wordml" w:rsidRPr="00C27287" w:rsidR="00C27287" w:rsidP="0088304F" w:rsidRDefault="00C27287" w14:paraId="0FB78278" wp14:textId="77777777"/>
    <w:p xmlns:wp14="http://schemas.microsoft.com/office/word/2010/wordml" w:rsidRPr="00C27287" w:rsidR="00C27287" w:rsidP="0088304F" w:rsidRDefault="00C27287" w14:paraId="1FC39945" wp14:textId="77777777"/>
    <w:p xmlns:wp14="http://schemas.microsoft.com/office/word/2010/wordml" w:rsidR="008A185F" w:rsidP="0088304F" w:rsidRDefault="00C27287" w14:paraId="2B2A7A39" wp14:textId="77777777">
      <w:pPr>
        <w:pStyle w:val="Heading1"/>
      </w:pPr>
      <w:r>
        <w:br w:type="page"/>
      </w:r>
      <w:bookmarkStart w:name="_Toc215848301" w:id="10"/>
      <w:r w:rsidR="008A185F">
        <w:t>Conclusion</w:t>
      </w:r>
      <w:bookmarkEnd w:id="10"/>
    </w:p>
    <w:p xmlns:wp14="http://schemas.microsoft.com/office/word/2010/wordml" w:rsidRPr="00C27287" w:rsidR="00C27287" w:rsidP="0088304F" w:rsidRDefault="00C27287" w14:paraId="553841B2" wp14:textId="77777777">
      <w:r w:rsidRPr="00C27287">
        <w:t>Overall, Transport for London is manoeuvring serious pressures associated with business change, technological change as well as flexible working anticipations. Such aspects have resulted in increased employee complaints and poor employee relations. Modern Hr approaches, including continuous performance support, employee-specific development programmes, and wellbeing-oriented employee relations offer good approaches to overcome these issues. These practices however, cannot be successful without managerial leadership, open communication and implementation. TfL can enhance stability and effectiveness in workforce and organisation because of its focus on fairness, engagement, and accountability.</w:t>
      </w:r>
    </w:p>
    <w:p xmlns:wp14="http://schemas.microsoft.com/office/word/2010/wordml" w:rsidR="008A185F" w:rsidP="0088304F" w:rsidRDefault="008A185F" w14:paraId="459C7026" wp14:textId="77777777">
      <w:pPr>
        <w:pStyle w:val="Heading1"/>
        <w:pageBreakBefore/>
        <w:rPr>
          <w:color w:val="auto"/>
          <w:szCs w:val="24"/>
          <w:u w:val="single"/>
        </w:rPr>
      </w:pPr>
      <w:bookmarkStart w:name="_Toc215848302" w:id="11"/>
      <w:r>
        <w:t>References</w:t>
      </w:r>
      <w:bookmarkEnd w:id="11"/>
      <w:r>
        <w:t xml:space="preserve"> </w:t>
      </w:r>
    </w:p>
    <w:p xmlns:wp14="http://schemas.microsoft.com/office/word/2010/wordml" w:rsidRPr="00AF1EE1" w:rsidR="00AF1EE1" w:rsidP="007B69D3" w:rsidRDefault="00AF1EE1" w14:paraId="316558EB" wp14:textId="77777777">
      <w:pPr>
        <w:numPr>
          <w:ilvl w:val="0"/>
          <w:numId w:val="1"/>
        </w:numPr>
        <w:suppressAutoHyphens w:val="0"/>
        <w:spacing w:after="240" w:line="240" w:lineRule="auto"/>
        <w:ind w:left="720" w:hanging="720"/>
        <w:rPr>
          <w:rFonts w:eastAsia="Times New Roman"/>
          <w:color w:val="auto"/>
          <w:szCs w:val="24"/>
          <w:lang w:val="en-US" w:eastAsia="en-US"/>
        </w:rPr>
      </w:pPr>
      <w:r w:rsidRPr="00AF1EE1">
        <w:rPr>
          <w:rFonts w:eastAsia="Times New Roman"/>
          <w:color w:val="auto"/>
          <w:szCs w:val="24"/>
          <w:lang w:val="en-US" w:eastAsia="en-US"/>
        </w:rPr>
        <w:t xml:space="preserve">Hodge, B. (2019). </w:t>
      </w:r>
      <w:r w:rsidRPr="00AF1EE1">
        <w:rPr>
          <w:rFonts w:eastAsia="Times New Roman"/>
          <w:i/>
          <w:iCs/>
          <w:color w:val="auto"/>
          <w:szCs w:val="24"/>
          <w:lang w:val="en-US" w:eastAsia="en-US"/>
        </w:rPr>
        <w:t>What Is Team Culture? - OEC Leadership</w:t>
      </w:r>
      <w:r w:rsidRPr="00AF1EE1">
        <w:rPr>
          <w:rFonts w:eastAsia="Times New Roman"/>
          <w:color w:val="auto"/>
          <w:szCs w:val="24"/>
          <w:lang w:val="en-US" w:eastAsia="en-US"/>
        </w:rPr>
        <w:t xml:space="preserve">. [online] OEC Leadership. Available at: </w:t>
      </w:r>
      <w:hyperlink w:history="1" r:id="rId11">
        <w:r w:rsidRPr="00AD27A3" w:rsidR="007B69D3">
          <w:rPr>
            <w:rStyle w:val="Hyperlink"/>
            <w:rFonts w:eastAsia="Times New Roman"/>
            <w:szCs w:val="24"/>
            <w:lang w:val="en-US" w:eastAsia="en-US" w:bidi="ar-SA"/>
          </w:rPr>
          <w:t>https://www.oecleadership.com/what-is-team-culture/</w:t>
        </w:r>
      </w:hyperlink>
      <w:r w:rsidR="007B69D3">
        <w:rPr>
          <w:rFonts w:eastAsia="Times New Roman"/>
          <w:color w:val="auto"/>
          <w:szCs w:val="24"/>
          <w:lang w:val="en-US" w:eastAsia="en-US"/>
        </w:rPr>
        <w:t xml:space="preserve"> </w:t>
      </w:r>
      <w:r w:rsidRPr="00AF1EE1">
        <w:rPr>
          <w:rFonts w:eastAsia="Times New Roman"/>
          <w:color w:val="auto"/>
          <w:szCs w:val="24"/>
          <w:lang w:val="en-US" w:eastAsia="en-US"/>
        </w:rPr>
        <w:t xml:space="preserve"> [Accessed 5 Dec. 2025].</w:t>
      </w:r>
    </w:p>
    <w:p xmlns:wp14="http://schemas.microsoft.com/office/word/2010/wordml" w:rsidRPr="00AF1EE1" w:rsidR="00AF1EE1" w:rsidP="007B69D3" w:rsidRDefault="00AF1EE1" w14:paraId="6B6245EC" wp14:textId="77777777">
      <w:pPr>
        <w:numPr>
          <w:ilvl w:val="0"/>
          <w:numId w:val="1"/>
        </w:numPr>
        <w:suppressAutoHyphens w:val="0"/>
        <w:spacing w:after="240" w:line="240" w:lineRule="auto"/>
        <w:ind w:left="720" w:hanging="720"/>
        <w:rPr>
          <w:rFonts w:eastAsia="Times New Roman"/>
          <w:color w:val="auto"/>
          <w:szCs w:val="24"/>
          <w:lang w:val="en-US" w:eastAsia="en-US"/>
        </w:rPr>
      </w:pPr>
      <w:r w:rsidRPr="00AF1EE1">
        <w:rPr>
          <w:rFonts w:eastAsia="Times New Roman"/>
          <w:color w:val="auto"/>
          <w:szCs w:val="24"/>
          <w:lang w:val="en-US" w:eastAsia="en-US"/>
        </w:rPr>
        <w:t xml:space="preserve">Khattar, N. (2024). </w:t>
      </w:r>
      <w:r w:rsidRPr="00AF1EE1">
        <w:rPr>
          <w:rFonts w:eastAsia="Times New Roman"/>
          <w:i/>
          <w:iCs/>
          <w:color w:val="auto"/>
          <w:szCs w:val="24"/>
          <w:lang w:val="en-US" w:eastAsia="en-US"/>
        </w:rPr>
        <w:t>Strategic Human Resource Management: Key to Business Success</w:t>
      </w:r>
      <w:r w:rsidRPr="00AF1EE1">
        <w:rPr>
          <w:rFonts w:eastAsia="Times New Roman"/>
          <w:color w:val="auto"/>
          <w:szCs w:val="24"/>
          <w:lang w:val="en-US" w:eastAsia="en-US"/>
        </w:rPr>
        <w:t xml:space="preserve">. [online] peoplestrong. Available at: </w:t>
      </w:r>
      <w:hyperlink w:history="1" r:id="rId12">
        <w:r w:rsidRPr="00AD27A3" w:rsidR="007B69D3">
          <w:rPr>
            <w:rStyle w:val="Hyperlink"/>
            <w:rFonts w:eastAsia="Times New Roman"/>
            <w:szCs w:val="24"/>
            <w:lang w:val="en-US" w:eastAsia="en-US" w:bidi="ar-SA"/>
          </w:rPr>
          <w:t>https://www.peoplestrong.com/blog/strategic-human-resource-management/</w:t>
        </w:r>
      </w:hyperlink>
      <w:r w:rsidRPr="00AF1EE1">
        <w:rPr>
          <w:rFonts w:eastAsia="Times New Roman"/>
          <w:color w:val="auto"/>
          <w:szCs w:val="24"/>
          <w:lang w:val="en-US" w:eastAsia="en-US"/>
        </w:rPr>
        <w:t>.</w:t>
      </w:r>
      <w:r w:rsidR="007B69D3">
        <w:rPr>
          <w:rFonts w:eastAsia="Times New Roman"/>
          <w:color w:val="auto"/>
          <w:szCs w:val="24"/>
          <w:lang w:val="en-US" w:eastAsia="en-US"/>
        </w:rPr>
        <w:t xml:space="preserve"> </w:t>
      </w:r>
    </w:p>
    <w:p xmlns:wp14="http://schemas.microsoft.com/office/word/2010/wordml" w:rsidRPr="00AF1EE1" w:rsidR="00AF1EE1" w:rsidP="007B69D3" w:rsidRDefault="00AF1EE1" w14:paraId="7BEAAA0F" wp14:textId="77777777">
      <w:pPr>
        <w:numPr>
          <w:ilvl w:val="0"/>
          <w:numId w:val="1"/>
        </w:numPr>
        <w:suppressAutoHyphens w:val="0"/>
        <w:spacing w:after="240" w:line="240" w:lineRule="auto"/>
        <w:ind w:left="720" w:hanging="720"/>
        <w:rPr>
          <w:rFonts w:eastAsia="Times New Roman"/>
          <w:color w:val="auto"/>
          <w:szCs w:val="24"/>
          <w:lang w:val="en-US" w:eastAsia="en-US"/>
        </w:rPr>
      </w:pPr>
      <w:r w:rsidRPr="00AF1EE1">
        <w:rPr>
          <w:rFonts w:eastAsia="Times New Roman"/>
          <w:color w:val="auto"/>
          <w:szCs w:val="24"/>
          <w:lang w:val="en-US" w:eastAsia="en-US"/>
        </w:rPr>
        <w:t xml:space="preserve">Li, F. (2020). The Digital Transformation of Business Models in the Creative industries: a Holistic Framework and Emerging Trends. </w:t>
      </w:r>
      <w:r w:rsidRPr="00AF1EE1">
        <w:rPr>
          <w:rFonts w:eastAsia="Times New Roman"/>
          <w:i/>
          <w:iCs/>
          <w:color w:val="auto"/>
          <w:szCs w:val="24"/>
          <w:lang w:val="en-US" w:eastAsia="en-US"/>
        </w:rPr>
        <w:t>Technovation</w:t>
      </w:r>
      <w:r w:rsidRPr="00AF1EE1">
        <w:rPr>
          <w:rFonts w:eastAsia="Times New Roman"/>
          <w:color w:val="auto"/>
          <w:szCs w:val="24"/>
          <w:lang w:val="en-US" w:eastAsia="en-US"/>
        </w:rPr>
        <w:t>, 92-93(2), p.102012. doi:</w:t>
      </w:r>
      <w:r w:rsidR="007B69D3">
        <w:rPr>
          <w:rFonts w:eastAsia="Times New Roman"/>
          <w:color w:val="auto"/>
          <w:szCs w:val="24"/>
          <w:lang w:val="en-US" w:eastAsia="en-US"/>
        </w:rPr>
        <w:t xml:space="preserve"> </w:t>
      </w:r>
      <w:hyperlink w:history="1" r:id="rId13">
        <w:r w:rsidRPr="00AD27A3" w:rsidR="007B69D3">
          <w:rPr>
            <w:rStyle w:val="Hyperlink"/>
            <w:rFonts w:eastAsia="Times New Roman"/>
            <w:szCs w:val="24"/>
            <w:lang w:val="en-US" w:eastAsia="en-US" w:bidi="ar-SA"/>
          </w:rPr>
          <w:t>https://doi.org/10.1016/j.technovation.2017.12.004</w:t>
        </w:r>
      </w:hyperlink>
      <w:r w:rsidRPr="00AF1EE1">
        <w:rPr>
          <w:rFonts w:eastAsia="Times New Roman"/>
          <w:color w:val="auto"/>
          <w:szCs w:val="24"/>
          <w:lang w:val="en-US" w:eastAsia="en-US"/>
        </w:rPr>
        <w:t>.</w:t>
      </w:r>
      <w:r w:rsidR="007B69D3">
        <w:rPr>
          <w:rFonts w:eastAsia="Times New Roman"/>
          <w:color w:val="auto"/>
          <w:szCs w:val="24"/>
          <w:lang w:val="en-US" w:eastAsia="en-US"/>
        </w:rPr>
        <w:t xml:space="preserve"> </w:t>
      </w:r>
    </w:p>
    <w:p xmlns:wp14="http://schemas.microsoft.com/office/word/2010/wordml" w:rsidRPr="00AF1EE1" w:rsidR="00AF1EE1" w:rsidP="007B69D3" w:rsidRDefault="00AF1EE1" w14:paraId="3BCB27BA" wp14:textId="77777777">
      <w:pPr>
        <w:numPr>
          <w:ilvl w:val="0"/>
          <w:numId w:val="1"/>
        </w:numPr>
        <w:suppressAutoHyphens w:val="0"/>
        <w:spacing w:after="240" w:line="240" w:lineRule="auto"/>
        <w:ind w:left="720" w:hanging="720"/>
        <w:rPr>
          <w:rFonts w:eastAsia="Times New Roman"/>
          <w:color w:val="auto"/>
          <w:szCs w:val="24"/>
          <w:lang w:val="en-US" w:eastAsia="en-US"/>
        </w:rPr>
      </w:pPr>
      <w:r w:rsidRPr="00AF1EE1">
        <w:rPr>
          <w:rFonts w:eastAsia="Times New Roman"/>
          <w:color w:val="auto"/>
          <w:szCs w:val="24"/>
          <w:lang w:val="en-US" w:eastAsia="en-US"/>
        </w:rPr>
        <w:t xml:space="preserve">Logowik (2022). </w:t>
      </w:r>
      <w:r w:rsidRPr="00AF1EE1">
        <w:rPr>
          <w:rFonts w:eastAsia="Times New Roman"/>
          <w:i/>
          <w:iCs/>
          <w:color w:val="auto"/>
          <w:szCs w:val="24"/>
          <w:lang w:val="en-US" w:eastAsia="en-US"/>
        </w:rPr>
        <w:t>Logowik</w:t>
      </w:r>
      <w:r w:rsidRPr="00AF1EE1">
        <w:rPr>
          <w:rFonts w:eastAsia="Times New Roman"/>
          <w:color w:val="auto"/>
          <w:szCs w:val="24"/>
          <w:lang w:val="en-US" w:eastAsia="en-US"/>
        </w:rPr>
        <w:t xml:space="preserve">. [online] Logowik.com. Available at: </w:t>
      </w:r>
      <w:hyperlink w:history="1" r:id="rId14">
        <w:r w:rsidRPr="00AD27A3" w:rsidR="007B69D3">
          <w:rPr>
            <w:rStyle w:val="Hyperlink"/>
            <w:rFonts w:eastAsia="Times New Roman"/>
            <w:szCs w:val="24"/>
            <w:lang w:val="en-US" w:eastAsia="en-US" w:bidi="ar-SA"/>
          </w:rPr>
          <w:t>https://logowik.com/transport-of-london-vector-logo-12088.html</w:t>
        </w:r>
      </w:hyperlink>
      <w:r w:rsidR="007B69D3">
        <w:rPr>
          <w:rFonts w:eastAsia="Times New Roman"/>
          <w:color w:val="auto"/>
          <w:szCs w:val="24"/>
          <w:lang w:val="en-US" w:eastAsia="en-US"/>
        </w:rPr>
        <w:t xml:space="preserve"> </w:t>
      </w:r>
      <w:r w:rsidRPr="00AF1EE1">
        <w:rPr>
          <w:rFonts w:eastAsia="Times New Roman"/>
          <w:color w:val="auto"/>
          <w:szCs w:val="24"/>
          <w:lang w:val="en-US" w:eastAsia="en-US"/>
        </w:rPr>
        <w:t xml:space="preserve"> [Accessed 5 Dec. 2025].</w:t>
      </w:r>
    </w:p>
    <w:p xmlns:wp14="http://schemas.microsoft.com/office/word/2010/wordml" w:rsidRPr="00AF1EE1" w:rsidR="00AF1EE1" w:rsidP="007B69D3" w:rsidRDefault="00AF1EE1" w14:paraId="3F13CBD1" wp14:textId="77777777">
      <w:pPr>
        <w:numPr>
          <w:ilvl w:val="0"/>
          <w:numId w:val="1"/>
        </w:numPr>
        <w:suppressAutoHyphens w:val="0"/>
        <w:spacing w:after="240" w:line="240" w:lineRule="auto"/>
        <w:ind w:left="720" w:hanging="720"/>
        <w:rPr>
          <w:rFonts w:eastAsia="Times New Roman"/>
          <w:color w:val="auto"/>
          <w:szCs w:val="24"/>
          <w:lang w:val="en-US" w:eastAsia="en-US"/>
        </w:rPr>
      </w:pPr>
      <w:r w:rsidRPr="00AF1EE1">
        <w:rPr>
          <w:rFonts w:eastAsia="Times New Roman"/>
          <w:color w:val="auto"/>
          <w:szCs w:val="24"/>
          <w:lang w:val="en-US" w:eastAsia="en-US"/>
        </w:rPr>
        <w:t xml:space="preserve">Mowbray, P.K., Wilkinson, A. and Tse, H.H.M. (2021). Strategic or Silencing? Line Managers’ Repurposing of Employee Voice Mechanisms for High Performance. </w:t>
      </w:r>
      <w:r w:rsidRPr="00AF1EE1">
        <w:rPr>
          <w:rFonts w:eastAsia="Times New Roman"/>
          <w:i/>
          <w:iCs/>
          <w:color w:val="auto"/>
          <w:szCs w:val="24"/>
          <w:lang w:val="en-US" w:eastAsia="en-US"/>
        </w:rPr>
        <w:t>British Journal of Management</w:t>
      </w:r>
      <w:r w:rsidRPr="00AF1EE1">
        <w:rPr>
          <w:rFonts w:eastAsia="Times New Roman"/>
          <w:color w:val="auto"/>
          <w:szCs w:val="24"/>
          <w:lang w:val="en-US" w:eastAsia="en-US"/>
        </w:rPr>
        <w:t>, 33(2). doi:</w:t>
      </w:r>
      <w:r w:rsidR="007B69D3">
        <w:rPr>
          <w:rFonts w:eastAsia="Times New Roman"/>
          <w:color w:val="auto"/>
          <w:szCs w:val="24"/>
          <w:lang w:val="en-US" w:eastAsia="en-US"/>
        </w:rPr>
        <w:t xml:space="preserve"> </w:t>
      </w:r>
      <w:hyperlink w:history="1" r:id="rId15">
        <w:r w:rsidRPr="00AD27A3" w:rsidR="007B69D3">
          <w:rPr>
            <w:rStyle w:val="Hyperlink"/>
            <w:rFonts w:eastAsia="Times New Roman"/>
            <w:szCs w:val="24"/>
            <w:lang w:val="en-US" w:eastAsia="en-US" w:bidi="ar-SA"/>
          </w:rPr>
          <w:t>https://doi.org/10.1111/1467-8551.12469</w:t>
        </w:r>
      </w:hyperlink>
      <w:r w:rsidRPr="00AF1EE1">
        <w:rPr>
          <w:rFonts w:eastAsia="Times New Roman"/>
          <w:color w:val="auto"/>
          <w:szCs w:val="24"/>
          <w:lang w:val="en-US" w:eastAsia="en-US"/>
        </w:rPr>
        <w:t>.</w:t>
      </w:r>
      <w:r w:rsidR="007B69D3">
        <w:rPr>
          <w:rFonts w:eastAsia="Times New Roman"/>
          <w:color w:val="auto"/>
          <w:szCs w:val="24"/>
          <w:lang w:val="en-US" w:eastAsia="en-US"/>
        </w:rPr>
        <w:t xml:space="preserve"> </w:t>
      </w:r>
    </w:p>
    <w:p xmlns:wp14="http://schemas.microsoft.com/office/word/2010/wordml" w:rsidRPr="00AF1EE1" w:rsidR="00AF1EE1" w:rsidP="007B69D3" w:rsidRDefault="00AF1EE1" w14:paraId="530A8A58" wp14:textId="77777777">
      <w:pPr>
        <w:numPr>
          <w:ilvl w:val="0"/>
          <w:numId w:val="1"/>
        </w:numPr>
        <w:suppressAutoHyphens w:val="0"/>
        <w:spacing w:after="240" w:line="240" w:lineRule="auto"/>
        <w:ind w:left="720" w:hanging="720"/>
        <w:rPr>
          <w:rFonts w:eastAsia="Times New Roman"/>
          <w:color w:val="auto"/>
          <w:szCs w:val="24"/>
          <w:lang w:val="en-US" w:eastAsia="en-US"/>
        </w:rPr>
      </w:pPr>
      <w:r w:rsidRPr="00AF1EE1">
        <w:rPr>
          <w:rFonts w:eastAsia="Times New Roman"/>
          <w:color w:val="auto"/>
          <w:szCs w:val="24"/>
          <w:lang w:val="en-US" w:eastAsia="en-US"/>
        </w:rPr>
        <w:t xml:space="preserve">Salman, S.M., Hamed, S.A. and Fisal, M.Z. (2023). Leadership and Internal Communication Strategies in Public Organizations: Analytical Research. </w:t>
      </w:r>
      <w:r w:rsidRPr="00AF1EE1">
        <w:rPr>
          <w:rFonts w:eastAsia="Times New Roman"/>
          <w:i/>
          <w:iCs/>
          <w:color w:val="auto"/>
          <w:szCs w:val="24"/>
          <w:lang w:val="en-US" w:eastAsia="en-US"/>
        </w:rPr>
        <w:t>International Journal of Professional Business Review: Int. J. Prof.Bus. Rev.</w:t>
      </w:r>
      <w:r w:rsidRPr="00AF1EE1">
        <w:rPr>
          <w:rFonts w:eastAsia="Times New Roman"/>
          <w:color w:val="auto"/>
          <w:szCs w:val="24"/>
          <w:lang w:val="en-US" w:eastAsia="en-US"/>
        </w:rPr>
        <w:t xml:space="preserve">, [online] 8(4), p.14. Available at: </w:t>
      </w:r>
      <w:hyperlink w:history="1" r:id="rId16">
        <w:r w:rsidRPr="00AD27A3" w:rsidR="007B69D3">
          <w:rPr>
            <w:rStyle w:val="Hyperlink"/>
            <w:rFonts w:eastAsia="Times New Roman"/>
            <w:szCs w:val="24"/>
            <w:lang w:val="en-US" w:eastAsia="en-US" w:bidi="ar-SA"/>
          </w:rPr>
          <w:t>https://dialnet.unirioja.es/servlet/articulo?codigo=8956075</w:t>
        </w:r>
      </w:hyperlink>
      <w:r w:rsidRPr="00AF1EE1">
        <w:rPr>
          <w:rFonts w:eastAsia="Times New Roman"/>
          <w:color w:val="auto"/>
          <w:szCs w:val="24"/>
          <w:lang w:val="en-US" w:eastAsia="en-US"/>
        </w:rPr>
        <w:t>.</w:t>
      </w:r>
      <w:r w:rsidR="007B69D3">
        <w:rPr>
          <w:rFonts w:eastAsia="Times New Roman"/>
          <w:color w:val="auto"/>
          <w:szCs w:val="24"/>
          <w:lang w:val="en-US" w:eastAsia="en-US"/>
        </w:rPr>
        <w:t xml:space="preserve"> </w:t>
      </w:r>
    </w:p>
    <w:p xmlns:wp14="http://schemas.microsoft.com/office/word/2010/wordml" w:rsidRPr="00AF1EE1" w:rsidR="00AF1EE1" w:rsidP="007B69D3" w:rsidRDefault="00AF1EE1" w14:paraId="05250274" wp14:textId="77777777">
      <w:pPr>
        <w:numPr>
          <w:ilvl w:val="0"/>
          <w:numId w:val="1"/>
        </w:numPr>
        <w:suppressAutoHyphens w:val="0"/>
        <w:spacing w:after="240" w:line="240" w:lineRule="auto"/>
        <w:ind w:left="720" w:hanging="720"/>
        <w:rPr>
          <w:rFonts w:eastAsia="Times New Roman"/>
          <w:color w:val="auto"/>
          <w:szCs w:val="24"/>
          <w:lang w:val="en-US" w:eastAsia="en-US"/>
        </w:rPr>
      </w:pPr>
      <w:r w:rsidRPr="00AF1EE1">
        <w:rPr>
          <w:rFonts w:eastAsia="Times New Roman"/>
          <w:color w:val="auto"/>
          <w:szCs w:val="24"/>
          <w:lang w:val="en-US" w:eastAsia="en-US"/>
        </w:rPr>
        <w:t xml:space="preserve">Shifrin, N.V. and Michel, J.S. (2022). Flexible work arrangements and employee health: A meta-analytic review. </w:t>
      </w:r>
      <w:r w:rsidRPr="00AF1EE1">
        <w:rPr>
          <w:rFonts w:eastAsia="Times New Roman"/>
          <w:i/>
          <w:iCs/>
          <w:color w:val="auto"/>
          <w:szCs w:val="24"/>
          <w:lang w:val="en-US" w:eastAsia="en-US"/>
        </w:rPr>
        <w:t>Work &amp; Stress</w:t>
      </w:r>
      <w:r w:rsidRPr="00AF1EE1">
        <w:rPr>
          <w:rFonts w:eastAsia="Times New Roman"/>
          <w:color w:val="auto"/>
          <w:szCs w:val="24"/>
          <w:lang w:val="en-US" w:eastAsia="en-US"/>
        </w:rPr>
        <w:t>, 36(1), pp.1–26. doi:</w:t>
      </w:r>
      <w:r>
        <w:rPr>
          <w:rFonts w:eastAsia="Times New Roman"/>
          <w:color w:val="auto"/>
          <w:szCs w:val="24"/>
          <w:lang w:val="en-US" w:eastAsia="en-US"/>
        </w:rPr>
        <w:t xml:space="preserve"> </w:t>
      </w:r>
      <w:hyperlink w:history="1" r:id="rId17">
        <w:r w:rsidRPr="00AD27A3">
          <w:rPr>
            <w:rStyle w:val="Hyperlink"/>
            <w:rFonts w:eastAsia="Times New Roman"/>
            <w:szCs w:val="24"/>
            <w:lang w:val="en-US" w:eastAsia="en-US" w:bidi="ar-SA"/>
          </w:rPr>
          <w:t>https://doi.org/10.1080/02678373.2021.1936287</w:t>
        </w:r>
      </w:hyperlink>
      <w:r w:rsidRPr="00AF1EE1">
        <w:rPr>
          <w:rFonts w:eastAsia="Times New Roman"/>
          <w:color w:val="auto"/>
          <w:szCs w:val="24"/>
          <w:lang w:val="en-US" w:eastAsia="en-US"/>
        </w:rPr>
        <w:t>.</w:t>
      </w:r>
      <w:r>
        <w:rPr>
          <w:rFonts w:eastAsia="Times New Roman"/>
          <w:color w:val="auto"/>
          <w:szCs w:val="24"/>
          <w:lang w:val="en-US" w:eastAsia="en-US"/>
        </w:rPr>
        <w:t xml:space="preserve"> </w:t>
      </w:r>
    </w:p>
    <w:p xmlns:wp14="http://schemas.microsoft.com/office/word/2010/wordml" w:rsidRPr="00AF1EE1" w:rsidR="00AF1EE1" w:rsidP="007B69D3" w:rsidRDefault="00AF1EE1" w14:paraId="692E1022" wp14:textId="77777777">
      <w:pPr>
        <w:numPr>
          <w:ilvl w:val="0"/>
          <w:numId w:val="1"/>
        </w:numPr>
        <w:suppressAutoHyphens w:val="0"/>
        <w:spacing w:after="240" w:line="240" w:lineRule="auto"/>
        <w:ind w:left="720" w:hanging="720"/>
        <w:rPr>
          <w:rFonts w:eastAsia="Times New Roman"/>
          <w:color w:val="auto"/>
          <w:szCs w:val="24"/>
          <w:lang w:val="en-US" w:eastAsia="en-US"/>
        </w:rPr>
      </w:pPr>
      <w:r w:rsidRPr="00AF1EE1">
        <w:rPr>
          <w:rFonts w:eastAsia="Times New Roman"/>
          <w:color w:val="auto"/>
          <w:szCs w:val="24"/>
          <w:lang w:val="en-US" w:eastAsia="en-US"/>
        </w:rPr>
        <w:t xml:space="preserve">Transport for London (2019). </w:t>
      </w:r>
      <w:r w:rsidRPr="00AF1EE1">
        <w:rPr>
          <w:rFonts w:eastAsia="Times New Roman"/>
          <w:i/>
          <w:iCs/>
          <w:color w:val="auto"/>
          <w:szCs w:val="24"/>
          <w:lang w:val="en-US" w:eastAsia="en-US"/>
        </w:rPr>
        <w:t>Keeping London moving</w:t>
      </w:r>
      <w:r w:rsidRPr="00AF1EE1">
        <w:rPr>
          <w:rFonts w:eastAsia="Times New Roman"/>
          <w:color w:val="auto"/>
          <w:szCs w:val="24"/>
          <w:lang w:val="en-US" w:eastAsia="en-US"/>
        </w:rPr>
        <w:t xml:space="preserve">. [online] Transport for London. Available at: </w:t>
      </w:r>
      <w:hyperlink w:history="1" r:id="rId18">
        <w:r w:rsidRPr="00AD27A3">
          <w:rPr>
            <w:rStyle w:val="Hyperlink"/>
            <w:rFonts w:eastAsia="Times New Roman"/>
            <w:szCs w:val="24"/>
            <w:lang w:val="en-US" w:eastAsia="en-US" w:bidi="ar-SA"/>
          </w:rPr>
          <w:t>https://tfl.gov.uk/</w:t>
        </w:r>
      </w:hyperlink>
      <w:r w:rsidRPr="00AF1EE1">
        <w:rPr>
          <w:rFonts w:eastAsia="Times New Roman"/>
          <w:color w:val="auto"/>
          <w:szCs w:val="24"/>
          <w:lang w:val="en-US" w:eastAsia="en-US"/>
        </w:rPr>
        <w:t>.</w:t>
      </w:r>
      <w:r>
        <w:rPr>
          <w:rFonts w:eastAsia="Times New Roman"/>
          <w:color w:val="auto"/>
          <w:szCs w:val="24"/>
          <w:lang w:val="en-US" w:eastAsia="en-US"/>
        </w:rPr>
        <w:t xml:space="preserve"> </w:t>
      </w:r>
    </w:p>
    <w:p xmlns:wp14="http://schemas.microsoft.com/office/word/2010/wordml" w:rsidRPr="00AF1EE1" w:rsidR="00AF1EE1" w:rsidP="007B69D3" w:rsidRDefault="00AF1EE1" w14:paraId="69582EB0" wp14:textId="77777777">
      <w:pPr>
        <w:numPr>
          <w:ilvl w:val="0"/>
          <w:numId w:val="1"/>
        </w:numPr>
        <w:suppressAutoHyphens w:val="0"/>
        <w:spacing w:after="240" w:line="240" w:lineRule="auto"/>
        <w:ind w:left="720" w:hanging="720"/>
        <w:rPr>
          <w:rFonts w:eastAsia="Times New Roman"/>
          <w:color w:val="auto"/>
          <w:szCs w:val="24"/>
          <w:lang w:val="en-US" w:eastAsia="en-US"/>
        </w:rPr>
      </w:pPr>
      <w:r w:rsidRPr="00AF1EE1">
        <w:rPr>
          <w:rFonts w:eastAsia="Times New Roman"/>
          <w:color w:val="auto"/>
          <w:szCs w:val="24"/>
          <w:lang w:val="en-US" w:eastAsia="en-US"/>
        </w:rPr>
        <w:t xml:space="preserve">Zamokuhle Welcome Shabane, Schultz, C., Karel Frederick Lessing and Van, E. (2022). Influence of Job Satisfaction on Employee Relations and Work Engagement. </w:t>
      </w:r>
      <w:r w:rsidRPr="00AF1EE1">
        <w:rPr>
          <w:rFonts w:eastAsia="Times New Roman"/>
          <w:i/>
          <w:iCs/>
          <w:color w:val="auto"/>
          <w:szCs w:val="24"/>
          <w:lang w:val="en-US" w:eastAsia="en-US"/>
        </w:rPr>
        <w:t>African Journal of Employee Relations</w:t>
      </w:r>
      <w:r w:rsidRPr="00AF1EE1">
        <w:rPr>
          <w:rFonts w:eastAsia="Times New Roman"/>
          <w:color w:val="auto"/>
          <w:szCs w:val="24"/>
          <w:lang w:val="en-US" w:eastAsia="en-US"/>
        </w:rPr>
        <w:t>, 46. doi:</w:t>
      </w:r>
      <w:r>
        <w:rPr>
          <w:rFonts w:eastAsia="Times New Roman"/>
          <w:color w:val="auto"/>
          <w:szCs w:val="24"/>
          <w:lang w:val="en-US" w:eastAsia="en-US"/>
        </w:rPr>
        <w:t xml:space="preserve"> </w:t>
      </w:r>
      <w:hyperlink w:history="1" r:id="rId19">
        <w:r w:rsidRPr="00AD27A3">
          <w:rPr>
            <w:rStyle w:val="Hyperlink"/>
            <w:rFonts w:eastAsia="Times New Roman"/>
            <w:szCs w:val="24"/>
            <w:lang w:val="en-US" w:eastAsia="en-US" w:bidi="ar-SA"/>
          </w:rPr>
          <w:t>https://doi.org/10.25159/2664-3731/9669</w:t>
        </w:r>
      </w:hyperlink>
      <w:r w:rsidRPr="00AF1EE1">
        <w:rPr>
          <w:rFonts w:eastAsia="Times New Roman"/>
          <w:color w:val="auto"/>
          <w:szCs w:val="24"/>
          <w:lang w:val="en-US" w:eastAsia="en-US"/>
        </w:rPr>
        <w:t>.</w:t>
      </w:r>
      <w:r>
        <w:rPr>
          <w:rFonts w:eastAsia="Times New Roman"/>
          <w:color w:val="auto"/>
          <w:szCs w:val="24"/>
          <w:lang w:val="en-US" w:eastAsia="en-US"/>
        </w:rPr>
        <w:t xml:space="preserve"> </w:t>
      </w:r>
    </w:p>
    <w:p xmlns:wp14="http://schemas.microsoft.com/office/word/2010/wordml" w:rsidR="008A185F" w:rsidP="0088304F" w:rsidRDefault="008A185F" w14:paraId="0562CB0E" wp14:textId="77777777">
      <w:pPr>
        <w:ind w:left="720" w:hanging="720"/>
        <w:rPr>
          <w:color w:val="auto"/>
          <w:szCs w:val="24"/>
          <w:shd w:val="clear" w:color="auto" w:fill="FFFFFF"/>
        </w:rPr>
      </w:pPr>
    </w:p>
    <w:p xmlns:wp14="http://schemas.microsoft.com/office/word/2010/wordml" w:rsidR="008A185F" w:rsidP="0088304F" w:rsidRDefault="008A185F" w14:paraId="34CE0A41" wp14:textId="77777777"/>
    <w:p xmlns:wp14="http://schemas.microsoft.com/office/word/2010/wordml" w:rsidR="008A185F" w:rsidP="0088304F" w:rsidRDefault="008A185F" w14:paraId="62EBF3C5" wp14:textId="77777777">
      <w:pPr>
        <w:ind w:left="720" w:hanging="720"/>
        <w:rPr>
          <w:color w:val="auto"/>
          <w:szCs w:val="24"/>
          <w:shd w:val="clear" w:color="auto" w:fill="FFFFFF"/>
        </w:rPr>
      </w:pPr>
      <w:r>
        <w:rPr>
          <w:color w:val="auto"/>
          <w:szCs w:val="24"/>
          <w:shd w:val="clear" w:color="auto" w:fill="FFFFFF"/>
        </w:rPr>
        <w:tab/>
      </w:r>
    </w:p>
    <w:p xmlns:wp14="http://schemas.microsoft.com/office/word/2010/wordml" w:rsidR="008A185F" w:rsidP="0088304F" w:rsidRDefault="008A185F" w14:paraId="6D98A12B" wp14:textId="77777777">
      <w:pPr>
        <w:ind w:left="720" w:hanging="720"/>
        <w:rPr>
          <w:color w:val="auto"/>
          <w:szCs w:val="24"/>
          <w:shd w:val="clear" w:color="auto" w:fill="FFFFFF"/>
        </w:rPr>
      </w:pPr>
    </w:p>
    <w:p xmlns:wp14="http://schemas.microsoft.com/office/word/2010/wordml" w:rsidR="008A185F" w:rsidP="0088304F" w:rsidRDefault="008A185F" w14:paraId="2946DB82" wp14:textId="77777777">
      <w:pPr>
        <w:ind w:left="720" w:hanging="720"/>
        <w:rPr>
          <w:lang w:val="en-IN"/>
        </w:rPr>
      </w:pPr>
    </w:p>
    <w:p xmlns:wp14="http://schemas.microsoft.com/office/word/2010/wordml" w:rsidR="008A185F" w:rsidP="0088304F" w:rsidRDefault="008A185F" w14:paraId="5997CC1D" wp14:textId="77777777"/>
    <w:sectPr w:rsidR="008A185F">
      <w:footerReference w:type="default" r:id="rId20"/>
      <w:pgSz w:w="12240" w:h="15840" w:orient="portrait"/>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E712C6" w:rsidP="00437807" w:rsidRDefault="00E712C6" w14:paraId="110FFD37" wp14:textId="77777777">
      <w:pPr>
        <w:spacing w:line="240" w:lineRule="auto"/>
      </w:pPr>
      <w:r>
        <w:separator/>
      </w:r>
    </w:p>
  </w:endnote>
  <w:endnote w:type="continuationSeparator" w:id="0">
    <w:p xmlns:wp14="http://schemas.microsoft.com/office/word/2010/wordml" w:rsidR="00E712C6" w:rsidP="00437807" w:rsidRDefault="00E712C6" w14:paraId="6B699379"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437807" w:rsidRDefault="00437807" w14:paraId="4E90E1FE" wp14:textId="77777777">
    <w:pPr>
      <w:pStyle w:val="Footer"/>
      <w:jc w:val="center"/>
    </w:pPr>
    <w:r>
      <w:fldChar w:fldCharType="begin"/>
    </w:r>
    <w:r>
      <w:instrText xml:space="preserve"> PAGE   \* MERGEFORMAT </w:instrText>
    </w:r>
    <w:r>
      <w:fldChar w:fldCharType="separate"/>
    </w:r>
    <w:r w:rsidR="007A4CE3">
      <w:rPr>
        <w:noProof/>
      </w:rPr>
      <w:t>10</w:t>
    </w:r>
    <w:r>
      <w:rPr>
        <w:noProof/>
      </w:rPr>
      <w:fldChar w:fldCharType="end"/>
    </w:r>
  </w:p>
  <w:p xmlns:wp14="http://schemas.microsoft.com/office/word/2010/wordml" w:rsidR="00437807" w:rsidRDefault="00437807" w14:paraId="3FE9F23F"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E712C6" w:rsidP="00437807" w:rsidRDefault="00E712C6" w14:paraId="1F72F646" wp14:textId="77777777">
      <w:pPr>
        <w:spacing w:line="240" w:lineRule="auto"/>
      </w:pPr>
      <w:r>
        <w:separator/>
      </w:r>
    </w:p>
  </w:footnote>
  <w:footnote w:type="continuationSeparator" w:id="0">
    <w:p xmlns:wp14="http://schemas.microsoft.com/office/word/2010/wordml" w:rsidR="00E712C6" w:rsidP="00437807" w:rsidRDefault="00E712C6" w14:paraId="08CE6F91"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eastAsia="Droid Sans"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2F175CE"/>
    <w:multiLevelType w:val="hybridMultilevel"/>
    <w:tmpl w:val="88D27C5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0CBE1694"/>
    <w:multiLevelType w:val="hybridMultilevel"/>
    <w:tmpl w:val="18D06BB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0D5703FE"/>
    <w:multiLevelType w:val="multilevel"/>
    <w:tmpl w:val="653E96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5DD67F4"/>
    <w:multiLevelType w:val="hybridMultilevel"/>
    <w:tmpl w:val="0824B99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208B2CFA"/>
    <w:multiLevelType w:val="hybridMultilevel"/>
    <w:tmpl w:val="45D68A1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7" w15:restartNumberingAfterBreak="0">
    <w:nsid w:val="22043723"/>
    <w:multiLevelType w:val="multilevel"/>
    <w:tmpl w:val="E1E824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6B6581C"/>
    <w:multiLevelType w:val="multilevel"/>
    <w:tmpl w:val="01EC18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B2A324D"/>
    <w:multiLevelType w:val="hybridMultilevel"/>
    <w:tmpl w:val="7D54622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0" w15:restartNumberingAfterBreak="0">
    <w:nsid w:val="3CFA14F0"/>
    <w:multiLevelType w:val="multilevel"/>
    <w:tmpl w:val="C9DA57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2E803F4"/>
    <w:multiLevelType w:val="multilevel"/>
    <w:tmpl w:val="653E96C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52C744A"/>
    <w:multiLevelType w:val="hybridMultilevel"/>
    <w:tmpl w:val="0CAA42B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3" w15:restartNumberingAfterBreak="0">
    <w:nsid w:val="4C924B3C"/>
    <w:multiLevelType w:val="multilevel"/>
    <w:tmpl w:val="653E96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E2E6F30"/>
    <w:multiLevelType w:val="multilevel"/>
    <w:tmpl w:val="86060E4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46F6419"/>
    <w:multiLevelType w:val="multilevel"/>
    <w:tmpl w:val="653E96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B8D6963"/>
    <w:multiLevelType w:val="multilevel"/>
    <w:tmpl w:val="9A0E7F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1A671F0"/>
    <w:multiLevelType w:val="multilevel"/>
    <w:tmpl w:val="653E96C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9DE4291"/>
    <w:multiLevelType w:val="hybridMultilevel"/>
    <w:tmpl w:val="CDF0067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9" w15:restartNumberingAfterBreak="0">
    <w:nsid w:val="6CDE536D"/>
    <w:multiLevelType w:val="hybridMultilevel"/>
    <w:tmpl w:val="6E5AED7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0" w15:restartNumberingAfterBreak="0">
    <w:nsid w:val="6D396FBC"/>
    <w:multiLevelType w:val="multilevel"/>
    <w:tmpl w:val="653E96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3AF526F"/>
    <w:multiLevelType w:val="multilevel"/>
    <w:tmpl w:val="576066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45C43A4"/>
    <w:multiLevelType w:val="hybridMultilevel"/>
    <w:tmpl w:val="5568068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3" w15:restartNumberingAfterBreak="0">
    <w:nsid w:val="781B08AA"/>
    <w:multiLevelType w:val="multilevel"/>
    <w:tmpl w:val="27C286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F9E2DF2"/>
    <w:multiLevelType w:val="hybridMultilevel"/>
    <w:tmpl w:val="9008244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16cid:durableId="1775056619">
    <w:abstractNumId w:val="0"/>
  </w:num>
  <w:num w:numId="2" w16cid:durableId="85660676">
    <w:abstractNumId w:val="1"/>
  </w:num>
  <w:num w:numId="3" w16cid:durableId="325283140">
    <w:abstractNumId w:val="23"/>
  </w:num>
  <w:num w:numId="4" w16cid:durableId="577053504">
    <w:abstractNumId w:val="7"/>
  </w:num>
  <w:num w:numId="5" w16cid:durableId="191460538">
    <w:abstractNumId w:val="21"/>
  </w:num>
  <w:num w:numId="6" w16cid:durableId="1139954895">
    <w:abstractNumId w:val="16"/>
  </w:num>
  <w:num w:numId="7" w16cid:durableId="1389957744">
    <w:abstractNumId w:val="10"/>
  </w:num>
  <w:num w:numId="8" w16cid:durableId="346904695">
    <w:abstractNumId w:val="14"/>
  </w:num>
  <w:num w:numId="9" w16cid:durableId="53313232">
    <w:abstractNumId w:val="8"/>
  </w:num>
  <w:num w:numId="10" w16cid:durableId="1248689947">
    <w:abstractNumId w:val="9"/>
  </w:num>
  <w:num w:numId="11" w16cid:durableId="10642835">
    <w:abstractNumId w:val="24"/>
  </w:num>
  <w:num w:numId="12" w16cid:durableId="325323241">
    <w:abstractNumId w:val="18"/>
  </w:num>
  <w:num w:numId="13" w16cid:durableId="1685933692">
    <w:abstractNumId w:val="2"/>
  </w:num>
  <w:num w:numId="14" w16cid:durableId="742608177">
    <w:abstractNumId w:val="15"/>
  </w:num>
  <w:num w:numId="15" w16cid:durableId="413556470">
    <w:abstractNumId w:val="20"/>
  </w:num>
  <w:num w:numId="16" w16cid:durableId="1273976614">
    <w:abstractNumId w:val="17"/>
  </w:num>
  <w:num w:numId="17" w16cid:durableId="446657758">
    <w:abstractNumId w:val="11"/>
  </w:num>
  <w:num w:numId="18" w16cid:durableId="979311156">
    <w:abstractNumId w:val="13"/>
  </w:num>
  <w:num w:numId="19" w16cid:durableId="2050907393">
    <w:abstractNumId w:val="4"/>
  </w:num>
  <w:num w:numId="20" w16cid:durableId="1197234936">
    <w:abstractNumId w:val="3"/>
  </w:num>
  <w:num w:numId="21" w16cid:durableId="447939523">
    <w:abstractNumId w:val="22"/>
  </w:num>
  <w:num w:numId="22" w16cid:durableId="288126224">
    <w:abstractNumId w:val="6"/>
  </w:num>
  <w:num w:numId="23" w16cid:durableId="1101221610">
    <w:abstractNumId w:val="19"/>
  </w:num>
  <w:num w:numId="24" w16cid:durableId="446242546">
    <w:abstractNumId w:val="12"/>
  </w:num>
  <w:num w:numId="25" w16cid:durableId="1737195305">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5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70"/>
    <w:rsid w:val="001913B4"/>
    <w:rsid w:val="00236CD2"/>
    <w:rsid w:val="002D4A20"/>
    <w:rsid w:val="00437807"/>
    <w:rsid w:val="00591AB2"/>
    <w:rsid w:val="006E5F90"/>
    <w:rsid w:val="007A4CE3"/>
    <w:rsid w:val="007B69D3"/>
    <w:rsid w:val="0082561F"/>
    <w:rsid w:val="0088304F"/>
    <w:rsid w:val="008A185F"/>
    <w:rsid w:val="00923AED"/>
    <w:rsid w:val="00A03C61"/>
    <w:rsid w:val="00A57088"/>
    <w:rsid w:val="00A86FC2"/>
    <w:rsid w:val="00A978AC"/>
    <w:rsid w:val="00AA1824"/>
    <w:rsid w:val="00AF1EE1"/>
    <w:rsid w:val="00BE3D37"/>
    <w:rsid w:val="00C27287"/>
    <w:rsid w:val="00C331BC"/>
    <w:rsid w:val="00D31FE1"/>
    <w:rsid w:val="00E712C6"/>
    <w:rsid w:val="00F87070"/>
    <w:rsid w:val="00FB3FA7"/>
    <w:rsid w:val="2931F7CB"/>
    <w:rsid w:val="297E5EA1"/>
    <w:rsid w:val="2E7B5FCB"/>
    <w:rsid w:val="40E4A2BB"/>
    <w:rsid w:val="4FB5C726"/>
    <w:rsid w:val="7A71F27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99C674C"/>
  <w15:chartTrackingRefBased/>
  <w15:docId w15:val="{67FFC378-2C3D-4CB3-83D2-5E76E5C2BC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C27287"/>
    <w:pPr>
      <w:keepNext/>
      <w:keepLines/>
      <w:numPr>
        <w:numId w:val="1"/>
      </w:numPr>
      <w:spacing w:before="113"/>
      <w:outlineLvl w:val="0"/>
    </w:pPr>
    <w:rPr>
      <w:rFonts w:eastAsia="Times New Roman"/>
      <w:b/>
      <w:bCs/>
      <w:color w:val="2E74B5"/>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eastAsia="Droid Sans" w:cs="OpenSymbol"/>
      <w:sz w:val="28"/>
      <w:szCs w:val="24"/>
      <w:lang w:val="en-GB"/>
    </w:rPr>
  </w:style>
  <w:style w:type="character" w:styleId="WW8Num2z1" w:customStyle="1">
    <w:name w:val="WW8Num2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hAnsi="Symbol" w:cs="OpenSymbol"/>
      <w:lang w:val="en-GB"/>
    </w:rPr>
  </w:style>
  <w:style w:type="character" w:styleId="WW8Num3z1" w:customStyle="1">
    <w:name w:val="WW8Num3z1"/>
    <w:rPr>
      <w:rFonts w:ascii="OpenSymbol" w:hAnsi="OpenSymbol" w:cs="OpenSymbol"/>
    </w:rPr>
  </w:style>
  <w:style w:type="character" w:styleId="WW8Num3z2" w:customStyle="1">
    <w:name w:val="WW8Num3z2"/>
    <w:rPr>
      <w:rFonts w:hint="default" w:ascii="Wingdings" w:hAnsi="Wingdings" w:cs="Wingdings"/>
    </w:rPr>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4z0" w:customStyle="1">
    <w:name w:val="WW8Num4z0"/>
    <w:rPr>
      <w:rFonts w:cs="Times New Roman"/>
      <w:lang w:val="en-GB"/>
    </w:rPr>
  </w:style>
  <w:style w:type="character" w:styleId="WW8Num4z1" w:customStyle="1">
    <w:name w:val="WW8Num4z1"/>
  </w:style>
  <w:style w:type="character" w:styleId="WW8Num4z2" w:customStyle="1">
    <w:name w:val="WW8Num4z2"/>
  </w:style>
  <w:style w:type="character" w:styleId="WW8Num5z0" w:customStyle="1">
    <w:name w:val="WW8Num5z0"/>
    <w:rPr>
      <w:rFonts w:ascii="Symbol" w:hAnsi="Symbol" w:cs="OpenSymbol"/>
    </w:rPr>
  </w:style>
  <w:style w:type="character" w:styleId="WW8Num5z1" w:customStyle="1">
    <w:name w:val="WW8Num5z1"/>
    <w:rPr>
      <w:rFonts w:ascii="OpenSymbol" w:hAnsi="OpenSymbol" w:cs="OpenSymbol"/>
    </w:rPr>
  </w:style>
  <w:style w:type="character" w:styleId="WW8Num5z2" w:customStyle="1">
    <w:name w:val="WW8Num5z2"/>
    <w:rPr>
      <w:rFonts w:hint="default" w:ascii="Wingdings" w:hAnsi="Wingdings" w:cs="Wingdings"/>
    </w:rPr>
  </w:style>
  <w:style w:type="character" w:styleId="WW8Num5z3" w:customStyle="1">
    <w:name w:val="WW8Num5z3"/>
  </w:style>
  <w:style w:type="character" w:styleId="WW8Num5z4" w:customStyle="1">
    <w:name w:val="WW8Num5z4"/>
  </w:style>
  <w:style w:type="character" w:styleId="WW8Num5z5" w:customStyle="1">
    <w:name w:val="WW8Num5z5"/>
  </w:style>
  <w:style w:type="character" w:styleId="WW8Num5z6" w:customStyle="1">
    <w:name w:val="WW8Num5z6"/>
  </w:style>
  <w:style w:type="character" w:styleId="WW8Num5z7" w:customStyle="1">
    <w:name w:val="WW8Num5z7"/>
  </w:style>
  <w:style w:type="character" w:styleId="WW8Num5z8" w:customStyle="1">
    <w:name w:val="WW8Num5z8"/>
  </w:style>
  <w:style w:type="character" w:styleId="WW8Num6z0" w:customStyle="1">
    <w:name w:val="WW8Num6z0"/>
    <w:rPr>
      <w:rFonts w:ascii="Symbol" w:hAnsi="Symbol" w:eastAsia="Droid Sans" w:cs="OpenSymbol"/>
      <w:szCs w:val="24"/>
    </w:rPr>
  </w:style>
  <w:style w:type="character" w:styleId="WW8Num6z1" w:customStyle="1">
    <w:name w:val="WW8Num6z1"/>
    <w:rPr>
      <w:rFonts w:ascii="OpenSymbol" w:hAnsi="OpenSymbol" w:cs="OpenSymbol"/>
    </w:rPr>
  </w:style>
  <w:style w:type="character" w:styleId="WW8Num6z2" w:customStyle="1">
    <w:name w:val="WW8Num6z2"/>
    <w:rPr>
      <w:rFonts w:hint="default" w:ascii="Wingdings" w:hAnsi="Wingdings" w:cs="Wingdings"/>
    </w:rPr>
  </w:style>
  <w:style w:type="character" w:styleId="WW8Num7z0" w:customStyle="1">
    <w:name w:val="WW8Num7z0"/>
    <w:rPr>
      <w:rFonts w:ascii="Symbol" w:hAnsi="Symbol" w:cs="OpenSymbol"/>
      <w:color w:val="ED7D31"/>
    </w:rPr>
  </w:style>
  <w:style w:type="character" w:styleId="WW8Num7z1" w:customStyle="1">
    <w:name w:val="WW8Num7z1"/>
    <w:rPr>
      <w:rFonts w:ascii="OpenSymbol" w:hAnsi="OpenSymbol" w:cs="OpenSymbol"/>
    </w:rPr>
  </w:style>
  <w:style w:type="character" w:styleId="WW8Num7z2" w:customStyle="1">
    <w:name w:val="WW8Num7z2"/>
  </w:style>
  <w:style w:type="character" w:styleId="WW8Num8z0" w:customStyle="1">
    <w:name w:val="WW8Num8z0"/>
    <w:rPr>
      <w:rFonts w:ascii="Symbol" w:hAnsi="Symbol" w:cs="OpenSymbol"/>
      <w:caps w:val="0"/>
      <w:smallCaps w:val="0"/>
      <w:color w:val="ED7D31"/>
      <w:spacing w:val="0"/>
      <w:sz w:val="24"/>
    </w:rPr>
  </w:style>
  <w:style w:type="character" w:styleId="WW8Num8z1" w:customStyle="1">
    <w:name w:val="WW8Num8z1"/>
    <w:rPr>
      <w:rFonts w:ascii="OpenSymbol" w:hAnsi="OpenSymbol" w:cs="OpenSymbol"/>
    </w:rPr>
  </w:style>
  <w:style w:type="character" w:styleId="WW8Num8z2" w:customStyle="1">
    <w:name w:val="WW8Num8z2"/>
    <w:rPr>
      <w:rFonts w:hint="default" w:ascii="Wingdings" w:hAnsi="Wingdings" w:cs="Wingdings"/>
    </w:rPr>
  </w:style>
  <w:style w:type="character" w:styleId="WW8Num9z0" w:customStyle="1">
    <w:name w:val="WW8Num9z0"/>
    <w:rPr>
      <w:rFonts w:ascii="Symbol" w:hAnsi="Symbol" w:eastAsia="Droid Sans" w:cs="OpenSymbol"/>
      <w:color w:val="ED7D31"/>
      <w:szCs w:val="24"/>
    </w:rPr>
  </w:style>
  <w:style w:type="character" w:styleId="WW8Num9z1" w:customStyle="1">
    <w:name w:val="WW8Num9z1"/>
    <w:rPr>
      <w:rFonts w:ascii="OpenSymbol" w:hAnsi="OpenSymbol" w:cs="OpenSymbol"/>
    </w:rPr>
  </w:style>
  <w:style w:type="character" w:styleId="WW8Num9z2" w:customStyle="1">
    <w:name w:val="WW8Num9z2"/>
    <w:rPr>
      <w:rFonts w:hint="default" w:ascii="Wingdings" w:hAnsi="Wingdings" w:cs="Wingdings"/>
    </w:rPr>
  </w:style>
  <w:style w:type="character" w:styleId="WW8Num10z0" w:customStyle="1">
    <w:name w:val="WW8Num10z0"/>
    <w:rPr>
      <w:rFonts w:hint="default" w:ascii="Symbol" w:hAnsi="Symbol" w:cs="Symbol"/>
    </w:rPr>
  </w:style>
  <w:style w:type="character" w:styleId="WW8Num10z1" w:customStyle="1">
    <w:name w:val="WW8Num10z1"/>
    <w:rPr>
      <w:rFonts w:hint="default" w:ascii="Courier New" w:hAnsi="Courier New" w:cs="Courier New"/>
    </w:rPr>
  </w:style>
  <w:style w:type="character" w:styleId="WW8Num10z2" w:customStyle="1">
    <w:name w:val="WW8Num10z2"/>
    <w:rPr>
      <w:rFonts w:hint="default" w:ascii="Wingdings" w:hAnsi="Wingdings" w:cs="Wingdings"/>
    </w:rPr>
  </w:style>
  <w:style w:type="character" w:styleId="WW8Num11z0" w:customStyle="1">
    <w:name w:val="WW8Num11z0"/>
    <w:rPr>
      <w:rFonts w:hint="default" w:ascii="Symbol" w:hAnsi="Symbol" w:cs="Symbol"/>
    </w:rPr>
  </w:style>
  <w:style w:type="character" w:styleId="WW8Num11z1" w:customStyle="1">
    <w:name w:val="WW8Num11z1"/>
    <w:rPr>
      <w:rFonts w:hint="default" w:ascii="Courier New" w:hAnsi="Courier New" w:cs="Courier New"/>
    </w:rPr>
  </w:style>
  <w:style w:type="character" w:styleId="WW8Num11z2" w:customStyle="1">
    <w:name w:val="WW8Num11z2"/>
    <w:rPr>
      <w:rFonts w:hint="default" w:ascii="Wingdings" w:hAnsi="Wingdings" w:cs="Wingdings"/>
    </w:rPr>
  </w:style>
  <w:style w:type="character" w:styleId="WW8Num12z0" w:customStyle="1">
    <w:name w:val="WW8Num12z0"/>
    <w:rPr>
      <w:rFonts w:hint="default" w:ascii="Symbol" w:hAnsi="Symbol" w:cs="Symbol"/>
    </w:rPr>
  </w:style>
  <w:style w:type="character" w:styleId="WW8Num12z1" w:customStyle="1">
    <w:name w:val="WW8Num12z1"/>
    <w:rPr>
      <w:rFonts w:hint="default" w:ascii="Courier New" w:hAnsi="Courier New" w:cs="Courier New"/>
    </w:rPr>
  </w:style>
  <w:style w:type="character" w:styleId="WW8Num12z2" w:customStyle="1">
    <w:name w:val="WW8Num12z2"/>
    <w:rPr>
      <w:rFonts w:hint="default" w:ascii="Wingdings" w:hAnsi="Wingdings" w:cs="Wingdings"/>
    </w:rPr>
  </w:style>
  <w:style w:type="character" w:styleId="WW8Num12z3" w:customStyle="1">
    <w:name w:val="WW8Num12z3"/>
  </w:style>
  <w:style w:type="character" w:styleId="WW8Num12z4" w:customStyle="1">
    <w:name w:val="WW8Num12z4"/>
  </w:style>
  <w:style w:type="character" w:styleId="WW8Num12z5" w:customStyle="1">
    <w:name w:val="WW8Num12z5"/>
  </w:style>
  <w:style w:type="character" w:styleId="WW8Num12z6" w:customStyle="1">
    <w:name w:val="WW8Num12z6"/>
  </w:style>
  <w:style w:type="character" w:styleId="WW8Num12z7" w:customStyle="1">
    <w:name w:val="WW8Num12z7"/>
  </w:style>
  <w:style w:type="character" w:styleId="WW8Num12z8" w:customStyle="1">
    <w:name w:val="WW8Num12z8"/>
  </w:style>
  <w:style w:type="character" w:styleId="WW8Num13z0" w:customStyle="1">
    <w:name w:val="WW8Num13z0"/>
    <w:rPr>
      <w:rFonts w:hint="default" w:ascii="Symbol" w:hAnsi="Symbol" w:cs="Symbol"/>
    </w:rPr>
  </w:style>
  <w:style w:type="character" w:styleId="WW8Num13z1" w:customStyle="1">
    <w:name w:val="WW8Num13z1"/>
    <w:rPr>
      <w:rFonts w:hint="default" w:ascii="Courier New" w:hAnsi="Courier New" w:cs="Courier New"/>
    </w:rPr>
  </w:style>
  <w:style w:type="character" w:styleId="WW8Num13z2" w:customStyle="1">
    <w:name w:val="WW8Num13z2"/>
    <w:rPr>
      <w:rFonts w:hint="default" w:ascii="Wingdings" w:hAnsi="Wingdings" w:cs="Wingdings"/>
    </w:rPr>
  </w:style>
  <w:style w:type="character" w:styleId="WW8Num14z0" w:customStyle="1">
    <w:name w:val="WW8Num14z0"/>
    <w:rPr>
      <w:rFonts w:hint="default" w:ascii="Symbol" w:hAnsi="Symbol" w:cs="Symbol"/>
    </w:rPr>
  </w:style>
  <w:style w:type="character" w:styleId="WW8Num14z1" w:customStyle="1">
    <w:name w:val="WW8Num14z1"/>
    <w:rPr>
      <w:rFonts w:hint="default" w:ascii="Courier New" w:hAnsi="Courier New" w:cs="Courier New"/>
    </w:rPr>
  </w:style>
  <w:style w:type="character" w:styleId="WW8Num14z2" w:customStyle="1">
    <w:name w:val="WW8Num14z2"/>
    <w:rPr>
      <w:rFonts w:hint="default" w:ascii="Wingdings" w:hAnsi="Wingdings" w:cs="Wingdings"/>
    </w:rPr>
  </w:style>
  <w:style w:type="character" w:styleId="WW8Num15z0" w:customStyle="1">
    <w:name w:val="WW8Num15z0"/>
    <w:rPr>
      <w:rFonts w:hint="default" w:ascii="Symbol" w:hAnsi="Symbol" w:cs="Symbol"/>
    </w:rPr>
  </w:style>
  <w:style w:type="character" w:styleId="WW8Num15z1" w:customStyle="1">
    <w:name w:val="WW8Num15z1"/>
    <w:rPr>
      <w:rFonts w:hint="default" w:ascii="Courier New" w:hAnsi="Courier New" w:cs="Courier New"/>
    </w:rPr>
  </w:style>
  <w:style w:type="character" w:styleId="WW8Num15z2" w:customStyle="1">
    <w:name w:val="WW8Num15z2"/>
    <w:rPr>
      <w:rFonts w:hint="default" w:ascii="Wingdings" w:hAnsi="Wingdings" w:cs="Wingdings"/>
    </w:rPr>
  </w:style>
  <w:style w:type="character" w:styleId="WW8Num16z0" w:customStyle="1">
    <w:name w:val="WW8Num16z0"/>
    <w:rPr>
      <w:rFonts w:hint="default" w:ascii="Symbol" w:hAnsi="Symbol" w:cs="Symbol"/>
    </w:rPr>
  </w:style>
  <w:style w:type="character" w:styleId="WW8Num16z1" w:customStyle="1">
    <w:name w:val="WW8Num16z1"/>
    <w:rPr>
      <w:rFonts w:hint="default" w:ascii="Courier New" w:hAnsi="Courier New" w:cs="Courier New"/>
    </w:rPr>
  </w:style>
  <w:style w:type="character" w:styleId="WW8Num16z2" w:customStyle="1">
    <w:name w:val="WW8Num16z2"/>
    <w:rPr>
      <w:rFonts w:hint="default" w:ascii="Wingdings" w:hAnsi="Wingdings" w:cs="Wingdings"/>
    </w:rPr>
  </w:style>
  <w:style w:type="character" w:styleId="WW8Num17z0" w:customStyle="1">
    <w:name w:val="WW8Num17z0"/>
    <w:rPr>
      <w:rFonts w:hint="default" w:ascii="Symbol" w:hAnsi="Symbol" w:cs="Symbol"/>
    </w:rPr>
  </w:style>
  <w:style w:type="character" w:styleId="WW8Num17z1" w:customStyle="1">
    <w:name w:val="WW8Num17z1"/>
    <w:rPr>
      <w:rFonts w:hint="default" w:ascii="Courier New" w:hAnsi="Courier New" w:cs="Courier New"/>
    </w:rPr>
  </w:style>
  <w:style w:type="character" w:styleId="WW8Num17z2" w:customStyle="1">
    <w:name w:val="WW8Num17z2"/>
    <w:rPr>
      <w:rFonts w:hint="default" w:ascii="Wingdings" w:hAnsi="Wingdings" w:cs="Wingdings"/>
    </w:rPr>
  </w:style>
  <w:style w:type="character" w:styleId="WW8Num18z0" w:customStyle="1">
    <w:name w:val="WW8Num18z0"/>
  </w:style>
  <w:style w:type="character" w:styleId="WW8Num18z1" w:customStyle="1">
    <w:name w:val="WW8Num18z1"/>
  </w:style>
  <w:style w:type="character" w:styleId="WW8Num18z2" w:customStyle="1">
    <w:name w:val="WW8Num18z2"/>
  </w:style>
  <w:style w:type="character" w:styleId="WW8Num18z3" w:customStyle="1">
    <w:name w:val="WW8Num18z3"/>
  </w:style>
  <w:style w:type="character" w:styleId="WW8Num18z4" w:customStyle="1">
    <w:name w:val="WW8Num18z4"/>
  </w:style>
  <w:style w:type="character" w:styleId="WW8Num18z5" w:customStyle="1">
    <w:name w:val="WW8Num18z5"/>
  </w:style>
  <w:style w:type="character" w:styleId="WW8Num18z6" w:customStyle="1">
    <w:name w:val="WW8Num18z6"/>
  </w:style>
  <w:style w:type="character" w:styleId="WW8Num18z7" w:customStyle="1">
    <w:name w:val="WW8Num18z7"/>
  </w:style>
  <w:style w:type="character" w:styleId="WW8Num18z8" w:customStyle="1">
    <w:name w:val="WW8Num18z8"/>
  </w:style>
  <w:style w:type="character" w:styleId="WW8Num19z0" w:customStyle="1">
    <w:name w:val="WW8Num19z0"/>
    <w:rPr>
      <w:rFonts w:hint="default" w:ascii="Symbol" w:hAnsi="Symbol" w:cs="Symbol"/>
    </w:rPr>
  </w:style>
  <w:style w:type="character" w:styleId="WW8Num19z1" w:customStyle="1">
    <w:name w:val="WW8Num19z1"/>
    <w:rPr>
      <w:rFonts w:hint="default" w:ascii="Courier New" w:hAnsi="Courier New" w:cs="Courier New"/>
    </w:rPr>
  </w:style>
  <w:style w:type="character" w:styleId="WW8Num19z2" w:customStyle="1">
    <w:name w:val="WW8Num19z2"/>
    <w:rPr>
      <w:rFonts w:hint="default" w:ascii="Wingdings" w:hAnsi="Wingdings" w:cs="Wingdings"/>
    </w:rPr>
  </w:style>
  <w:style w:type="character" w:styleId="WW8Num20z0" w:customStyle="1">
    <w:name w:val="WW8Num20z0"/>
    <w:rPr>
      <w:rFonts w:hint="default" w:ascii="Symbol" w:hAnsi="Symbol" w:cs="Symbol"/>
    </w:rPr>
  </w:style>
  <w:style w:type="character" w:styleId="WW8Num20z1" w:customStyle="1">
    <w:name w:val="WW8Num20z1"/>
    <w:rPr>
      <w:rFonts w:hint="default" w:ascii="Courier New" w:hAnsi="Courier New" w:cs="Courier New"/>
    </w:rPr>
  </w:style>
  <w:style w:type="character" w:styleId="WW8Num20z2" w:customStyle="1">
    <w:name w:val="WW8Num20z2"/>
    <w:rPr>
      <w:rFonts w:hint="default" w:ascii="Wingdings" w:hAnsi="Wingdings" w:cs="Wingdings"/>
    </w:rPr>
  </w:style>
  <w:style w:type="character" w:styleId="WW8Num21z0" w:customStyle="1">
    <w:name w:val="WW8Num21z0"/>
    <w:rPr>
      <w:rFonts w:hint="default" w:ascii="Arial" w:hAnsi="Arial" w:cs="Arial"/>
    </w:rPr>
  </w:style>
  <w:style w:type="character" w:styleId="WW8Num22z0" w:customStyle="1">
    <w:name w:val="WW8Num22z0"/>
    <w:rPr>
      <w:rFonts w:hint="default"/>
    </w:rPr>
  </w:style>
  <w:style w:type="character" w:styleId="WW8Num22z1" w:customStyle="1">
    <w:name w:val="WW8Num22z1"/>
  </w:style>
  <w:style w:type="character" w:styleId="WW8Num22z2" w:customStyle="1">
    <w:name w:val="WW8Num22z2"/>
  </w:style>
  <w:style w:type="character" w:styleId="WW8Num22z3" w:customStyle="1">
    <w:name w:val="WW8Num22z3"/>
  </w:style>
  <w:style w:type="character" w:styleId="WW8Num22z4" w:customStyle="1">
    <w:name w:val="WW8Num22z4"/>
  </w:style>
  <w:style w:type="character" w:styleId="WW8Num22z5" w:customStyle="1">
    <w:name w:val="WW8Num22z5"/>
  </w:style>
  <w:style w:type="character" w:styleId="WW8Num22z6" w:customStyle="1">
    <w:name w:val="WW8Num22z6"/>
  </w:style>
  <w:style w:type="character" w:styleId="WW8Num22z7" w:customStyle="1">
    <w:name w:val="WW8Num22z7"/>
  </w:style>
  <w:style w:type="character" w:styleId="WW8Num22z8" w:customStyle="1">
    <w:name w:val="WW8Num22z8"/>
  </w:style>
  <w:style w:type="character" w:styleId="WW8Num23z0" w:customStyle="1">
    <w:name w:val="WW8Num23z0"/>
    <w:rPr>
      <w:rFonts w:hint="default" w:ascii="Symbol" w:hAnsi="Symbol" w:cs="Symbol"/>
    </w:rPr>
  </w:style>
  <w:style w:type="character" w:styleId="WW8Num23z1" w:customStyle="1">
    <w:name w:val="WW8Num23z1"/>
    <w:rPr>
      <w:rFonts w:hint="default" w:ascii="Courier New" w:hAnsi="Courier New" w:cs="Courier New"/>
    </w:rPr>
  </w:style>
  <w:style w:type="character" w:styleId="WW8Num23z2" w:customStyle="1">
    <w:name w:val="WW8Num23z2"/>
    <w:rPr>
      <w:rFonts w:hint="default" w:ascii="Wingdings" w:hAnsi="Wingdings" w:cs="Wingdings"/>
    </w:rPr>
  </w:style>
  <w:style w:type="character" w:styleId="WW8Num24z0" w:customStyle="1">
    <w:name w:val="WW8Num24z0"/>
    <w:rPr>
      <w:rFonts w:hint="default" w:ascii="Symbol" w:hAnsi="Symbol" w:cs="Symbol"/>
    </w:rPr>
  </w:style>
  <w:style w:type="character" w:styleId="WW8Num24z1" w:customStyle="1">
    <w:name w:val="WW8Num24z1"/>
    <w:rPr>
      <w:rFonts w:hint="default" w:ascii="Courier New" w:hAnsi="Courier New" w:cs="Courier New"/>
    </w:rPr>
  </w:style>
  <w:style w:type="character" w:styleId="WW8Num24z2" w:customStyle="1">
    <w:name w:val="WW8Num24z2"/>
    <w:rPr>
      <w:rFonts w:hint="default" w:ascii="Wingdings" w:hAnsi="Wingdings" w:cs="Wingdings"/>
    </w:rPr>
  </w:style>
  <w:style w:type="character" w:styleId="WW8Num25z0" w:customStyle="1">
    <w:name w:val="WW8Num25z0"/>
    <w:rPr>
      <w:rFonts w:hint="default" w:ascii="Symbol" w:hAnsi="Symbol" w:cs="Symbol"/>
    </w:rPr>
  </w:style>
  <w:style w:type="character" w:styleId="WW8Num25z1" w:customStyle="1">
    <w:name w:val="WW8Num25z1"/>
    <w:rPr>
      <w:rFonts w:hint="default" w:ascii="Courier New" w:hAnsi="Courier New" w:cs="Courier New"/>
    </w:rPr>
  </w:style>
  <w:style w:type="character" w:styleId="WW8Num25z2" w:customStyle="1">
    <w:name w:val="WW8Num25z2"/>
    <w:rPr>
      <w:rFonts w:hint="default" w:ascii="Wingdings" w:hAnsi="Wingdings" w:cs="Wingdings"/>
    </w:rPr>
  </w:style>
  <w:style w:type="character" w:styleId="WW8Num26z0" w:customStyle="1">
    <w:name w:val="WW8Num26z0"/>
    <w:rPr>
      <w:rFonts w:hint="default" w:ascii="Symbol" w:hAnsi="Symbol" w:cs="Symbol"/>
    </w:rPr>
  </w:style>
  <w:style w:type="character" w:styleId="WW8Num26z1" w:customStyle="1">
    <w:name w:val="WW8Num26z1"/>
    <w:rPr>
      <w:rFonts w:hint="default" w:ascii="Courier New" w:hAnsi="Courier New" w:cs="Courier New"/>
    </w:rPr>
  </w:style>
  <w:style w:type="character" w:styleId="WW8Num26z2" w:customStyle="1">
    <w:name w:val="WW8Num26z2"/>
    <w:rPr>
      <w:rFonts w:hint="default" w:ascii="Wingdings" w:hAnsi="Wingdings" w:cs="Wingdings"/>
    </w:rPr>
  </w:style>
  <w:style w:type="character" w:styleId="WW8Num27z0" w:customStyle="1">
    <w:name w:val="WW8Num27z0"/>
    <w:rPr>
      <w:rFonts w:hint="default" w:ascii="Symbol" w:hAnsi="Symbol" w:cs="Symbol"/>
    </w:rPr>
  </w:style>
  <w:style w:type="character" w:styleId="WW8Num27z1" w:customStyle="1">
    <w:name w:val="WW8Num27z1"/>
    <w:rPr>
      <w:rFonts w:hint="default" w:ascii="Courier New" w:hAnsi="Courier New" w:cs="Courier New"/>
    </w:rPr>
  </w:style>
  <w:style w:type="character" w:styleId="WW8Num27z2" w:customStyle="1">
    <w:name w:val="WW8Num27z2"/>
    <w:rPr>
      <w:rFonts w:hint="default" w:ascii="Wingdings" w:hAnsi="Wingdings" w:cs="Wingdings"/>
    </w:rPr>
  </w:style>
  <w:style w:type="character" w:styleId="WW8Num28z0" w:customStyle="1">
    <w:name w:val="WW8Num28z0"/>
    <w:rPr>
      <w:rFonts w:hint="default" w:ascii="Symbol" w:hAnsi="Symbol" w:cs="Symbol"/>
      <w:sz w:val="20"/>
    </w:rPr>
  </w:style>
  <w:style w:type="character" w:styleId="WW8Num28z1" w:customStyle="1">
    <w:name w:val="WW8Num28z1"/>
    <w:rPr>
      <w:rFonts w:hint="default" w:ascii="Courier New" w:hAnsi="Courier New" w:cs="Courier New"/>
      <w:sz w:val="20"/>
    </w:rPr>
  </w:style>
  <w:style w:type="character" w:styleId="WW8Num28z2" w:customStyle="1">
    <w:name w:val="WW8Num28z2"/>
    <w:rPr>
      <w:rFonts w:hint="default" w:ascii="Wingdings" w:hAnsi="Wingdings" w:cs="Wingdings"/>
      <w:sz w:val="20"/>
    </w:rPr>
  </w:style>
  <w:style w:type="character" w:styleId="DefaultParagraphFont0">
    <w:name w:val="Default Paragraph Font0"/>
  </w:style>
  <w:style w:type="character" w:styleId="WW-DefaultParagraphFont" w:customStyle="1">
    <w:name w:val="WW-Default Paragraph Font"/>
  </w:style>
  <w:style w:type="character" w:styleId="WW-DefaultParagraphFont1" w:customStyle="1">
    <w:name w:val="WW-Default Paragraph Font1"/>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DefaultParagraphFont11" w:customStyle="1">
    <w:name w:val="WW-Default Paragraph Font11"/>
  </w:style>
  <w:style w:type="character" w:styleId="WW-DefaultParagraphFont111" w:customStyle="1">
    <w:name w:val="WW-Default Paragraph Font111"/>
  </w:style>
  <w:style w:type="character" w:styleId="WW-DefaultParagraphFont1111" w:customStyle="1">
    <w:name w:val="WW-Default Paragraph Font1111"/>
  </w:style>
  <w:style w:type="character" w:styleId="HeaderChar" w:customStyle="1">
    <w:name w:val="Header Char"/>
    <w:basedOn w:val="WW-DefaultParagraphFont1111"/>
  </w:style>
  <w:style w:type="character" w:styleId="FooterChar" w:customStyle="1">
    <w:name w:val="Footer Char"/>
    <w:basedOn w:val="WW-DefaultParagraphFont1111"/>
    <w:uiPriority w:val="99"/>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uiPriority w:val="99"/>
    <w:rPr>
      <w:color w:val="000080"/>
      <w:u w:val="single"/>
      <w:lang/>
    </w:rPr>
  </w:style>
  <w:style w:type="character" w:styleId="CommentReference">
    <w:name w:val="annotation reference"/>
    <w:rPr>
      <w:sz w:val="16"/>
      <w:szCs w:val="16"/>
    </w:rPr>
  </w:style>
  <w:style w:type="character" w:styleId="WW8Num7z3" w:customStyle="1">
    <w:name w:val="WW8Num7z3"/>
  </w:style>
  <w:style w:type="character" w:styleId="WW8Num7z4" w:customStyle="1">
    <w:name w:val="WW8Num7z4"/>
  </w:style>
  <w:style w:type="character" w:styleId="WW8Num7z5" w:customStyle="1">
    <w:name w:val="WW8Num7z5"/>
  </w:style>
  <w:style w:type="character" w:styleId="WW8Num7z6" w:customStyle="1">
    <w:name w:val="WW8Num7z6"/>
  </w:style>
  <w:style w:type="character" w:styleId="WW8Num7z7" w:customStyle="1">
    <w:name w:val="WW8Num7z7"/>
  </w:style>
  <w:style w:type="character" w:styleId="WW8Num7z8" w:customStyle="1">
    <w:name w:val="WW8Num7z8"/>
  </w:style>
  <w:style w:type="character" w:styleId="NumberingSymbols" w:customStyle="1">
    <w:name w:val="Numbering Symbols"/>
  </w:style>
  <w:style w:type="character" w:styleId="Strong">
    <w:name w:val="Strong"/>
    <w:uiPriority w:val="22"/>
    <w:qFormat/>
    <w:rPr>
      <w:b/>
      <w:bCs/>
    </w:rPr>
  </w:style>
  <w:style w:type="character" w:styleId="FootnoteCharacters" w:customStyle="1">
    <w:name w:val="Footnote Characters"/>
  </w:style>
  <w:style w:type="character" w:styleId="FootnoteReference">
    <w:name w:val="footnote reference"/>
    <w:rPr>
      <w:vertAlign w:val="superscript"/>
    </w:rPr>
  </w:style>
  <w:style w:type="character" w:styleId="EndnoteCharacters" w:customStyle="1">
    <w:name w:val="Endnote Characters"/>
    <w:rPr>
      <w:vertAlign w:val="superscript"/>
    </w:rPr>
  </w:style>
  <w:style w:type="character" w:styleId="WW-EndnoteCharacters" w:customStyle="1">
    <w:name w:val="WW-Endnote Characters"/>
  </w:style>
  <w:style w:type="character" w:styleId="IndexLink" w:customStyle="1">
    <w:name w:val="Index Link"/>
  </w:style>
  <w:style w:type="character" w:styleId="TitleChar" w:customStyle="1">
    <w:name w:val="Title Char"/>
    <w:rPr>
      <w:rFonts w:ascii="Cambria" w:hAnsi="Cambria" w:eastAsia="Times New Roman" w:cs="Times New Roman"/>
      <w:b/>
      <w:bCs/>
      <w:color w:val="000000"/>
      <w:kern w:val="1"/>
      <w:sz w:val="32"/>
      <w:szCs w:val="32"/>
      <w:lang w:val="en-GB"/>
    </w:rPr>
  </w:style>
  <w:style w:type="character" w:styleId="Emphasis">
    <w:name w:val="Emphasis"/>
    <w:uiPriority w:val="20"/>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eastAsia="hi-IN" w:bidi="hi-IN"/>
    </w:r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PreformattedText" w:customStyle="1">
    <w:name w:val="Preformatted Text"/>
    <w:basedOn w:val="Normal"/>
    <w:rPr>
      <w:rFonts w:ascii="DejaVu Sans Mono" w:hAnsi="DejaVu Sans Mono" w:eastAsia="Droid Sans"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hAnsi="Cambria" w:eastAsia="Times New Roman"/>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styleId="Heading10" w:customStyle="1">
    <w:name w:val="Heading 10"/>
    <w:basedOn w:val="Heading"/>
    <w:next w:val="BodyText"/>
    <w:pPr>
      <w:numPr>
        <w:numId w:val="2"/>
      </w:numPr>
    </w:pPr>
    <w:rPr>
      <w:b/>
      <w:bCs/>
      <w:sz w:val="21"/>
      <w:szCs w:val="21"/>
    </w:rPr>
  </w:style>
  <w:style w:type="paragraph" w:styleId="WW-Default" w:customStyle="1">
    <w:name w:val="WW-Default"/>
    <w:pPr>
      <w:suppressAutoHyphens/>
      <w:autoSpaceDE w:val="0"/>
    </w:pPr>
    <w:rPr>
      <w:rFonts w:ascii="Arial" w:hAnsi="Arial" w:cs="Arial"/>
      <w:color w:val="000000"/>
      <w:sz w:val="24"/>
      <w:szCs w:val="24"/>
      <w:lang w:val="en-IN" w:eastAsia="ar-SA"/>
    </w:rPr>
  </w:style>
  <w:style w:type="paragraph" w:styleId="TableofFigures">
    <w:name w:val="table of figures"/>
    <w:basedOn w:val="Normal"/>
    <w:next w:val="Normal"/>
    <w:uiPriority w:val="99"/>
  </w:style>
  <w:style w:type="table" w:styleId="TableGrid">
    <w:name w:val="Table Grid"/>
    <w:basedOn w:val="TableNormal"/>
    <w:uiPriority w:val="39"/>
    <w:rsid w:val="0082561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570833">
      <w:bodyDiv w:val="1"/>
      <w:marLeft w:val="0"/>
      <w:marRight w:val="0"/>
      <w:marTop w:val="0"/>
      <w:marBottom w:val="0"/>
      <w:divBdr>
        <w:top w:val="none" w:sz="0" w:space="0" w:color="auto"/>
        <w:left w:val="none" w:sz="0" w:space="0" w:color="auto"/>
        <w:bottom w:val="none" w:sz="0" w:space="0" w:color="auto"/>
        <w:right w:val="none" w:sz="0" w:space="0" w:color="auto"/>
      </w:divBdr>
    </w:div>
    <w:div w:id="121387139">
      <w:bodyDiv w:val="1"/>
      <w:marLeft w:val="0"/>
      <w:marRight w:val="0"/>
      <w:marTop w:val="0"/>
      <w:marBottom w:val="0"/>
      <w:divBdr>
        <w:top w:val="none" w:sz="0" w:space="0" w:color="auto"/>
        <w:left w:val="none" w:sz="0" w:space="0" w:color="auto"/>
        <w:bottom w:val="none" w:sz="0" w:space="0" w:color="auto"/>
        <w:right w:val="none" w:sz="0" w:space="0" w:color="auto"/>
      </w:divBdr>
    </w:div>
    <w:div w:id="178281912">
      <w:bodyDiv w:val="1"/>
      <w:marLeft w:val="0"/>
      <w:marRight w:val="0"/>
      <w:marTop w:val="0"/>
      <w:marBottom w:val="0"/>
      <w:divBdr>
        <w:top w:val="none" w:sz="0" w:space="0" w:color="auto"/>
        <w:left w:val="none" w:sz="0" w:space="0" w:color="auto"/>
        <w:bottom w:val="none" w:sz="0" w:space="0" w:color="auto"/>
        <w:right w:val="none" w:sz="0" w:space="0" w:color="auto"/>
      </w:divBdr>
    </w:div>
    <w:div w:id="263659664">
      <w:bodyDiv w:val="1"/>
      <w:marLeft w:val="0"/>
      <w:marRight w:val="0"/>
      <w:marTop w:val="0"/>
      <w:marBottom w:val="0"/>
      <w:divBdr>
        <w:top w:val="none" w:sz="0" w:space="0" w:color="auto"/>
        <w:left w:val="none" w:sz="0" w:space="0" w:color="auto"/>
        <w:bottom w:val="none" w:sz="0" w:space="0" w:color="auto"/>
        <w:right w:val="none" w:sz="0" w:space="0" w:color="auto"/>
      </w:divBdr>
    </w:div>
    <w:div w:id="670374811">
      <w:bodyDiv w:val="1"/>
      <w:marLeft w:val="0"/>
      <w:marRight w:val="0"/>
      <w:marTop w:val="0"/>
      <w:marBottom w:val="0"/>
      <w:divBdr>
        <w:top w:val="none" w:sz="0" w:space="0" w:color="auto"/>
        <w:left w:val="none" w:sz="0" w:space="0" w:color="auto"/>
        <w:bottom w:val="none" w:sz="0" w:space="0" w:color="auto"/>
        <w:right w:val="none" w:sz="0" w:space="0" w:color="auto"/>
      </w:divBdr>
    </w:div>
    <w:div w:id="704988307">
      <w:bodyDiv w:val="1"/>
      <w:marLeft w:val="0"/>
      <w:marRight w:val="0"/>
      <w:marTop w:val="0"/>
      <w:marBottom w:val="0"/>
      <w:divBdr>
        <w:top w:val="none" w:sz="0" w:space="0" w:color="auto"/>
        <w:left w:val="none" w:sz="0" w:space="0" w:color="auto"/>
        <w:bottom w:val="none" w:sz="0" w:space="0" w:color="auto"/>
        <w:right w:val="none" w:sz="0" w:space="0" w:color="auto"/>
      </w:divBdr>
    </w:div>
    <w:div w:id="768084194">
      <w:bodyDiv w:val="1"/>
      <w:marLeft w:val="0"/>
      <w:marRight w:val="0"/>
      <w:marTop w:val="0"/>
      <w:marBottom w:val="0"/>
      <w:divBdr>
        <w:top w:val="none" w:sz="0" w:space="0" w:color="auto"/>
        <w:left w:val="none" w:sz="0" w:space="0" w:color="auto"/>
        <w:bottom w:val="none" w:sz="0" w:space="0" w:color="auto"/>
        <w:right w:val="none" w:sz="0" w:space="0" w:color="auto"/>
      </w:divBdr>
    </w:div>
    <w:div w:id="877088301">
      <w:bodyDiv w:val="1"/>
      <w:marLeft w:val="0"/>
      <w:marRight w:val="0"/>
      <w:marTop w:val="0"/>
      <w:marBottom w:val="0"/>
      <w:divBdr>
        <w:top w:val="none" w:sz="0" w:space="0" w:color="auto"/>
        <w:left w:val="none" w:sz="0" w:space="0" w:color="auto"/>
        <w:bottom w:val="none" w:sz="0" w:space="0" w:color="auto"/>
        <w:right w:val="none" w:sz="0" w:space="0" w:color="auto"/>
      </w:divBdr>
    </w:div>
    <w:div w:id="1429080711">
      <w:bodyDiv w:val="1"/>
      <w:marLeft w:val="0"/>
      <w:marRight w:val="0"/>
      <w:marTop w:val="0"/>
      <w:marBottom w:val="0"/>
      <w:divBdr>
        <w:top w:val="none" w:sz="0" w:space="0" w:color="auto"/>
        <w:left w:val="none" w:sz="0" w:space="0" w:color="auto"/>
        <w:bottom w:val="none" w:sz="0" w:space="0" w:color="auto"/>
        <w:right w:val="none" w:sz="0" w:space="0" w:color="auto"/>
      </w:divBdr>
    </w:div>
    <w:div w:id="1456482006">
      <w:bodyDiv w:val="1"/>
      <w:marLeft w:val="0"/>
      <w:marRight w:val="0"/>
      <w:marTop w:val="0"/>
      <w:marBottom w:val="0"/>
      <w:divBdr>
        <w:top w:val="none" w:sz="0" w:space="0" w:color="auto"/>
        <w:left w:val="none" w:sz="0" w:space="0" w:color="auto"/>
        <w:bottom w:val="none" w:sz="0" w:space="0" w:color="auto"/>
        <w:right w:val="none" w:sz="0" w:space="0" w:color="auto"/>
      </w:divBdr>
    </w:div>
    <w:div w:id="1577126453">
      <w:bodyDiv w:val="1"/>
      <w:marLeft w:val="0"/>
      <w:marRight w:val="0"/>
      <w:marTop w:val="0"/>
      <w:marBottom w:val="0"/>
      <w:divBdr>
        <w:top w:val="none" w:sz="0" w:space="0" w:color="auto"/>
        <w:left w:val="none" w:sz="0" w:space="0" w:color="auto"/>
        <w:bottom w:val="none" w:sz="0" w:space="0" w:color="auto"/>
        <w:right w:val="none" w:sz="0" w:space="0" w:color="auto"/>
      </w:divBdr>
      <w:divsChild>
        <w:div w:id="192615701">
          <w:marLeft w:val="0"/>
          <w:marRight w:val="0"/>
          <w:marTop w:val="0"/>
          <w:marBottom w:val="0"/>
          <w:divBdr>
            <w:top w:val="none" w:sz="0" w:space="0" w:color="auto"/>
            <w:left w:val="none" w:sz="0" w:space="0" w:color="auto"/>
            <w:bottom w:val="none" w:sz="0" w:space="0" w:color="auto"/>
            <w:right w:val="none" w:sz="0" w:space="0" w:color="auto"/>
          </w:divBdr>
        </w:div>
      </w:divsChild>
    </w:div>
    <w:div w:id="1585721040">
      <w:bodyDiv w:val="1"/>
      <w:marLeft w:val="0"/>
      <w:marRight w:val="0"/>
      <w:marTop w:val="0"/>
      <w:marBottom w:val="0"/>
      <w:divBdr>
        <w:top w:val="none" w:sz="0" w:space="0" w:color="auto"/>
        <w:left w:val="none" w:sz="0" w:space="0" w:color="auto"/>
        <w:bottom w:val="none" w:sz="0" w:space="0" w:color="auto"/>
        <w:right w:val="none" w:sz="0" w:space="0" w:color="auto"/>
      </w:divBdr>
    </w:div>
    <w:div w:id="1661470619">
      <w:bodyDiv w:val="1"/>
      <w:marLeft w:val="0"/>
      <w:marRight w:val="0"/>
      <w:marTop w:val="0"/>
      <w:marBottom w:val="0"/>
      <w:divBdr>
        <w:top w:val="none" w:sz="0" w:space="0" w:color="auto"/>
        <w:left w:val="none" w:sz="0" w:space="0" w:color="auto"/>
        <w:bottom w:val="none" w:sz="0" w:space="0" w:color="auto"/>
        <w:right w:val="none" w:sz="0" w:space="0" w:color="auto"/>
      </w:divBdr>
    </w:div>
    <w:div w:id="1685741780">
      <w:bodyDiv w:val="1"/>
      <w:marLeft w:val="0"/>
      <w:marRight w:val="0"/>
      <w:marTop w:val="0"/>
      <w:marBottom w:val="0"/>
      <w:divBdr>
        <w:top w:val="none" w:sz="0" w:space="0" w:color="auto"/>
        <w:left w:val="none" w:sz="0" w:space="0" w:color="auto"/>
        <w:bottom w:val="none" w:sz="0" w:space="0" w:color="auto"/>
        <w:right w:val="none" w:sz="0" w:space="0" w:color="auto"/>
      </w:divBdr>
    </w:div>
    <w:div w:id="1690789840">
      <w:bodyDiv w:val="1"/>
      <w:marLeft w:val="0"/>
      <w:marRight w:val="0"/>
      <w:marTop w:val="0"/>
      <w:marBottom w:val="0"/>
      <w:divBdr>
        <w:top w:val="none" w:sz="0" w:space="0" w:color="auto"/>
        <w:left w:val="none" w:sz="0" w:space="0" w:color="auto"/>
        <w:bottom w:val="none" w:sz="0" w:space="0" w:color="auto"/>
        <w:right w:val="none" w:sz="0" w:space="0" w:color="auto"/>
      </w:divBdr>
    </w:div>
    <w:div w:id="1745445531">
      <w:bodyDiv w:val="1"/>
      <w:marLeft w:val="0"/>
      <w:marRight w:val="0"/>
      <w:marTop w:val="0"/>
      <w:marBottom w:val="0"/>
      <w:divBdr>
        <w:top w:val="none" w:sz="0" w:space="0" w:color="auto"/>
        <w:left w:val="none" w:sz="0" w:space="0" w:color="auto"/>
        <w:bottom w:val="none" w:sz="0" w:space="0" w:color="auto"/>
        <w:right w:val="none" w:sz="0" w:space="0" w:color="auto"/>
      </w:divBdr>
    </w:div>
    <w:div w:id="1808669713">
      <w:bodyDiv w:val="1"/>
      <w:marLeft w:val="0"/>
      <w:marRight w:val="0"/>
      <w:marTop w:val="0"/>
      <w:marBottom w:val="0"/>
      <w:divBdr>
        <w:top w:val="none" w:sz="0" w:space="0" w:color="auto"/>
        <w:left w:val="none" w:sz="0" w:space="0" w:color="auto"/>
        <w:bottom w:val="none" w:sz="0" w:space="0" w:color="auto"/>
        <w:right w:val="none" w:sz="0" w:space="0" w:color="auto"/>
      </w:divBdr>
    </w:div>
    <w:div w:id="1962564755">
      <w:bodyDiv w:val="1"/>
      <w:marLeft w:val="0"/>
      <w:marRight w:val="0"/>
      <w:marTop w:val="0"/>
      <w:marBottom w:val="0"/>
      <w:divBdr>
        <w:top w:val="none" w:sz="0" w:space="0" w:color="auto"/>
        <w:left w:val="none" w:sz="0" w:space="0" w:color="auto"/>
        <w:bottom w:val="none" w:sz="0" w:space="0" w:color="auto"/>
        <w:right w:val="none" w:sz="0" w:space="0" w:color="auto"/>
      </w:divBdr>
    </w:div>
    <w:div w:id="203734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hyperlink" Target="https://doi.org/10.1016/j.technovation.2017.12.004" TargetMode="External" Id="rId13" /><Relationship Type="http://schemas.openxmlformats.org/officeDocument/2006/relationships/hyperlink" Target="https://tfl.gov.uk/" TargetMode="Externa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hyperlink" Target="https://www.peoplestrong.com/blog/strategic-human-resource-management/" TargetMode="External" Id="rId12" /><Relationship Type="http://schemas.openxmlformats.org/officeDocument/2006/relationships/hyperlink" Target="https://doi.org/10.1080/02678373.2021.1936287" TargetMode="External" Id="rId17" /><Relationship Type="http://schemas.openxmlformats.org/officeDocument/2006/relationships/numbering" Target="numbering.xml" Id="rId2" /><Relationship Type="http://schemas.openxmlformats.org/officeDocument/2006/relationships/hyperlink" Target="https://dialnet.unirioja.es/servlet/articulo?codigo=8956075"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oecleadership.com/what-is-team-culture/" TargetMode="External" Id="rId11" /><Relationship Type="http://schemas.openxmlformats.org/officeDocument/2006/relationships/webSettings" Target="webSettings.xml" Id="rId5" /><Relationship Type="http://schemas.openxmlformats.org/officeDocument/2006/relationships/hyperlink" Target="https://doi.org/10.1111/1467-8551.12469" TargetMode="External" Id="rId15" /><Relationship Type="http://schemas.openxmlformats.org/officeDocument/2006/relationships/image" Target="media/image3.png" Id="rId10" /><Relationship Type="http://schemas.openxmlformats.org/officeDocument/2006/relationships/hyperlink" Target="https://doi.org/10.25159/2664-3731/9669"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logowik.com/transport-of-london-vector-logo-12088.html" TargetMode="External" Id="rId14" /><Relationship Type="http://schemas.openxmlformats.org/officeDocument/2006/relationships/theme" Target="theme/theme1.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FA6353-C013-45E7-AF4C-4A2343008ED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c:creator>
  <keywords/>
  <lastModifiedBy>Catalin-Alexandru Boghiu (2333790)</lastModifiedBy>
  <revision>5</revision>
  <lastPrinted>1601-01-01T00:00:00.0000000Z</lastPrinted>
  <dcterms:created xsi:type="dcterms:W3CDTF">2025-12-08T15:53:00.0000000Z</dcterms:created>
  <dcterms:modified xsi:type="dcterms:W3CDTF">2025-12-08T15:57:24.6030407Z</dcterms:modified>
</coreProperties>
</file>