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B1822" w14:textId="77777777" w:rsidR="00316B3C" w:rsidRDefault="00316B3C" w:rsidP="00316B3C">
      <w:pPr>
        <w:rPr>
          <w:b/>
          <w:sz w:val="28"/>
        </w:rPr>
      </w:pPr>
      <w:r>
        <w:rPr>
          <w:noProof/>
        </w:rPr>
        <w:drawing>
          <wp:inline distT="0" distB="0" distL="0" distR="0" wp14:anchorId="76432B7B" wp14:editId="09E7F1A4">
            <wp:extent cx="1771650" cy="863600"/>
            <wp:effectExtent l="0" t="0" r="0" b="0"/>
            <wp:docPr id="8" name="Picture 7">
              <a:extLst xmlns:a="http://schemas.openxmlformats.org/drawingml/2006/main">
                <a:ext uri="{FF2B5EF4-FFF2-40B4-BE49-F238E27FC236}">
                  <a16:creationId xmlns:a16="http://schemas.microsoft.com/office/drawing/2014/main" id="{AC9263DA-648A-0D89-7FCD-B9A8A66914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AC9263DA-648A-0D89-7FCD-B9A8A66914F2}"/>
                        </a:ext>
                      </a:extLst>
                    </pic:cNvPr>
                    <pic:cNvPicPr>
                      <a:picLocks noChangeAspect="1"/>
                    </pic:cNvPicPr>
                  </pic:nvPicPr>
                  <pic:blipFill>
                    <a:blip r:embed="rId8"/>
                    <a:stretch>
                      <a:fillRect/>
                    </a:stretch>
                  </pic:blipFill>
                  <pic:spPr>
                    <a:xfrm>
                      <a:off x="0" y="0"/>
                      <a:ext cx="1805189" cy="879949"/>
                    </a:xfrm>
                    <a:prstGeom prst="rect">
                      <a:avLst/>
                    </a:prstGeom>
                  </pic:spPr>
                </pic:pic>
              </a:graphicData>
            </a:graphic>
          </wp:inline>
        </w:drawing>
      </w:r>
    </w:p>
    <w:p w14:paraId="5939B92D" w14:textId="77777777" w:rsidR="00316B3C" w:rsidRDefault="00316B3C" w:rsidP="00316B3C">
      <w:pPr>
        <w:jc w:val="center"/>
      </w:pPr>
      <w:r>
        <w:rPr>
          <w:b/>
          <w:sz w:val="28"/>
        </w:rPr>
        <w:t>University of Wales Trinity Saint David</w:t>
      </w:r>
    </w:p>
    <w:p w14:paraId="1681D1AF" w14:textId="77777777" w:rsidR="00316B3C" w:rsidRDefault="00316B3C" w:rsidP="00316B3C">
      <w:proofErr w:type="spellStart"/>
      <w:r>
        <w:t>Programme</w:t>
      </w:r>
      <w:proofErr w:type="spellEnd"/>
      <w:r>
        <w:t>: BSc (Hons) Health and Social Care</w:t>
      </w:r>
    </w:p>
    <w:p w14:paraId="0D55F45A" w14:textId="77777777" w:rsidR="00316B3C" w:rsidRDefault="00316B3C" w:rsidP="00316B3C">
      <w:r>
        <w:t>Module Title: Principles of Health and Social Care Practice</w:t>
      </w:r>
    </w:p>
    <w:p w14:paraId="358BE901" w14:textId="77777777" w:rsidR="00316B3C" w:rsidRDefault="00316B3C" w:rsidP="00316B3C">
      <w:r>
        <w:t>Module Code: BMHP5016</w:t>
      </w:r>
    </w:p>
    <w:p w14:paraId="537689B4" w14:textId="77777777" w:rsidR="00316B3C" w:rsidRDefault="00316B3C" w:rsidP="00316B3C">
      <w:r>
        <w:t>Essay Title: A Critical Discussion of the Social Model of Disability and Person-</w:t>
      </w:r>
      <w:proofErr w:type="spellStart"/>
      <w:r>
        <w:t>Centred</w:t>
      </w:r>
      <w:proofErr w:type="spellEnd"/>
      <w:r>
        <w:t xml:space="preserve"> Care</w:t>
      </w:r>
    </w:p>
    <w:p w14:paraId="058D9D07" w14:textId="77777777" w:rsidR="00316B3C" w:rsidRDefault="00316B3C" w:rsidP="00316B3C">
      <w:r>
        <w:t>Name: Khatera Omari</w:t>
      </w:r>
    </w:p>
    <w:p w14:paraId="24CDD8D5" w14:textId="77777777" w:rsidR="00316B3C" w:rsidRDefault="00316B3C" w:rsidP="00316B3C">
      <w:r>
        <w:t>Number: 2428550</w:t>
      </w:r>
    </w:p>
    <w:p w14:paraId="08041B34" w14:textId="77777777" w:rsidR="00316B3C" w:rsidRDefault="00316B3C" w:rsidP="00316B3C">
      <w:r>
        <w:t xml:space="preserve">Lecturer: </w:t>
      </w:r>
      <w:proofErr w:type="spellStart"/>
      <w:r>
        <w:t>Mr</w:t>
      </w:r>
      <w:proofErr w:type="spellEnd"/>
      <w:r>
        <w:t xml:space="preserve"> Mark Kane</w:t>
      </w:r>
    </w:p>
    <w:p w14:paraId="209459BB" w14:textId="77777777" w:rsidR="00316B3C" w:rsidRDefault="00316B3C" w:rsidP="00316B3C">
      <w:r>
        <w:br w:type="page"/>
      </w:r>
    </w:p>
    <w:p w14:paraId="598C89A1" w14:textId="77777777" w:rsidR="00682CB4" w:rsidRDefault="00000000">
      <w:pPr>
        <w:pStyle w:val="Heading1"/>
      </w:pPr>
      <w:r>
        <w:lastRenderedPageBreak/>
        <w:t>Introduction</w:t>
      </w:r>
    </w:p>
    <w:p w14:paraId="7F88B848" w14:textId="77777777" w:rsidR="00682CB4" w:rsidRDefault="00000000">
      <w:pPr>
        <w:spacing w:line="360" w:lineRule="auto"/>
      </w:pPr>
      <w:r>
        <w:t>The social model of disability is one of the most influential ideas in contemporary health and social care. It challenged older assumptions that disability exists mainly because of an individual impairment and therefore requires treatment, supervision or cure. Instead, the social model argues that people are disabled primarily by environmental barriers, discriminatory attitudes and social structures that restrict participation in everyday life (Oliver, 1990). This shift matters because it moves attention away from what is supposedly wrong with the individual and towards the way society is organised. It has therefore played a major role in reshaping debates about equality, citizenship and rights.</w:t>
      </w:r>
    </w:p>
    <w:p w14:paraId="3B129758" w14:textId="77777777" w:rsidR="00682CB4" w:rsidRDefault="00000000">
      <w:pPr>
        <w:spacing w:line="360" w:lineRule="auto"/>
      </w:pPr>
      <w:r>
        <w:t>The model is especially relevant to person-centred care. Person-centred care aims to respect individual preferences, promote dignity, involve people in decisions and recognise them as experts in their own lives. The social model supports these goals by opposing paternalistic assumptions and demanding that services adapt to people, rather than forcing people to adapt to services. However, the model has also attracted important criticism. Some writers argue that it underestimates pain, illness and impairment, while others suggest that it does not fully account for gender, race, class or caring relationships. This essay critically discusses the emergence and development of the social model of disability, examines the critiques levelled at it and the responses to those critiques, analyses its application to health and social care policy and practice, and presents recommendations for improving policy and practice. The argument advanced here is that, although the social model is not a complete explanation of disability, it remains a vital foundation for person-</w:t>
      </w:r>
      <w:proofErr w:type="spellStart"/>
      <w:r>
        <w:t>centred</w:t>
      </w:r>
      <w:proofErr w:type="spellEnd"/>
      <w:r>
        <w:t xml:space="preserve"> and rights-based care.</w:t>
      </w:r>
    </w:p>
    <w:p w14:paraId="2E4D8535" w14:textId="77777777" w:rsidR="00316B3C" w:rsidRDefault="00316B3C">
      <w:pPr>
        <w:spacing w:line="360" w:lineRule="auto"/>
      </w:pPr>
    </w:p>
    <w:p w14:paraId="55E8F7C1" w14:textId="77777777" w:rsidR="00316B3C" w:rsidRDefault="00316B3C">
      <w:pPr>
        <w:spacing w:line="360" w:lineRule="auto"/>
      </w:pPr>
    </w:p>
    <w:p w14:paraId="6BEBB3C1" w14:textId="77777777" w:rsidR="00316B3C" w:rsidRDefault="00316B3C">
      <w:pPr>
        <w:spacing w:line="360" w:lineRule="auto"/>
      </w:pPr>
    </w:p>
    <w:p w14:paraId="7AA4296F" w14:textId="77777777" w:rsidR="00316B3C" w:rsidRDefault="00316B3C">
      <w:pPr>
        <w:spacing w:line="360" w:lineRule="auto"/>
      </w:pPr>
    </w:p>
    <w:p w14:paraId="6DC4071A" w14:textId="77777777" w:rsidR="00316B3C" w:rsidRDefault="00316B3C">
      <w:pPr>
        <w:spacing w:line="360" w:lineRule="auto"/>
      </w:pPr>
    </w:p>
    <w:p w14:paraId="5344E81B" w14:textId="77777777" w:rsidR="00682CB4" w:rsidRDefault="00000000">
      <w:pPr>
        <w:pStyle w:val="Heading1"/>
      </w:pPr>
      <w:r>
        <w:lastRenderedPageBreak/>
        <w:t>Emergence and development of the social model</w:t>
      </w:r>
    </w:p>
    <w:p w14:paraId="1589252F" w14:textId="77777777" w:rsidR="00682CB4" w:rsidRDefault="00000000">
      <w:pPr>
        <w:spacing w:line="360" w:lineRule="auto"/>
      </w:pPr>
      <w:r>
        <w:t>The social model emerged from disabled people’s activism in the 1970s, particularly in the United Kingdom. The Union of the Physically Impaired Against Segregation argued that disability should be understood as a form of social oppression rather than as an inevitable consequence of bodily difference (UPIAS, 1976). This challenged charitable and medical approaches that presented disabled people as dependent, tragic or in need of expert control. The distinction between impairment and disability was central. Impairment referred to a physical, sensory, cognitive or mental difference, whereas disability referred to the restrictions imposed by social organisation, including inaccessible housing, education, transport and employment.</w:t>
      </w:r>
    </w:p>
    <w:p w14:paraId="49643997" w14:textId="77777777" w:rsidR="00682CB4" w:rsidRDefault="00000000">
      <w:pPr>
        <w:spacing w:line="360" w:lineRule="auto"/>
      </w:pPr>
      <w:r>
        <w:t>Mike Oliver later named and popularised the social model of disability. Oliver (1990) argued that the dominant medical model individualised disability by treating it as a personal defect to be fixed or managed. Such an approach gave significant power to professionals and institutions, while the voice of disabled people themselves was marginalised. The social model reversed that emphasis. It insisted that the real problem lay not in impaired bodies but in a society designed around narrow assumptions of normality.</w:t>
      </w:r>
    </w:p>
    <w:p w14:paraId="25023491" w14:textId="77777777" w:rsidR="00682CB4" w:rsidRDefault="00000000">
      <w:pPr>
        <w:spacing w:line="360" w:lineRule="auto"/>
      </w:pPr>
      <w:r>
        <w:t>The model influenced disability studies and campaigns for anti-discrimination legislation, independent living and community inclusion (Barnes and Mercer, 2010). It also reshaped policy language, moving discussion from charity and dependency to rights and citizenship. This was significant for health and social care because it challenged professional paternalism and supported a more participatory approach to assessment, planning and support.</w:t>
      </w:r>
    </w:p>
    <w:p w14:paraId="60A768EE" w14:textId="77777777" w:rsidR="00682CB4" w:rsidRDefault="00000000">
      <w:pPr>
        <w:pStyle w:val="Heading1"/>
      </w:pPr>
      <w:r>
        <w:t>Critiques of the social model and responses</w:t>
      </w:r>
    </w:p>
    <w:p w14:paraId="11714C87" w14:textId="77777777" w:rsidR="00682CB4" w:rsidRDefault="00000000">
      <w:pPr>
        <w:spacing w:line="360" w:lineRule="auto"/>
      </w:pPr>
      <w:r>
        <w:t xml:space="preserve">Despite its importance, the social model has never been without critics. One of the most common criticisms is that early versions of the model appear to underplay the significance of impairment itself. Shakespeare (2014) argues that chronic pain, fatigue, degenerative conditions and fluctuating illness cannot always be explained by social barriers alone. Even in a fully accessible environment, some people may still experience severe limitations or distress. This criticism is highly relevant in health and social care because practitioners must respond to pain, illness, mental distress and therapeutic </w:t>
      </w:r>
      <w:r>
        <w:lastRenderedPageBreak/>
        <w:t>need as well as discrimination. If impairment is ignored completely, practice may become politically attractive but personally inadequate.</w:t>
      </w:r>
    </w:p>
    <w:p w14:paraId="42919742" w14:textId="77777777" w:rsidR="00682CB4" w:rsidRDefault="00000000">
      <w:pPr>
        <w:spacing w:line="360" w:lineRule="auto"/>
      </w:pPr>
      <w:r>
        <w:t>A second critique concerns care and dependency. Feminist writers such as Morris (1991) argue that the social model, in reacting against paternalism, sometimes underestimates the reality that many people need intimate and ongoing support. Human beings are relational and interdependent, not fully autonomous at all times. Some disabled people may require assistance with communication, mobility, eating or personal care. If dependency is presented only as oppression, the emotional and ethical importance of caring relationships may be overlooked. This is a serious issue for person-centred care, which must balance autonomy with support, and independence with interdependence.</w:t>
      </w:r>
    </w:p>
    <w:p w14:paraId="66648C00" w14:textId="77777777" w:rsidR="00682CB4" w:rsidRDefault="00000000">
      <w:pPr>
        <w:spacing w:line="360" w:lineRule="auto"/>
      </w:pPr>
      <w:r>
        <w:t>A third critique is that the model did not initially pay enough attention to intersectionality. Disabled people are not a single, uniform group. Experiences of disability are shaped by class, gender, race, sexuality, migration status and age. Goodley (2017) notes that a disabled person living in poverty or experiencing racism may face multiple and interacting forms of inequality that are not fully captured by a broad theory of barriers. As a result, generic disability policy may fail to account for very different experiences across disabled communities.</w:t>
      </w:r>
    </w:p>
    <w:p w14:paraId="3A5BD1B7" w14:textId="77777777" w:rsidR="00682CB4" w:rsidRDefault="00000000">
      <w:pPr>
        <w:spacing w:line="360" w:lineRule="auto"/>
      </w:pPr>
      <w:r>
        <w:t>Another criticism is that the distinction between impairment and disability, while politically useful, can become too rigid. In real life, body and society interact continuously. A person with arthritis may be affected by pain arising from impairment and by inaccessible transport or employment practices. Separating the two too sharply can oversimplify complex lived experience.</w:t>
      </w:r>
    </w:p>
    <w:p w14:paraId="6F891AAA" w14:textId="77777777" w:rsidR="00682CB4" w:rsidRDefault="00000000">
      <w:pPr>
        <w:spacing w:line="360" w:lineRule="auto"/>
      </w:pPr>
      <w:r>
        <w:t xml:space="preserve">However, supporters of the social model have offered several responses. First, they argue that the model was never intended to deny impairment but to challenge the assumption that impairment alone explains oppression. Its primary purpose was political: to expose avoidable barriers and redistribute responsibility towards society. Second, later developments have made the model more nuanced. Thomas (2007), for example, proposes a social relational approach that retains the focus on barriers while recognising psycho-emotional impacts and embodied experience. Third, the rise of rights-based approaches, especially through the United Nations Convention on the Rights of Persons with Disabilities, has extended rather than replaced the social model by linking barrier </w:t>
      </w:r>
      <w:r>
        <w:lastRenderedPageBreak/>
        <w:t>removal to equality, dignity and participation (United Nations, 2006). In this sense, critiques have not destroyed the model; they have encouraged its development into a more sophisticated framework for analysing disability and care.</w:t>
      </w:r>
    </w:p>
    <w:p w14:paraId="79D0ED02" w14:textId="77777777" w:rsidR="00682CB4" w:rsidRDefault="00000000">
      <w:pPr>
        <w:pStyle w:val="Heading1"/>
      </w:pPr>
      <w:r>
        <w:t>Application to health and social care policy and practice</w:t>
      </w:r>
    </w:p>
    <w:p w14:paraId="5F214C4D" w14:textId="77777777" w:rsidR="00682CB4" w:rsidRDefault="00000000">
      <w:pPr>
        <w:spacing w:line="360" w:lineRule="auto"/>
      </w:pPr>
      <w:r>
        <w:t>The social model has had a substantial impact on health and social care policy. In the United Kingdom, the Equality Act 2010 requires organisations to avoid discrimination and make reasonable adjustments so that disabled people can access employment, education and services on an equal basis (Equality Act, 2010). In health and social care settings, this can include accessible buildings, longer appointments, communication aids, interpreters, easy-read information and flexible procedures.</w:t>
      </w:r>
    </w:p>
    <w:p w14:paraId="7AF36DCA" w14:textId="77777777" w:rsidR="00682CB4" w:rsidRDefault="00000000">
      <w:pPr>
        <w:pStyle w:val="Heading1"/>
      </w:pPr>
      <w:r>
        <w:t>Problems involved in applying the model</w:t>
      </w:r>
    </w:p>
    <w:p w14:paraId="67C7E002" w14:textId="77777777" w:rsidR="00682CB4" w:rsidRDefault="00000000">
      <w:pPr>
        <w:spacing w:line="360" w:lineRule="auto"/>
      </w:pPr>
      <w:r>
        <w:t>Although the social model has influenced policy and professional discourse, applying it in practice is not straightforward. Many disabled people still face inaccessible housing, transport, digital services and healthcare environments. Legal duties to make reasonable adjustments do not always translate into consistent practice, especially when organisations are under financial pressure or lack disability awareness.</w:t>
      </w:r>
    </w:p>
    <w:p w14:paraId="79E98FDA" w14:textId="77777777" w:rsidR="00682CB4" w:rsidRDefault="00000000">
      <w:pPr>
        <w:spacing w:line="360" w:lineRule="auto"/>
      </w:pPr>
      <w:r>
        <w:t>Resource constraints present another serious challenge. The King’s Fund (2022) highlights the ongoing pressure on adult social care, including unmet need, workforce shortages and limited preventive provision. Under such conditions, person-centred support can be difficult to deliver. Staff may have little time to build relationships, explore preferences or coordinate tailored packages of care.</w:t>
      </w:r>
    </w:p>
    <w:p w14:paraId="1040AA51" w14:textId="77777777" w:rsidR="00682CB4" w:rsidRDefault="00000000">
      <w:pPr>
        <w:spacing w:line="360" w:lineRule="auto"/>
      </w:pPr>
      <w:r>
        <w:t>Professional culture can also limit implementation. Although policy increasingly promotes empowerment, some services remain risk averse and paternalistic. Decisions may still be made for people rather than with them. There is also the issue of tokenism. Co-production and participation are often celebrated in policy, but disabled people may still have limited influence over commissioning, recruitment, governance or service design (Beresford, 2013).</w:t>
      </w:r>
    </w:p>
    <w:p w14:paraId="775DBD50" w14:textId="77777777" w:rsidR="00682CB4" w:rsidRDefault="00000000">
      <w:pPr>
        <w:pStyle w:val="Heading1"/>
      </w:pPr>
      <w:r>
        <w:lastRenderedPageBreak/>
        <w:t>Recommendations for policy and practice</w:t>
      </w:r>
    </w:p>
    <w:p w14:paraId="6234A79D" w14:textId="77777777" w:rsidR="00682CB4" w:rsidRDefault="00000000">
      <w:pPr>
        <w:spacing w:line="360" w:lineRule="auto"/>
      </w:pPr>
      <w:r>
        <w:t>Several recommendations follow from this discussion. First, health and social care organisations should embed accessibility by design. Buildings, appointment systems, websites, information and transport planning should be accessible from the outset rather than altered only after complaints arise. This is more consistent with the social model and often more efficient in the long term.</w:t>
      </w:r>
    </w:p>
    <w:p w14:paraId="190F0E20" w14:textId="77777777" w:rsidR="00682CB4" w:rsidRDefault="00000000">
      <w:pPr>
        <w:spacing w:line="360" w:lineRule="auto"/>
      </w:pPr>
      <w:r>
        <w:t>Second, workforce development should include meaningful disability equality education delivered with disabled people, not simply about them. Training should challenge stereotypes, develop communication skills and strengthen understanding of co-production, shared decision making and rights-based practice. This would help translate policy principles into daily interactions.</w:t>
      </w:r>
    </w:p>
    <w:p w14:paraId="719D9E2A" w14:textId="77777777" w:rsidR="00682CB4" w:rsidRDefault="00000000">
      <w:pPr>
        <w:spacing w:line="360" w:lineRule="auto"/>
      </w:pPr>
      <w:r>
        <w:t>Third, co-production should become a core principle of service governance. Disabled people should be involved in recruitment, commissioning, evaluation and strategic planning. Their participation must be accessible, paid where appropriate and capable of influencing outcomes. Without a real shift in power, person-centred care risks becoming rhetorical.</w:t>
      </w:r>
    </w:p>
    <w:p w14:paraId="46C9A878" w14:textId="77777777" w:rsidR="00682CB4" w:rsidRDefault="00000000">
      <w:pPr>
        <w:spacing w:line="360" w:lineRule="auto"/>
      </w:pPr>
      <w:r>
        <w:t>Fourth, policy must address wider determinants of wellbeing. Housing, income, employment, community participation and transport all affect whether someone can exercise autonomy and choice. Marmot (2020) shows that health inequalities are deeply shaped by social conditions. A person-centred system cannot ignore these structural factors.</w:t>
      </w:r>
    </w:p>
    <w:p w14:paraId="4150DD22" w14:textId="77777777" w:rsidR="00682CB4" w:rsidRDefault="00000000">
      <w:pPr>
        <w:spacing w:line="360" w:lineRule="auto"/>
      </w:pPr>
      <w:r>
        <w:t xml:space="preserve">Fifth, governments should protect investment in social care, advocacy, peer support and independent living. Choice is meaningful only when there are real options. Preventive, community-based support often improves wellbeing and reduces the likelihood of crisis or institutional care. Finally, monitoring and accountability should be strengthened. Organisations should review disability outcomes, accessibility, complaints and involvement in decision making so that commitments to inclusion can be tested in practice. A further recommendation is that services should collect and use feedback in accessible ways. Complaints procedures, surveys and reviews should be available in multiple formats so that disabled people can report barriers without additional difficulty. Data should then be used to identify patterns of exclusion and to improve services. In addition, partnership working across health, social care, housing and employment </w:t>
      </w:r>
      <w:r>
        <w:lastRenderedPageBreak/>
        <w:t>support is essential. Person-centred care is weakened when individuals have to navigate fragmented systems repeatedly explaining their circumstances. Better coordination would reduce stress and support more holistic planning.</w:t>
      </w:r>
    </w:p>
    <w:p w14:paraId="56403D83" w14:textId="77777777" w:rsidR="00682CB4" w:rsidRDefault="00000000">
      <w:pPr>
        <w:pStyle w:val="Heading1"/>
      </w:pPr>
      <w:r>
        <w:t>Conclusion</w:t>
      </w:r>
    </w:p>
    <w:p w14:paraId="7984B476" w14:textId="77777777" w:rsidR="00682CB4" w:rsidRDefault="00000000">
      <w:pPr>
        <w:spacing w:line="360" w:lineRule="auto"/>
      </w:pPr>
      <w:r>
        <w:t>The social model of disability transformed health and social care thinking by locating disability primarily in social barriers rather than personal deficit. In doing so, it challenged paternalistic assumptions, supported anti-discrimination law and provided a strong foundation for person-centred care. Its emphasis on rights, autonomy, participation and environmental change remains highly relevant. At the same time, critiques concerning impairment, intersectionality and care relationships are important. They show that disability cannot be understood through a single lens and that practice must respond to both social barriers and embodied realities.</w:t>
      </w:r>
    </w:p>
    <w:p w14:paraId="730C05F4" w14:textId="77777777" w:rsidR="00682CB4" w:rsidRDefault="00000000">
      <w:pPr>
        <w:spacing w:line="360" w:lineRule="auto"/>
      </w:pPr>
      <w:r>
        <w:t>Overall, however, these critiques have refined rather than invalidated the social model. The model still provides an essential reminder that many of the disadvantages experienced by disabled people are socially produced and therefore socially changeable. For health and social care policy and practice, the implication is clear: genuinely person-centred care requires not only compassion and individual support, but also active commitment to accessibility, co-production, equality and social justice. In this sense, the social model should not be treated as a rigid doctrine but as a critical guide for reform. Its continuing value lies in pushing practitioners and policy makers to ask whether barriers are being removed, whether power is being shared and whether disabled people are able to live with dignity, choice and full participation.</w:t>
      </w:r>
    </w:p>
    <w:p w14:paraId="120B1143" w14:textId="77777777" w:rsidR="00316B3C" w:rsidRDefault="00316B3C">
      <w:pPr>
        <w:pStyle w:val="Heading1"/>
      </w:pPr>
    </w:p>
    <w:p w14:paraId="57444AE6" w14:textId="77777777" w:rsidR="00316B3C" w:rsidRDefault="00316B3C">
      <w:pPr>
        <w:pStyle w:val="Heading1"/>
      </w:pPr>
    </w:p>
    <w:p w14:paraId="28D4415F" w14:textId="77777777" w:rsidR="00316B3C" w:rsidRDefault="00316B3C">
      <w:pPr>
        <w:pStyle w:val="Heading1"/>
      </w:pPr>
    </w:p>
    <w:p w14:paraId="2F4D61D8" w14:textId="71FA4274" w:rsidR="00682CB4" w:rsidRDefault="00000000">
      <w:pPr>
        <w:pStyle w:val="Heading1"/>
      </w:pPr>
      <w:r>
        <w:t>References</w:t>
      </w:r>
    </w:p>
    <w:p w14:paraId="46AF6D37" w14:textId="77777777" w:rsidR="00682CB4" w:rsidRDefault="00000000">
      <w:pPr>
        <w:spacing w:line="360" w:lineRule="auto"/>
      </w:pPr>
      <w:r>
        <w:t>Barnes, C. and Mercer, G. (2010) Exploring Disability. 2nd edn. Cambridge: Polity Press.</w:t>
      </w:r>
    </w:p>
    <w:p w14:paraId="52FDB756" w14:textId="77777777" w:rsidR="00682CB4" w:rsidRDefault="00000000">
      <w:pPr>
        <w:spacing w:line="360" w:lineRule="auto"/>
      </w:pPr>
      <w:r>
        <w:t>Beresford, P. (2013) Beyond the Usual Suspects: Towards Inclusive User Involvement. London: Shaping Our Lives.</w:t>
      </w:r>
    </w:p>
    <w:p w14:paraId="6A6F4EB5" w14:textId="77777777" w:rsidR="00682CB4" w:rsidRDefault="00000000">
      <w:pPr>
        <w:spacing w:line="360" w:lineRule="auto"/>
      </w:pPr>
      <w:r>
        <w:t>Department of Health and Social Care (2014) Care Act 2014. London: HMSO.</w:t>
      </w:r>
    </w:p>
    <w:p w14:paraId="4B2B683E" w14:textId="77777777" w:rsidR="00682CB4" w:rsidRDefault="00000000">
      <w:pPr>
        <w:spacing w:line="360" w:lineRule="auto"/>
      </w:pPr>
      <w:r>
        <w:t>Equality Act 2010 (c.15). London: The Stationery Office.</w:t>
      </w:r>
    </w:p>
    <w:p w14:paraId="5B4B0157" w14:textId="77777777" w:rsidR="00682CB4" w:rsidRDefault="00000000">
      <w:pPr>
        <w:spacing w:line="360" w:lineRule="auto"/>
      </w:pPr>
      <w:r>
        <w:t>Glasby, J. and Littlechild, R. (2016) Direct Payments and Personal Budgets: Putting Personalisation into Practice. 3rd edn. Bristol: Policy Press.</w:t>
      </w:r>
    </w:p>
    <w:p w14:paraId="677F593E" w14:textId="77777777" w:rsidR="00682CB4" w:rsidRDefault="00000000">
      <w:pPr>
        <w:spacing w:line="360" w:lineRule="auto"/>
      </w:pPr>
      <w:r>
        <w:t>Goodley, D. (2017) Disability Studies: An Interdisciplinary Introduction. 2nd edn. London: Sage.</w:t>
      </w:r>
    </w:p>
    <w:p w14:paraId="1B8F9C48" w14:textId="77777777" w:rsidR="00682CB4" w:rsidRDefault="00000000">
      <w:pPr>
        <w:spacing w:line="360" w:lineRule="auto"/>
      </w:pPr>
      <w:r>
        <w:t>Marmot, M. (2020) Health Equity in England: The Marmot Review 10 Years On. London: Institute of Health Equity.</w:t>
      </w:r>
    </w:p>
    <w:p w14:paraId="6F6B3A30" w14:textId="77777777" w:rsidR="00682CB4" w:rsidRDefault="00000000">
      <w:pPr>
        <w:spacing w:line="360" w:lineRule="auto"/>
      </w:pPr>
      <w:r>
        <w:t>Morris, J. (1991) Pride Against Prejudice: Transforming Attitudes to Disability. London: Women's Press.</w:t>
      </w:r>
    </w:p>
    <w:p w14:paraId="7FA440F0" w14:textId="77777777" w:rsidR="00682CB4" w:rsidRDefault="00000000">
      <w:pPr>
        <w:spacing w:line="360" w:lineRule="auto"/>
      </w:pPr>
      <w:r>
        <w:t>NICE (2021) Shared Decision Making. NICE Guideline NG197. London: National Institute for Health and Care Excellence.</w:t>
      </w:r>
    </w:p>
    <w:p w14:paraId="5B5C40FB" w14:textId="77777777" w:rsidR="00682CB4" w:rsidRDefault="00000000">
      <w:pPr>
        <w:spacing w:line="360" w:lineRule="auto"/>
      </w:pPr>
      <w:r>
        <w:t>Oliver, M. (1990) The Politics of Disablement. London: Macmillan.</w:t>
      </w:r>
    </w:p>
    <w:p w14:paraId="7D35B885" w14:textId="77777777" w:rsidR="00682CB4" w:rsidRDefault="00000000">
      <w:pPr>
        <w:spacing w:line="360" w:lineRule="auto"/>
      </w:pPr>
      <w:r>
        <w:t>Oliver, M. (1996) Understanding Disability: From Theory to Practice. Basingstoke: Macmillan.</w:t>
      </w:r>
    </w:p>
    <w:p w14:paraId="10F4B045" w14:textId="77777777" w:rsidR="00682CB4" w:rsidRDefault="00000000">
      <w:pPr>
        <w:spacing w:line="360" w:lineRule="auto"/>
      </w:pPr>
      <w:r>
        <w:lastRenderedPageBreak/>
        <w:t>Shakespeare, T. (2014) Disability Rights and Wrongs Revisited. 2nd edn. London: Routledge.</w:t>
      </w:r>
    </w:p>
    <w:p w14:paraId="161AF48D" w14:textId="77777777" w:rsidR="00682CB4" w:rsidRDefault="00000000">
      <w:pPr>
        <w:spacing w:line="360" w:lineRule="auto"/>
      </w:pPr>
      <w:r>
        <w:t>The King's Fund (2022) Social Care 360. London: The King's Fund.</w:t>
      </w:r>
    </w:p>
    <w:p w14:paraId="23248284" w14:textId="77777777" w:rsidR="00682CB4" w:rsidRDefault="00000000">
      <w:pPr>
        <w:spacing w:line="360" w:lineRule="auto"/>
      </w:pPr>
      <w:r>
        <w:t>Thomas, C. (2007) Sociologies of Disability and Illness: Contested Ideas in Disability Studies and Medical Sociology. Basingstoke: Palgrave Macmillan.</w:t>
      </w:r>
    </w:p>
    <w:p w14:paraId="4AAFCBC2" w14:textId="77777777" w:rsidR="00682CB4" w:rsidRDefault="00000000">
      <w:pPr>
        <w:spacing w:line="360" w:lineRule="auto"/>
      </w:pPr>
      <w:r>
        <w:t>United Nations (2006) Convention on the Rights of Persons with Disabilities. New York: United Nations.</w:t>
      </w:r>
    </w:p>
    <w:p w14:paraId="5528A818" w14:textId="77777777" w:rsidR="00682CB4" w:rsidRDefault="00000000">
      <w:pPr>
        <w:spacing w:line="360" w:lineRule="auto"/>
      </w:pPr>
      <w:r>
        <w:t>UPIAS (1976) Fundamental Principles of Disability. London: Union of the Physically Impaired Against Segregation.</w:t>
      </w:r>
    </w:p>
    <w:sectPr w:rsidR="00682CB4"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72061" w14:textId="77777777" w:rsidR="0002748B" w:rsidRDefault="0002748B">
      <w:pPr>
        <w:spacing w:after="0" w:line="240" w:lineRule="auto"/>
      </w:pPr>
      <w:r>
        <w:separator/>
      </w:r>
    </w:p>
  </w:endnote>
  <w:endnote w:type="continuationSeparator" w:id="0">
    <w:p w14:paraId="1F828CBA" w14:textId="77777777" w:rsidR="0002748B" w:rsidRDefault="00027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677ECB" w14:textId="77777777" w:rsidR="00682CB4" w:rsidRDefault="00000000">
    <w:pPr>
      <w:pStyle w:val="Footer"/>
      <w:jc w:val="center"/>
    </w:pPr>
    <w:r>
      <w:fldChar w:fldCharType="begin"/>
    </w:r>
    <w:r>
      <w:instrText>PAGE</w:instrText>
    </w:r>
    <w:r>
      <w:fldChar w:fldCharType="separate"/>
    </w:r>
    <w:r w:rsidR="00316B3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9A803" w14:textId="77777777" w:rsidR="0002748B" w:rsidRDefault="0002748B">
      <w:pPr>
        <w:spacing w:after="0" w:line="240" w:lineRule="auto"/>
      </w:pPr>
      <w:r>
        <w:separator/>
      </w:r>
    </w:p>
  </w:footnote>
  <w:footnote w:type="continuationSeparator" w:id="0">
    <w:p w14:paraId="01604CD0" w14:textId="77777777" w:rsidR="0002748B" w:rsidRDefault="000274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35693614">
    <w:abstractNumId w:val="8"/>
  </w:num>
  <w:num w:numId="2" w16cid:durableId="668362620">
    <w:abstractNumId w:val="6"/>
  </w:num>
  <w:num w:numId="3" w16cid:durableId="1164511022">
    <w:abstractNumId w:val="5"/>
  </w:num>
  <w:num w:numId="4" w16cid:durableId="1371613923">
    <w:abstractNumId w:val="4"/>
  </w:num>
  <w:num w:numId="5" w16cid:durableId="449932431">
    <w:abstractNumId w:val="7"/>
  </w:num>
  <w:num w:numId="6" w16cid:durableId="567377049">
    <w:abstractNumId w:val="3"/>
  </w:num>
  <w:num w:numId="7" w16cid:durableId="1495535836">
    <w:abstractNumId w:val="2"/>
  </w:num>
  <w:num w:numId="8" w16cid:durableId="1469786633">
    <w:abstractNumId w:val="1"/>
  </w:num>
  <w:num w:numId="9" w16cid:durableId="2014141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748B"/>
    <w:rsid w:val="00034616"/>
    <w:rsid w:val="0006063C"/>
    <w:rsid w:val="0015074B"/>
    <w:rsid w:val="0029639D"/>
    <w:rsid w:val="00316B3C"/>
    <w:rsid w:val="00326F90"/>
    <w:rsid w:val="004A589E"/>
    <w:rsid w:val="00682CB4"/>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5A27CB"/>
  <w14:defaultImageDpi w14:val="300"/>
  <w15:docId w15:val="{A0BE1858-EE83-427B-AF68-9768C219A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2227</Words>
  <Characters>12698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14896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30098002 Mohammad Omari</cp:lastModifiedBy>
  <cp:revision>2</cp:revision>
  <dcterms:created xsi:type="dcterms:W3CDTF">2026-04-22T14:29:00Z</dcterms:created>
  <dcterms:modified xsi:type="dcterms:W3CDTF">2026-04-22T14:29:00Z</dcterms:modified>
  <cp:category/>
</cp:coreProperties>
</file>