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093F" w:rsidRPr="00AC093F" w:rsidRDefault="00AC093F" w:rsidP="00AC093F">
      <w:pPr>
        <w:spacing w:before="100" w:beforeAutospacing="1" w:after="100" w:afterAutospacing="1"/>
        <w:outlineLvl w:val="1"/>
        <w:rPr>
          <w:rFonts w:ascii="Times New Roman" w:eastAsia="Times New Roman" w:hAnsi="Times New Roman" w:cs="Times New Roman"/>
          <w:b/>
          <w:bCs/>
          <w:sz w:val="36"/>
          <w:szCs w:val="36"/>
          <w:lang w:eastAsia="en-GB"/>
        </w:rPr>
      </w:pPr>
      <w:r w:rsidRPr="00AC093F">
        <w:rPr>
          <w:rFonts w:ascii="Times New Roman" w:eastAsia="Times New Roman" w:hAnsi="Times New Roman" w:cs="Times New Roman"/>
          <w:b/>
          <w:bCs/>
          <w:sz w:val="36"/>
          <w:szCs w:val="36"/>
          <w:lang w:eastAsia="en-GB"/>
        </w:rPr>
        <w:t>Questions of Gender</w:t>
      </w:r>
    </w:p>
    <w:p w:rsidR="00AC093F" w:rsidRPr="00AC093F" w:rsidRDefault="00AC093F" w:rsidP="00AC093F">
      <w:pPr>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By </w:t>
      </w:r>
      <w:hyperlink r:id="rId5" w:history="1">
        <w:r w:rsidRPr="00AC093F">
          <w:rPr>
            <w:rFonts w:ascii="Times New Roman" w:eastAsia="Times New Roman" w:hAnsi="Times New Roman" w:cs="Times New Roman"/>
            <w:color w:val="0000FF"/>
            <w:sz w:val="24"/>
            <w:szCs w:val="24"/>
            <w:u w:val="single"/>
            <w:lang w:eastAsia="en-GB"/>
          </w:rPr>
          <w:t>Joanne Bailey</w:t>
        </w:r>
      </w:hyperlink>
    </w:p>
    <w:p w:rsidR="00AC093F" w:rsidRPr="00AC093F" w:rsidRDefault="00AC093F" w:rsidP="00AC093F">
      <w:pPr>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Published in </w:t>
      </w:r>
      <w:hyperlink r:id="rId6" w:history="1">
        <w:r w:rsidRPr="00AC093F">
          <w:rPr>
            <w:rFonts w:ascii="Times New Roman" w:eastAsia="Times New Roman" w:hAnsi="Times New Roman" w:cs="Times New Roman"/>
            <w:color w:val="0000FF"/>
            <w:sz w:val="24"/>
            <w:szCs w:val="24"/>
            <w:u w:val="single"/>
            <w:lang w:eastAsia="en-GB"/>
          </w:rPr>
          <w:t>History Today</w:t>
        </w:r>
      </w:hyperlink>
      <w:r w:rsidRPr="00AC093F">
        <w:rPr>
          <w:rFonts w:ascii="Times New Roman" w:eastAsia="Times New Roman" w:hAnsi="Times New Roman" w:cs="Times New Roman"/>
          <w:sz w:val="24"/>
          <w:szCs w:val="24"/>
          <w:lang w:eastAsia="en-GB"/>
        </w:rPr>
        <w:t xml:space="preserve"> </w:t>
      </w:r>
      <w:hyperlink r:id="rId7" w:history="1">
        <w:r w:rsidRPr="00AC093F">
          <w:rPr>
            <w:rFonts w:ascii="Times New Roman" w:eastAsia="Times New Roman" w:hAnsi="Times New Roman" w:cs="Times New Roman"/>
            <w:color w:val="0000FF"/>
            <w:sz w:val="24"/>
            <w:szCs w:val="24"/>
            <w:u w:val="single"/>
            <w:lang w:eastAsia="en-GB"/>
          </w:rPr>
          <w:t>Volume 64 Issue 6 June 2014</w:t>
        </w:r>
      </w:hyperlink>
      <w:r w:rsidRPr="00AC093F">
        <w:rPr>
          <w:rFonts w:ascii="Times New Roman" w:eastAsia="Times New Roman" w:hAnsi="Times New Roman" w:cs="Times New Roman"/>
          <w:sz w:val="24"/>
          <w:szCs w:val="24"/>
          <w:lang w:eastAsia="en-GB"/>
        </w:rPr>
        <w:t xml:space="preserve"> </w:t>
      </w:r>
    </w:p>
    <w:p w:rsidR="00AC093F" w:rsidRPr="00AC093F" w:rsidRDefault="00AC093F" w:rsidP="00AC093F">
      <w:pPr>
        <w:rPr>
          <w:rFonts w:ascii="Times New Roman" w:eastAsia="Times New Roman" w:hAnsi="Times New Roman" w:cs="Times New Roman"/>
          <w:sz w:val="24"/>
          <w:szCs w:val="24"/>
          <w:lang w:eastAsia="en-GB"/>
        </w:rPr>
      </w:pPr>
      <w:hyperlink r:id="rId8" w:history="1">
        <w:r w:rsidRPr="00AC093F">
          <w:rPr>
            <w:rFonts w:ascii="Times New Roman" w:eastAsia="Times New Roman" w:hAnsi="Times New Roman" w:cs="Times New Roman"/>
            <w:color w:val="0000FF"/>
            <w:sz w:val="24"/>
            <w:szCs w:val="24"/>
            <w:u w:val="single"/>
            <w:lang w:eastAsia="en-GB"/>
          </w:rPr>
          <w:t>Gender</w:t>
        </w:r>
      </w:hyperlink>
      <w:r w:rsidRPr="00AC093F">
        <w:rPr>
          <w:rFonts w:ascii="Times New Roman" w:eastAsia="Times New Roman" w:hAnsi="Times New Roman" w:cs="Times New Roman"/>
          <w:sz w:val="24"/>
          <w:szCs w:val="24"/>
          <w:lang w:eastAsia="en-GB"/>
        </w:rPr>
        <w:t xml:space="preserve"> </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Joanne Bailey argues that gender history is no faddish digression from the historical route, but an advanced tool of analysis that is here to stay.</w:t>
      </w:r>
    </w:p>
    <w:p w:rsidR="00AC093F" w:rsidRPr="00AC093F" w:rsidRDefault="00AC093F" w:rsidP="00AC093F">
      <w:pPr>
        <w:spacing w:beforeAutospacing="1"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Adam and Eve expelled from the Garden of Eden by Vrancke van der Stockt, c.1460.Are men from Mars and women from Venus? Not according to gender history. Gender history dismantles such stereotypes; it explores how the sexes have interacted with each other, but it does not stop at the door when men walk out of their house into the public world. In fact gender history is an indispensable means to understand how past cultures, societies, politics and economies functioned and flourished.</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Let me accompany you on a journey through this tool of analysis. In her overview </w:t>
      </w:r>
      <w:r w:rsidRPr="00AC093F">
        <w:rPr>
          <w:rFonts w:ascii="Times New Roman" w:eastAsia="Times New Roman" w:hAnsi="Times New Roman" w:cs="Times New Roman"/>
          <w:i/>
          <w:iCs/>
          <w:sz w:val="24"/>
          <w:szCs w:val="24"/>
          <w:lang w:eastAsia="en-GB"/>
        </w:rPr>
        <w:t>What is Gender History?</w:t>
      </w:r>
      <w:r w:rsidRPr="00AC093F">
        <w:rPr>
          <w:rFonts w:ascii="Times New Roman" w:eastAsia="Times New Roman" w:hAnsi="Times New Roman" w:cs="Times New Roman"/>
          <w:sz w:val="24"/>
          <w:szCs w:val="24"/>
          <w:lang w:eastAsia="en-GB"/>
        </w:rPr>
        <w:t xml:space="preserve"> (2010) Sonya Rose explains that it ‘is based on the fundamental idea that what it means to be defined as man or woman has a history’. These definitions are socially constructed, not based in nature, so they change over time. Though a recent development, gender has already overturned mainstream history. Despite attacks on it and its champions, it is now impossible to ignore and has moved inexorably onwards thanks to historians like Joan Scott, whose article ‘</w:t>
      </w:r>
      <w:r w:rsidRPr="00AC093F">
        <w:rPr>
          <w:rFonts w:ascii="Times New Roman" w:eastAsia="Times New Roman" w:hAnsi="Times New Roman" w:cs="Times New Roman"/>
          <w:i/>
          <w:iCs/>
          <w:sz w:val="24"/>
          <w:szCs w:val="24"/>
          <w:lang w:eastAsia="en-GB"/>
        </w:rPr>
        <w:t>Gender: A Useful Category of Historical Analysis</w:t>
      </w:r>
      <w:r w:rsidRPr="00AC093F">
        <w:rPr>
          <w:rFonts w:ascii="Times New Roman" w:eastAsia="Times New Roman" w:hAnsi="Times New Roman" w:cs="Times New Roman"/>
          <w:sz w:val="24"/>
          <w:szCs w:val="24"/>
          <w:lang w:eastAsia="en-GB"/>
        </w:rPr>
        <w:t xml:space="preserve">’, published in the </w:t>
      </w:r>
      <w:r w:rsidRPr="00AC093F">
        <w:rPr>
          <w:rFonts w:ascii="Times New Roman" w:eastAsia="Times New Roman" w:hAnsi="Times New Roman" w:cs="Times New Roman"/>
          <w:i/>
          <w:iCs/>
          <w:sz w:val="24"/>
          <w:szCs w:val="24"/>
          <w:lang w:eastAsia="en-GB"/>
        </w:rPr>
        <w:t>American Historical Review</w:t>
      </w:r>
      <w:r w:rsidRPr="00AC093F">
        <w:rPr>
          <w:rFonts w:ascii="Times New Roman" w:eastAsia="Times New Roman" w:hAnsi="Times New Roman" w:cs="Times New Roman"/>
          <w:sz w:val="24"/>
          <w:szCs w:val="24"/>
          <w:lang w:eastAsia="en-GB"/>
        </w:rPr>
        <w:t xml:space="preserve"> in 1986, demanded that all historians use gender to analyse their subjects. So what can gender history tell us?</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This journey begins with the dynamic relationships between the sexes. Though neither the history of women nor of domesticity, gender history exposes the complexities of past women’s lives. It reveals that some women ignored gendered conventions about their sex, while others deployed them to circumvent social and economic barriers and still others upheld gender norms, as well as rebelled against them. Laura Gowing’s </w:t>
      </w:r>
      <w:r w:rsidRPr="00AC093F">
        <w:rPr>
          <w:rFonts w:ascii="Times New Roman" w:eastAsia="Times New Roman" w:hAnsi="Times New Roman" w:cs="Times New Roman"/>
          <w:i/>
          <w:iCs/>
          <w:sz w:val="24"/>
          <w:szCs w:val="24"/>
          <w:lang w:eastAsia="en-GB"/>
        </w:rPr>
        <w:t>Domestic Dangers: Women, Words and Sex in Early Modern London</w:t>
      </w:r>
      <w:r w:rsidRPr="00AC093F">
        <w:rPr>
          <w:rFonts w:ascii="Times New Roman" w:eastAsia="Times New Roman" w:hAnsi="Times New Roman" w:cs="Times New Roman"/>
          <w:sz w:val="24"/>
          <w:szCs w:val="24"/>
          <w:lang w:eastAsia="en-GB"/>
        </w:rPr>
        <w:t xml:space="preserve"> (1996), for example, shows that it was often women who deployed the misogynistic language of insult to police other women’s behaviour.</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It is thanks to gender history that we know how the sexes worked together to negotiate the worst strictures of patriarchy, which damaged men as well as women. My work on married life (2003), Katie Barclay’s </w:t>
      </w:r>
      <w:r w:rsidRPr="00AC093F">
        <w:rPr>
          <w:rFonts w:ascii="Times New Roman" w:eastAsia="Times New Roman" w:hAnsi="Times New Roman" w:cs="Times New Roman"/>
          <w:i/>
          <w:iCs/>
          <w:sz w:val="24"/>
          <w:szCs w:val="24"/>
          <w:lang w:eastAsia="en-GB"/>
        </w:rPr>
        <w:t>Love, Intimacy and Power: Marriage and Patriarchy in Scotland</w:t>
      </w:r>
      <w:r w:rsidRPr="00AC093F">
        <w:rPr>
          <w:rFonts w:ascii="Times New Roman" w:eastAsia="Times New Roman" w:hAnsi="Times New Roman" w:cs="Times New Roman"/>
          <w:sz w:val="24"/>
          <w:szCs w:val="24"/>
          <w:lang w:eastAsia="en-GB"/>
        </w:rPr>
        <w:t xml:space="preserve">, </w:t>
      </w:r>
      <w:r w:rsidRPr="00AC093F">
        <w:rPr>
          <w:rFonts w:ascii="Times New Roman" w:eastAsia="Times New Roman" w:hAnsi="Times New Roman" w:cs="Times New Roman"/>
          <w:i/>
          <w:iCs/>
          <w:sz w:val="24"/>
          <w:szCs w:val="24"/>
          <w:lang w:eastAsia="en-GB"/>
        </w:rPr>
        <w:t>1650-1850</w:t>
      </w:r>
      <w:r w:rsidRPr="00AC093F">
        <w:rPr>
          <w:rFonts w:ascii="Times New Roman" w:eastAsia="Times New Roman" w:hAnsi="Times New Roman" w:cs="Times New Roman"/>
          <w:sz w:val="24"/>
          <w:szCs w:val="24"/>
          <w:lang w:eastAsia="en-GB"/>
        </w:rPr>
        <w:t xml:space="preserve"> (2011) and Alex Shepard’s </w:t>
      </w:r>
      <w:r w:rsidRPr="00AC093F">
        <w:rPr>
          <w:rFonts w:ascii="Times New Roman" w:eastAsia="Times New Roman" w:hAnsi="Times New Roman" w:cs="Times New Roman"/>
          <w:i/>
          <w:iCs/>
          <w:sz w:val="24"/>
          <w:szCs w:val="24"/>
          <w:lang w:eastAsia="en-GB"/>
        </w:rPr>
        <w:t>The Meanings of Manhood in Early Modern England, 1560-1640</w:t>
      </w:r>
      <w:r w:rsidRPr="00AC093F">
        <w:rPr>
          <w:rFonts w:ascii="Times New Roman" w:eastAsia="Times New Roman" w:hAnsi="Times New Roman" w:cs="Times New Roman"/>
          <w:sz w:val="24"/>
          <w:szCs w:val="24"/>
          <w:lang w:eastAsia="en-GB"/>
        </w:rPr>
        <w:t xml:space="preserve"> (2003) highlight the interdependency of spouses, the flexibility (and therein success) of patriarchy and the capacity for men’s status to be undermined both by their spouses’ economic activities and by other men. Gender history identifies the importance of home to men. John Tosh’s </w:t>
      </w:r>
      <w:r w:rsidRPr="00AC093F">
        <w:rPr>
          <w:rFonts w:ascii="Times New Roman" w:eastAsia="Times New Roman" w:hAnsi="Times New Roman" w:cs="Times New Roman"/>
          <w:i/>
          <w:iCs/>
          <w:sz w:val="24"/>
          <w:szCs w:val="24"/>
          <w:lang w:eastAsia="en-GB"/>
        </w:rPr>
        <w:t>A Man’s Place: Masculinity and the Middle-class Home in Victorian England</w:t>
      </w:r>
      <w:r w:rsidRPr="00AC093F">
        <w:rPr>
          <w:rFonts w:ascii="Times New Roman" w:eastAsia="Times New Roman" w:hAnsi="Times New Roman" w:cs="Times New Roman"/>
          <w:sz w:val="24"/>
          <w:szCs w:val="24"/>
          <w:lang w:eastAsia="en-GB"/>
        </w:rPr>
        <w:t xml:space="preserve"> (1999) reveals how essential the home and family were to men’s public reputations. In other words, using gender as an investigative lens illuminates the structural limitations on individuals, while revealing their wriggle-room. It shows how, in the words of </w:t>
      </w:r>
      <w:r w:rsidRPr="00AC093F">
        <w:rPr>
          <w:rFonts w:ascii="Times New Roman" w:eastAsia="Times New Roman" w:hAnsi="Times New Roman" w:cs="Times New Roman"/>
          <w:i/>
          <w:iCs/>
          <w:sz w:val="24"/>
          <w:szCs w:val="24"/>
          <w:lang w:eastAsia="en-GB"/>
        </w:rPr>
        <w:t>The Lawes Resolutions of Women’s Rights</w:t>
      </w:r>
      <w:r w:rsidRPr="00AC093F">
        <w:rPr>
          <w:rFonts w:ascii="Times New Roman" w:eastAsia="Times New Roman" w:hAnsi="Times New Roman" w:cs="Times New Roman"/>
          <w:sz w:val="24"/>
          <w:szCs w:val="24"/>
          <w:lang w:eastAsia="en-GB"/>
        </w:rPr>
        <w:t xml:space="preserve"> (1632), ‘some women can shift it well enough’ despite numerous restrictions. Indeed, thanks to studies such as Anthony Fletcher’s </w:t>
      </w:r>
      <w:r w:rsidRPr="00AC093F">
        <w:rPr>
          <w:rFonts w:ascii="Times New Roman" w:eastAsia="Times New Roman" w:hAnsi="Times New Roman" w:cs="Times New Roman"/>
          <w:i/>
          <w:iCs/>
          <w:sz w:val="24"/>
          <w:szCs w:val="24"/>
          <w:lang w:eastAsia="en-GB"/>
        </w:rPr>
        <w:t>Gender, Sex and Subordination</w:t>
      </w:r>
      <w:r w:rsidRPr="00AC093F">
        <w:rPr>
          <w:rFonts w:ascii="Times New Roman" w:eastAsia="Times New Roman" w:hAnsi="Times New Roman" w:cs="Times New Roman"/>
          <w:sz w:val="24"/>
          <w:szCs w:val="24"/>
          <w:lang w:eastAsia="en-GB"/>
        </w:rPr>
        <w:t xml:space="preserve"> (1999), it seems that those who legitimately hold power are not always those who exercise it and those who are subordinate do not always submit.</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lastRenderedPageBreak/>
        <w:t xml:space="preserve">Now let’s walk away from intimate relationships and the home. Garthine Walker’s </w:t>
      </w:r>
      <w:r w:rsidRPr="00AC093F">
        <w:rPr>
          <w:rFonts w:ascii="Times New Roman" w:eastAsia="Times New Roman" w:hAnsi="Times New Roman" w:cs="Times New Roman"/>
          <w:i/>
          <w:iCs/>
          <w:sz w:val="24"/>
          <w:szCs w:val="24"/>
          <w:lang w:eastAsia="en-GB"/>
        </w:rPr>
        <w:t>Crime, Gender and Social Order in Early Modern England</w:t>
      </w:r>
      <w:r w:rsidRPr="00AC093F">
        <w:rPr>
          <w:rFonts w:ascii="Times New Roman" w:eastAsia="Times New Roman" w:hAnsi="Times New Roman" w:cs="Times New Roman"/>
          <w:sz w:val="24"/>
          <w:szCs w:val="24"/>
          <w:lang w:eastAsia="en-GB"/>
        </w:rPr>
        <w:t xml:space="preserve"> (2008) charts how crime and the criminal justice system were shaped by ideas on appropriate behaviour for men and women. As an identity, gender is also performed outside the home and away from women. Thus it moulded behaviour and attitudes in men-only worlds, too. James Mangan has shown from the publication he edited with James Walvin, </w:t>
      </w:r>
      <w:r w:rsidRPr="00AC093F">
        <w:rPr>
          <w:rFonts w:ascii="Times New Roman" w:eastAsia="Times New Roman" w:hAnsi="Times New Roman" w:cs="Times New Roman"/>
          <w:i/>
          <w:iCs/>
          <w:sz w:val="24"/>
          <w:szCs w:val="24"/>
          <w:lang w:eastAsia="en-GB"/>
        </w:rPr>
        <w:t>Manliness and Morality: Middle-class Masculinity in Britain and America, 1800-1940</w:t>
      </w:r>
      <w:r w:rsidRPr="00AC093F">
        <w:rPr>
          <w:rFonts w:ascii="Times New Roman" w:eastAsia="Times New Roman" w:hAnsi="Times New Roman" w:cs="Times New Roman"/>
          <w:sz w:val="24"/>
          <w:szCs w:val="24"/>
          <w:lang w:eastAsia="en-GB"/>
        </w:rPr>
        <w:t xml:space="preserve"> (1987), to his work on the history of sport, how masculine identities were forged on school-, sports- and battlefields. Gender structured men’s dealings with each other and their roles in war, politics and empire. Indeed gender is as fundamental as race and class to understanding imperial history, as Philippa Levine’s edited volume </w:t>
      </w:r>
      <w:r w:rsidRPr="00AC093F">
        <w:rPr>
          <w:rFonts w:ascii="Times New Roman" w:eastAsia="Times New Roman" w:hAnsi="Times New Roman" w:cs="Times New Roman"/>
          <w:i/>
          <w:iCs/>
          <w:sz w:val="24"/>
          <w:szCs w:val="24"/>
          <w:lang w:eastAsia="en-GB"/>
        </w:rPr>
        <w:t>Gender and Empire</w:t>
      </w:r>
      <w:r w:rsidRPr="00AC093F">
        <w:rPr>
          <w:rFonts w:ascii="Times New Roman" w:eastAsia="Times New Roman" w:hAnsi="Times New Roman" w:cs="Times New Roman"/>
          <w:sz w:val="24"/>
          <w:szCs w:val="24"/>
          <w:lang w:eastAsia="en-GB"/>
        </w:rPr>
        <w:t xml:space="preserve"> (2004) illustrates. Merry Wiesner Hanks’s </w:t>
      </w:r>
      <w:r w:rsidRPr="00AC093F">
        <w:rPr>
          <w:rFonts w:ascii="Times New Roman" w:eastAsia="Times New Roman" w:hAnsi="Times New Roman" w:cs="Times New Roman"/>
          <w:i/>
          <w:iCs/>
          <w:sz w:val="24"/>
          <w:szCs w:val="24"/>
          <w:lang w:eastAsia="en-GB"/>
        </w:rPr>
        <w:t>Gender in History: Global Perspectives</w:t>
      </w:r>
      <w:r w:rsidRPr="00AC093F">
        <w:rPr>
          <w:rFonts w:ascii="Times New Roman" w:eastAsia="Times New Roman" w:hAnsi="Times New Roman" w:cs="Times New Roman"/>
          <w:sz w:val="24"/>
          <w:szCs w:val="24"/>
          <w:lang w:eastAsia="en-GB"/>
        </w:rPr>
        <w:t xml:space="preserve"> (2nd edition, 2010) travels time and space to show how the concept of gender has defined all societies as well as individuals, influencing political and religious policies, speeches and platforms.</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Perhaps the best way to demonstrate the pervasiveness of gender history today is to consider its role in the First World War. Understandably in this centenary year commemoration, remembrance, suffering and military leadership take centre stage. Yet by using gender as an analytical tool perceptive scholars have advanced our understanding of 1914-18 and its aftermath. Michael Roper’s </w:t>
      </w:r>
      <w:r w:rsidRPr="00AC093F">
        <w:rPr>
          <w:rFonts w:ascii="Times New Roman" w:eastAsia="Times New Roman" w:hAnsi="Times New Roman" w:cs="Times New Roman"/>
          <w:i/>
          <w:iCs/>
          <w:sz w:val="24"/>
          <w:szCs w:val="24"/>
          <w:lang w:eastAsia="en-GB"/>
        </w:rPr>
        <w:t>The Secret Battle: Emotional Survival in the Great War</w:t>
      </w:r>
      <w:r w:rsidRPr="00AC093F">
        <w:rPr>
          <w:rFonts w:ascii="Times New Roman" w:eastAsia="Times New Roman" w:hAnsi="Times New Roman" w:cs="Times New Roman"/>
          <w:sz w:val="24"/>
          <w:szCs w:val="24"/>
          <w:lang w:eastAsia="en-GB"/>
        </w:rPr>
        <w:t xml:space="preserve"> (2009), Jessica Meyer’s </w:t>
      </w:r>
      <w:r w:rsidRPr="00AC093F">
        <w:rPr>
          <w:rFonts w:ascii="Times New Roman" w:eastAsia="Times New Roman" w:hAnsi="Times New Roman" w:cs="Times New Roman"/>
          <w:i/>
          <w:iCs/>
          <w:sz w:val="24"/>
          <w:szCs w:val="24"/>
          <w:lang w:eastAsia="en-GB"/>
        </w:rPr>
        <w:t>Men of War: Masculinity and the First World War in Britain</w:t>
      </w:r>
      <w:r w:rsidRPr="00AC093F">
        <w:rPr>
          <w:rFonts w:ascii="Times New Roman" w:eastAsia="Times New Roman" w:hAnsi="Times New Roman" w:cs="Times New Roman"/>
          <w:sz w:val="24"/>
          <w:szCs w:val="24"/>
          <w:lang w:eastAsia="en-GB"/>
        </w:rPr>
        <w:t xml:space="preserve"> (2008) and Nicoletta Gullace’s </w:t>
      </w:r>
      <w:r w:rsidRPr="00AC093F">
        <w:rPr>
          <w:rFonts w:ascii="Times New Roman" w:eastAsia="Times New Roman" w:hAnsi="Times New Roman" w:cs="Times New Roman"/>
          <w:i/>
          <w:iCs/>
          <w:sz w:val="24"/>
          <w:szCs w:val="24"/>
          <w:lang w:eastAsia="en-GB"/>
        </w:rPr>
        <w:t>The Blood of Our Sons: Men, Women, and the Regeneration of British Citizenship During the Great War</w:t>
      </w:r>
      <w:r w:rsidRPr="00AC093F">
        <w:rPr>
          <w:rFonts w:ascii="Times New Roman" w:eastAsia="Times New Roman" w:hAnsi="Times New Roman" w:cs="Times New Roman"/>
          <w:sz w:val="24"/>
          <w:szCs w:val="24"/>
          <w:lang w:eastAsia="en-GB"/>
        </w:rPr>
        <w:t xml:space="preserve"> (2002) are good examples. They prove that war is a crucible for ideas about gender and a catalyst in reconstructing gender identities. The men who fought in the Great War shared a vision of manliness that prompted them to fight, shaped their experiences during and after the war, their ability to communicate their feelings and their treatment when injured and in postwar society.</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Women fashioned new feminine identities from the employment opportunities that emerged, used them to demand citizenship and then struggled with the mandate to return to ‘traditional’ standards of femininity in the postwar era.</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The journey through gender history is just begun, for it is no faddish digression from the historical route. It is here to stay: embedded in academic and public histories and the national curriculum and it is already adapting. Allied with new research agendas on emotions, bodies and material culture, it reveals the transitory nature of a supposedly ‘natural’ order. We learn that manly men in the 18th century wept tears and throbbed with sympathy without fear for their manliness. Feminine women were respected for stiffening their upper lips in the face of trauma and crisis, as any reader of Jane Austen knows. Likewise, breadwinners could be wives and child-carers fathers.</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The journey of gender history, like Thursday’s Child, still has far to go. </w:t>
      </w:r>
    </w:p>
    <w:p w:rsidR="00AC093F" w:rsidRPr="00AC093F" w:rsidRDefault="00AC093F" w:rsidP="00AC093F">
      <w:pPr>
        <w:spacing w:before="100" w:beforeAutospacing="1" w:after="100" w:afterAutospacing="1"/>
        <w:rPr>
          <w:rFonts w:ascii="Times New Roman" w:eastAsia="Times New Roman" w:hAnsi="Times New Roman" w:cs="Times New Roman"/>
          <w:sz w:val="24"/>
          <w:szCs w:val="24"/>
          <w:lang w:eastAsia="en-GB"/>
        </w:rPr>
      </w:pPr>
      <w:r w:rsidRPr="00AC093F">
        <w:rPr>
          <w:rFonts w:ascii="Times New Roman" w:eastAsia="Times New Roman" w:hAnsi="Times New Roman" w:cs="Times New Roman"/>
          <w:sz w:val="24"/>
          <w:szCs w:val="24"/>
          <w:lang w:eastAsia="en-GB"/>
        </w:rPr>
        <w:t xml:space="preserve">Joanne Bailey is Professor of History at Oxford Brookes University. Her most recent book is </w:t>
      </w:r>
      <w:r w:rsidRPr="00AC093F">
        <w:rPr>
          <w:rFonts w:ascii="Times New Roman" w:eastAsia="Times New Roman" w:hAnsi="Times New Roman" w:cs="Times New Roman"/>
          <w:i/>
          <w:iCs/>
          <w:sz w:val="24"/>
          <w:szCs w:val="24"/>
          <w:lang w:eastAsia="en-GB"/>
        </w:rPr>
        <w:t>Parenting in England c.1760-1830: Emotions, Self-identity and Generation (</w:t>
      </w:r>
      <w:r w:rsidRPr="00AC093F">
        <w:rPr>
          <w:rFonts w:ascii="Times New Roman" w:eastAsia="Times New Roman" w:hAnsi="Times New Roman" w:cs="Times New Roman"/>
          <w:sz w:val="24"/>
          <w:szCs w:val="24"/>
          <w:lang w:eastAsia="en-GB"/>
        </w:rPr>
        <w:t xml:space="preserve">Oxford University Press, 2013). She is currently researching </w:t>
      </w:r>
      <w:r w:rsidRPr="00AC093F">
        <w:rPr>
          <w:rFonts w:ascii="Times New Roman" w:eastAsia="Times New Roman" w:hAnsi="Times New Roman" w:cs="Times New Roman"/>
          <w:i/>
          <w:iCs/>
          <w:sz w:val="24"/>
          <w:szCs w:val="24"/>
          <w:lang w:eastAsia="en-GB"/>
        </w:rPr>
        <w:t>A Manly Nation: British Manliness 1757 to 1856 and Sex and the Church in the Long 18th Century</w:t>
      </w:r>
      <w:r w:rsidRPr="00AC093F">
        <w:rPr>
          <w:rFonts w:ascii="Times New Roman" w:eastAsia="Times New Roman" w:hAnsi="Times New Roman" w:cs="Times New Roman"/>
          <w:sz w:val="24"/>
          <w:szCs w:val="24"/>
          <w:lang w:eastAsia="en-GB"/>
        </w:rPr>
        <w:t>.</w:t>
      </w:r>
    </w:p>
    <w:p w:rsidR="0063667A" w:rsidRDefault="0063667A">
      <w:bookmarkStart w:id="0" w:name="_GoBack"/>
      <w:bookmarkEnd w:id="0"/>
    </w:p>
    <w:sectPr w:rsidR="00636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093F"/>
    <w:rsid w:val="0063667A"/>
    <w:rsid w:val="00AC0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625117">
      <w:bodyDiv w:val="1"/>
      <w:marLeft w:val="0"/>
      <w:marRight w:val="0"/>
      <w:marTop w:val="0"/>
      <w:marBottom w:val="0"/>
      <w:divBdr>
        <w:top w:val="none" w:sz="0" w:space="0" w:color="auto"/>
        <w:left w:val="none" w:sz="0" w:space="0" w:color="auto"/>
        <w:bottom w:val="none" w:sz="0" w:space="0" w:color="auto"/>
        <w:right w:val="none" w:sz="0" w:space="0" w:color="auto"/>
      </w:divBdr>
      <w:divsChild>
        <w:div w:id="334648626">
          <w:marLeft w:val="0"/>
          <w:marRight w:val="0"/>
          <w:marTop w:val="0"/>
          <w:marBottom w:val="0"/>
          <w:divBdr>
            <w:top w:val="none" w:sz="0" w:space="0" w:color="auto"/>
            <w:left w:val="none" w:sz="0" w:space="0" w:color="auto"/>
            <w:bottom w:val="none" w:sz="0" w:space="0" w:color="auto"/>
            <w:right w:val="none" w:sz="0" w:space="0" w:color="auto"/>
          </w:divBdr>
          <w:divsChild>
            <w:div w:id="2073692521">
              <w:marLeft w:val="0"/>
              <w:marRight w:val="0"/>
              <w:marTop w:val="0"/>
              <w:marBottom w:val="0"/>
              <w:divBdr>
                <w:top w:val="none" w:sz="0" w:space="0" w:color="auto"/>
                <w:left w:val="none" w:sz="0" w:space="0" w:color="auto"/>
                <w:bottom w:val="none" w:sz="0" w:space="0" w:color="auto"/>
                <w:right w:val="none" w:sz="0" w:space="0" w:color="auto"/>
              </w:divBdr>
              <w:divsChild>
                <w:div w:id="974412604">
                  <w:marLeft w:val="0"/>
                  <w:marRight w:val="0"/>
                  <w:marTop w:val="0"/>
                  <w:marBottom w:val="0"/>
                  <w:divBdr>
                    <w:top w:val="none" w:sz="0" w:space="0" w:color="auto"/>
                    <w:left w:val="none" w:sz="0" w:space="0" w:color="auto"/>
                    <w:bottom w:val="none" w:sz="0" w:space="0" w:color="auto"/>
                    <w:right w:val="none" w:sz="0" w:space="0" w:color="auto"/>
                  </w:divBdr>
                  <w:divsChild>
                    <w:div w:id="1921450794">
                      <w:marLeft w:val="0"/>
                      <w:marRight w:val="0"/>
                      <w:marTop w:val="0"/>
                      <w:marBottom w:val="0"/>
                      <w:divBdr>
                        <w:top w:val="none" w:sz="0" w:space="0" w:color="auto"/>
                        <w:left w:val="none" w:sz="0" w:space="0" w:color="auto"/>
                        <w:bottom w:val="none" w:sz="0" w:space="0" w:color="auto"/>
                        <w:right w:val="none" w:sz="0" w:space="0" w:color="auto"/>
                      </w:divBdr>
                      <w:divsChild>
                        <w:div w:id="1189173848">
                          <w:marLeft w:val="0"/>
                          <w:marRight w:val="0"/>
                          <w:marTop w:val="0"/>
                          <w:marBottom w:val="0"/>
                          <w:divBdr>
                            <w:top w:val="none" w:sz="0" w:space="0" w:color="auto"/>
                            <w:left w:val="none" w:sz="0" w:space="0" w:color="auto"/>
                            <w:bottom w:val="none" w:sz="0" w:space="0" w:color="auto"/>
                            <w:right w:val="none" w:sz="0" w:space="0" w:color="auto"/>
                          </w:divBdr>
                          <w:divsChild>
                            <w:div w:id="1896627276">
                              <w:marLeft w:val="0"/>
                              <w:marRight w:val="0"/>
                              <w:marTop w:val="0"/>
                              <w:marBottom w:val="0"/>
                              <w:divBdr>
                                <w:top w:val="none" w:sz="0" w:space="0" w:color="auto"/>
                                <w:left w:val="none" w:sz="0" w:space="0" w:color="auto"/>
                                <w:bottom w:val="none" w:sz="0" w:space="0" w:color="auto"/>
                                <w:right w:val="none" w:sz="0" w:space="0" w:color="auto"/>
                              </w:divBdr>
                              <w:divsChild>
                                <w:div w:id="1043485528">
                                  <w:marLeft w:val="0"/>
                                  <w:marRight w:val="0"/>
                                  <w:marTop w:val="0"/>
                                  <w:marBottom w:val="0"/>
                                  <w:divBdr>
                                    <w:top w:val="none" w:sz="0" w:space="0" w:color="auto"/>
                                    <w:left w:val="none" w:sz="0" w:space="0" w:color="auto"/>
                                    <w:bottom w:val="none" w:sz="0" w:space="0" w:color="auto"/>
                                    <w:right w:val="none" w:sz="0" w:space="0" w:color="auto"/>
                                  </w:divBdr>
                                  <w:divsChild>
                                    <w:div w:id="1916090260">
                                      <w:marLeft w:val="0"/>
                                      <w:marRight w:val="0"/>
                                      <w:marTop w:val="0"/>
                                      <w:marBottom w:val="0"/>
                                      <w:divBdr>
                                        <w:top w:val="none" w:sz="0" w:space="0" w:color="auto"/>
                                        <w:left w:val="none" w:sz="0" w:space="0" w:color="auto"/>
                                        <w:bottom w:val="none" w:sz="0" w:space="0" w:color="auto"/>
                                        <w:right w:val="none" w:sz="0" w:space="0" w:color="auto"/>
                                      </w:divBdr>
                                      <w:divsChild>
                                        <w:div w:id="131459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831456">
                      <w:marLeft w:val="0"/>
                      <w:marRight w:val="0"/>
                      <w:marTop w:val="0"/>
                      <w:marBottom w:val="0"/>
                      <w:divBdr>
                        <w:top w:val="none" w:sz="0" w:space="0" w:color="auto"/>
                        <w:left w:val="none" w:sz="0" w:space="0" w:color="auto"/>
                        <w:bottom w:val="none" w:sz="0" w:space="0" w:color="auto"/>
                        <w:right w:val="none" w:sz="0" w:space="0" w:color="auto"/>
                      </w:divBdr>
                      <w:divsChild>
                        <w:div w:id="679544721">
                          <w:marLeft w:val="0"/>
                          <w:marRight w:val="0"/>
                          <w:marTop w:val="0"/>
                          <w:marBottom w:val="0"/>
                          <w:divBdr>
                            <w:top w:val="none" w:sz="0" w:space="0" w:color="auto"/>
                            <w:left w:val="none" w:sz="0" w:space="0" w:color="auto"/>
                            <w:bottom w:val="none" w:sz="0" w:space="0" w:color="auto"/>
                            <w:right w:val="none" w:sz="0" w:space="0" w:color="auto"/>
                          </w:divBdr>
                          <w:divsChild>
                            <w:div w:id="1863007404">
                              <w:marLeft w:val="0"/>
                              <w:marRight w:val="0"/>
                              <w:marTop w:val="0"/>
                              <w:marBottom w:val="0"/>
                              <w:divBdr>
                                <w:top w:val="none" w:sz="0" w:space="0" w:color="auto"/>
                                <w:left w:val="none" w:sz="0" w:space="0" w:color="auto"/>
                                <w:bottom w:val="none" w:sz="0" w:space="0" w:color="auto"/>
                                <w:right w:val="none" w:sz="0" w:space="0" w:color="auto"/>
                              </w:divBdr>
                              <w:divsChild>
                                <w:div w:id="273482148">
                                  <w:marLeft w:val="0"/>
                                  <w:marRight w:val="0"/>
                                  <w:marTop w:val="0"/>
                                  <w:marBottom w:val="0"/>
                                  <w:divBdr>
                                    <w:top w:val="none" w:sz="0" w:space="0" w:color="auto"/>
                                    <w:left w:val="none" w:sz="0" w:space="0" w:color="auto"/>
                                    <w:bottom w:val="none" w:sz="0" w:space="0" w:color="auto"/>
                                    <w:right w:val="none" w:sz="0" w:space="0" w:color="auto"/>
                                  </w:divBdr>
                                  <w:divsChild>
                                    <w:div w:id="201780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9091669">
                  <w:marLeft w:val="0"/>
                  <w:marRight w:val="0"/>
                  <w:marTop w:val="0"/>
                  <w:marBottom w:val="0"/>
                  <w:divBdr>
                    <w:top w:val="none" w:sz="0" w:space="0" w:color="auto"/>
                    <w:left w:val="none" w:sz="0" w:space="0" w:color="auto"/>
                    <w:bottom w:val="none" w:sz="0" w:space="0" w:color="auto"/>
                    <w:right w:val="none" w:sz="0" w:space="0" w:color="auto"/>
                  </w:divBdr>
                  <w:divsChild>
                    <w:div w:id="1884321297">
                      <w:marLeft w:val="0"/>
                      <w:marRight w:val="0"/>
                      <w:marTop w:val="0"/>
                      <w:marBottom w:val="0"/>
                      <w:divBdr>
                        <w:top w:val="none" w:sz="0" w:space="0" w:color="auto"/>
                        <w:left w:val="none" w:sz="0" w:space="0" w:color="auto"/>
                        <w:bottom w:val="none" w:sz="0" w:space="0" w:color="auto"/>
                        <w:right w:val="none" w:sz="0" w:space="0" w:color="auto"/>
                      </w:divBdr>
                      <w:divsChild>
                        <w:div w:id="2115706518">
                          <w:marLeft w:val="0"/>
                          <w:marRight w:val="0"/>
                          <w:marTop w:val="0"/>
                          <w:marBottom w:val="0"/>
                          <w:divBdr>
                            <w:top w:val="none" w:sz="0" w:space="0" w:color="auto"/>
                            <w:left w:val="none" w:sz="0" w:space="0" w:color="auto"/>
                            <w:bottom w:val="none" w:sz="0" w:space="0" w:color="auto"/>
                            <w:right w:val="none" w:sz="0" w:space="0" w:color="auto"/>
                          </w:divBdr>
                          <w:divsChild>
                            <w:div w:id="386954782">
                              <w:marLeft w:val="0"/>
                              <w:marRight w:val="0"/>
                              <w:marTop w:val="0"/>
                              <w:marBottom w:val="0"/>
                              <w:divBdr>
                                <w:top w:val="none" w:sz="0" w:space="0" w:color="auto"/>
                                <w:left w:val="none" w:sz="0" w:space="0" w:color="auto"/>
                                <w:bottom w:val="none" w:sz="0" w:space="0" w:color="auto"/>
                                <w:right w:val="none" w:sz="0" w:space="0" w:color="auto"/>
                              </w:divBdr>
                              <w:divsChild>
                                <w:div w:id="104093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995282">
                  <w:marLeft w:val="0"/>
                  <w:marRight w:val="0"/>
                  <w:marTop w:val="0"/>
                  <w:marBottom w:val="0"/>
                  <w:divBdr>
                    <w:top w:val="none" w:sz="0" w:space="0" w:color="auto"/>
                    <w:left w:val="none" w:sz="0" w:space="0" w:color="auto"/>
                    <w:bottom w:val="none" w:sz="0" w:space="0" w:color="auto"/>
                    <w:right w:val="none" w:sz="0" w:space="0" w:color="auto"/>
                  </w:divBdr>
                  <w:divsChild>
                    <w:div w:id="423842650">
                      <w:marLeft w:val="0"/>
                      <w:marRight w:val="0"/>
                      <w:marTop w:val="0"/>
                      <w:marBottom w:val="0"/>
                      <w:divBdr>
                        <w:top w:val="none" w:sz="0" w:space="0" w:color="auto"/>
                        <w:left w:val="none" w:sz="0" w:space="0" w:color="auto"/>
                        <w:bottom w:val="none" w:sz="0" w:space="0" w:color="auto"/>
                        <w:right w:val="none" w:sz="0" w:space="0" w:color="auto"/>
                      </w:divBdr>
                      <w:divsChild>
                        <w:div w:id="134574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941609">
                  <w:marLeft w:val="0"/>
                  <w:marRight w:val="0"/>
                  <w:marTop w:val="0"/>
                  <w:marBottom w:val="0"/>
                  <w:divBdr>
                    <w:top w:val="none" w:sz="0" w:space="0" w:color="auto"/>
                    <w:left w:val="none" w:sz="0" w:space="0" w:color="auto"/>
                    <w:bottom w:val="none" w:sz="0" w:space="0" w:color="auto"/>
                    <w:right w:val="none" w:sz="0" w:space="0" w:color="auto"/>
                  </w:divBdr>
                  <w:divsChild>
                    <w:div w:id="662709613">
                      <w:marLeft w:val="0"/>
                      <w:marRight w:val="0"/>
                      <w:marTop w:val="0"/>
                      <w:marBottom w:val="0"/>
                      <w:divBdr>
                        <w:top w:val="none" w:sz="0" w:space="0" w:color="auto"/>
                        <w:left w:val="none" w:sz="0" w:space="0" w:color="auto"/>
                        <w:bottom w:val="none" w:sz="0" w:space="0" w:color="auto"/>
                        <w:right w:val="none" w:sz="0" w:space="0" w:color="auto"/>
                      </w:divBdr>
                      <w:divsChild>
                        <w:div w:id="106240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today.com/archive/themes/gender" TargetMode="External"/><Relationship Id="rId3" Type="http://schemas.openxmlformats.org/officeDocument/2006/relationships/settings" Target="settings.xml"/><Relationship Id="rId7" Type="http://schemas.openxmlformats.org/officeDocument/2006/relationships/hyperlink" Target="http://www.historytoday.com/archive/history-today/volume-64-issue-6-june-2014"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historytoday.com/archive/history-today/latest" TargetMode="External"/><Relationship Id="rId5" Type="http://schemas.openxmlformats.org/officeDocument/2006/relationships/hyperlink" Target="http://www.historytoday.com/author/joanne-baile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1086</Words>
  <Characters>6191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2016-10-18T12:50:00Z</dcterms:created>
  <dcterms:modified xsi:type="dcterms:W3CDTF">2016-10-18T12:51:00Z</dcterms:modified>
</cp:coreProperties>
</file>