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b w:val="1"/>
          <w:bCs w:val="1"/>
        </w:rPr>
      </w:pPr>
      <w:r>
        <w:rPr>
          <w:b w:val="1"/>
          <w:bCs w:val="1"/>
          <w:rtl w:val="0"/>
          <w:lang w:val="en-US"/>
        </w:rPr>
        <w:t xml:space="preserve">Commentary </w:t>
      </w:r>
      <w:r>
        <w:rPr>
          <w:b w:val="1"/>
          <w:bCs w:val="1"/>
          <w:rtl w:val="0"/>
          <w:lang w:val="en-US"/>
        </w:rPr>
        <w:t>O</w:t>
      </w:r>
      <w:r>
        <w:rPr>
          <w:b w:val="1"/>
          <w:bCs w:val="1"/>
          <w:rtl w:val="0"/>
        </w:rPr>
        <w:t>n</w:t>
      </w:r>
      <w:r>
        <w:rPr>
          <w:b w:val="1"/>
          <w:bCs w:val="1"/>
          <w:rtl w:val="0"/>
          <w:lang w:val="en-US"/>
        </w:rPr>
        <w:t xml:space="preserve"> Statius</w:t>
      </w:r>
      <w:r>
        <w:rPr>
          <w:b w:val="1"/>
          <w:bCs w:val="1"/>
          <w:rtl w:val="0"/>
          <w:lang w:val="en-US"/>
        </w:rPr>
        <w:t>’</w:t>
      </w:r>
      <w:r>
        <w:rPr>
          <w:b w:val="1"/>
          <w:bCs w:val="1"/>
          <w:rtl w:val="0"/>
        </w:rPr>
        <w:t xml:space="preserve"> </w:t>
      </w:r>
      <w:r>
        <w:rPr>
          <w:b w:val="1"/>
          <w:bCs w:val="1"/>
          <w:i w:val="1"/>
          <w:iCs w:val="1"/>
          <w:rtl w:val="0"/>
          <w:lang w:val="nl-NL"/>
        </w:rPr>
        <w:t>Theb</w:t>
      </w:r>
      <w:r>
        <w:rPr>
          <w:b w:val="1"/>
          <w:bCs w:val="1"/>
          <w:i w:val="1"/>
          <w:iCs w:val="1"/>
          <w:rtl w:val="0"/>
          <w:lang w:val="en-US"/>
        </w:rPr>
        <w:t>aid</w:t>
      </w:r>
      <w:r>
        <w:rPr>
          <w:b w:val="1"/>
          <w:bCs w:val="1"/>
          <w:rtl w:val="0"/>
          <w:lang w:val="en-US"/>
        </w:rPr>
        <w:t xml:space="preserve">, Book IV, </w:t>
      </w:r>
      <w:r>
        <w:rPr>
          <w:b w:val="1"/>
          <w:bCs w:val="1"/>
          <w:rtl w:val="0"/>
        </w:rPr>
        <w:t>473-87</w:t>
      </w:r>
    </w:p>
    <w:p>
      <w:pPr>
        <w:pStyle w:val="Body"/>
        <w:spacing w:line="360" w:lineRule="auto"/>
      </w:pPr>
    </w:p>
    <w:p>
      <w:pPr>
        <w:pStyle w:val="Body"/>
        <w:spacing w:line="360" w:lineRule="auto"/>
      </w:pPr>
      <w:r>
        <w:rPr>
          <w:rtl w:val="0"/>
          <w:lang w:val="en-US"/>
        </w:rPr>
        <w:t>These fifteen lines are part of a wider necromantic digression in Statius</w:t>
      </w:r>
      <w:r>
        <w:rPr>
          <w:rtl w:val="0"/>
          <w:lang w:val="en-US"/>
        </w:rPr>
        <w:t xml:space="preserve">’ </w:t>
      </w:r>
      <w:r>
        <w:rPr>
          <w:rtl w:val="0"/>
          <w:lang w:val="en-US"/>
        </w:rPr>
        <w:t>narrative in Book IV,</w:t>
      </w:r>
      <w:r>
        <w:rPr>
          <w:i w:val="1"/>
          <w:iCs w:val="1"/>
          <w:rtl w:val="0"/>
          <w:lang w:val="en-US"/>
        </w:rPr>
        <w:t xml:space="preserve"> </w:t>
      </w:r>
      <w:r>
        <w:rPr>
          <w:rtl w:val="0"/>
          <w:lang w:val="en-US"/>
        </w:rPr>
        <w:t>from</w:t>
      </w:r>
      <w:r>
        <w:rPr>
          <w:i w:val="1"/>
          <w:iCs w:val="1"/>
          <w:rtl w:val="0"/>
          <w:lang w:val="en-US"/>
        </w:rPr>
        <w:t xml:space="preserve"> </w:t>
      </w:r>
      <w:r>
        <w:rPr>
          <w:rtl w:val="0"/>
          <w:lang w:val="en-US"/>
        </w:rPr>
        <w:t>406 to 645. Necromancy, chthonic rites and trips to the underworld have a tradition within epic poetry as far back as Homer</w:t>
      </w:r>
      <w:r>
        <w:rPr>
          <w:rtl w:val="0"/>
          <w:lang w:val="en-US"/>
        </w:rPr>
        <w:t>’</w:t>
      </w:r>
      <w:r>
        <w:rPr>
          <w:rtl w:val="0"/>
          <w:lang w:val="en-US"/>
        </w:rPr>
        <w:t xml:space="preserve">s </w:t>
      </w:r>
      <w:r>
        <w:rPr>
          <w:i w:val="1"/>
          <w:iCs w:val="1"/>
          <w:rtl w:val="0"/>
          <w:lang w:val="en-US"/>
        </w:rPr>
        <w:t>Odysse</w:t>
      </w:r>
      <w:r>
        <w:rPr>
          <w:rtl w:val="0"/>
          <w:lang w:val="en-US"/>
        </w:rPr>
        <w:t>y (</w:t>
      </w:r>
      <w:r>
        <w:rPr>
          <w:rtl w:val="0"/>
        </w:rPr>
        <w:t>11.13</w:t>
      </w:r>
      <w:r>
        <w:rPr>
          <w:rtl w:val="0"/>
        </w:rPr>
        <w:t>–</w:t>
      </w:r>
      <w:r>
        <w:rPr>
          <w:rtl w:val="0"/>
        </w:rPr>
        <w:t>640</w:t>
      </w:r>
      <w:r>
        <w:rPr>
          <w:rtl w:val="0"/>
          <w:lang w:val="en-US"/>
        </w:rPr>
        <w:t>). Statius follows this tradition, and although the characters learn little, the audience is treated to a horrifying and exciting experience, traversing through underworld imagery, facing the gods and beasts of death, whilst reinforcing the key themes of the tragic Theban cycle at the same time.</w:t>
      </w:r>
    </w:p>
    <w:p>
      <w:pPr>
        <w:pStyle w:val="Body"/>
        <w:spacing w:line="360" w:lineRule="auto"/>
      </w:pPr>
    </w:p>
    <w:p>
      <w:pPr>
        <w:pStyle w:val="Body"/>
        <w:spacing w:line="360" w:lineRule="auto"/>
      </w:pPr>
      <w:r>
        <w:rPr>
          <w:rtl w:val="0"/>
          <w:lang w:val="en-US"/>
        </w:rPr>
        <w:t>At this point in the necromancy scene, Tiresias has already been called up by King Eteocles for his divination skills. After dismissing other forms of divination as ineffective compared to direct communion with the underworld (</w:t>
      </w:r>
      <w:r>
        <w:rPr>
          <w:i w:val="1"/>
          <w:iCs w:val="1"/>
          <w:rtl w:val="0"/>
          <w:lang w:val="en-US"/>
        </w:rPr>
        <w:t xml:space="preserve">Theb. </w:t>
      </w:r>
      <w:r>
        <w:rPr>
          <w:rtl w:val="0"/>
          <w:lang w:val="en-US"/>
        </w:rPr>
        <w:t>4.411-414), he begins preparing the ground for the rites. Preparations complete, lines 473-87 deal with Tiresias</w:t>
      </w:r>
      <w:r>
        <w:rPr>
          <w:rtl w:val="0"/>
          <w:lang w:val="en-US"/>
        </w:rPr>
        <w:t xml:space="preserve">’ </w:t>
      </w:r>
      <w:r>
        <w:rPr>
          <w:rtl w:val="0"/>
          <w:lang w:val="en-US"/>
        </w:rPr>
        <w:t>direct speech, as he calls to various beings in the underworld with his instructions.</w:t>
      </w:r>
    </w:p>
    <w:p>
      <w:pPr>
        <w:pStyle w:val="Body"/>
        <w:spacing w:line="360" w:lineRule="auto"/>
      </w:pPr>
    </w:p>
    <w:p>
      <w:pPr>
        <w:pStyle w:val="Body"/>
        <w:spacing w:line="360" w:lineRule="auto"/>
        <w:rPr>
          <w:b w:val="0"/>
          <w:bCs w:val="0"/>
        </w:rPr>
      </w:pPr>
      <w:r>
        <w:rPr>
          <w:b w:val="1"/>
          <w:bCs w:val="1"/>
          <w:rtl w:val="0"/>
          <w:lang w:val="en-US"/>
        </w:rPr>
        <w:t>Lines 473-4</w:t>
      </w:r>
      <w:r>
        <w:rPr>
          <w:b w:val="0"/>
          <w:bCs w:val="0"/>
          <w:rtl w:val="0"/>
          <w:lang w:val="en-US"/>
        </w:rPr>
        <w:t xml:space="preserve">, </w:t>
      </w:r>
      <w:r>
        <w:rPr>
          <w:b w:val="0"/>
          <w:bCs w:val="0"/>
          <w:i w:val="1"/>
          <w:iCs w:val="1"/>
          <w:rtl w:val="0"/>
          <w:lang w:val="en-US"/>
        </w:rPr>
        <w:t>Tartareae sedes et formidabile regnum / Mortis inexpletae, tuque, o saeuisseme fratrum</w:t>
      </w:r>
      <w:r>
        <w:rPr>
          <w:b w:val="0"/>
          <w:bCs w:val="0"/>
          <w:rtl w:val="0"/>
          <w:lang w:val="en-US"/>
        </w:rPr>
        <w:t xml:space="preserve"> </w:t>
      </w:r>
    </w:p>
    <w:p>
      <w:pPr>
        <w:pStyle w:val="Body"/>
        <w:spacing w:line="360" w:lineRule="auto"/>
        <w:rPr>
          <w:b w:val="0"/>
          <w:bCs w:val="0"/>
        </w:rPr>
      </w:pPr>
    </w:p>
    <w:p>
      <w:pPr>
        <w:pStyle w:val="Body"/>
        <w:spacing w:line="360" w:lineRule="auto"/>
        <w:rPr>
          <w:b w:val="0"/>
          <w:bCs w:val="0"/>
        </w:rPr>
      </w:pPr>
      <w:r>
        <w:rPr>
          <w:b w:val="0"/>
          <w:bCs w:val="0"/>
          <w:rtl w:val="0"/>
          <w:lang w:val="en-US"/>
        </w:rPr>
        <w:t xml:space="preserve">After the formalities of the first line, Pluto is called upon. Statius raises the emotional power of the call in several ways. First by the enjambment of </w:t>
      </w:r>
      <w:r>
        <w:rPr>
          <w:b w:val="0"/>
          <w:bCs w:val="0"/>
          <w:i w:val="1"/>
          <w:iCs w:val="1"/>
          <w:rtl w:val="0"/>
          <w:lang w:val="en-US"/>
        </w:rPr>
        <w:t>Mortis</w:t>
      </w:r>
      <w:r>
        <w:rPr>
          <w:b w:val="0"/>
          <w:bCs w:val="0"/>
          <w:rtl w:val="0"/>
          <w:lang w:val="en-US"/>
        </w:rPr>
        <w:t xml:space="preserve">, he gives the word extra force. This will be a key stylistic choice in this section, repeated many times, which leads to a sense of a cascading cast of underworld characters and imagery. Followed by the adjective </w:t>
      </w:r>
      <w:r>
        <w:rPr>
          <w:b w:val="0"/>
          <w:bCs w:val="0"/>
          <w:i w:val="1"/>
          <w:iCs w:val="1"/>
          <w:rtl w:val="0"/>
          <w:lang w:val="en-US"/>
        </w:rPr>
        <w:t>inexpletae</w:t>
      </w:r>
      <w:r>
        <w:rPr>
          <w:b w:val="0"/>
          <w:bCs w:val="0"/>
          <w:rtl w:val="0"/>
          <w:lang w:val="en-US"/>
        </w:rPr>
        <w:t>, Statius references Pluto</w:t>
      </w:r>
      <w:r>
        <w:rPr>
          <w:b w:val="0"/>
          <w:bCs w:val="0"/>
          <w:rtl w:val="0"/>
          <w:lang w:val="en-US"/>
        </w:rPr>
        <w:t>’</w:t>
      </w:r>
      <w:r>
        <w:rPr>
          <w:b w:val="0"/>
          <w:bCs w:val="0"/>
          <w:rtl w:val="0"/>
          <w:lang w:val="en-US"/>
        </w:rPr>
        <w:t xml:space="preserve">s proverbial greedy nature for human souls (Parkes, 2012 p. 234). The vocative </w:t>
      </w:r>
      <w:r>
        <w:rPr>
          <w:b w:val="0"/>
          <w:bCs w:val="0"/>
          <w:i w:val="1"/>
          <w:iCs w:val="1"/>
          <w:rtl w:val="0"/>
          <w:lang w:val="en-US"/>
        </w:rPr>
        <w:t xml:space="preserve">o </w:t>
      </w:r>
      <w:r>
        <w:rPr>
          <w:b w:val="0"/>
          <w:bCs w:val="0"/>
          <w:rtl w:val="0"/>
          <w:lang w:val="en-US"/>
        </w:rPr>
        <w:t xml:space="preserve">is often used in states of high emotion, here adding further power to </w:t>
      </w:r>
      <w:r>
        <w:rPr>
          <w:b w:val="0"/>
          <w:bCs w:val="0"/>
          <w:i w:val="1"/>
          <w:iCs w:val="1"/>
          <w:rtl w:val="0"/>
          <w:lang w:val="en-US"/>
        </w:rPr>
        <w:t xml:space="preserve">o saeuisseme fratrum. </w:t>
      </w:r>
      <w:r>
        <w:rPr>
          <w:b w:val="0"/>
          <w:bCs w:val="0"/>
          <w:rtl w:val="0"/>
          <w:lang w:val="en-US"/>
        </w:rPr>
        <w:t>This builds both on the image of the god</w:t>
      </w:r>
      <w:r>
        <w:rPr>
          <w:b w:val="0"/>
          <w:bCs w:val="0"/>
          <w:rtl w:val="0"/>
          <w:lang w:val="en-US"/>
        </w:rPr>
        <w:t>’</w:t>
      </w:r>
      <w:r>
        <w:rPr>
          <w:b w:val="0"/>
          <w:bCs w:val="0"/>
          <w:rtl w:val="0"/>
          <w:lang w:val="en-US"/>
        </w:rPr>
        <w:t>s savage nature, whilst also evoking the key theme of fraternal competition, and the dire consequences of civil war. The tragic outcome of the war between the two brothers would have had even greater resonance for a Roman audience of the late 1st century, having lived through multiple instances of political upheaval themselves (</w:t>
      </w:r>
      <w:r>
        <w:rPr>
          <w:b w:val="0"/>
          <w:bCs w:val="0"/>
          <w:rtl w:val="0"/>
          <w:lang w:val="da-DK"/>
        </w:rPr>
        <w:t>Henderson, J</w:t>
      </w:r>
      <w:r>
        <w:rPr>
          <w:b w:val="0"/>
          <w:bCs w:val="0"/>
          <w:rtl w:val="0"/>
          <w:lang w:val="en-US"/>
        </w:rPr>
        <w:t xml:space="preserve">, p. 151, </w:t>
      </w:r>
      <w:r>
        <w:rPr>
          <w:b w:val="0"/>
          <w:bCs w:val="0"/>
          <w:rtl w:val="0"/>
        </w:rPr>
        <w:t>1993</w:t>
      </w:r>
      <w:r>
        <w:rPr>
          <w:b w:val="0"/>
          <w:bCs w:val="0"/>
          <w:rtl w:val="0"/>
          <w:lang w:val="en-US"/>
        </w:rPr>
        <w:t xml:space="preserve">). </w:t>
      </w:r>
    </w:p>
    <w:p>
      <w:pPr>
        <w:pStyle w:val="Body"/>
        <w:spacing w:line="360" w:lineRule="auto"/>
        <w:rPr>
          <w:b w:val="0"/>
          <w:bCs w:val="0"/>
        </w:rPr>
      </w:pPr>
    </w:p>
    <w:p>
      <w:pPr>
        <w:pStyle w:val="Body"/>
        <w:spacing w:line="360" w:lineRule="auto"/>
        <w:rPr>
          <w:b w:val="0"/>
          <w:bCs w:val="0"/>
          <w:i w:val="1"/>
          <w:iCs w:val="1"/>
        </w:rPr>
      </w:pPr>
      <w:r>
        <w:rPr>
          <w:b w:val="1"/>
          <w:bCs w:val="1"/>
          <w:rtl w:val="0"/>
          <w:lang w:val="en-US"/>
        </w:rPr>
        <w:t>Lines 475-76</w:t>
      </w:r>
      <w:r>
        <w:rPr>
          <w:b w:val="0"/>
          <w:bCs w:val="0"/>
          <w:rtl w:val="0"/>
          <w:lang w:val="en-US"/>
        </w:rPr>
        <w:t xml:space="preserve">, </w:t>
      </w:r>
      <w:r>
        <w:rPr>
          <w:b w:val="0"/>
          <w:bCs w:val="0"/>
          <w:rtl w:val="0"/>
          <w:lang w:val="en-US"/>
        </w:rPr>
        <w:t xml:space="preserve">… </w:t>
      </w:r>
      <w:r>
        <w:rPr>
          <w:b w:val="0"/>
          <w:bCs w:val="0"/>
          <w:i w:val="1"/>
          <w:iCs w:val="1"/>
          <w:rtl w:val="0"/>
          <w:lang w:val="en-US"/>
        </w:rPr>
        <w:t xml:space="preserve">aeternaque sontum / supplicia </w:t>
      </w:r>
      <w:r>
        <w:rPr>
          <w:b w:val="0"/>
          <w:bCs w:val="0"/>
          <w:i w:val="1"/>
          <w:iCs w:val="1"/>
          <w:rtl w:val="0"/>
          <w:lang w:val="en-US"/>
        </w:rPr>
        <w:t>…</w:t>
      </w:r>
    </w:p>
    <w:p>
      <w:pPr>
        <w:pStyle w:val="Body"/>
        <w:spacing w:line="360" w:lineRule="auto"/>
        <w:rPr>
          <w:b w:val="0"/>
          <w:bCs w:val="0"/>
          <w:i w:val="1"/>
          <w:iCs w:val="1"/>
        </w:rPr>
      </w:pPr>
    </w:p>
    <w:p>
      <w:pPr>
        <w:pStyle w:val="Body"/>
        <w:spacing w:line="360" w:lineRule="auto"/>
        <w:rPr>
          <w:b w:val="0"/>
          <w:bCs w:val="0"/>
        </w:rPr>
      </w:pPr>
      <w:r>
        <w:rPr>
          <w:b w:val="0"/>
          <w:bCs w:val="0"/>
          <w:rtl w:val="0"/>
          <w:lang w:val="en-US"/>
        </w:rPr>
        <w:t xml:space="preserve">The themes of eternal guilt which run through the Theban tragedy are evoked again, reminding us of the futile and doomed nature of this war for brothers of a cursed line. An interesting dual image is created here through the use of </w:t>
      </w:r>
      <w:r>
        <w:rPr>
          <w:b w:val="0"/>
          <w:bCs w:val="0"/>
          <w:i w:val="1"/>
          <w:iCs w:val="1"/>
          <w:rtl w:val="0"/>
          <w:lang w:val="en-US"/>
        </w:rPr>
        <w:t>supplicia</w:t>
      </w:r>
      <w:r>
        <w:rPr>
          <w:b w:val="0"/>
          <w:bCs w:val="0"/>
          <w:rtl w:val="0"/>
          <w:lang w:val="en-US"/>
        </w:rPr>
        <w:t xml:space="preserve">, which could be translated with both positive and negative connotations. Are the spirits being called to all </w:t>
      </w:r>
      <w:r>
        <w:rPr>
          <w:b w:val="0"/>
          <w:bCs w:val="0"/>
          <w:rtl w:val="0"/>
          <w:lang w:val="en-US"/>
        </w:rPr>
        <w:t>‘</w:t>
      </w:r>
      <w:r>
        <w:rPr>
          <w:b w:val="0"/>
          <w:bCs w:val="0"/>
          <w:rtl w:val="0"/>
          <w:lang w:val="en-US"/>
        </w:rPr>
        <w:t>guilty supplicants</w:t>
      </w:r>
      <w:r>
        <w:rPr>
          <w:b w:val="0"/>
          <w:bCs w:val="0"/>
          <w:rtl w:val="0"/>
          <w:lang w:val="en-US"/>
        </w:rPr>
        <w:t>’</w:t>
      </w:r>
      <w:r>
        <w:rPr>
          <w:b w:val="0"/>
          <w:bCs w:val="0"/>
          <w:rtl w:val="0"/>
          <w:lang w:val="en-US"/>
        </w:rPr>
        <w:t>? A supplicant could be a simple worshipper, supplicating themselves to their gods. However, criminals were also executed on their knees in the same position. This image of guilty criminals being punished eternally is likely one that the scene intended to evoke, but to a religious pagan audience this dual meaning may also have been clear.</w:t>
      </w:r>
    </w:p>
    <w:p>
      <w:pPr>
        <w:pStyle w:val="Body"/>
        <w:spacing w:line="360" w:lineRule="auto"/>
        <w:rPr>
          <w:b w:val="1"/>
          <w:bCs w:val="1"/>
        </w:rPr>
      </w:pPr>
    </w:p>
    <w:p>
      <w:pPr>
        <w:pStyle w:val="Body"/>
        <w:spacing w:line="360" w:lineRule="auto"/>
        <w:rPr>
          <w:b w:val="0"/>
          <w:bCs w:val="0"/>
        </w:rPr>
      </w:pPr>
      <w:r>
        <w:rPr>
          <w:b w:val="1"/>
          <w:bCs w:val="1"/>
          <w:rtl w:val="0"/>
          <w:lang w:val="en-US"/>
        </w:rPr>
        <w:t xml:space="preserve">Lines 477-79, </w:t>
      </w:r>
      <w:r>
        <w:rPr>
          <w:b w:val="0"/>
          <w:bCs w:val="0"/>
          <w:i w:val="1"/>
          <w:iCs w:val="1"/>
          <w:rtl w:val="0"/>
          <w:lang w:val="en-US"/>
        </w:rPr>
        <w:t>soluite pulsanti</w:t>
      </w:r>
      <w:r>
        <w:rPr>
          <w:b w:val="0"/>
          <w:bCs w:val="0"/>
          <w:i w:val="1"/>
          <w:iCs w:val="1"/>
          <w:rtl w:val="0"/>
          <w:lang w:val="en-US"/>
        </w:rPr>
        <w:t xml:space="preserve">… </w:t>
      </w:r>
      <w:r>
        <w:rPr>
          <w:b w:val="0"/>
          <w:bCs w:val="0"/>
          <w:i w:val="1"/>
          <w:iCs w:val="1"/>
          <w:rtl w:val="0"/>
          <w:lang w:val="en-US"/>
        </w:rPr>
        <w:t xml:space="preserve">severae / Persephones </w:t>
      </w:r>
      <w:r>
        <w:rPr>
          <w:b w:val="0"/>
          <w:bCs w:val="0"/>
          <w:i w:val="1"/>
          <w:iCs w:val="1"/>
          <w:rtl w:val="0"/>
          <w:lang w:val="en-US"/>
        </w:rPr>
        <w:t xml:space="preserve">… </w:t>
      </w:r>
      <w:r>
        <w:rPr>
          <w:b w:val="0"/>
          <w:bCs w:val="0"/>
          <w:i w:val="1"/>
          <w:iCs w:val="1"/>
          <w:rtl w:val="0"/>
          <w:lang w:val="en-US"/>
        </w:rPr>
        <w:t xml:space="preserve">/ elicite, </w:t>
      </w:r>
      <w:r>
        <w:rPr>
          <w:b w:val="0"/>
          <w:bCs w:val="0"/>
          <w:i w:val="1"/>
          <w:iCs w:val="1"/>
          <w:rtl w:val="0"/>
          <w:lang w:val="en-US"/>
        </w:rPr>
        <w:t>…</w:t>
      </w:r>
    </w:p>
    <w:p>
      <w:pPr>
        <w:pStyle w:val="Body"/>
        <w:spacing w:line="360" w:lineRule="auto"/>
        <w:rPr>
          <w:b w:val="0"/>
          <w:bCs w:val="0"/>
        </w:rPr>
      </w:pPr>
    </w:p>
    <w:p>
      <w:pPr>
        <w:pStyle w:val="Body"/>
        <w:spacing w:line="360" w:lineRule="auto"/>
        <w:rPr>
          <w:b w:val="1"/>
          <w:bCs w:val="1"/>
        </w:rPr>
      </w:pPr>
      <w:r>
        <w:rPr>
          <w:b w:val="0"/>
          <w:bCs w:val="0"/>
          <w:rtl w:val="0"/>
          <w:lang w:val="en-US"/>
        </w:rPr>
        <w:t xml:space="preserve">The idea of </w:t>
      </w:r>
      <w:r>
        <w:rPr>
          <w:b w:val="0"/>
          <w:bCs w:val="0"/>
          <w:rtl w:val="0"/>
          <w:lang w:val="en-US"/>
        </w:rPr>
        <w:t>‘</w:t>
      </w:r>
      <w:r>
        <w:rPr>
          <w:b w:val="0"/>
          <w:bCs w:val="0"/>
          <w:rtl w:val="0"/>
          <w:lang w:val="en-US"/>
        </w:rPr>
        <w:t>knocking</w:t>
      </w:r>
      <w:r>
        <w:rPr>
          <w:b w:val="0"/>
          <w:bCs w:val="0"/>
          <w:rtl w:val="0"/>
          <w:lang w:val="en-US"/>
        </w:rPr>
        <w:t xml:space="preserve">’ </w:t>
      </w:r>
      <w:r>
        <w:rPr>
          <w:b w:val="0"/>
          <w:bCs w:val="0"/>
          <w:rtl w:val="0"/>
          <w:lang w:val="en-US"/>
        </w:rPr>
        <w:t xml:space="preserve">on the door of the underworld is present in other writers (Parkes, 2012, p.235), such as one episode in the </w:t>
      </w:r>
      <w:r>
        <w:rPr>
          <w:b w:val="0"/>
          <w:bCs w:val="0"/>
          <w:i w:val="1"/>
          <w:iCs w:val="1"/>
          <w:rtl w:val="0"/>
          <w:lang w:val="en-US"/>
        </w:rPr>
        <w:t>Iliad</w:t>
      </w:r>
      <w:r>
        <w:rPr>
          <w:b w:val="0"/>
          <w:bCs w:val="0"/>
          <w:rtl w:val="0"/>
          <w:lang w:val="en-US"/>
        </w:rPr>
        <w:t xml:space="preserve">, where the story of Meleager being cursed by his own mother is told, in which she beats the earth with her hands, and also calls out to Hades and Persephone (Hom. </w:t>
      </w:r>
      <w:r>
        <w:rPr>
          <w:b w:val="0"/>
          <w:bCs w:val="0"/>
          <w:i w:val="1"/>
          <w:iCs w:val="1"/>
          <w:rtl w:val="0"/>
          <w:lang w:val="en-US"/>
        </w:rPr>
        <w:t xml:space="preserve">Il. </w:t>
      </w:r>
      <w:r>
        <w:rPr>
          <w:b w:val="0"/>
          <w:bCs w:val="0"/>
          <w:rtl w:val="0"/>
          <w:lang w:val="en-US"/>
        </w:rPr>
        <w:t xml:space="preserve">9.568). This act of </w:t>
      </w:r>
      <w:r>
        <w:rPr>
          <w:b w:val="0"/>
          <w:bCs w:val="0"/>
          <w:rtl w:val="0"/>
          <w:lang w:val="en-US"/>
        </w:rPr>
        <w:t>“</w:t>
      </w:r>
      <w:r>
        <w:rPr>
          <w:b w:val="0"/>
          <w:bCs w:val="0"/>
          <w:rtl w:val="0"/>
          <w:lang w:val="en-US"/>
        </w:rPr>
        <w:t>knocking</w:t>
      </w:r>
      <w:r>
        <w:rPr>
          <w:b w:val="0"/>
          <w:bCs w:val="0"/>
          <w:rtl w:val="0"/>
          <w:lang w:val="en-US"/>
        </w:rPr>
        <w:t xml:space="preserve">” </w:t>
      </w:r>
      <w:r>
        <w:rPr>
          <w:b w:val="0"/>
          <w:bCs w:val="0"/>
          <w:rtl w:val="0"/>
          <w:lang w:val="en-US"/>
        </w:rPr>
        <w:t>is emphasised through metrical features and word choices. The imperative verbs calling to Persephone have their maximum effect through enjambment, and give a sense of rhythmic unity, as they start and end the phrase. Sandwiched in between these commands calling for the opening of the underworld and to begin coaxing out the crowds, Persephone is also introduced, though she appears less terrifying than Pluto. Tiresias</w:t>
      </w:r>
      <w:r>
        <w:rPr>
          <w:b w:val="0"/>
          <w:bCs w:val="0"/>
          <w:rtl w:val="0"/>
          <w:lang w:val="en-US"/>
        </w:rPr>
        <w:t xml:space="preserve">’ </w:t>
      </w:r>
      <w:r>
        <w:rPr>
          <w:b w:val="0"/>
          <w:bCs w:val="0"/>
          <w:rtl w:val="0"/>
          <w:lang w:val="en-US"/>
        </w:rPr>
        <w:t xml:space="preserve">initial deference from line 473 has disappeared, and a series of orders follows. </w:t>
      </w:r>
    </w:p>
    <w:p>
      <w:pPr>
        <w:pStyle w:val="Body"/>
        <w:spacing w:line="360" w:lineRule="auto"/>
        <w:rPr>
          <w:b w:val="1"/>
          <w:bCs w:val="1"/>
        </w:rPr>
      </w:pPr>
    </w:p>
    <w:p>
      <w:pPr>
        <w:pStyle w:val="Body"/>
        <w:spacing w:line="360" w:lineRule="auto"/>
        <w:rPr>
          <w:b w:val="0"/>
          <w:bCs w:val="0"/>
          <w:i w:val="1"/>
          <w:iCs w:val="1"/>
        </w:rPr>
      </w:pPr>
      <w:r>
        <w:rPr>
          <w:b w:val="1"/>
          <w:bCs w:val="1"/>
          <w:rtl w:val="0"/>
          <w:lang w:val="en-US"/>
        </w:rPr>
        <w:t xml:space="preserve">Lines 481-83, </w:t>
      </w:r>
      <w:r>
        <w:rPr>
          <w:b w:val="0"/>
          <w:bCs w:val="0"/>
          <w:rtl w:val="0"/>
          <w:lang w:val="en-US"/>
        </w:rPr>
        <w:t>…</w:t>
      </w:r>
      <w:r>
        <w:rPr>
          <w:b w:val="1"/>
          <w:bCs w:val="1"/>
          <w:rtl w:val="0"/>
          <w:lang w:val="en-US"/>
        </w:rPr>
        <w:t xml:space="preserve"> </w:t>
      </w:r>
      <w:r>
        <w:rPr>
          <w:b w:val="0"/>
          <w:bCs w:val="0"/>
          <w:i w:val="1"/>
          <w:iCs w:val="1"/>
          <w:rtl w:val="0"/>
          <w:lang w:val="en-US"/>
        </w:rPr>
        <w:t>tu separe coetu / Elysios, Persei, pios, uirgaque potenti / nubilus Arcas agat;</w:t>
      </w:r>
    </w:p>
    <w:p>
      <w:pPr>
        <w:pStyle w:val="Body"/>
        <w:spacing w:line="360" w:lineRule="auto"/>
        <w:rPr>
          <w:b w:val="0"/>
          <w:bCs w:val="0"/>
          <w:i w:val="1"/>
          <w:iCs w:val="1"/>
        </w:rPr>
      </w:pPr>
    </w:p>
    <w:p>
      <w:pPr>
        <w:pStyle w:val="Body"/>
        <w:spacing w:line="360" w:lineRule="auto"/>
        <w:rPr>
          <w:b w:val="1"/>
          <w:bCs w:val="1"/>
          <w:i w:val="1"/>
          <w:iCs w:val="1"/>
        </w:rPr>
      </w:pPr>
      <w:r>
        <w:rPr>
          <w:b w:val="0"/>
          <w:bCs w:val="0"/>
          <w:i w:val="0"/>
          <w:iCs w:val="0"/>
          <w:rtl w:val="0"/>
          <w:lang w:val="en-US"/>
        </w:rPr>
        <w:t xml:space="preserve">To separate the pious souls from the rest, </w:t>
      </w:r>
      <w:r>
        <w:rPr>
          <w:b w:val="0"/>
          <w:bCs w:val="0"/>
          <w:i w:val="0"/>
          <w:iCs w:val="0"/>
          <w:rtl w:val="0"/>
          <w:lang w:val="pt-PT"/>
        </w:rPr>
        <w:t>Tiresias</w:t>
      </w:r>
      <w:r>
        <w:rPr>
          <w:b w:val="0"/>
          <w:bCs w:val="0"/>
          <w:i w:val="0"/>
          <w:iCs w:val="0"/>
          <w:rtl w:val="0"/>
          <w:lang w:val="en-US"/>
        </w:rPr>
        <w:t xml:space="preserve"> calls on aid from Hecate, and then for further assistance from Mercury to drive them forward. This builds on the imagery of good and bad souls, the destinies that await them, and emphases the need to keep the good apart from the corrupting forces. This entire scene is a perfect example of the redundancy that Statius uses frequently throughout his poem (Parkes, 2012, p.20). Are all of these divine beings really necessary for this task? Other underworld travellers have managed it with less assistance. Aeneas physically enters the realm with the help of one seer in </w:t>
      </w:r>
      <w:r>
        <w:rPr>
          <w:b w:val="0"/>
          <w:bCs w:val="0"/>
          <w:i w:val="1"/>
          <w:iCs w:val="1"/>
          <w:rtl w:val="0"/>
          <w:lang w:val="en-US"/>
        </w:rPr>
        <w:t xml:space="preserve">Aen. </w:t>
      </w:r>
      <w:r>
        <w:rPr>
          <w:b w:val="0"/>
          <w:bCs w:val="0"/>
          <w:i w:val="0"/>
          <w:iCs w:val="0"/>
          <w:rtl w:val="0"/>
          <w:lang w:val="en-US"/>
        </w:rPr>
        <w:t xml:space="preserve">6., and Odysseus manages to summon many shades, including Tiresias, in </w:t>
      </w:r>
      <w:r>
        <w:rPr>
          <w:b w:val="0"/>
          <w:bCs w:val="0"/>
          <w:i w:val="1"/>
          <w:iCs w:val="1"/>
          <w:rtl w:val="0"/>
          <w:lang w:val="en-US"/>
        </w:rPr>
        <w:t xml:space="preserve">Od. </w:t>
      </w:r>
      <w:r>
        <w:rPr>
          <w:b w:val="0"/>
          <w:bCs w:val="0"/>
          <w:i w:val="0"/>
          <w:iCs w:val="0"/>
          <w:rtl w:val="0"/>
          <w:lang w:val="en-US"/>
        </w:rPr>
        <w:t>11., despite it being his first attempt at necromancy. And after all this excessive calls for the god</w:t>
      </w:r>
      <w:r>
        <w:rPr>
          <w:b w:val="0"/>
          <w:bCs w:val="0"/>
          <w:i w:val="0"/>
          <w:iCs w:val="0"/>
          <w:rtl w:val="0"/>
          <w:lang w:val="en-US"/>
        </w:rPr>
        <w:t>’</w:t>
      </w:r>
      <w:r>
        <w:rPr>
          <w:b w:val="0"/>
          <w:bCs w:val="0"/>
          <w:i w:val="0"/>
          <w:iCs w:val="0"/>
          <w:rtl w:val="0"/>
          <w:lang w:val="en-US"/>
        </w:rPr>
        <w:t>s help, later at 543-6</w:t>
      </w:r>
      <w:r>
        <w:rPr>
          <w:b w:val="1"/>
          <w:bCs w:val="1"/>
          <w:i w:val="0"/>
          <w:iCs w:val="0"/>
          <w:rtl w:val="0"/>
          <w:lang w:val="en-US"/>
        </w:rPr>
        <w:t xml:space="preserve"> </w:t>
      </w:r>
      <w:r>
        <w:rPr>
          <w:b w:val="0"/>
          <w:bCs w:val="0"/>
          <w:i w:val="0"/>
          <w:iCs w:val="0"/>
          <w:rtl w:val="0"/>
          <w:lang w:val="en-US"/>
        </w:rPr>
        <w:t>Tiresias will dismiss most of the ghosts anyway, adding further to the redundancy of this speech (Parkes, 2012, p.236). Could he not have only called upon Laius, the only ghost whom he will eventually speak?</w:t>
      </w:r>
    </w:p>
    <w:p>
      <w:pPr>
        <w:pStyle w:val="Body"/>
        <w:spacing w:line="360" w:lineRule="auto"/>
        <w:rPr>
          <w:b w:val="1"/>
          <w:bCs w:val="1"/>
        </w:rPr>
      </w:pPr>
    </w:p>
    <w:p>
      <w:pPr>
        <w:pStyle w:val="Body"/>
        <w:spacing w:line="360" w:lineRule="auto"/>
        <w:rPr>
          <w:b w:val="1"/>
          <w:bCs w:val="1"/>
          <w:i w:val="1"/>
          <w:iCs w:val="1"/>
        </w:rPr>
      </w:pPr>
      <w:r>
        <w:rPr>
          <w:b w:val="1"/>
          <w:bCs w:val="1"/>
          <w:rtl w:val="0"/>
          <w:lang w:val="en-US"/>
        </w:rPr>
        <w:t xml:space="preserve">Lines 483-84, </w:t>
      </w:r>
      <w:r>
        <w:rPr>
          <w:b w:val="0"/>
          <w:bCs w:val="0"/>
          <w:i w:val="1"/>
          <w:iCs w:val="1"/>
          <w:rtl w:val="0"/>
          <w:lang w:val="en-US"/>
        </w:rPr>
        <w:t xml:space="preserve">… </w:t>
      </w:r>
      <w:r>
        <w:rPr>
          <w:b w:val="0"/>
          <w:bCs w:val="0"/>
          <w:i w:val="1"/>
          <w:iCs w:val="1"/>
          <w:rtl w:val="0"/>
          <w:lang w:val="en-US"/>
        </w:rPr>
        <w:t xml:space="preserve">crimina functis / qui plures Erebo pluresque e sanguine Cadmi, </w:t>
      </w:r>
    </w:p>
    <w:p>
      <w:pPr>
        <w:pStyle w:val="Body"/>
        <w:spacing w:line="360" w:lineRule="auto"/>
        <w:rPr>
          <w:i w:val="1"/>
          <w:iCs w:val="1"/>
        </w:rPr>
      </w:pPr>
    </w:p>
    <w:p>
      <w:pPr>
        <w:pStyle w:val="Body"/>
        <w:spacing w:line="360" w:lineRule="auto"/>
      </w:pPr>
      <w:r>
        <w:rPr>
          <w:rtl w:val="0"/>
          <w:lang w:val="en-US"/>
        </w:rPr>
        <w:t xml:space="preserve">The souls who </w:t>
      </w:r>
      <w:r>
        <w:rPr>
          <w:rtl w:val="0"/>
          <w:lang w:val="en-US"/>
        </w:rPr>
        <w:t>‘</w:t>
      </w:r>
      <w:r>
        <w:rPr>
          <w:rtl w:val="0"/>
          <w:lang w:val="en-US"/>
        </w:rPr>
        <w:t>died in crime</w:t>
      </w:r>
      <w:r>
        <w:rPr>
          <w:rtl w:val="0"/>
          <w:lang w:val="en-US"/>
        </w:rPr>
        <w:t xml:space="preserve">’ </w:t>
      </w:r>
      <w:r>
        <w:rPr>
          <w:rtl w:val="0"/>
          <w:lang w:val="en-US"/>
        </w:rPr>
        <w:t>are being singled out for special treatment. Of course, they must be decedents of Cadmus</w:t>
      </w:r>
      <w:r>
        <w:rPr>
          <w:rtl w:val="0"/>
          <w:lang w:val="en-US"/>
        </w:rPr>
        <w:t xml:space="preserve">’ </w:t>
      </w:r>
      <w:r>
        <w:rPr>
          <w:rtl w:val="0"/>
          <w:lang w:val="en-US"/>
        </w:rPr>
        <w:t xml:space="preserve">blood, but the idea that the number of those decedents were </w:t>
      </w:r>
      <w:r>
        <w:rPr>
          <w:i w:val="1"/>
          <w:iCs w:val="1"/>
          <w:rtl w:val="0"/>
          <w:lang w:val="en-US"/>
        </w:rPr>
        <w:t>plures Erebo pluresque</w:t>
      </w:r>
      <w:r>
        <w:rPr>
          <w:rtl w:val="0"/>
          <w:lang w:val="en-US"/>
        </w:rPr>
        <w:t xml:space="preserve"> is excessive hyperbole (Shackleton Bailey, 2004 p.241), </w:t>
      </w:r>
      <w:r>
        <w:rPr>
          <w:rtl w:val="0"/>
          <w:lang w:val="en-US"/>
        </w:rPr>
        <w:t>even by Statius</w:t>
      </w:r>
      <w:r>
        <w:rPr>
          <w:rtl w:val="0"/>
        </w:rPr>
        <w:t xml:space="preserve">’ </w:t>
      </w:r>
      <w:r>
        <w:rPr>
          <w:rtl w:val="0"/>
          <w:lang w:val="en-US"/>
        </w:rPr>
        <w:t>standards</w:t>
      </w:r>
      <w:r>
        <w:rPr>
          <w:rtl w:val="0"/>
          <w:lang w:val="en-US"/>
        </w:rPr>
        <w:t>. Perhaps a less literal meaning can be drawn from this line, and it</w:t>
      </w:r>
      <w:r>
        <w:rPr>
          <w:rtl w:val="0"/>
          <w:lang w:val="en-US"/>
        </w:rPr>
        <w:t>’</w:t>
      </w:r>
      <w:r>
        <w:rPr>
          <w:rtl w:val="0"/>
          <w:lang w:val="en-US"/>
        </w:rPr>
        <w:t>s not so much the number of souls that is the issue, but the magnitude of the guilt that decedents of Cadmus</w:t>
      </w:r>
      <w:r>
        <w:rPr>
          <w:rtl w:val="0"/>
          <w:lang w:val="en-US"/>
        </w:rPr>
        <w:t xml:space="preserve">’ </w:t>
      </w:r>
      <w:r>
        <w:rPr>
          <w:rtl w:val="0"/>
          <w:lang w:val="en-US"/>
        </w:rPr>
        <w:t>line have and must carry for all eternity.</w:t>
      </w:r>
    </w:p>
    <w:p>
      <w:pPr>
        <w:pStyle w:val="Body"/>
        <w:spacing w:line="360" w:lineRule="auto"/>
      </w:pPr>
    </w:p>
    <w:p>
      <w:pPr>
        <w:pStyle w:val="Body"/>
        <w:spacing w:line="360" w:lineRule="auto"/>
        <w:rPr>
          <w:b w:val="0"/>
          <w:bCs w:val="0"/>
          <w:i w:val="1"/>
          <w:iCs w:val="1"/>
        </w:rPr>
      </w:pPr>
      <w:r>
        <w:rPr>
          <w:b w:val="1"/>
          <w:bCs w:val="1"/>
          <w:rtl w:val="0"/>
          <w:lang w:val="en-US"/>
        </w:rPr>
        <w:t xml:space="preserve">Lines 485-86, </w:t>
      </w:r>
      <w:r>
        <w:rPr>
          <w:b w:val="0"/>
          <w:bCs w:val="0"/>
          <w:i w:val="1"/>
          <w:iCs w:val="1"/>
          <w:rtl w:val="0"/>
          <w:lang w:val="en-US"/>
        </w:rPr>
        <w:t xml:space="preserve">angue ter exusso et flagranti praeuia taxo / Tisiphone, </w:t>
      </w:r>
      <w:r>
        <w:rPr>
          <w:b w:val="0"/>
          <w:bCs w:val="0"/>
          <w:i w:val="1"/>
          <w:iCs w:val="1"/>
          <w:rtl w:val="0"/>
          <w:lang w:val="en-US"/>
        </w:rPr>
        <w:t>…</w:t>
      </w:r>
    </w:p>
    <w:p>
      <w:pPr>
        <w:pStyle w:val="Body"/>
        <w:spacing w:line="360" w:lineRule="auto"/>
        <w:rPr>
          <w:b w:val="0"/>
          <w:bCs w:val="0"/>
          <w:i w:val="1"/>
          <w:iCs w:val="1"/>
        </w:rPr>
      </w:pPr>
    </w:p>
    <w:p>
      <w:pPr>
        <w:pStyle w:val="Body"/>
        <w:spacing w:line="360" w:lineRule="auto"/>
        <w:rPr>
          <w:b w:val="1"/>
          <w:bCs w:val="1"/>
          <w:i w:val="1"/>
          <w:iCs w:val="1"/>
        </w:rPr>
      </w:pPr>
      <w:r>
        <w:rPr>
          <w:b w:val="0"/>
          <w:bCs w:val="0"/>
          <w:i w:val="0"/>
          <w:iCs w:val="0"/>
          <w:rtl w:val="0"/>
          <w:lang w:val="en-US"/>
        </w:rPr>
        <w:t>Again, enjambment is used to full effect to bring images of the underworld and horror into an audience</w:t>
      </w:r>
      <w:r>
        <w:rPr>
          <w:b w:val="0"/>
          <w:bCs w:val="0"/>
          <w:i w:val="0"/>
          <w:iCs w:val="0"/>
          <w:rtl w:val="0"/>
          <w:lang w:val="en-US"/>
        </w:rPr>
        <w:t>’</w:t>
      </w:r>
      <w:r>
        <w:rPr>
          <w:b w:val="0"/>
          <w:bCs w:val="0"/>
          <w:i w:val="0"/>
          <w:iCs w:val="0"/>
          <w:rtl w:val="0"/>
          <w:lang w:val="en-US"/>
        </w:rPr>
        <w:t xml:space="preserve">s mind. Tisiphone, adding a fury to the list of supernatural beings called upon by Tiresias, has </w:t>
      </w:r>
      <w:r>
        <w:rPr>
          <w:b w:val="0"/>
          <w:bCs w:val="0"/>
          <w:i w:val="0"/>
          <w:iCs w:val="0"/>
          <w:rtl w:val="0"/>
          <w:lang w:val="en-US"/>
        </w:rPr>
        <w:t>‘</w:t>
      </w:r>
      <w:r>
        <w:rPr>
          <w:b w:val="0"/>
          <w:bCs w:val="0"/>
          <w:i w:val="0"/>
          <w:iCs w:val="0"/>
          <w:rtl w:val="0"/>
          <w:lang w:val="en-US"/>
        </w:rPr>
        <w:t>shaken her snake 3 times</w:t>
      </w:r>
      <w:r>
        <w:rPr>
          <w:b w:val="0"/>
          <w:bCs w:val="0"/>
          <w:i w:val="0"/>
          <w:iCs w:val="0"/>
          <w:rtl w:val="0"/>
          <w:lang w:val="en-US"/>
        </w:rPr>
        <w:t>’</w:t>
      </w:r>
      <w:r>
        <w:rPr>
          <w:b w:val="0"/>
          <w:bCs w:val="0"/>
          <w:i w:val="0"/>
          <w:iCs w:val="0"/>
          <w:rtl w:val="0"/>
          <w:lang w:val="en-US"/>
        </w:rPr>
        <w:t>.  The snake has obvious negative connotations across cultures, and here would have many direct ones for the characters in the poem, e.g.: Cadmus and his transformation into a snake, Tiresias</w:t>
      </w:r>
      <w:r>
        <w:rPr>
          <w:b w:val="0"/>
          <w:bCs w:val="0"/>
          <w:i w:val="0"/>
          <w:iCs w:val="0"/>
          <w:rtl w:val="0"/>
          <w:lang w:val="en-US"/>
        </w:rPr>
        <w:t xml:space="preserve">’ </w:t>
      </w:r>
      <w:r>
        <w:rPr>
          <w:b w:val="0"/>
          <w:bCs w:val="0"/>
          <w:i w:val="0"/>
          <w:iCs w:val="0"/>
          <w:rtl w:val="0"/>
          <w:lang w:val="en-US"/>
        </w:rPr>
        <w:t xml:space="preserve">own transformation into a woman after seeing snakes mating, and the role that the snake will play in </w:t>
      </w:r>
      <w:r>
        <w:rPr>
          <w:b w:val="0"/>
          <w:bCs w:val="0"/>
          <w:i w:val="1"/>
          <w:iCs w:val="1"/>
          <w:rtl w:val="0"/>
          <w:lang w:val="en-US"/>
        </w:rPr>
        <w:t xml:space="preserve">Thebaid </w:t>
      </w:r>
      <w:r>
        <w:rPr>
          <w:b w:val="0"/>
          <w:bCs w:val="0"/>
          <w:i w:val="0"/>
          <w:iCs w:val="0"/>
          <w:rtl w:val="0"/>
          <w:lang w:val="en-US"/>
        </w:rPr>
        <w:t>5.</w:t>
      </w:r>
    </w:p>
    <w:p>
      <w:pPr>
        <w:pStyle w:val="Body"/>
        <w:spacing w:line="360" w:lineRule="auto"/>
        <w:rPr>
          <w:b w:val="1"/>
          <w:bCs w:val="1"/>
        </w:rPr>
      </w:pPr>
    </w:p>
    <w:p>
      <w:pPr>
        <w:pStyle w:val="Body"/>
        <w:spacing w:line="360" w:lineRule="auto"/>
      </w:pPr>
      <w:r>
        <w:rPr>
          <w:b w:val="1"/>
          <w:bCs w:val="1"/>
          <w:rtl w:val="0"/>
          <w:lang w:val="en-US"/>
        </w:rPr>
        <w:t>Lines</w:t>
      </w:r>
      <w:r>
        <w:rPr>
          <w:rtl w:val="0"/>
          <w:lang w:val="en-US"/>
        </w:rPr>
        <w:t xml:space="preserve"> </w:t>
      </w:r>
      <w:r>
        <w:rPr>
          <w:b w:val="1"/>
          <w:bCs w:val="1"/>
          <w:rtl w:val="0"/>
          <w:lang w:val="en-US"/>
        </w:rPr>
        <w:t xml:space="preserve">486-87, </w:t>
      </w:r>
      <w:r>
        <w:rPr>
          <w:rtl w:val="0"/>
          <w:lang w:val="en-US"/>
        </w:rPr>
        <w:t>…</w:t>
      </w:r>
      <w:r>
        <w:rPr>
          <w:b w:val="1"/>
          <w:bCs w:val="1"/>
          <w:rtl w:val="0"/>
          <w:lang w:val="en-US"/>
        </w:rPr>
        <w:t xml:space="preserve"> </w:t>
      </w:r>
      <w:r>
        <w:rPr>
          <w:i w:val="1"/>
          <w:iCs w:val="1"/>
          <w:rtl w:val="0"/>
          <w:lang w:val="en-US"/>
        </w:rPr>
        <w:t>nex lucis egentes / Cerberus occursu captium detorqueat umbras.</w:t>
      </w:r>
    </w:p>
    <w:p>
      <w:pPr>
        <w:pStyle w:val="Body"/>
        <w:spacing w:line="360" w:lineRule="auto"/>
        <w:rPr>
          <w:b w:val="1"/>
          <w:bCs w:val="1"/>
        </w:rPr>
      </w:pPr>
    </w:p>
    <w:p>
      <w:pPr>
        <w:pStyle w:val="Body"/>
        <w:spacing w:line="360" w:lineRule="auto"/>
      </w:pPr>
      <w:r>
        <w:rPr>
          <w:rtl w:val="0"/>
          <w:lang w:val="en-US"/>
        </w:rPr>
        <w:t xml:space="preserve">Given the level of divine support Tiresias has already called to his aid, asking Cerberus, the three headed dog that prevents souls from leaving the underworld, to not get in the way is a final excessive flourish to his speech. It stands in enjambment on the final line and divides </w:t>
      </w:r>
      <w:r>
        <w:rPr>
          <w:i w:val="1"/>
          <w:iCs w:val="1"/>
          <w:rtl w:val="0"/>
          <w:lang w:val="en-US"/>
        </w:rPr>
        <w:t xml:space="preserve">lucis egentes / </w:t>
      </w:r>
      <w:r>
        <w:rPr>
          <w:i w:val="1"/>
          <w:iCs w:val="1"/>
          <w:rtl w:val="0"/>
          <w:lang w:val="en-US"/>
        </w:rPr>
        <w:t xml:space="preserve">… </w:t>
      </w:r>
      <w:r>
        <w:rPr>
          <w:i w:val="1"/>
          <w:iCs w:val="1"/>
          <w:rtl w:val="0"/>
          <w:lang w:val="en-US"/>
        </w:rPr>
        <w:t>umbras</w:t>
      </w:r>
      <w:r>
        <w:rPr>
          <w:rtl w:val="0"/>
          <w:lang w:val="en-US"/>
        </w:rPr>
        <w:t xml:space="preserve"> ‘</w:t>
      </w:r>
      <w:r>
        <w:rPr>
          <w:rtl w:val="0"/>
          <w:lang w:val="en-US"/>
        </w:rPr>
        <w:t>the shades lacking the light</w:t>
      </w:r>
      <w:r>
        <w:rPr>
          <w:rtl w:val="0"/>
          <w:lang w:val="en-US"/>
        </w:rPr>
        <w:t>’</w:t>
      </w:r>
      <w:r>
        <w:rPr>
          <w:rtl w:val="0"/>
          <w:lang w:val="en-US"/>
        </w:rPr>
        <w:t xml:space="preserve">, giving a satisfying end to the final line which the audience has been held in suspense for by the hellish guard dog. </w:t>
      </w:r>
    </w:p>
    <w:p>
      <w:pPr>
        <w:pStyle w:val="Body"/>
        <w:spacing w:line="360" w:lineRule="auto"/>
      </w:pPr>
    </w:p>
    <w:p>
      <w:pPr>
        <w:pStyle w:val="Body"/>
        <w:spacing w:line="360" w:lineRule="auto"/>
      </w:pPr>
      <w:r>
        <w:rPr>
          <w:rtl w:val="0"/>
          <w:lang w:val="en-US"/>
        </w:rPr>
        <w:t>Taken as a whole, the entire speech is like a tour through underworld imagery and most of its significant divine characters, landscapes and beasts. It, and the wider necromancy scene of Book IV, contain many images and ideas which feature in other works and epic poetry. Yet it is more condensed than most, fitting in a vast array of characters and imagery. Though certainly redundant, given what we know will happen in the rest of the book, it must have created a sense of horror and excitement in Roman audiences through the rapid pace.</w:t>
      </w: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rPr>
          <w:b w:val="1"/>
          <w:bCs w:val="1"/>
        </w:rPr>
      </w:pPr>
      <w:r>
        <w:rPr>
          <w:b w:val="1"/>
          <w:bCs w:val="1"/>
          <w:rtl w:val="0"/>
          <w:lang w:val="en-US"/>
        </w:rPr>
        <w:t>Bibliography</w:t>
      </w:r>
    </w:p>
    <w:p>
      <w:pPr>
        <w:pStyle w:val="Default"/>
        <w:bidi w:val="0"/>
        <w:spacing w:line="340" w:lineRule="atLeast"/>
        <w:ind w:left="0" w:right="0" w:firstLine="0"/>
        <w:jc w:val="left"/>
        <w:rPr>
          <w:i w:val="1"/>
          <w:iCs w:val="1"/>
          <w:outline w:val="0"/>
          <w:color w:val="3a3a3a"/>
          <w:sz w:val="30"/>
          <w:szCs w:val="30"/>
          <w:shd w:val="clear" w:color="auto" w:fill="ffffff"/>
          <w:rtl w:val="0"/>
          <w14:textOutline w14:w="0" w14:cap="flat">
            <w14:solidFill>
              <w14:srgbClr w14:val="3A3A3A"/>
            </w14:solidFill>
            <w14:prstDash w14:val="solid"/>
            <w14:miter w14:lim="400000"/>
          </w14:textOutline>
          <w14:textFill>
            <w14:solidFill>
              <w14:srgbClr w14:val="3A3A3A"/>
            </w14:solidFill>
          </w14:textFill>
        </w:rPr>
      </w:pPr>
    </w:p>
    <w:p>
      <w:pPr>
        <w:pStyle w:val="Body"/>
        <w:bidi w:val="0"/>
      </w:pPr>
      <w:r>
        <w:rPr>
          <w:rtl w:val="0"/>
          <w:lang w:val="en-US"/>
        </w:rPr>
        <w:t>Augoustakis, A. (2013)</w:t>
      </w:r>
      <w:r>
        <w:rPr>
          <w:rtl w:val="0"/>
          <w:lang w:val="en-US"/>
        </w:rPr>
        <w:t> </w:t>
      </w:r>
      <w:r>
        <w:rPr>
          <w:i w:val="1"/>
          <w:iCs w:val="1"/>
          <w:rtl w:val="0"/>
          <w:lang w:val="en-US"/>
        </w:rPr>
        <w:t>Ritual and religion in Flavian epic</w:t>
      </w:r>
      <w:r>
        <w:rPr>
          <w:rtl w:val="0"/>
          <w:lang w:val="en-US"/>
        </w:rPr>
        <w:t>. Oxford: Oxford University Press.</w:t>
      </w:r>
    </w:p>
    <w:p>
      <w:pPr>
        <w:pStyle w:val="Default"/>
        <w:bidi w:val="0"/>
        <w:spacing w:line="340" w:lineRule="atLeast"/>
        <w:ind w:left="0" w:right="0" w:firstLine="0"/>
        <w:jc w:val="left"/>
        <w:rPr>
          <w:i w:val="1"/>
          <w:iCs w:val="1"/>
          <w:outline w:val="0"/>
          <w:color w:val="3a3a3a"/>
          <w:sz w:val="30"/>
          <w:szCs w:val="30"/>
          <w:shd w:val="clear" w:color="auto" w:fill="ffffff"/>
          <w:rtl w:val="0"/>
          <w14:textOutline w14:w="0" w14:cap="flat">
            <w14:solidFill>
              <w14:srgbClr w14:val="3A3A3A"/>
            </w14:solidFill>
            <w14:prstDash w14:val="solid"/>
            <w14:miter w14:lim="400000"/>
          </w14:textOutline>
          <w14:textFill>
            <w14:solidFill>
              <w14:srgbClr w14:val="3A3A3A"/>
            </w14:solidFill>
          </w14:textFill>
        </w:rPr>
      </w:pPr>
    </w:p>
    <w:p>
      <w:pPr>
        <w:pStyle w:val="Body"/>
        <w:bidi w:val="0"/>
      </w:pPr>
      <w:r>
        <w:rPr>
          <w:rtl w:val="0"/>
        </w:rPr>
        <w:t xml:space="preserve">Henderson, J. (1993) </w:t>
      </w:r>
      <w:r>
        <w:rPr>
          <w:rtl w:val="0"/>
        </w:rPr>
        <w:t>‘</w:t>
      </w:r>
      <w:r>
        <w:rPr>
          <w:rtl w:val="0"/>
          <w:lang w:val="de-DE"/>
        </w:rPr>
        <w:t>Form Remade/Statius</w:t>
      </w:r>
      <w:r>
        <w:rPr>
          <w:rtl w:val="0"/>
        </w:rPr>
        <w:t xml:space="preserve">’ </w:t>
      </w:r>
      <w:r>
        <w:rPr>
          <w:rtl w:val="0"/>
          <w:lang w:val="nl-NL"/>
        </w:rPr>
        <w:t>Thebaid</w:t>
      </w:r>
      <w:r>
        <w:rPr>
          <w:rtl w:val="0"/>
        </w:rPr>
        <w:t>’</w:t>
      </w:r>
      <w:r>
        <w:rPr>
          <w:rtl w:val="0"/>
        </w:rPr>
        <w:t xml:space="preserve">, in </w:t>
      </w:r>
      <w:r>
        <w:rPr>
          <w:rtl w:val="0"/>
        </w:rPr>
        <w:t>Boyle, A.J.</w:t>
      </w:r>
      <w:r>
        <w:rPr>
          <w:rtl w:val="0"/>
        </w:rPr>
        <w:t xml:space="preserve"> (ed) </w:t>
      </w:r>
      <w:r>
        <w:rPr>
          <w:i w:val="1"/>
          <w:iCs w:val="1"/>
          <w:rtl w:val="0"/>
          <w:lang w:val="en-US"/>
        </w:rPr>
        <w:t>Roman epic</w:t>
      </w:r>
      <w:r>
        <w:rPr>
          <w:rtl w:val="0"/>
        </w:rPr>
        <w:t>. London: Routledge, pp. 149-170.</w:t>
      </w:r>
    </w:p>
    <w:p>
      <w:pPr>
        <w:pStyle w:val="Body"/>
        <w:bidi w:val="0"/>
      </w:pPr>
    </w:p>
    <w:p>
      <w:pPr>
        <w:pStyle w:val="Body"/>
        <w:bidi w:val="0"/>
      </w:pPr>
      <w:r>
        <w:rPr>
          <w:rtl w:val="0"/>
          <w:lang w:val="es-ES_tradnl"/>
        </w:rPr>
        <w:t>Jones</w:t>
      </w:r>
      <w:r>
        <w:rPr>
          <w:rtl w:val="0"/>
        </w:rPr>
        <w:t>, P. (1991) Homer</w:t>
      </w:r>
      <w:r>
        <w:rPr>
          <w:rtl w:val="0"/>
        </w:rPr>
        <w:t>’</w:t>
      </w:r>
      <w:r>
        <w:rPr>
          <w:rtl w:val="0"/>
        </w:rPr>
        <w:t>s Odyssey: A companion to the english translation of Richmond Lattimore. Bristol: Bristol Classics Press.</w:t>
      </w:r>
    </w:p>
    <w:p>
      <w:pPr>
        <w:pStyle w:val="Body"/>
        <w:bidi w:val="0"/>
      </w:pPr>
    </w:p>
    <w:p>
      <w:pPr>
        <w:pStyle w:val="Body"/>
        <w:bidi w:val="0"/>
      </w:pPr>
      <w:r>
        <w:rPr>
          <w:rtl w:val="0"/>
        </w:rPr>
        <w:t xml:space="preserve">Parkes, R. (2012) </w:t>
      </w:r>
      <w:r>
        <w:rPr>
          <w:i w:val="1"/>
          <w:iCs w:val="1"/>
          <w:rtl w:val="0"/>
          <w:lang w:val="en-US"/>
        </w:rPr>
        <w:t>Statius, Thebaid 4</w:t>
      </w:r>
      <w:r>
        <w:rPr>
          <w:rtl w:val="0"/>
        </w:rPr>
        <w:t>. Oxford: Oxford University Press.</w:t>
      </w:r>
    </w:p>
    <w:p>
      <w:pPr>
        <w:pStyle w:val="Body"/>
        <w:bidi w:val="0"/>
      </w:pPr>
    </w:p>
    <w:p>
      <w:pPr>
        <w:pStyle w:val="Body"/>
        <w:bidi w:val="0"/>
      </w:pPr>
      <w:r>
        <w:rPr>
          <w:rtl w:val="0"/>
        </w:rPr>
        <w:t>Statius,</w:t>
      </w:r>
      <w:r>
        <w:rPr>
          <w:rtl w:val="0"/>
        </w:rPr>
        <w:t> </w:t>
      </w:r>
      <w:r>
        <w:rPr>
          <w:i w:val="1"/>
          <w:iCs w:val="1"/>
          <w:rtl w:val="0"/>
          <w:lang w:val="en-US"/>
        </w:rPr>
        <w:t>Thebaid.</w:t>
      </w:r>
      <w:r>
        <w:rPr>
          <w:rtl w:val="0"/>
        </w:rPr>
        <w:t> </w:t>
      </w:r>
      <w:r>
        <w:rPr>
          <w:rtl w:val="0"/>
        </w:rPr>
        <w:t xml:space="preserve">D. R. Shackleton Bailey (trans.). </w:t>
      </w:r>
      <w:r>
        <w:rPr>
          <w:rtl w:val="0"/>
        </w:rPr>
        <w:t>2004</w:t>
      </w:r>
      <w:r>
        <w:rPr>
          <w:rtl w:val="0"/>
        </w:rPr>
        <w:t>. Cambridge, MA: Harvard University Press.</w:t>
      </w:r>
    </w:p>
    <w:p>
      <w:pPr>
        <w:pStyle w:val="Body"/>
        <w:bidi w:val="0"/>
      </w:pPr>
    </w:p>
    <w:p>
      <w:pPr>
        <w:pStyle w:val="Body"/>
        <w:bidi w:val="0"/>
      </w:pPr>
      <w:r>
        <w:rPr>
          <w:rtl w:val="0"/>
        </w:rPr>
        <w:t>Vessey</w:t>
      </w:r>
      <w:r>
        <w:rPr>
          <w:rtl w:val="0"/>
        </w:rPr>
        <w:t>, D. (1973)</w:t>
      </w:r>
      <w:r>
        <w:rPr>
          <w:rtl w:val="0"/>
        </w:rPr>
        <w:t xml:space="preserve"> </w:t>
      </w:r>
      <w:r>
        <w:rPr>
          <w:i w:val="1"/>
          <w:iCs w:val="1"/>
          <w:rtl w:val="0"/>
          <w:lang w:val="en-US"/>
        </w:rPr>
        <w:t>Statius and the Thebaid</w:t>
      </w:r>
      <w:r>
        <w:rPr>
          <w:rtl w:val="0"/>
        </w:rPr>
        <w:t xml:space="preserve">. Cambridge: </w:t>
      </w:r>
      <w:r>
        <w:rPr>
          <w:rtl w:val="0"/>
        </w:rPr>
        <w:t>Cambridge University Press</w:t>
      </w:r>
      <w:r>
        <w:rPr>
          <w:rtl w:val="0"/>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