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9D129" w14:textId="6947D082" w:rsidR="00A96DFD" w:rsidRPr="00A96DFD" w:rsidRDefault="00A96DFD" w:rsidP="00FA2EC2">
      <w:pPr>
        <w:spacing w:before="100" w:beforeAutospacing="1" w:after="100" w:afterAutospacing="1" w:line="240" w:lineRule="auto"/>
        <w:rPr>
          <w:rFonts w:eastAsia="Times New Roman" w:cs="Times New Roman"/>
          <w:szCs w:val="24"/>
          <w:lang w:val="en-US"/>
        </w:rPr>
      </w:pPr>
    </w:p>
    <w:p w14:paraId="3169D196" w14:textId="28ED1007" w:rsidR="00A96DFD" w:rsidRPr="00A96DFD" w:rsidRDefault="00A96DFD" w:rsidP="00A96DFD">
      <w:pPr>
        <w:spacing w:before="100" w:beforeAutospacing="1" w:after="100" w:afterAutospacing="1" w:line="240" w:lineRule="auto"/>
        <w:jc w:val="center"/>
        <w:rPr>
          <w:rFonts w:eastAsia="Times New Roman" w:cs="Times New Roman"/>
          <w:szCs w:val="24"/>
          <w:lang w:val="en-US"/>
        </w:rPr>
      </w:pPr>
      <w:r w:rsidRPr="00A96DFD">
        <w:rPr>
          <w:rFonts w:eastAsia="Times New Roman" w:cs="Times New Roman"/>
          <w:b/>
          <w:bCs/>
          <w:szCs w:val="24"/>
          <w:lang w:val="en-US"/>
        </w:rPr>
        <w:t>Assignment Title</w:t>
      </w:r>
      <w:r w:rsidRPr="00A96DFD">
        <w:rPr>
          <w:rFonts w:eastAsia="Times New Roman" w:cs="Times New Roman"/>
          <w:szCs w:val="24"/>
          <w:lang w:val="en-US"/>
        </w:rPr>
        <w:br/>
      </w:r>
      <w:proofErr w:type="spellStart"/>
      <w:r w:rsidRPr="00A96DFD">
        <w:rPr>
          <w:rFonts w:eastAsia="Times New Roman" w:cs="Times New Roman"/>
          <w:b/>
          <w:bCs/>
          <w:szCs w:val="24"/>
          <w:lang w:val="en-US"/>
        </w:rPr>
        <w:t>Croeso</w:t>
      </w:r>
      <w:proofErr w:type="spellEnd"/>
      <w:r w:rsidRPr="00A96DFD">
        <w:rPr>
          <w:rFonts w:eastAsia="Times New Roman" w:cs="Times New Roman"/>
          <w:b/>
          <w:bCs/>
          <w:szCs w:val="24"/>
          <w:lang w:val="en-US"/>
        </w:rPr>
        <w:t xml:space="preserve"> Connect 2025: An International Meeting Celebrating Wales’ Cultural Hospitality and Global Connectivity</w:t>
      </w:r>
    </w:p>
    <w:p w14:paraId="439A2A1B" w14:textId="676AE912" w:rsidR="00A96DFD" w:rsidRPr="00A96DFD" w:rsidRDefault="00A96DFD" w:rsidP="00A96DFD">
      <w:pPr>
        <w:spacing w:before="100" w:beforeAutospacing="1" w:after="100" w:afterAutospacing="1" w:line="240" w:lineRule="auto"/>
        <w:jc w:val="center"/>
        <w:rPr>
          <w:rFonts w:eastAsia="Times New Roman" w:cs="Times New Roman"/>
          <w:szCs w:val="24"/>
          <w:lang w:val="en-US"/>
        </w:rPr>
      </w:pPr>
      <w:r w:rsidRPr="00A96DFD">
        <w:rPr>
          <w:rFonts w:eastAsia="Times New Roman" w:cs="Times New Roman"/>
          <w:b/>
          <w:bCs/>
          <w:szCs w:val="24"/>
          <w:lang w:val="en-US"/>
        </w:rPr>
        <w:t>Module</w:t>
      </w:r>
      <w:r>
        <w:rPr>
          <w:rFonts w:eastAsia="Times New Roman" w:cs="Times New Roman"/>
          <w:szCs w:val="24"/>
          <w:lang w:val="en-US"/>
        </w:rPr>
        <w:t xml:space="preserve">: </w:t>
      </w:r>
      <w:r w:rsidRPr="00A96DFD">
        <w:rPr>
          <w:rFonts w:eastAsia="Times New Roman" w:cs="Times New Roman"/>
          <w:b/>
          <w:bCs/>
          <w:szCs w:val="24"/>
          <w:lang w:val="en-US"/>
        </w:rPr>
        <w:t>BMIH6007 - International Meetings Management for the Hotel Industry</w:t>
      </w:r>
    </w:p>
    <w:p w14:paraId="0C4E13A5" w14:textId="727BDF77" w:rsidR="00A96DFD" w:rsidRPr="00A96DFD" w:rsidRDefault="00A96DFD" w:rsidP="00A96DFD">
      <w:pPr>
        <w:spacing w:before="100" w:beforeAutospacing="1" w:after="100" w:afterAutospacing="1" w:line="240" w:lineRule="auto"/>
        <w:jc w:val="center"/>
        <w:rPr>
          <w:rFonts w:eastAsia="Times New Roman" w:cs="Times New Roman"/>
          <w:szCs w:val="24"/>
          <w:lang w:val="en-US"/>
        </w:rPr>
      </w:pPr>
      <w:proofErr w:type="spellStart"/>
      <w:r w:rsidRPr="00A96DFD">
        <w:rPr>
          <w:rFonts w:eastAsia="Times New Roman" w:cs="Times New Roman"/>
          <w:b/>
          <w:bCs/>
          <w:szCs w:val="24"/>
          <w:lang w:val="en-US"/>
        </w:rPr>
        <w:t>Level</w:t>
      </w:r>
      <w:r>
        <w:rPr>
          <w:rFonts w:eastAsia="Times New Roman" w:cs="Times New Roman"/>
          <w:szCs w:val="24"/>
          <w:lang w:val="en-US"/>
        </w:rPr>
        <w:t>:</w:t>
      </w:r>
      <w:r w:rsidRPr="00A96DFD">
        <w:rPr>
          <w:rFonts w:eastAsia="Times New Roman" w:cs="Times New Roman"/>
          <w:b/>
          <w:bCs/>
          <w:szCs w:val="24"/>
          <w:lang w:val="en-US"/>
        </w:rPr>
        <w:t>Level</w:t>
      </w:r>
      <w:proofErr w:type="spellEnd"/>
      <w:r w:rsidRPr="00A96DFD">
        <w:rPr>
          <w:rFonts w:eastAsia="Times New Roman" w:cs="Times New Roman"/>
          <w:b/>
          <w:bCs/>
          <w:szCs w:val="24"/>
          <w:lang w:val="en-US"/>
        </w:rPr>
        <w:t xml:space="preserve"> 6</w:t>
      </w:r>
    </w:p>
    <w:p w14:paraId="2A545F82" w14:textId="3FAAED14" w:rsidR="00A96DFD" w:rsidRPr="00A96DFD" w:rsidRDefault="00A96DFD" w:rsidP="00A96DFD">
      <w:pPr>
        <w:spacing w:before="100" w:beforeAutospacing="1" w:after="100" w:afterAutospacing="1" w:line="240" w:lineRule="auto"/>
        <w:jc w:val="center"/>
        <w:rPr>
          <w:rFonts w:eastAsia="Times New Roman" w:cs="Times New Roman"/>
          <w:szCs w:val="24"/>
          <w:lang w:val="en-US"/>
        </w:rPr>
      </w:pPr>
      <w:r w:rsidRPr="00A96DFD">
        <w:rPr>
          <w:rFonts w:eastAsia="Times New Roman" w:cs="Times New Roman"/>
          <w:b/>
          <w:bCs/>
          <w:szCs w:val="24"/>
          <w:lang w:val="en-US"/>
        </w:rPr>
        <w:t xml:space="preserve">Student </w:t>
      </w:r>
      <w:proofErr w:type="spellStart"/>
      <w:r w:rsidRPr="00A96DFD">
        <w:rPr>
          <w:rFonts w:eastAsia="Times New Roman" w:cs="Times New Roman"/>
          <w:b/>
          <w:bCs/>
          <w:szCs w:val="24"/>
          <w:lang w:val="en-US"/>
        </w:rPr>
        <w:t>Name</w:t>
      </w:r>
      <w:r w:rsidR="00D74ECA">
        <w:rPr>
          <w:rFonts w:eastAsia="Times New Roman" w:cs="Times New Roman"/>
          <w:b/>
          <w:bCs/>
          <w:szCs w:val="24"/>
          <w:lang w:val="en-US"/>
        </w:rPr>
        <w:t>:Catalina</w:t>
      </w:r>
      <w:proofErr w:type="spellEnd"/>
      <w:r w:rsidR="00D74ECA">
        <w:rPr>
          <w:rFonts w:eastAsia="Times New Roman" w:cs="Times New Roman"/>
          <w:b/>
          <w:bCs/>
          <w:szCs w:val="24"/>
          <w:lang w:val="en-US"/>
        </w:rPr>
        <w:t xml:space="preserve"> </w:t>
      </w:r>
      <w:proofErr w:type="spellStart"/>
      <w:r w:rsidR="00D74ECA">
        <w:rPr>
          <w:rFonts w:eastAsia="Times New Roman" w:cs="Times New Roman"/>
          <w:b/>
          <w:bCs/>
          <w:szCs w:val="24"/>
          <w:lang w:val="en-US"/>
        </w:rPr>
        <w:t>Coman</w:t>
      </w:r>
      <w:proofErr w:type="spellEnd"/>
      <w:r w:rsidR="00D74ECA">
        <w:rPr>
          <w:rFonts w:eastAsia="Times New Roman" w:cs="Times New Roman"/>
          <w:b/>
          <w:bCs/>
          <w:szCs w:val="24"/>
          <w:lang w:val="en-US"/>
        </w:rPr>
        <w:t xml:space="preserve"> </w:t>
      </w:r>
    </w:p>
    <w:p w14:paraId="01E0CB68" w14:textId="674109B7" w:rsidR="00A96DFD" w:rsidRPr="00A96DFD" w:rsidRDefault="00A96DFD" w:rsidP="00A96DFD">
      <w:pPr>
        <w:spacing w:before="100" w:beforeAutospacing="1" w:after="100" w:afterAutospacing="1" w:line="240" w:lineRule="auto"/>
        <w:jc w:val="center"/>
        <w:rPr>
          <w:rFonts w:eastAsia="Times New Roman" w:cs="Times New Roman"/>
          <w:szCs w:val="24"/>
          <w:lang w:val="en-US"/>
        </w:rPr>
      </w:pPr>
      <w:r w:rsidRPr="00A96DFD">
        <w:rPr>
          <w:rFonts w:eastAsia="Times New Roman" w:cs="Times New Roman"/>
          <w:b/>
          <w:bCs/>
          <w:szCs w:val="24"/>
          <w:lang w:val="en-US"/>
        </w:rPr>
        <w:t>Student ID</w:t>
      </w:r>
      <w:r w:rsidR="00D74ECA">
        <w:rPr>
          <w:rFonts w:eastAsia="Times New Roman" w:cs="Times New Roman"/>
          <w:b/>
          <w:bCs/>
          <w:szCs w:val="24"/>
          <w:lang w:val="en-US"/>
        </w:rPr>
        <w:t>:223</w:t>
      </w:r>
      <w:r w:rsidR="00C16259">
        <w:rPr>
          <w:rFonts w:eastAsia="Times New Roman" w:cs="Times New Roman"/>
          <w:b/>
          <w:bCs/>
          <w:szCs w:val="24"/>
          <w:lang w:val="en-US"/>
        </w:rPr>
        <w:t>8715</w:t>
      </w:r>
    </w:p>
    <w:p w14:paraId="27E80BB5" w14:textId="7BAE66AB" w:rsidR="00A96DFD" w:rsidRDefault="00A96DFD" w:rsidP="00A96DFD">
      <w:pPr>
        <w:spacing w:before="100" w:beforeAutospacing="1" w:after="100" w:afterAutospacing="1" w:line="240" w:lineRule="auto"/>
        <w:jc w:val="center"/>
        <w:rPr>
          <w:rFonts w:eastAsia="Times New Roman" w:cs="Times New Roman"/>
          <w:szCs w:val="24"/>
          <w:lang w:val="en-US"/>
        </w:rPr>
      </w:pPr>
      <w:r w:rsidRPr="00A96DFD">
        <w:rPr>
          <w:rFonts w:eastAsia="Times New Roman" w:cs="Times New Roman"/>
          <w:b/>
          <w:bCs/>
          <w:szCs w:val="24"/>
          <w:lang w:val="en-US"/>
        </w:rPr>
        <w:t>Lecturer Name</w:t>
      </w:r>
      <w:r>
        <w:rPr>
          <w:rFonts w:eastAsia="Times New Roman" w:cs="Times New Roman"/>
          <w:szCs w:val="24"/>
          <w:lang w:val="en-US"/>
        </w:rPr>
        <w:t xml:space="preserve">: </w:t>
      </w:r>
      <w:r w:rsidRPr="00A96DFD">
        <w:rPr>
          <w:rFonts w:eastAsia="Times New Roman" w:cs="Times New Roman"/>
          <w:szCs w:val="24"/>
          <w:lang w:val="en-US"/>
        </w:rPr>
        <w:t>Kathryn Flynn</w:t>
      </w:r>
    </w:p>
    <w:p w14:paraId="6CA5A0E9" w14:textId="57A50572" w:rsidR="006279E5" w:rsidRDefault="006279E5" w:rsidP="00A96DFD">
      <w:pPr>
        <w:spacing w:before="100" w:beforeAutospacing="1" w:after="100" w:afterAutospacing="1" w:line="240" w:lineRule="auto"/>
        <w:jc w:val="center"/>
        <w:rPr>
          <w:rFonts w:eastAsia="Times New Roman" w:cs="Times New Roman"/>
          <w:szCs w:val="24"/>
          <w:lang w:val="en-US"/>
        </w:rPr>
      </w:pPr>
    </w:p>
    <w:p w14:paraId="70CECCB0" w14:textId="77777777" w:rsidR="006279E5" w:rsidRDefault="006279E5" w:rsidP="00A96DFD">
      <w:pPr>
        <w:spacing w:before="100" w:beforeAutospacing="1" w:after="100" w:afterAutospacing="1" w:line="240" w:lineRule="auto"/>
        <w:jc w:val="center"/>
        <w:rPr>
          <w:rFonts w:eastAsia="Times New Roman" w:cs="Times New Roman"/>
          <w:szCs w:val="24"/>
          <w:lang w:val="en-US"/>
        </w:rPr>
      </w:pPr>
    </w:p>
    <w:p w14:paraId="26F25881" w14:textId="77777777" w:rsidR="006279E5" w:rsidRPr="002B579C" w:rsidRDefault="006279E5" w:rsidP="006279E5">
      <w:pPr>
        <w:ind w:left="720" w:hanging="720"/>
        <w:rPr>
          <w:b/>
          <w:bCs/>
        </w:rPr>
      </w:pPr>
      <w:r w:rsidRPr="002B579C">
        <w:rPr>
          <w:b/>
          <w:bCs/>
        </w:rPr>
        <w:t>AI Declaration:</w:t>
      </w:r>
    </w:p>
    <w:p w14:paraId="3A3A1EC3" w14:textId="77777777" w:rsidR="006279E5" w:rsidRPr="002B579C" w:rsidRDefault="006279E5" w:rsidP="006279E5">
      <w:r w:rsidRPr="002B579C">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27560DFB" w14:textId="77777777" w:rsidR="006279E5" w:rsidRDefault="006279E5" w:rsidP="00A96DFD">
      <w:pPr>
        <w:spacing w:before="100" w:beforeAutospacing="1" w:after="100" w:afterAutospacing="1" w:line="240" w:lineRule="auto"/>
        <w:jc w:val="center"/>
        <w:rPr>
          <w:rFonts w:eastAsia="Times New Roman" w:cs="Times New Roman"/>
          <w:szCs w:val="24"/>
          <w:lang w:val="en-US"/>
        </w:rPr>
      </w:pPr>
    </w:p>
    <w:p w14:paraId="02EABFC3" w14:textId="7CFFD62E" w:rsidR="006279E5" w:rsidRPr="002B579C" w:rsidRDefault="00AE7FC8" w:rsidP="006279E5">
      <w:pPr>
        <w:ind w:left="720" w:hanging="720"/>
      </w:pPr>
      <w:r>
        <w:rPr>
          <w:rFonts w:eastAsia="Times New Roman" w:cs="Times New Roman"/>
          <w:b/>
          <w:szCs w:val="24"/>
          <w:lang w:val="en-US"/>
        </w:rPr>
        <w:br w:type="page"/>
      </w:r>
    </w:p>
    <w:p w14:paraId="55D86E6C" w14:textId="51841929" w:rsidR="006279E5" w:rsidRPr="002B579C" w:rsidRDefault="006279E5" w:rsidP="006279E5">
      <w:pPr>
        <w:ind w:left="720" w:hanging="720"/>
      </w:pPr>
    </w:p>
    <w:p w14:paraId="12FA8803" w14:textId="77777777" w:rsidR="00AE7FC8" w:rsidRDefault="00AE7FC8">
      <w:pPr>
        <w:spacing w:before="0" w:after="160" w:line="259" w:lineRule="auto"/>
        <w:jc w:val="left"/>
        <w:rPr>
          <w:rFonts w:eastAsia="Times New Roman" w:cs="Times New Roman"/>
          <w:b/>
          <w:szCs w:val="24"/>
          <w:lang w:val="en-US"/>
        </w:rPr>
      </w:pPr>
    </w:p>
    <w:sdt>
      <w:sdtPr>
        <w:rPr>
          <w:b/>
          <w:i/>
        </w:rPr>
        <w:id w:val="465014641"/>
        <w:docPartObj>
          <w:docPartGallery w:val="Table of Contents"/>
          <w:docPartUnique/>
        </w:docPartObj>
      </w:sdtPr>
      <w:sdtEndPr>
        <w:rPr>
          <w:bCs/>
          <w:i w:val="0"/>
          <w:noProof/>
        </w:rPr>
      </w:sdtEndPr>
      <w:sdtContent>
        <w:p w14:paraId="30409CF4" w14:textId="77777777" w:rsidR="00AE7FC8" w:rsidRPr="00AE7FC8" w:rsidRDefault="00AE7FC8" w:rsidP="00AE7FC8">
          <w:pPr>
            <w:jc w:val="center"/>
            <w:rPr>
              <w:b/>
              <w:i/>
            </w:rPr>
          </w:pPr>
          <w:r w:rsidRPr="00AE7FC8">
            <w:rPr>
              <w:b/>
              <w:i/>
            </w:rPr>
            <w:t>Table of Contents</w:t>
          </w:r>
        </w:p>
        <w:p w14:paraId="65F919E6" w14:textId="69C2A40C" w:rsidR="006279E5" w:rsidRDefault="00AE7FC8">
          <w:pPr>
            <w:pStyle w:val="TOC1"/>
            <w:tabs>
              <w:tab w:val="left" w:pos="440"/>
              <w:tab w:val="right" w:leader="dot" w:pos="863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200051281" w:history="1">
            <w:r w:rsidR="006279E5" w:rsidRPr="00AB7DC0">
              <w:rPr>
                <w:rStyle w:val="Hyperlink"/>
                <w:noProof/>
              </w:rPr>
              <w:t>1</w:t>
            </w:r>
            <w:r w:rsidR="006279E5">
              <w:rPr>
                <w:rFonts w:asciiTheme="minorHAnsi" w:eastAsiaTheme="minorEastAsia" w:hAnsiTheme="minorHAnsi"/>
                <w:noProof/>
                <w:sz w:val="22"/>
                <w:lang w:val="en-US"/>
              </w:rPr>
              <w:tab/>
            </w:r>
            <w:r w:rsidR="006279E5" w:rsidRPr="00AB7DC0">
              <w:rPr>
                <w:rStyle w:val="Hyperlink"/>
                <w:noProof/>
              </w:rPr>
              <w:t>Introduction</w:t>
            </w:r>
            <w:r w:rsidR="006279E5">
              <w:rPr>
                <w:noProof/>
                <w:webHidden/>
              </w:rPr>
              <w:tab/>
            </w:r>
            <w:r w:rsidR="006279E5">
              <w:rPr>
                <w:noProof/>
                <w:webHidden/>
              </w:rPr>
              <w:fldChar w:fldCharType="begin"/>
            </w:r>
            <w:r w:rsidR="006279E5">
              <w:rPr>
                <w:noProof/>
                <w:webHidden/>
              </w:rPr>
              <w:instrText xml:space="preserve"> PAGEREF _Toc200051281 \h </w:instrText>
            </w:r>
            <w:r w:rsidR="006279E5">
              <w:rPr>
                <w:noProof/>
                <w:webHidden/>
              </w:rPr>
            </w:r>
            <w:r w:rsidR="006279E5">
              <w:rPr>
                <w:noProof/>
                <w:webHidden/>
              </w:rPr>
              <w:fldChar w:fldCharType="separate"/>
            </w:r>
            <w:r w:rsidR="006279E5">
              <w:rPr>
                <w:noProof/>
                <w:webHidden/>
              </w:rPr>
              <w:t>4</w:t>
            </w:r>
            <w:r w:rsidR="006279E5">
              <w:rPr>
                <w:noProof/>
                <w:webHidden/>
              </w:rPr>
              <w:fldChar w:fldCharType="end"/>
            </w:r>
          </w:hyperlink>
        </w:p>
        <w:p w14:paraId="206380D8" w14:textId="69208D5D" w:rsidR="006279E5" w:rsidRDefault="006279E5">
          <w:pPr>
            <w:pStyle w:val="TOC1"/>
            <w:tabs>
              <w:tab w:val="left" w:pos="440"/>
              <w:tab w:val="right" w:leader="dot" w:pos="8630"/>
            </w:tabs>
            <w:rPr>
              <w:rFonts w:asciiTheme="minorHAnsi" w:eastAsiaTheme="minorEastAsia" w:hAnsiTheme="minorHAnsi"/>
              <w:noProof/>
              <w:sz w:val="22"/>
              <w:lang w:val="en-US"/>
            </w:rPr>
          </w:pPr>
          <w:hyperlink w:anchor="_Toc200051282" w:history="1">
            <w:r w:rsidRPr="00AB7DC0">
              <w:rPr>
                <w:rStyle w:val="Hyperlink"/>
                <w:noProof/>
              </w:rPr>
              <w:t>2</w:t>
            </w:r>
            <w:r>
              <w:rPr>
                <w:rFonts w:asciiTheme="minorHAnsi" w:eastAsiaTheme="minorEastAsia" w:hAnsiTheme="minorHAnsi"/>
                <w:noProof/>
                <w:sz w:val="22"/>
                <w:lang w:val="en-US"/>
              </w:rPr>
              <w:tab/>
            </w:r>
            <w:r w:rsidRPr="00AB7DC0">
              <w:rPr>
                <w:rStyle w:val="Hyperlink"/>
                <w:noProof/>
              </w:rPr>
              <w:t>The Event Cycle</w:t>
            </w:r>
            <w:r>
              <w:rPr>
                <w:noProof/>
                <w:webHidden/>
              </w:rPr>
              <w:tab/>
            </w:r>
            <w:r>
              <w:rPr>
                <w:noProof/>
                <w:webHidden/>
              </w:rPr>
              <w:fldChar w:fldCharType="begin"/>
            </w:r>
            <w:r>
              <w:rPr>
                <w:noProof/>
                <w:webHidden/>
              </w:rPr>
              <w:instrText xml:space="preserve"> PAGEREF _Toc200051282 \h </w:instrText>
            </w:r>
            <w:r>
              <w:rPr>
                <w:noProof/>
                <w:webHidden/>
              </w:rPr>
            </w:r>
            <w:r>
              <w:rPr>
                <w:noProof/>
                <w:webHidden/>
              </w:rPr>
              <w:fldChar w:fldCharType="separate"/>
            </w:r>
            <w:r>
              <w:rPr>
                <w:noProof/>
                <w:webHidden/>
              </w:rPr>
              <w:t>4</w:t>
            </w:r>
            <w:r>
              <w:rPr>
                <w:noProof/>
                <w:webHidden/>
              </w:rPr>
              <w:fldChar w:fldCharType="end"/>
            </w:r>
          </w:hyperlink>
        </w:p>
        <w:p w14:paraId="2452B4B7" w14:textId="2307FDEE" w:rsidR="006279E5" w:rsidRDefault="006279E5">
          <w:pPr>
            <w:pStyle w:val="TOC1"/>
            <w:tabs>
              <w:tab w:val="left" w:pos="440"/>
              <w:tab w:val="right" w:leader="dot" w:pos="8630"/>
            </w:tabs>
            <w:rPr>
              <w:rFonts w:asciiTheme="minorHAnsi" w:eastAsiaTheme="minorEastAsia" w:hAnsiTheme="minorHAnsi"/>
              <w:noProof/>
              <w:sz w:val="22"/>
              <w:lang w:val="en-US"/>
            </w:rPr>
          </w:pPr>
          <w:hyperlink w:anchor="_Toc200051283" w:history="1">
            <w:r w:rsidRPr="00AB7DC0">
              <w:rPr>
                <w:rStyle w:val="Hyperlink"/>
                <w:noProof/>
                <w:lang w:val="en-US"/>
              </w:rPr>
              <w:t>3</w:t>
            </w:r>
            <w:r>
              <w:rPr>
                <w:rFonts w:asciiTheme="minorHAnsi" w:eastAsiaTheme="minorEastAsia" w:hAnsiTheme="minorHAnsi"/>
                <w:noProof/>
                <w:sz w:val="22"/>
                <w:lang w:val="en-US"/>
              </w:rPr>
              <w:tab/>
            </w:r>
            <w:r w:rsidRPr="00AB7DC0">
              <w:rPr>
                <w:rStyle w:val="Hyperlink"/>
                <w:noProof/>
                <w:lang w:val="en-US"/>
              </w:rPr>
              <w:t>Event Concept</w:t>
            </w:r>
            <w:r>
              <w:rPr>
                <w:noProof/>
                <w:webHidden/>
              </w:rPr>
              <w:tab/>
            </w:r>
            <w:r>
              <w:rPr>
                <w:noProof/>
                <w:webHidden/>
              </w:rPr>
              <w:fldChar w:fldCharType="begin"/>
            </w:r>
            <w:r>
              <w:rPr>
                <w:noProof/>
                <w:webHidden/>
              </w:rPr>
              <w:instrText xml:space="preserve"> PAGEREF _Toc200051283 \h </w:instrText>
            </w:r>
            <w:r>
              <w:rPr>
                <w:noProof/>
                <w:webHidden/>
              </w:rPr>
            </w:r>
            <w:r>
              <w:rPr>
                <w:noProof/>
                <w:webHidden/>
              </w:rPr>
              <w:fldChar w:fldCharType="separate"/>
            </w:r>
            <w:r>
              <w:rPr>
                <w:noProof/>
                <w:webHidden/>
              </w:rPr>
              <w:t>6</w:t>
            </w:r>
            <w:r>
              <w:rPr>
                <w:noProof/>
                <w:webHidden/>
              </w:rPr>
              <w:fldChar w:fldCharType="end"/>
            </w:r>
          </w:hyperlink>
        </w:p>
        <w:p w14:paraId="13EB8695" w14:textId="3F1CE6FE" w:rsidR="006279E5" w:rsidRDefault="006279E5">
          <w:pPr>
            <w:pStyle w:val="TOC1"/>
            <w:tabs>
              <w:tab w:val="left" w:pos="440"/>
              <w:tab w:val="right" w:leader="dot" w:pos="8630"/>
            </w:tabs>
            <w:rPr>
              <w:rFonts w:asciiTheme="minorHAnsi" w:eastAsiaTheme="minorEastAsia" w:hAnsiTheme="minorHAnsi"/>
              <w:noProof/>
              <w:sz w:val="22"/>
              <w:lang w:val="en-US"/>
            </w:rPr>
          </w:pPr>
          <w:hyperlink w:anchor="_Toc200051284" w:history="1">
            <w:r w:rsidRPr="00AB7DC0">
              <w:rPr>
                <w:rStyle w:val="Hyperlink"/>
                <w:noProof/>
                <w:lang w:val="en-US"/>
              </w:rPr>
              <w:t>4</w:t>
            </w:r>
            <w:r>
              <w:rPr>
                <w:rFonts w:asciiTheme="minorHAnsi" w:eastAsiaTheme="minorEastAsia" w:hAnsiTheme="minorHAnsi"/>
                <w:noProof/>
                <w:sz w:val="22"/>
                <w:lang w:val="en-US"/>
              </w:rPr>
              <w:tab/>
            </w:r>
            <w:r w:rsidRPr="00AB7DC0">
              <w:rPr>
                <w:rStyle w:val="Hyperlink"/>
                <w:noProof/>
                <w:lang w:val="en-US"/>
              </w:rPr>
              <w:t>Aim and Objectives of the Meeting/Event</w:t>
            </w:r>
            <w:r>
              <w:rPr>
                <w:noProof/>
                <w:webHidden/>
              </w:rPr>
              <w:tab/>
            </w:r>
            <w:r>
              <w:rPr>
                <w:noProof/>
                <w:webHidden/>
              </w:rPr>
              <w:fldChar w:fldCharType="begin"/>
            </w:r>
            <w:r>
              <w:rPr>
                <w:noProof/>
                <w:webHidden/>
              </w:rPr>
              <w:instrText xml:space="preserve"> PAGEREF _Toc200051284 \h </w:instrText>
            </w:r>
            <w:r>
              <w:rPr>
                <w:noProof/>
                <w:webHidden/>
              </w:rPr>
            </w:r>
            <w:r>
              <w:rPr>
                <w:noProof/>
                <w:webHidden/>
              </w:rPr>
              <w:fldChar w:fldCharType="separate"/>
            </w:r>
            <w:r>
              <w:rPr>
                <w:noProof/>
                <w:webHidden/>
              </w:rPr>
              <w:t>6</w:t>
            </w:r>
            <w:r>
              <w:rPr>
                <w:noProof/>
                <w:webHidden/>
              </w:rPr>
              <w:fldChar w:fldCharType="end"/>
            </w:r>
          </w:hyperlink>
        </w:p>
        <w:p w14:paraId="4D96BB26" w14:textId="78CA1B5A" w:rsidR="006279E5" w:rsidRDefault="006279E5">
          <w:pPr>
            <w:pStyle w:val="TOC1"/>
            <w:tabs>
              <w:tab w:val="left" w:pos="440"/>
              <w:tab w:val="right" w:leader="dot" w:pos="8630"/>
            </w:tabs>
            <w:rPr>
              <w:rFonts w:asciiTheme="minorHAnsi" w:eastAsiaTheme="minorEastAsia" w:hAnsiTheme="minorHAnsi"/>
              <w:noProof/>
              <w:sz w:val="22"/>
              <w:lang w:val="en-US"/>
            </w:rPr>
          </w:pPr>
          <w:hyperlink w:anchor="_Toc200051285" w:history="1">
            <w:r w:rsidRPr="00AB7DC0">
              <w:rPr>
                <w:rStyle w:val="Hyperlink"/>
                <w:noProof/>
                <w:lang w:val="en-US"/>
              </w:rPr>
              <w:t>5</w:t>
            </w:r>
            <w:r>
              <w:rPr>
                <w:rFonts w:asciiTheme="minorHAnsi" w:eastAsiaTheme="minorEastAsia" w:hAnsiTheme="minorHAnsi"/>
                <w:noProof/>
                <w:sz w:val="22"/>
                <w:lang w:val="en-US"/>
              </w:rPr>
              <w:tab/>
            </w:r>
            <w:r w:rsidRPr="00AB7DC0">
              <w:rPr>
                <w:rStyle w:val="Hyperlink"/>
                <w:noProof/>
                <w:lang w:val="en-US"/>
              </w:rPr>
              <w:t>Event Management</w:t>
            </w:r>
            <w:r>
              <w:rPr>
                <w:noProof/>
                <w:webHidden/>
              </w:rPr>
              <w:tab/>
            </w:r>
            <w:r>
              <w:rPr>
                <w:noProof/>
                <w:webHidden/>
              </w:rPr>
              <w:fldChar w:fldCharType="begin"/>
            </w:r>
            <w:r>
              <w:rPr>
                <w:noProof/>
                <w:webHidden/>
              </w:rPr>
              <w:instrText xml:space="preserve"> PAGEREF _Toc200051285 \h </w:instrText>
            </w:r>
            <w:r>
              <w:rPr>
                <w:noProof/>
                <w:webHidden/>
              </w:rPr>
            </w:r>
            <w:r>
              <w:rPr>
                <w:noProof/>
                <w:webHidden/>
              </w:rPr>
              <w:fldChar w:fldCharType="separate"/>
            </w:r>
            <w:r>
              <w:rPr>
                <w:noProof/>
                <w:webHidden/>
              </w:rPr>
              <w:t>7</w:t>
            </w:r>
            <w:r>
              <w:rPr>
                <w:noProof/>
                <w:webHidden/>
              </w:rPr>
              <w:fldChar w:fldCharType="end"/>
            </w:r>
          </w:hyperlink>
        </w:p>
        <w:p w14:paraId="2A968369" w14:textId="643CEE34" w:rsidR="006279E5" w:rsidRDefault="006279E5">
          <w:pPr>
            <w:pStyle w:val="TOC1"/>
            <w:tabs>
              <w:tab w:val="left" w:pos="440"/>
              <w:tab w:val="right" w:leader="dot" w:pos="8630"/>
            </w:tabs>
            <w:rPr>
              <w:rFonts w:asciiTheme="minorHAnsi" w:eastAsiaTheme="minorEastAsia" w:hAnsiTheme="minorHAnsi"/>
              <w:noProof/>
              <w:sz w:val="22"/>
              <w:lang w:val="en-US"/>
            </w:rPr>
          </w:pPr>
          <w:hyperlink w:anchor="_Toc200051286" w:history="1">
            <w:r w:rsidRPr="00AB7DC0">
              <w:rPr>
                <w:rStyle w:val="Hyperlink"/>
                <w:noProof/>
                <w:lang w:val="en-US"/>
              </w:rPr>
              <w:t>6</w:t>
            </w:r>
            <w:r>
              <w:rPr>
                <w:rFonts w:asciiTheme="minorHAnsi" w:eastAsiaTheme="minorEastAsia" w:hAnsiTheme="minorHAnsi"/>
                <w:noProof/>
                <w:sz w:val="22"/>
                <w:lang w:val="en-US"/>
              </w:rPr>
              <w:tab/>
            </w:r>
            <w:r w:rsidRPr="00AB7DC0">
              <w:rPr>
                <w:rStyle w:val="Hyperlink"/>
                <w:noProof/>
                <w:lang w:val="en-US"/>
              </w:rPr>
              <w:t>Event Budget</w:t>
            </w:r>
            <w:r>
              <w:rPr>
                <w:noProof/>
                <w:webHidden/>
              </w:rPr>
              <w:tab/>
            </w:r>
            <w:r>
              <w:rPr>
                <w:noProof/>
                <w:webHidden/>
              </w:rPr>
              <w:fldChar w:fldCharType="begin"/>
            </w:r>
            <w:r>
              <w:rPr>
                <w:noProof/>
                <w:webHidden/>
              </w:rPr>
              <w:instrText xml:space="preserve"> PAGEREF _Toc200051286 \h </w:instrText>
            </w:r>
            <w:r>
              <w:rPr>
                <w:noProof/>
                <w:webHidden/>
              </w:rPr>
            </w:r>
            <w:r>
              <w:rPr>
                <w:noProof/>
                <w:webHidden/>
              </w:rPr>
              <w:fldChar w:fldCharType="separate"/>
            </w:r>
            <w:r>
              <w:rPr>
                <w:noProof/>
                <w:webHidden/>
              </w:rPr>
              <w:t>8</w:t>
            </w:r>
            <w:r>
              <w:rPr>
                <w:noProof/>
                <w:webHidden/>
              </w:rPr>
              <w:fldChar w:fldCharType="end"/>
            </w:r>
          </w:hyperlink>
        </w:p>
        <w:p w14:paraId="6B3C2E7B" w14:textId="22852F3D" w:rsidR="006279E5" w:rsidRDefault="006279E5">
          <w:pPr>
            <w:pStyle w:val="TOC1"/>
            <w:tabs>
              <w:tab w:val="left" w:pos="440"/>
              <w:tab w:val="right" w:leader="dot" w:pos="8630"/>
            </w:tabs>
            <w:rPr>
              <w:rFonts w:asciiTheme="minorHAnsi" w:eastAsiaTheme="minorEastAsia" w:hAnsiTheme="minorHAnsi"/>
              <w:noProof/>
              <w:sz w:val="22"/>
              <w:lang w:val="en-US"/>
            </w:rPr>
          </w:pPr>
          <w:hyperlink w:anchor="_Toc200051287" w:history="1">
            <w:r w:rsidRPr="00AB7DC0">
              <w:rPr>
                <w:rStyle w:val="Hyperlink"/>
                <w:noProof/>
                <w:lang w:val="en-US"/>
              </w:rPr>
              <w:t>7</w:t>
            </w:r>
            <w:r>
              <w:rPr>
                <w:rFonts w:asciiTheme="minorHAnsi" w:eastAsiaTheme="minorEastAsia" w:hAnsiTheme="minorHAnsi"/>
                <w:noProof/>
                <w:sz w:val="22"/>
                <w:lang w:val="en-US"/>
              </w:rPr>
              <w:tab/>
            </w:r>
            <w:r w:rsidRPr="00AB7DC0">
              <w:rPr>
                <w:rStyle w:val="Hyperlink"/>
                <w:noProof/>
                <w:lang w:val="en-US"/>
              </w:rPr>
              <w:t>Industry Trends / Issues / Impacts</w:t>
            </w:r>
            <w:r>
              <w:rPr>
                <w:noProof/>
                <w:webHidden/>
              </w:rPr>
              <w:tab/>
            </w:r>
            <w:r>
              <w:rPr>
                <w:noProof/>
                <w:webHidden/>
              </w:rPr>
              <w:fldChar w:fldCharType="begin"/>
            </w:r>
            <w:r>
              <w:rPr>
                <w:noProof/>
                <w:webHidden/>
              </w:rPr>
              <w:instrText xml:space="preserve"> PAGEREF _Toc200051287 \h </w:instrText>
            </w:r>
            <w:r>
              <w:rPr>
                <w:noProof/>
                <w:webHidden/>
              </w:rPr>
            </w:r>
            <w:r>
              <w:rPr>
                <w:noProof/>
                <w:webHidden/>
              </w:rPr>
              <w:fldChar w:fldCharType="separate"/>
            </w:r>
            <w:r>
              <w:rPr>
                <w:noProof/>
                <w:webHidden/>
              </w:rPr>
              <w:t>10</w:t>
            </w:r>
            <w:r>
              <w:rPr>
                <w:noProof/>
                <w:webHidden/>
              </w:rPr>
              <w:fldChar w:fldCharType="end"/>
            </w:r>
          </w:hyperlink>
        </w:p>
        <w:p w14:paraId="7ED00EA1" w14:textId="1B595E6A" w:rsidR="006279E5" w:rsidRDefault="006279E5">
          <w:pPr>
            <w:pStyle w:val="TOC1"/>
            <w:tabs>
              <w:tab w:val="left" w:pos="440"/>
              <w:tab w:val="right" w:leader="dot" w:pos="8630"/>
            </w:tabs>
            <w:rPr>
              <w:rFonts w:asciiTheme="minorHAnsi" w:eastAsiaTheme="minorEastAsia" w:hAnsiTheme="minorHAnsi"/>
              <w:noProof/>
              <w:sz w:val="22"/>
              <w:lang w:val="en-US"/>
            </w:rPr>
          </w:pPr>
          <w:hyperlink w:anchor="_Toc200051288" w:history="1">
            <w:r w:rsidRPr="00AB7DC0">
              <w:rPr>
                <w:rStyle w:val="Hyperlink"/>
                <w:noProof/>
                <w:lang w:val="en-US"/>
              </w:rPr>
              <w:t>8</w:t>
            </w:r>
            <w:r>
              <w:rPr>
                <w:rFonts w:asciiTheme="minorHAnsi" w:eastAsiaTheme="minorEastAsia" w:hAnsiTheme="minorHAnsi"/>
                <w:noProof/>
                <w:sz w:val="22"/>
                <w:lang w:val="en-US"/>
              </w:rPr>
              <w:tab/>
            </w:r>
            <w:r w:rsidRPr="00AB7DC0">
              <w:rPr>
                <w:rStyle w:val="Hyperlink"/>
                <w:noProof/>
                <w:lang w:val="en-US"/>
              </w:rPr>
              <w:t>Situational and Cultural Considerations</w:t>
            </w:r>
            <w:r>
              <w:rPr>
                <w:noProof/>
                <w:webHidden/>
              </w:rPr>
              <w:tab/>
            </w:r>
            <w:r>
              <w:rPr>
                <w:noProof/>
                <w:webHidden/>
              </w:rPr>
              <w:fldChar w:fldCharType="begin"/>
            </w:r>
            <w:r>
              <w:rPr>
                <w:noProof/>
                <w:webHidden/>
              </w:rPr>
              <w:instrText xml:space="preserve"> PAGEREF _Toc200051288 \h </w:instrText>
            </w:r>
            <w:r>
              <w:rPr>
                <w:noProof/>
                <w:webHidden/>
              </w:rPr>
            </w:r>
            <w:r>
              <w:rPr>
                <w:noProof/>
                <w:webHidden/>
              </w:rPr>
              <w:fldChar w:fldCharType="separate"/>
            </w:r>
            <w:r>
              <w:rPr>
                <w:noProof/>
                <w:webHidden/>
              </w:rPr>
              <w:t>10</w:t>
            </w:r>
            <w:r>
              <w:rPr>
                <w:noProof/>
                <w:webHidden/>
              </w:rPr>
              <w:fldChar w:fldCharType="end"/>
            </w:r>
          </w:hyperlink>
        </w:p>
        <w:p w14:paraId="0ECE30B3" w14:textId="08A8E227" w:rsidR="006279E5" w:rsidRDefault="006279E5">
          <w:pPr>
            <w:pStyle w:val="TOC2"/>
            <w:tabs>
              <w:tab w:val="left" w:pos="880"/>
              <w:tab w:val="right" w:leader="dot" w:pos="8630"/>
            </w:tabs>
            <w:rPr>
              <w:rFonts w:asciiTheme="minorHAnsi" w:eastAsiaTheme="minorEastAsia" w:hAnsiTheme="minorHAnsi"/>
              <w:noProof/>
              <w:sz w:val="22"/>
              <w:lang w:val="en-US"/>
            </w:rPr>
          </w:pPr>
          <w:hyperlink w:anchor="_Toc200051289" w:history="1">
            <w:r w:rsidRPr="00AB7DC0">
              <w:rPr>
                <w:rStyle w:val="Hyperlink"/>
                <w:noProof/>
                <w:lang w:val="en-US"/>
              </w:rPr>
              <w:t>8.1</w:t>
            </w:r>
            <w:r>
              <w:rPr>
                <w:rFonts w:asciiTheme="minorHAnsi" w:eastAsiaTheme="minorEastAsia" w:hAnsiTheme="minorHAnsi"/>
                <w:noProof/>
                <w:sz w:val="22"/>
                <w:lang w:val="en-US"/>
              </w:rPr>
              <w:tab/>
            </w:r>
            <w:r w:rsidRPr="00AB7DC0">
              <w:rPr>
                <w:rStyle w:val="Hyperlink"/>
                <w:noProof/>
                <w:lang w:val="en-US"/>
              </w:rPr>
              <w:t>Political</w:t>
            </w:r>
            <w:r>
              <w:rPr>
                <w:noProof/>
                <w:webHidden/>
              </w:rPr>
              <w:tab/>
            </w:r>
            <w:r>
              <w:rPr>
                <w:noProof/>
                <w:webHidden/>
              </w:rPr>
              <w:fldChar w:fldCharType="begin"/>
            </w:r>
            <w:r>
              <w:rPr>
                <w:noProof/>
                <w:webHidden/>
              </w:rPr>
              <w:instrText xml:space="preserve"> PAGEREF _Toc200051289 \h </w:instrText>
            </w:r>
            <w:r>
              <w:rPr>
                <w:noProof/>
                <w:webHidden/>
              </w:rPr>
            </w:r>
            <w:r>
              <w:rPr>
                <w:noProof/>
                <w:webHidden/>
              </w:rPr>
              <w:fldChar w:fldCharType="separate"/>
            </w:r>
            <w:r>
              <w:rPr>
                <w:noProof/>
                <w:webHidden/>
              </w:rPr>
              <w:t>11</w:t>
            </w:r>
            <w:r>
              <w:rPr>
                <w:noProof/>
                <w:webHidden/>
              </w:rPr>
              <w:fldChar w:fldCharType="end"/>
            </w:r>
          </w:hyperlink>
        </w:p>
        <w:p w14:paraId="172F0065" w14:textId="3FEDFDAF" w:rsidR="006279E5" w:rsidRDefault="006279E5">
          <w:pPr>
            <w:pStyle w:val="TOC2"/>
            <w:tabs>
              <w:tab w:val="left" w:pos="880"/>
              <w:tab w:val="right" w:leader="dot" w:pos="8630"/>
            </w:tabs>
            <w:rPr>
              <w:rFonts w:asciiTheme="minorHAnsi" w:eastAsiaTheme="minorEastAsia" w:hAnsiTheme="minorHAnsi"/>
              <w:noProof/>
              <w:sz w:val="22"/>
              <w:lang w:val="en-US"/>
            </w:rPr>
          </w:pPr>
          <w:hyperlink w:anchor="_Toc200051290" w:history="1">
            <w:r w:rsidRPr="00AB7DC0">
              <w:rPr>
                <w:rStyle w:val="Hyperlink"/>
                <w:noProof/>
                <w:lang w:val="en-US"/>
              </w:rPr>
              <w:t>8.2</w:t>
            </w:r>
            <w:r>
              <w:rPr>
                <w:rFonts w:asciiTheme="minorHAnsi" w:eastAsiaTheme="minorEastAsia" w:hAnsiTheme="minorHAnsi"/>
                <w:noProof/>
                <w:sz w:val="22"/>
                <w:lang w:val="en-US"/>
              </w:rPr>
              <w:tab/>
            </w:r>
            <w:r w:rsidRPr="00AB7DC0">
              <w:rPr>
                <w:rStyle w:val="Hyperlink"/>
                <w:noProof/>
                <w:lang w:val="en-US"/>
              </w:rPr>
              <w:t>Economic</w:t>
            </w:r>
            <w:r>
              <w:rPr>
                <w:noProof/>
                <w:webHidden/>
              </w:rPr>
              <w:tab/>
            </w:r>
            <w:r>
              <w:rPr>
                <w:noProof/>
                <w:webHidden/>
              </w:rPr>
              <w:fldChar w:fldCharType="begin"/>
            </w:r>
            <w:r>
              <w:rPr>
                <w:noProof/>
                <w:webHidden/>
              </w:rPr>
              <w:instrText xml:space="preserve"> PAGEREF _Toc200051290 \h </w:instrText>
            </w:r>
            <w:r>
              <w:rPr>
                <w:noProof/>
                <w:webHidden/>
              </w:rPr>
            </w:r>
            <w:r>
              <w:rPr>
                <w:noProof/>
                <w:webHidden/>
              </w:rPr>
              <w:fldChar w:fldCharType="separate"/>
            </w:r>
            <w:r>
              <w:rPr>
                <w:noProof/>
                <w:webHidden/>
              </w:rPr>
              <w:t>11</w:t>
            </w:r>
            <w:r>
              <w:rPr>
                <w:noProof/>
                <w:webHidden/>
              </w:rPr>
              <w:fldChar w:fldCharType="end"/>
            </w:r>
          </w:hyperlink>
        </w:p>
        <w:p w14:paraId="012EF378" w14:textId="63F50EF7" w:rsidR="006279E5" w:rsidRDefault="006279E5">
          <w:pPr>
            <w:pStyle w:val="TOC2"/>
            <w:tabs>
              <w:tab w:val="left" w:pos="880"/>
              <w:tab w:val="right" w:leader="dot" w:pos="8630"/>
            </w:tabs>
            <w:rPr>
              <w:rFonts w:asciiTheme="minorHAnsi" w:eastAsiaTheme="minorEastAsia" w:hAnsiTheme="minorHAnsi"/>
              <w:noProof/>
              <w:sz w:val="22"/>
              <w:lang w:val="en-US"/>
            </w:rPr>
          </w:pPr>
          <w:hyperlink w:anchor="_Toc200051291" w:history="1">
            <w:r w:rsidRPr="00AB7DC0">
              <w:rPr>
                <w:rStyle w:val="Hyperlink"/>
                <w:noProof/>
                <w:lang w:val="en-US"/>
              </w:rPr>
              <w:t>8.3</w:t>
            </w:r>
            <w:r>
              <w:rPr>
                <w:rFonts w:asciiTheme="minorHAnsi" w:eastAsiaTheme="minorEastAsia" w:hAnsiTheme="minorHAnsi"/>
                <w:noProof/>
                <w:sz w:val="22"/>
                <w:lang w:val="en-US"/>
              </w:rPr>
              <w:tab/>
            </w:r>
            <w:r w:rsidRPr="00AB7DC0">
              <w:rPr>
                <w:rStyle w:val="Hyperlink"/>
                <w:noProof/>
                <w:lang w:val="en-US"/>
              </w:rPr>
              <w:t>Social</w:t>
            </w:r>
            <w:r>
              <w:rPr>
                <w:noProof/>
                <w:webHidden/>
              </w:rPr>
              <w:tab/>
            </w:r>
            <w:r>
              <w:rPr>
                <w:noProof/>
                <w:webHidden/>
              </w:rPr>
              <w:fldChar w:fldCharType="begin"/>
            </w:r>
            <w:r>
              <w:rPr>
                <w:noProof/>
                <w:webHidden/>
              </w:rPr>
              <w:instrText xml:space="preserve"> PAGEREF _Toc200051291 \h </w:instrText>
            </w:r>
            <w:r>
              <w:rPr>
                <w:noProof/>
                <w:webHidden/>
              </w:rPr>
            </w:r>
            <w:r>
              <w:rPr>
                <w:noProof/>
                <w:webHidden/>
              </w:rPr>
              <w:fldChar w:fldCharType="separate"/>
            </w:r>
            <w:r>
              <w:rPr>
                <w:noProof/>
                <w:webHidden/>
              </w:rPr>
              <w:t>11</w:t>
            </w:r>
            <w:r>
              <w:rPr>
                <w:noProof/>
                <w:webHidden/>
              </w:rPr>
              <w:fldChar w:fldCharType="end"/>
            </w:r>
          </w:hyperlink>
        </w:p>
        <w:p w14:paraId="013EEEBB" w14:textId="54D3D86B" w:rsidR="006279E5" w:rsidRDefault="006279E5">
          <w:pPr>
            <w:pStyle w:val="TOC2"/>
            <w:tabs>
              <w:tab w:val="left" w:pos="880"/>
              <w:tab w:val="right" w:leader="dot" w:pos="8630"/>
            </w:tabs>
            <w:rPr>
              <w:rFonts w:asciiTheme="minorHAnsi" w:eastAsiaTheme="minorEastAsia" w:hAnsiTheme="minorHAnsi"/>
              <w:noProof/>
              <w:sz w:val="22"/>
              <w:lang w:val="en-US"/>
            </w:rPr>
          </w:pPr>
          <w:hyperlink w:anchor="_Toc200051292" w:history="1">
            <w:r w:rsidRPr="00AB7DC0">
              <w:rPr>
                <w:rStyle w:val="Hyperlink"/>
                <w:noProof/>
                <w:lang w:val="en-US"/>
              </w:rPr>
              <w:t>8.4</w:t>
            </w:r>
            <w:r>
              <w:rPr>
                <w:rFonts w:asciiTheme="minorHAnsi" w:eastAsiaTheme="minorEastAsia" w:hAnsiTheme="minorHAnsi"/>
                <w:noProof/>
                <w:sz w:val="22"/>
                <w:lang w:val="en-US"/>
              </w:rPr>
              <w:tab/>
            </w:r>
            <w:r w:rsidRPr="00AB7DC0">
              <w:rPr>
                <w:rStyle w:val="Hyperlink"/>
                <w:noProof/>
                <w:lang w:val="en-US"/>
              </w:rPr>
              <w:t>Technological</w:t>
            </w:r>
            <w:r>
              <w:rPr>
                <w:noProof/>
                <w:webHidden/>
              </w:rPr>
              <w:tab/>
            </w:r>
            <w:r>
              <w:rPr>
                <w:noProof/>
                <w:webHidden/>
              </w:rPr>
              <w:fldChar w:fldCharType="begin"/>
            </w:r>
            <w:r>
              <w:rPr>
                <w:noProof/>
                <w:webHidden/>
              </w:rPr>
              <w:instrText xml:space="preserve"> PAGEREF _Toc200051292 \h </w:instrText>
            </w:r>
            <w:r>
              <w:rPr>
                <w:noProof/>
                <w:webHidden/>
              </w:rPr>
            </w:r>
            <w:r>
              <w:rPr>
                <w:noProof/>
                <w:webHidden/>
              </w:rPr>
              <w:fldChar w:fldCharType="separate"/>
            </w:r>
            <w:r>
              <w:rPr>
                <w:noProof/>
                <w:webHidden/>
              </w:rPr>
              <w:t>11</w:t>
            </w:r>
            <w:r>
              <w:rPr>
                <w:noProof/>
                <w:webHidden/>
              </w:rPr>
              <w:fldChar w:fldCharType="end"/>
            </w:r>
          </w:hyperlink>
        </w:p>
        <w:p w14:paraId="66592EE2" w14:textId="496592CD" w:rsidR="006279E5" w:rsidRDefault="006279E5">
          <w:pPr>
            <w:pStyle w:val="TOC2"/>
            <w:tabs>
              <w:tab w:val="left" w:pos="880"/>
              <w:tab w:val="right" w:leader="dot" w:pos="8630"/>
            </w:tabs>
            <w:rPr>
              <w:rFonts w:asciiTheme="minorHAnsi" w:eastAsiaTheme="minorEastAsia" w:hAnsiTheme="minorHAnsi"/>
              <w:noProof/>
              <w:sz w:val="22"/>
              <w:lang w:val="en-US"/>
            </w:rPr>
          </w:pPr>
          <w:hyperlink w:anchor="_Toc200051293" w:history="1">
            <w:r w:rsidRPr="00AB7DC0">
              <w:rPr>
                <w:rStyle w:val="Hyperlink"/>
                <w:noProof/>
                <w:lang w:val="en-US"/>
              </w:rPr>
              <w:t>8.5</w:t>
            </w:r>
            <w:r>
              <w:rPr>
                <w:rFonts w:asciiTheme="minorHAnsi" w:eastAsiaTheme="minorEastAsia" w:hAnsiTheme="minorHAnsi"/>
                <w:noProof/>
                <w:sz w:val="22"/>
                <w:lang w:val="en-US"/>
              </w:rPr>
              <w:tab/>
            </w:r>
            <w:r w:rsidRPr="00AB7DC0">
              <w:rPr>
                <w:rStyle w:val="Hyperlink"/>
                <w:noProof/>
                <w:lang w:val="en-US"/>
              </w:rPr>
              <w:t>Environmental</w:t>
            </w:r>
            <w:r>
              <w:rPr>
                <w:noProof/>
                <w:webHidden/>
              </w:rPr>
              <w:tab/>
            </w:r>
            <w:r>
              <w:rPr>
                <w:noProof/>
                <w:webHidden/>
              </w:rPr>
              <w:fldChar w:fldCharType="begin"/>
            </w:r>
            <w:r>
              <w:rPr>
                <w:noProof/>
                <w:webHidden/>
              </w:rPr>
              <w:instrText xml:space="preserve"> PAGEREF _Toc200051293 \h </w:instrText>
            </w:r>
            <w:r>
              <w:rPr>
                <w:noProof/>
                <w:webHidden/>
              </w:rPr>
            </w:r>
            <w:r>
              <w:rPr>
                <w:noProof/>
                <w:webHidden/>
              </w:rPr>
              <w:fldChar w:fldCharType="separate"/>
            </w:r>
            <w:r>
              <w:rPr>
                <w:noProof/>
                <w:webHidden/>
              </w:rPr>
              <w:t>12</w:t>
            </w:r>
            <w:r>
              <w:rPr>
                <w:noProof/>
                <w:webHidden/>
              </w:rPr>
              <w:fldChar w:fldCharType="end"/>
            </w:r>
          </w:hyperlink>
        </w:p>
        <w:p w14:paraId="06688D3A" w14:textId="0237188D" w:rsidR="006279E5" w:rsidRDefault="006279E5">
          <w:pPr>
            <w:pStyle w:val="TOC2"/>
            <w:tabs>
              <w:tab w:val="left" w:pos="880"/>
              <w:tab w:val="right" w:leader="dot" w:pos="8630"/>
            </w:tabs>
            <w:rPr>
              <w:rFonts w:asciiTheme="minorHAnsi" w:eastAsiaTheme="minorEastAsia" w:hAnsiTheme="minorHAnsi"/>
              <w:noProof/>
              <w:sz w:val="22"/>
              <w:lang w:val="en-US"/>
            </w:rPr>
          </w:pPr>
          <w:hyperlink w:anchor="_Toc200051294" w:history="1">
            <w:r w:rsidRPr="00AB7DC0">
              <w:rPr>
                <w:rStyle w:val="Hyperlink"/>
                <w:noProof/>
                <w:lang w:val="en-US"/>
              </w:rPr>
              <w:t>8.6</w:t>
            </w:r>
            <w:r>
              <w:rPr>
                <w:rFonts w:asciiTheme="minorHAnsi" w:eastAsiaTheme="minorEastAsia" w:hAnsiTheme="minorHAnsi"/>
                <w:noProof/>
                <w:sz w:val="22"/>
                <w:lang w:val="en-US"/>
              </w:rPr>
              <w:tab/>
            </w:r>
            <w:r w:rsidRPr="00AB7DC0">
              <w:rPr>
                <w:rStyle w:val="Hyperlink"/>
                <w:noProof/>
                <w:lang w:val="en-US"/>
              </w:rPr>
              <w:t>Legal</w:t>
            </w:r>
            <w:r>
              <w:rPr>
                <w:noProof/>
                <w:webHidden/>
              </w:rPr>
              <w:tab/>
            </w:r>
            <w:r>
              <w:rPr>
                <w:noProof/>
                <w:webHidden/>
              </w:rPr>
              <w:fldChar w:fldCharType="begin"/>
            </w:r>
            <w:r>
              <w:rPr>
                <w:noProof/>
                <w:webHidden/>
              </w:rPr>
              <w:instrText xml:space="preserve"> PAGEREF _Toc200051294 \h </w:instrText>
            </w:r>
            <w:r>
              <w:rPr>
                <w:noProof/>
                <w:webHidden/>
              </w:rPr>
            </w:r>
            <w:r>
              <w:rPr>
                <w:noProof/>
                <w:webHidden/>
              </w:rPr>
              <w:fldChar w:fldCharType="separate"/>
            </w:r>
            <w:r>
              <w:rPr>
                <w:noProof/>
                <w:webHidden/>
              </w:rPr>
              <w:t>12</w:t>
            </w:r>
            <w:r>
              <w:rPr>
                <w:noProof/>
                <w:webHidden/>
              </w:rPr>
              <w:fldChar w:fldCharType="end"/>
            </w:r>
          </w:hyperlink>
        </w:p>
        <w:p w14:paraId="73FE8B43" w14:textId="414FBA67" w:rsidR="006279E5" w:rsidRDefault="006279E5">
          <w:pPr>
            <w:pStyle w:val="TOC1"/>
            <w:tabs>
              <w:tab w:val="left" w:pos="440"/>
              <w:tab w:val="right" w:leader="dot" w:pos="8630"/>
            </w:tabs>
            <w:rPr>
              <w:rFonts w:asciiTheme="minorHAnsi" w:eastAsiaTheme="minorEastAsia" w:hAnsiTheme="minorHAnsi"/>
              <w:noProof/>
              <w:sz w:val="22"/>
              <w:lang w:val="en-US"/>
            </w:rPr>
          </w:pPr>
          <w:hyperlink w:anchor="_Toc200051295" w:history="1">
            <w:r w:rsidRPr="00AB7DC0">
              <w:rPr>
                <w:rStyle w:val="Hyperlink"/>
                <w:noProof/>
                <w:lang w:val="en-US"/>
              </w:rPr>
              <w:t>9</w:t>
            </w:r>
            <w:r>
              <w:rPr>
                <w:rFonts w:asciiTheme="minorHAnsi" w:eastAsiaTheme="minorEastAsia" w:hAnsiTheme="minorHAnsi"/>
                <w:noProof/>
                <w:sz w:val="22"/>
                <w:lang w:val="en-US"/>
              </w:rPr>
              <w:tab/>
            </w:r>
            <w:r w:rsidRPr="00AB7DC0">
              <w:rPr>
                <w:rStyle w:val="Hyperlink"/>
                <w:noProof/>
              </w:rPr>
              <w:t>Conclusion</w:t>
            </w:r>
            <w:r>
              <w:rPr>
                <w:noProof/>
                <w:webHidden/>
              </w:rPr>
              <w:tab/>
            </w:r>
            <w:r>
              <w:rPr>
                <w:noProof/>
                <w:webHidden/>
              </w:rPr>
              <w:fldChar w:fldCharType="begin"/>
            </w:r>
            <w:r>
              <w:rPr>
                <w:noProof/>
                <w:webHidden/>
              </w:rPr>
              <w:instrText xml:space="preserve"> PAGEREF _Toc200051295 \h </w:instrText>
            </w:r>
            <w:r>
              <w:rPr>
                <w:noProof/>
                <w:webHidden/>
              </w:rPr>
            </w:r>
            <w:r>
              <w:rPr>
                <w:noProof/>
                <w:webHidden/>
              </w:rPr>
              <w:fldChar w:fldCharType="separate"/>
            </w:r>
            <w:r>
              <w:rPr>
                <w:noProof/>
                <w:webHidden/>
              </w:rPr>
              <w:t>12</w:t>
            </w:r>
            <w:r>
              <w:rPr>
                <w:noProof/>
                <w:webHidden/>
              </w:rPr>
              <w:fldChar w:fldCharType="end"/>
            </w:r>
          </w:hyperlink>
        </w:p>
        <w:p w14:paraId="07317517" w14:textId="48A53B4E" w:rsidR="006279E5" w:rsidRDefault="006279E5">
          <w:pPr>
            <w:pStyle w:val="TOC1"/>
            <w:tabs>
              <w:tab w:val="left" w:pos="660"/>
              <w:tab w:val="right" w:leader="dot" w:pos="8630"/>
            </w:tabs>
            <w:rPr>
              <w:rFonts w:asciiTheme="minorHAnsi" w:eastAsiaTheme="minorEastAsia" w:hAnsiTheme="minorHAnsi"/>
              <w:noProof/>
              <w:sz w:val="22"/>
              <w:lang w:val="en-US"/>
            </w:rPr>
          </w:pPr>
          <w:hyperlink w:anchor="_Toc200051296" w:history="1">
            <w:r w:rsidRPr="00AB7DC0">
              <w:rPr>
                <w:rStyle w:val="Hyperlink"/>
                <w:noProof/>
                <w:lang w:val="en-US"/>
              </w:rPr>
              <w:t>10</w:t>
            </w:r>
            <w:r>
              <w:rPr>
                <w:rFonts w:asciiTheme="minorHAnsi" w:eastAsiaTheme="minorEastAsia" w:hAnsiTheme="minorHAnsi"/>
                <w:noProof/>
                <w:sz w:val="22"/>
                <w:lang w:val="en-US"/>
              </w:rPr>
              <w:tab/>
            </w:r>
            <w:r w:rsidRPr="00AB7DC0">
              <w:rPr>
                <w:rStyle w:val="Hyperlink"/>
                <w:noProof/>
                <w:lang w:val="en-US"/>
              </w:rPr>
              <w:t>References</w:t>
            </w:r>
            <w:r>
              <w:rPr>
                <w:noProof/>
                <w:webHidden/>
              </w:rPr>
              <w:tab/>
            </w:r>
            <w:r>
              <w:rPr>
                <w:noProof/>
                <w:webHidden/>
              </w:rPr>
              <w:fldChar w:fldCharType="begin"/>
            </w:r>
            <w:r>
              <w:rPr>
                <w:noProof/>
                <w:webHidden/>
              </w:rPr>
              <w:instrText xml:space="preserve"> PAGEREF _Toc200051296 \h </w:instrText>
            </w:r>
            <w:r>
              <w:rPr>
                <w:noProof/>
                <w:webHidden/>
              </w:rPr>
            </w:r>
            <w:r>
              <w:rPr>
                <w:noProof/>
                <w:webHidden/>
              </w:rPr>
              <w:fldChar w:fldCharType="separate"/>
            </w:r>
            <w:r>
              <w:rPr>
                <w:noProof/>
                <w:webHidden/>
              </w:rPr>
              <w:t>14</w:t>
            </w:r>
            <w:r>
              <w:rPr>
                <w:noProof/>
                <w:webHidden/>
              </w:rPr>
              <w:fldChar w:fldCharType="end"/>
            </w:r>
          </w:hyperlink>
        </w:p>
        <w:p w14:paraId="38683EE9" w14:textId="474610A3" w:rsidR="00AE7FC8" w:rsidRDefault="00AE7FC8">
          <w:r>
            <w:rPr>
              <w:b/>
              <w:bCs/>
              <w:noProof/>
            </w:rPr>
            <w:fldChar w:fldCharType="end"/>
          </w:r>
        </w:p>
      </w:sdtContent>
    </w:sdt>
    <w:p w14:paraId="12424E62" w14:textId="77777777" w:rsidR="00AE7FC8" w:rsidRPr="00AE7FC8" w:rsidRDefault="00AE7FC8" w:rsidP="00AE7FC8">
      <w:pPr>
        <w:spacing w:before="100" w:beforeAutospacing="1" w:after="100" w:afterAutospacing="1" w:line="240" w:lineRule="auto"/>
        <w:rPr>
          <w:rFonts w:eastAsia="Times New Roman" w:cs="Times New Roman"/>
          <w:b/>
          <w:szCs w:val="24"/>
          <w:lang w:val="en-US"/>
        </w:rPr>
      </w:pPr>
    </w:p>
    <w:p w14:paraId="14C5C1FF" w14:textId="77777777" w:rsidR="00AE7FC8" w:rsidRDefault="00AE7FC8" w:rsidP="00AE7FC8">
      <w:pPr>
        <w:rPr>
          <w:rFonts w:cs="Arial"/>
          <w:szCs w:val="32"/>
          <w:lang w:eastAsia="en-GB"/>
        </w:rPr>
      </w:pPr>
      <w:r>
        <w:br w:type="page"/>
      </w:r>
    </w:p>
    <w:p w14:paraId="01B0168D" w14:textId="77777777" w:rsidR="00F64510" w:rsidRPr="00CA5410" w:rsidRDefault="00EE7930" w:rsidP="00CA5410">
      <w:pPr>
        <w:pStyle w:val="Heading1"/>
      </w:pPr>
      <w:bookmarkStart w:id="0" w:name="_Toc200051281"/>
      <w:r w:rsidRPr="00CA5410">
        <w:lastRenderedPageBreak/>
        <w:t>Introduction</w:t>
      </w:r>
      <w:bookmarkEnd w:id="0"/>
    </w:p>
    <w:p w14:paraId="5B5DDA91" w14:textId="52AC848B" w:rsidR="007D675D" w:rsidRDefault="00EE7930" w:rsidP="00CA5410">
      <w:pPr>
        <w:rPr>
          <w:szCs w:val="24"/>
          <w:lang w:val="en-US"/>
        </w:rPr>
      </w:pPr>
      <w:proofErr w:type="spellStart"/>
      <w:r w:rsidRPr="007D675D">
        <w:rPr>
          <w:szCs w:val="24"/>
          <w:lang w:val="en-US"/>
        </w:rPr>
        <w:t>Croeso</w:t>
      </w:r>
      <w:proofErr w:type="spellEnd"/>
      <w:r w:rsidRPr="007D675D">
        <w:rPr>
          <w:szCs w:val="24"/>
          <w:lang w:val="en-US"/>
        </w:rPr>
        <w:t xml:space="preserve"> Connect 2025 is a 3-day event to highlight Welsh hospitality and the nation's place in the global community. The purpose of this event is to reflect "</w:t>
      </w:r>
      <w:proofErr w:type="spellStart"/>
      <w:r w:rsidRPr="007D675D">
        <w:rPr>
          <w:szCs w:val="24"/>
          <w:lang w:val="en-US"/>
        </w:rPr>
        <w:t>Croeso</w:t>
      </w:r>
      <w:proofErr w:type="spellEnd"/>
      <w:r w:rsidRPr="007D675D">
        <w:rPr>
          <w:szCs w:val="24"/>
          <w:lang w:val="en-US"/>
        </w:rPr>
        <w:t>," which means welcome, by having cultural activities, business meetings and educational events together</w:t>
      </w:r>
      <w:r w:rsidR="00B86865">
        <w:rPr>
          <w:szCs w:val="24"/>
          <w:lang w:val="en-US"/>
        </w:rPr>
        <w:t xml:space="preserve"> </w:t>
      </w:r>
      <w:r w:rsidR="00B86865" w:rsidRPr="00F63313">
        <w:rPr>
          <w:szCs w:val="24"/>
          <w:lang w:val="en-US"/>
        </w:rPr>
        <w:t>(</w:t>
      </w:r>
      <w:proofErr w:type="spellStart"/>
      <w:r w:rsidR="00B86865" w:rsidRPr="00F63313">
        <w:rPr>
          <w:szCs w:val="24"/>
          <w:lang w:val="en-US"/>
        </w:rPr>
        <w:t>Zhylenko</w:t>
      </w:r>
      <w:proofErr w:type="spellEnd"/>
      <w:r w:rsidR="00B86865" w:rsidRPr="00F63313">
        <w:rPr>
          <w:szCs w:val="24"/>
          <w:lang w:val="en-US"/>
        </w:rPr>
        <w:t xml:space="preserve"> et al., 2022)</w:t>
      </w:r>
      <w:r w:rsidRPr="007D675D">
        <w:rPr>
          <w:szCs w:val="24"/>
          <w:lang w:val="en-US"/>
        </w:rPr>
        <w:t>. It allows for keynote speeches, cultural activities, exhibitions and networking, which bri</w:t>
      </w:r>
      <w:r w:rsidR="00AE7FC8">
        <w:rPr>
          <w:szCs w:val="24"/>
          <w:lang w:val="en-US"/>
        </w:rPr>
        <w:t>ng together more than 500 delegates</w:t>
      </w:r>
      <w:r w:rsidRPr="007D675D">
        <w:rPr>
          <w:szCs w:val="24"/>
          <w:lang w:val="en-US"/>
        </w:rPr>
        <w:t xml:space="preserve"> from the MICE, cultural diplomacy and business investment fields. The event attracts attention by displaying Welsh culture with original food, music, art and heritage, which makes it a key highlight of Year of </w:t>
      </w:r>
      <w:proofErr w:type="spellStart"/>
      <w:r w:rsidRPr="007D675D">
        <w:rPr>
          <w:szCs w:val="24"/>
          <w:lang w:val="en-US"/>
        </w:rPr>
        <w:t>Croeso</w:t>
      </w:r>
      <w:proofErr w:type="spellEnd"/>
      <w:r w:rsidRPr="007D675D">
        <w:rPr>
          <w:szCs w:val="24"/>
          <w:lang w:val="en-US"/>
        </w:rPr>
        <w:t xml:space="preserve"> 2025</w:t>
      </w:r>
      <w:r w:rsidR="00B86865">
        <w:rPr>
          <w:szCs w:val="24"/>
          <w:lang w:val="en-US"/>
        </w:rPr>
        <w:t xml:space="preserve"> </w:t>
      </w:r>
      <w:r w:rsidR="00B86865" w:rsidRPr="00B86865">
        <w:rPr>
          <w:szCs w:val="24"/>
          <w:lang w:val="en-US"/>
        </w:rPr>
        <w:t>(</w:t>
      </w:r>
      <w:proofErr w:type="spellStart"/>
      <w:r w:rsidR="00B86865" w:rsidRPr="00B86865">
        <w:rPr>
          <w:szCs w:val="24"/>
          <w:lang w:val="en-US"/>
        </w:rPr>
        <w:t>McInch</w:t>
      </w:r>
      <w:proofErr w:type="spellEnd"/>
      <w:r w:rsidR="00B86865" w:rsidRPr="00B86865">
        <w:rPr>
          <w:szCs w:val="24"/>
          <w:lang w:val="en-US"/>
        </w:rPr>
        <w:t xml:space="preserve"> and Fleming, 2022)</w:t>
      </w:r>
      <w:r w:rsidRPr="007D675D">
        <w:rPr>
          <w:szCs w:val="24"/>
          <w:lang w:val="en-US"/>
        </w:rPr>
        <w:t>.</w:t>
      </w:r>
    </w:p>
    <w:p w14:paraId="3A96C11F" w14:textId="77777777" w:rsidR="007D675D" w:rsidRDefault="00EE7930" w:rsidP="00CA5410">
      <w:pPr>
        <w:rPr>
          <w:szCs w:val="24"/>
          <w:lang w:val="en-US"/>
        </w:rPr>
      </w:pPr>
      <w:proofErr w:type="spellStart"/>
      <w:r w:rsidRPr="007D675D">
        <w:rPr>
          <w:szCs w:val="24"/>
          <w:lang w:val="en-US"/>
        </w:rPr>
        <w:t>Croeso</w:t>
      </w:r>
      <w:proofErr w:type="spellEnd"/>
      <w:r w:rsidRPr="007D675D">
        <w:rPr>
          <w:szCs w:val="24"/>
          <w:lang w:val="en-US"/>
        </w:rPr>
        <w:t xml:space="preserve"> Connect 2025 is well-chosen because it directly supports Visit Wales' goals to make Wales more visible internationally and ensure everyone visiting feels included. Because of the growing worldwide interest in events that celebrate culture, this event promotes economic growth and tourism and supports international joint efforts as outlined by the theme "Sense of Place." The event answers stakeholders' requests for improved promotion of Wales' unique culture and hospitality by giving a unique chance to celebrate the region's identity and open new business doors</w:t>
      </w:r>
      <w:r w:rsidR="00F63313" w:rsidRPr="00F63313">
        <w:t xml:space="preserve"> </w:t>
      </w:r>
      <w:r w:rsidR="00F63313" w:rsidRPr="00F63313">
        <w:rPr>
          <w:szCs w:val="24"/>
          <w:lang w:val="en-US"/>
        </w:rPr>
        <w:t>(</w:t>
      </w:r>
      <w:proofErr w:type="spellStart"/>
      <w:r w:rsidR="00F63313" w:rsidRPr="00F63313">
        <w:rPr>
          <w:szCs w:val="24"/>
          <w:lang w:val="en-US"/>
        </w:rPr>
        <w:t>Pyankova</w:t>
      </w:r>
      <w:proofErr w:type="spellEnd"/>
      <w:r w:rsidR="00F63313" w:rsidRPr="00F63313">
        <w:rPr>
          <w:szCs w:val="24"/>
          <w:lang w:val="en-US"/>
        </w:rPr>
        <w:t xml:space="preserve"> et al., 2022)</w:t>
      </w:r>
      <w:r w:rsidRPr="007D675D">
        <w:rPr>
          <w:szCs w:val="24"/>
          <w:lang w:val="en-US"/>
        </w:rPr>
        <w:t>.</w:t>
      </w:r>
    </w:p>
    <w:p w14:paraId="3644B3E0" w14:textId="74CD6D7F" w:rsidR="00444864" w:rsidRDefault="00EE7930" w:rsidP="00CA5410">
      <w:pPr>
        <w:rPr>
          <w:szCs w:val="24"/>
          <w:lang w:val="en-US"/>
        </w:rPr>
      </w:pPr>
      <w:r w:rsidRPr="007D675D">
        <w:rPr>
          <w:szCs w:val="24"/>
          <w:lang w:val="en-US"/>
        </w:rPr>
        <w:t xml:space="preserve">The event will occur at the International Convention Centre (ICC) Wales, inside the Celtic Manor Resort in Newport. This place has modern features and flexible areas that can host meetings, exhibitions and cultural events, all using advanced audio and video tech and environmentally friendly methods. </w:t>
      </w:r>
      <w:r w:rsidR="00444864" w:rsidRPr="00444864">
        <w:rPr>
          <w:szCs w:val="24"/>
          <w:lang w:val="en-US"/>
        </w:rPr>
        <w:t xml:space="preserve">International audiences can easily reach the location since it is not far from Cardiff and Bristol airports and nearby accommodations. </w:t>
      </w:r>
      <w:proofErr w:type="spellStart"/>
      <w:r w:rsidR="00444864" w:rsidRPr="00444864">
        <w:rPr>
          <w:szCs w:val="24"/>
          <w:lang w:val="en-US"/>
        </w:rPr>
        <w:t>Croeso</w:t>
      </w:r>
      <w:proofErr w:type="spellEnd"/>
      <w:r w:rsidR="00444864" w:rsidRPr="00444864">
        <w:rPr>
          <w:szCs w:val="24"/>
          <w:lang w:val="en-US"/>
        </w:rPr>
        <w:t xml:space="preserve"> Connect 2025’s strategy is to raise Wales’s profile internationally, use cultural activities and build teamwork among various </w:t>
      </w:r>
      <w:proofErr w:type="spellStart"/>
      <w:r w:rsidR="00444864" w:rsidRPr="00444864">
        <w:rPr>
          <w:szCs w:val="24"/>
          <w:lang w:val="en-US"/>
        </w:rPr>
        <w:t>organisations</w:t>
      </w:r>
      <w:proofErr w:type="spellEnd"/>
      <w:r w:rsidR="00444864" w:rsidRPr="00444864">
        <w:rPr>
          <w:szCs w:val="24"/>
          <w:lang w:val="en-US"/>
        </w:rPr>
        <w:t xml:space="preserve"> (Fox et al., 2014). This event brings people together to learn about culture as well as to build their professional network which is now popular in the MICE industry and helps the region succeed in its economic and social goals.</w:t>
      </w:r>
    </w:p>
    <w:p w14:paraId="0F8F1BC7" w14:textId="77777777" w:rsidR="00C0201F" w:rsidRDefault="00C0201F" w:rsidP="00C0201F">
      <w:pPr>
        <w:keepNext/>
      </w:pPr>
      <w:r w:rsidRPr="00C0201F">
        <w:rPr>
          <w:noProof/>
          <w:szCs w:val="24"/>
          <w:lang w:val="en-US"/>
        </w:rPr>
        <w:lastRenderedPageBreak/>
        <w:drawing>
          <wp:inline distT="0" distB="0" distL="0" distR="0" wp14:anchorId="47ED86DE" wp14:editId="7E5BCC42">
            <wp:extent cx="5382807" cy="4748057"/>
            <wp:effectExtent l="76200" t="76200" r="142240" b="128905"/>
            <wp:docPr id="16" name="Picture 15">
              <a:extLst xmlns:a="http://schemas.openxmlformats.org/drawingml/2006/main">
                <a:ext uri="{FF2B5EF4-FFF2-40B4-BE49-F238E27FC236}">
                  <a16:creationId xmlns:a16="http://schemas.microsoft.com/office/drawing/2014/main" id="{61F27A0C-841A-DE08-23B5-59BB59900E1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61F27A0C-841A-DE08-23B5-59BB59900E1A}"/>
                        </a:ext>
                      </a:extLst>
                    </pic:cNvPr>
                    <pic:cNvPicPr>
                      <a:picLocks noChangeAspect="1"/>
                    </pic:cNvPicPr>
                  </pic:nvPicPr>
                  <pic:blipFill>
                    <a:blip r:embed="rId8"/>
                    <a:stretch>
                      <a:fillRect/>
                    </a:stretch>
                  </pic:blipFill>
                  <pic:spPr>
                    <a:xfrm>
                      <a:off x="0" y="0"/>
                      <a:ext cx="5382807" cy="47480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EE9E45" w14:textId="6552830F" w:rsidR="00C0201F" w:rsidRDefault="00C0201F" w:rsidP="00C0201F">
      <w:pPr>
        <w:pStyle w:val="Caption"/>
        <w:jc w:val="center"/>
        <w:rPr>
          <w:szCs w:val="24"/>
          <w:lang w:val="en-US"/>
        </w:rPr>
      </w:pPr>
      <w:r>
        <w:t xml:space="preserve">Figure </w:t>
      </w:r>
      <w:r>
        <w:fldChar w:fldCharType="begin"/>
      </w:r>
      <w:r>
        <w:instrText xml:space="preserve"> SEQ Figure \* ARABIC </w:instrText>
      </w:r>
      <w:r>
        <w:fldChar w:fldCharType="separate"/>
      </w:r>
      <w:r>
        <w:rPr>
          <w:noProof/>
        </w:rPr>
        <w:t>1</w:t>
      </w:r>
      <w:r>
        <w:fldChar w:fldCharType="end"/>
      </w:r>
      <w:r>
        <w:t xml:space="preserve"> </w:t>
      </w:r>
      <w:proofErr w:type="spellStart"/>
      <w:r w:rsidRPr="00715D72">
        <w:t>Croeso</w:t>
      </w:r>
      <w:proofErr w:type="spellEnd"/>
      <w:r w:rsidRPr="00715D72">
        <w:t xml:space="preserve"> Connect</w:t>
      </w:r>
    </w:p>
    <w:p w14:paraId="56E68EAF" w14:textId="77777777" w:rsidR="00F64510" w:rsidRPr="00F64510" w:rsidRDefault="00EE7930" w:rsidP="00CA5410">
      <w:pPr>
        <w:pStyle w:val="Heading1"/>
      </w:pPr>
      <w:bookmarkStart w:id="1" w:name="_Toc200051282"/>
      <w:r w:rsidRPr="00F64510">
        <w:t>The Event Cycle</w:t>
      </w:r>
      <w:bookmarkEnd w:id="1"/>
    </w:p>
    <w:p w14:paraId="69C6D1E5" w14:textId="16124062" w:rsidR="00444864" w:rsidRDefault="00444864" w:rsidP="007A2E16">
      <w:pPr>
        <w:rPr>
          <w:szCs w:val="24"/>
          <w:lang w:val="en-US"/>
        </w:rPr>
      </w:pPr>
      <w:r w:rsidRPr="00444864">
        <w:rPr>
          <w:szCs w:val="24"/>
          <w:lang w:val="en-US"/>
        </w:rPr>
        <w:t xml:space="preserve">The EMBOK (Event Management Body of Knowledge) Model covers all elements of event planning in three main phases: Design, Development and Delivery (Bladen, 2012). The Design phase is about developing an idea for the event and clarifying its main goals. During this phase, </w:t>
      </w:r>
      <w:proofErr w:type="spellStart"/>
      <w:r w:rsidRPr="00444864">
        <w:rPr>
          <w:szCs w:val="24"/>
          <w:lang w:val="en-US"/>
        </w:rPr>
        <w:t>Croeso</w:t>
      </w:r>
      <w:proofErr w:type="spellEnd"/>
      <w:r w:rsidRPr="00444864">
        <w:rPr>
          <w:szCs w:val="24"/>
          <w:lang w:val="en-US"/>
        </w:rPr>
        <w:t xml:space="preserve"> Connect 2025 is </w:t>
      </w:r>
      <w:r w:rsidR="00097EA0" w:rsidRPr="00444864">
        <w:rPr>
          <w:szCs w:val="24"/>
          <w:lang w:val="en-US"/>
        </w:rPr>
        <w:t>molded</w:t>
      </w:r>
      <w:r w:rsidRPr="00444864">
        <w:rPr>
          <w:szCs w:val="24"/>
          <w:lang w:val="en-US"/>
        </w:rPr>
        <w:t xml:space="preserve"> to fit the “Year of </w:t>
      </w:r>
      <w:proofErr w:type="spellStart"/>
      <w:r w:rsidRPr="00444864">
        <w:rPr>
          <w:szCs w:val="24"/>
          <w:lang w:val="en-US"/>
        </w:rPr>
        <w:t>Croeso</w:t>
      </w:r>
      <w:proofErr w:type="spellEnd"/>
      <w:r w:rsidRPr="00444864">
        <w:rPr>
          <w:szCs w:val="24"/>
          <w:lang w:val="en-US"/>
        </w:rPr>
        <w:t>” theme, so it includes both Welsh culture and business and tourism possibilities. In the Development stage, the planners arrange the use of ICC Wales, handle important details and team up with Visit Wales and other local groups. The main task of this stage is to carry out the event and ensure that every detail such as food, cultural shows, exhibitions and networking, goes well.</w:t>
      </w:r>
    </w:p>
    <w:p w14:paraId="7884F326" w14:textId="7D246F99" w:rsidR="00444864" w:rsidRDefault="00444864" w:rsidP="007A2E16">
      <w:pPr>
        <w:rPr>
          <w:szCs w:val="24"/>
          <w:lang w:val="en-US"/>
        </w:rPr>
      </w:pPr>
      <w:proofErr w:type="spellStart"/>
      <w:r w:rsidRPr="00444864">
        <w:rPr>
          <w:szCs w:val="24"/>
          <w:lang w:val="en-US"/>
        </w:rPr>
        <w:lastRenderedPageBreak/>
        <w:t>Croeso</w:t>
      </w:r>
      <w:proofErr w:type="spellEnd"/>
      <w:r w:rsidRPr="00444864">
        <w:rPr>
          <w:szCs w:val="24"/>
          <w:lang w:val="en-US"/>
        </w:rPr>
        <w:t xml:space="preserve"> Connect 2025 is different because it merges cultural activities with professional networking which is rarely found at other MICE events. This is made possible by including Welsh cultural activities such as watching choir performances, sampling local dishes and visiting places of historical importance which turns it into more than a business event for delegates. Since the event supports Visit Wales’s objectives, it helps to promote Wales as a place for travel and for doing business. With this approach, </w:t>
      </w:r>
      <w:proofErr w:type="spellStart"/>
      <w:r w:rsidRPr="00444864">
        <w:rPr>
          <w:szCs w:val="24"/>
          <w:lang w:val="en-US"/>
        </w:rPr>
        <w:t>Croeso</w:t>
      </w:r>
      <w:proofErr w:type="spellEnd"/>
      <w:r w:rsidRPr="00444864">
        <w:rPr>
          <w:szCs w:val="24"/>
          <w:lang w:val="en-US"/>
        </w:rPr>
        <w:t xml:space="preserve"> Connect 2025 offers something unique, highlighting its efforts to help businesses and showcase the great culture of Wales.</w:t>
      </w:r>
    </w:p>
    <w:p w14:paraId="7D797CBA" w14:textId="77777777" w:rsidR="00A96DFD" w:rsidRDefault="006C507E" w:rsidP="00A96DFD">
      <w:pPr>
        <w:keepNext/>
        <w:jc w:val="center"/>
      </w:pPr>
      <w:r w:rsidRPr="006C507E">
        <w:rPr>
          <w:noProof/>
          <w:szCs w:val="24"/>
          <w:lang w:val="en-US"/>
        </w:rPr>
        <w:drawing>
          <wp:inline distT="0" distB="0" distL="0" distR="0" wp14:anchorId="13CBC316" wp14:editId="551E41DC">
            <wp:extent cx="4708944" cy="28949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5559"/>
                    <a:stretch/>
                  </pic:blipFill>
                  <pic:spPr bwMode="auto">
                    <a:xfrm>
                      <a:off x="0" y="0"/>
                      <a:ext cx="4712352" cy="2897060"/>
                    </a:xfrm>
                    <a:prstGeom prst="rect">
                      <a:avLst/>
                    </a:prstGeom>
                    <a:ln>
                      <a:noFill/>
                    </a:ln>
                    <a:extLst>
                      <a:ext uri="{53640926-AAD7-44D8-BBD7-CCE9431645EC}">
                        <a14:shadowObscured xmlns:a14="http://schemas.microsoft.com/office/drawing/2010/main"/>
                      </a:ext>
                    </a:extLst>
                  </pic:spPr>
                </pic:pic>
              </a:graphicData>
            </a:graphic>
          </wp:inline>
        </w:drawing>
      </w:r>
    </w:p>
    <w:p w14:paraId="520E245C" w14:textId="127B58AE" w:rsidR="006C507E" w:rsidRPr="00F64510" w:rsidRDefault="00A96DFD" w:rsidP="00A96DFD">
      <w:pPr>
        <w:pStyle w:val="Caption"/>
        <w:jc w:val="center"/>
        <w:rPr>
          <w:szCs w:val="24"/>
          <w:lang w:val="en-US"/>
        </w:rPr>
      </w:pPr>
      <w:r>
        <w:t xml:space="preserve">Figure </w:t>
      </w:r>
      <w:r>
        <w:fldChar w:fldCharType="begin"/>
      </w:r>
      <w:r>
        <w:instrText xml:space="preserve"> SEQ Figure \* ARABIC </w:instrText>
      </w:r>
      <w:r>
        <w:fldChar w:fldCharType="separate"/>
      </w:r>
      <w:r w:rsidR="00C0201F">
        <w:rPr>
          <w:noProof/>
        </w:rPr>
        <w:t>2</w:t>
      </w:r>
      <w:r>
        <w:fldChar w:fldCharType="end"/>
      </w:r>
      <w:r>
        <w:t>EMBOK Core Values</w:t>
      </w:r>
    </w:p>
    <w:p w14:paraId="5C922239" w14:textId="77777777" w:rsidR="00F64510" w:rsidRPr="00F64510" w:rsidRDefault="00EE7930" w:rsidP="00CA5410">
      <w:pPr>
        <w:pStyle w:val="Heading1"/>
        <w:rPr>
          <w:lang w:val="en-US"/>
        </w:rPr>
      </w:pPr>
      <w:bookmarkStart w:id="2" w:name="_Toc200051283"/>
      <w:r w:rsidRPr="00F64510">
        <w:rPr>
          <w:lang w:val="en-US"/>
        </w:rPr>
        <w:t>Event Concept</w:t>
      </w:r>
      <w:bookmarkEnd w:id="2"/>
    </w:p>
    <w:p w14:paraId="6D37DC4A" w14:textId="4D69A782" w:rsidR="000C7D52" w:rsidRDefault="00444864" w:rsidP="00CA5410">
      <w:pPr>
        <w:rPr>
          <w:szCs w:val="24"/>
          <w:lang w:val="en-US"/>
        </w:rPr>
      </w:pPr>
      <w:r w:rsidRPr="00444864">
        <w:rPr>
          <w:szCs w:val="24"/>
          <w:lang w:val="en-US"/>
        </w:rPr>
        <w:t xml:space="preserve">The event makes sure that delegates learn, grow professionally and enjoy cultural activities for three days. </w:t>
      </w:r>
      <w:r w:rsidR="00EE7930" w:rsidRPr="000C7D52">
        <w:rPr>
          <w:szCs w:val="24"/>
          <w:lang w:val="en-US"/>
        </w:rPr>
        <w:t>The event starts with a welcome reception, where harpists and dancers perform traditional Welsh music to create a culturally lively atmosphere. Influential tourism, culture, and international business speakers will deliver keynotes, and sector-based exhibitions on Welsh arts, crafts, and new businesses will be held</w:t>
      </w:r>
      <w:r w:rsidR="00EE7CC6">
        <w:rPr>
          <w:szCs w:val="24"/>
          <w:lang w:val="en-US"/>
        </w:rPr>
        <w:t xml:space="preserve"> </w:t>
      </w:r>
      <w:r w:rsidR="00EE7CC6" w:rsidRPr="00EE7CC6">
        <w:rPr>
          <w:szCs w:val="24"/>
          <w:lang w:val="en-US"/>
        </w:rPr>
        <w:t>(</w:t>
      </w:r>
      <w:proofErr w:type="spellStart"/>
      <w:r w:rsidR="00EE7CC6" w:rsidRPr="00EE7CC6">
        <w:rPr>
          <w:szCs w:val="24"/>
          <w:lang w:val="en-US"/>
        </w:rPr>
        <w:t>Elshaer</w:t>
      </w:r>
      <w:proofErr w:type="spellEnd"/>
      <w:r w:rsidR="00EE7CC6" w:rsidRPr="00EE7CC6">
        <w:rPr>
          <w:szCs w:val="24"/>
          <w:lang w:val="en-US"/>
        </w:rPr>
        <w:t xml:space="preserve"> and </w:t>
      </w:r>
      <w:proofErr w:type="spellStart"/>
      <w:r w:rsidR="00EE7CC6" w:rsidRPr="00EE7CC6">
        <w:rPr>
          <w:szCs w:val="24"/>
          <w:lang w:val="en-US"/>
        </w:rPr>
        <w:t>Marzouk</w:t>
      </w:r>
      <w:proofErr w:type="spellEnd"/>
      <w:r w:rsidR="00EE7CC6" w:rsidRPr="00EE7CC6">
        <w:rPr>
          <w:szCs w:val="24"/>
          <w:lang w:val="en-US"/>
        </w:rPr>
        <w:t>, 2019)</w:t>
      </w:r>
      <w:r w:rsidR="00EE7930" w:rsidRPr="000C7D52">
        <w:rPr>
          <w:szCs w:val="24"/>
          <w:lang w:val="en-US"/>
        </w:rPr>
        <w:t xml:space="preserve">. Delegates can participate in workshops related to cultural tourism development, making events more sustainable and teaming up with other countries in business. The </w:t>
      </w:r>
      <w:r w:rsidR="006E41FA" w:rsidRPr="000C7D52">
        <w:rPr>
          <w:szCs w:val="24"/>
          <w:lang w:val="en-US"/>
        </w:rPr>
        <w:t>organizers</w:t>
      </w:r>
      <w:r w:rsidR="00EE7930" w:rsidRPr="000C7D52">
        <w:rPr>
          <w:szCs w:val="24"/>
          <w:lang w:val="en-US"/>
        </w:rPr>
        <w:t xml:space="preserve"> will ensure well-planned networking sessions to help people from different backgrounds make valuable connections.</w:t>
      </w:r>
    </w:p>
    <w:p w14:paraId="130AFF31" w14:textId="1D516647" w:rsidR="000C7D52" w:rsidRDefault="00EE7930" w:rsidP="00CA5410">
      <w:pPr>
        <w:rPr>
          <w:szCs w:val="24"/>
          <w:lang w:val="en-US"/>
        </w:rPr>
      </w:pPr>
      <w:r w:rsidRPr="000C7D52">
        <w:rPr>
          <w:szCs w:val="24"/>
          <w:lang w:val="en-US"/>
        </w:rPr>
        <w:t>Catering menus will celebrate Welsh cuisine by including Welsh lamb, different kinds of artisanal cheeses and options for those with plant-based diets, so all guests are included</w:t>
      </w:r>
      <w:r w:rsidR="00B86865">
        <w:rPr>
          <w:szCs w:val="24"/>
          <w:lang w:val="en-US"/>
        </w:rPr>
        <w:t xml:space="preserve"> </w:t>
      </w:r>
      <w:r w:rsidR="00B86865" w:rsidRPr="00B86865">
        <w:rPr>
          <w:szCs w:val="24"/>
          <w:lang w:val="en-US"/>
        </w:rPr>
        <w:t>(Healey, 2023)</w:t>
      </w:r>
      <w:r w:rsidRPr="000C7D52">
        <w:rPr>
          <w:szCs w:val="24"/>
          <w:lang w:val="en-US"/>
        </w:rPr>
        <w:t>. Outside the conference rooms, attendees can go on tours to nearby sites and areas of natural beauty, which help them appreciate Wales' special character. At the venue, a Welsh craft market will sell eco-conscious and locally produced goods to encourage community members and those attending the event to be sustainable</w:t>
      </w:r>
      <w:r w:rsidR="009930BF" w:rsidRPr="009930BF">
        <w:t xml:space="preserve"> </w:t>
      </w:r>
      <w:r w:rsidR="009930BF" w:rsidRPr="009930BF">
        <w:rPr>
          <w:szCs w:val="24"/>
          <w:lang w:val="en-US"/>
        </w:rPr>
        <w:t>(Menon, 2025)</w:t>
      </w:r>
      <w:r w:rsidRPr="000C7D52">
        <w:rPr>
          <w:szCs w:val="24"/>
          <w:lang w:val="en-US"/>
        </w:rPr>
        <w:t>. In the evening, cultural events will offer a relaxed way to chat and enjoy the Welsh language, art and traditions.</w:t>
      </w:r>
    </w:p>
    <w:p w14:paraId="27ECBB77" w14:textId="46D9CBFB" w:rsidR="007D675D" w:rsidRDefault="00EE7930" w:rsidP="00CA5410">
      <w:pPr>
        <w:rPr>
          <w:szCs w:val="24"/>
          <w:lang w:val="en-US"/>
        </w:rPr>
      </w:pPr>
      <w:r w:rsidRPr="000C7D52">
        <w:rPr>
          <w:szCs w:val="24"/>
          <w:lang w:val="en-US"/>
        </w:rPr>
        <w:t xml:space="preserve">This event idea follows the MICE industry trends, which are now more focused on offering immersive and culturally authentic experiences that enrich professional events. </w:t>
      </w:r>
      <w:proofErr w:type="spellStart"/>
      <w:r w:rsidRPr="000C7D52">
        <w:rPr>
          <w:szCs w:val="24"/>
          <w:lang w:val="en-US"/>
        </w:rPr>
        <w:t>Croeso</w:t>
      </w:r>
      <w:proofErr w:type="spellEnd"/>
      <w:r w:rsidRPr="000C7D52">
        <w:rPr>
          <w:szCs w:val="24"/>
          <w:lang w:val="en-US"/>
        </w:rPr>
        <w:t xml:space="preserve"> Connect 2025 satisfies the growing popularity of events that give both business chances and enjoyable cultural moments by including Welsh culture in the food, music, sessions and leisure schedule</w:t>
      </w:r>
      <w:r w:rsidR="00717CE0">
        <w:rPr>
          <w:szCs w:val="24"/>
          <w:lang w:val="en-US"/>
        </w:rPr>
        <w:t xml:space="preserve"> </w:t>
      </w:r>
      <w:r w:rsidR="00717CE0" w:rsidRPr="00AE7FC8">
        <w:rPr>
          <w:szCs w:val="24"/>
          <w:lang w:val="en-US"/>
        </w:rPr>
        <w:t>(Fox et al., 2014)</w:t>
      </w:r>
      <w:r w:rsidRPr="000C7D52">
        <w:rPr>
          <w:szCs w:val="24"/>
          <w:lang w:val="en-US"/>
        </w:rPr>
        <w:t>. This holistic approach means visitors are more satisfied, and Welsh tourism becomes better known for events and cultural attractions.</w:t>
      </w:r>
    </w:p>
    <w:p w14:paraId="2C734143" w14:textId="5D6B601E" w:rsidR="00C0201F" w:rsidRPr="00F64510" w:rsidRDefault="00C0201F" w:rsidP="00CA5410">
      <w:pPr>
        <w:rPr>
          <w:szCs w:val="24"/>
          <w:lang w:val="en-US"/>
        </w:rPr>
      </w:pPr>
      <w:r w:rsidRPr="00C0201F">
        <w:rPr>
          <w:noProof/>
          <w:szCs w:val="24"/>
          <w:lang w:val="en-US"/>
        </w:rPr>
        <w:drawing>
          <wp:inline distT="0" distB="0" distL="0" distR="0" wp14:anchorId="7B53483F" wp14:editId="45078190">
            <wp:extent cx="4948072" cy="4203508"/>
            <wp:effectExtent l="0" t="0" r="5080" b="6985"/>
            <wp:docPr id="13" name="Picture 12">
              <a:extLst xmlns:a="http://schemas.openxmlformats.org/drawingml/2006/main">
                <a:ext uri="{FF2B5EF4-FFF2-40B4-BE49-F238E27FC236}">
                  <a16:creationId xmlns:a16="http://schemas.microsoft.com/office/drawing/2014/main" id="{B15635E4-FF4F-20B0-65BD-A2FBFFD526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B15635E4-FF4F-20B0-65BD-A2FBFFD52660}"/>
                        </a:ext>
                      </a:extLst>
                    </pic:cNvPr>
                    <pic:cNvPicPr>
                      <a:picLocks noChangeAspect="1"/>
                    </pic:cNvPicPr>
                  </pic:nvPicPr>
                  <pic:blipFill>
                    <a:blip r:embed="rId10"/>
                    <a:stretch>
                      <a:fillRect/>
                    </a:stretch>
                  </pic:blipFill>
                  <pic:spPr>
                    <a:xfrm>
                      <a:off x="0" y="0"/>
                      <a:ext cx="4948072" cy="4203508"/>
                    </a:xfrm>
                    <a:prstGeom prst="rect">
                      <a:avLst/>
                    </a:prstGeom>
                  </pic:spPr>
                </pic:pic>
              </a:graphicData>
            </a:graphic>
          </wp:inline>
        </w:drawing>
      </w:r>
    </w:p>
    <w:p w14:paraId="05996A3E" w14:textId="2AAD526E" w:rsidR="007A2E16" w:rsidRPr="007A2E16" w:rsidRDefault="00EE7930" w:rsidP="007A2E16">
      <w:pPr>
        <w:pStyle w:val="Heading1"/>
        <w:rPr>
          <w:lang w:val="en-US"/>
        </w:rPr>
      </w:pPr>
      <w:bookmarkStart w:id="3" w:name="_Toc200051284"/>
      <w:r w:rsidRPr="00F64510">
        <w:rPr>
          <w:lang w:val="en-US"/>
        </w:rPr>
        <w:t>Aim and Objectives of the Meeting/Event</w:t>
      </w:r>
      <w:bookmarkEnd w:id="3"/>
    </w:p>
    <w:p w14:paraId="37081732" w14:textId="745689BD" w:rsidR="007A2E16" w:rsidRPr="007A2E16" w:rsidRDefault="007A2E16" w:rsidP="007A2E16">
      <w:pPr>
        <w:rPr>
          <w:szCs w:val="24"/>
          <w:lang w:val="en-US"/>
        </w:rPr>
      </w:pPr>
      <w:r w:rsidRPr="007A2E16">
        <w:rPr>
          <w:szCs w:val="24"/>
          <w:lang w:val="en-US"/>
        </w:rPr>
        <w:t xml:space="preserve">The primary aim of </w:t>
      </w:r>
      <w:proofErr w:type="spellStart"/>
      <w:r w:rsidRPr="007A2E16">
        <w:rPr>
          <w:szCs w:val="24"/>
          <w:lang w:val="en-US"/>
        </w:rPr>
        <w:t>Croeso</w:t>
      </w:r>
      <w:proofErr w:type="spellEnd"/>
      <w:r w:rsidRPr="007A2E16">
        <w:rPr>
          <w:szCs w:val="24"/>
          <w:lang w:val="en-US"/>
        </w:rPr>
        <w:t xml:space="preserve"> Connect 2025 is to become the leading international event that connects culture and business, promoting Wales’ hospitality, heritage, and economic potential. Aligned with Visit Wales’ "Year of </w:t>
      </w:r>
      <w:proofErr w:type="spellStart"/>
      <w:r w:rsidRPr="007A2E16">
        <w:rPr>
          <w:szCs w:val="24"/>
          <w:lang w:val="en-US"/>
        </w:rPr>
        <w:t>Croeso</w:t>
      </w:r>
      <w:proofErr w:type="spellEnd"/>
      <w:r w:rsidRPr="007A2E16">
        <w:rPr>
          <w:szCs w:val="24"/>
          <w:lang w:val="en-US"/>
        </w:rPr>
        <w:t xml:space="preserve">" initiative, the event aims to position Wales as a prominent destination for MICE (Meetings, Incentives, Conferences, and Exhibitions) events while fostering meaningful cross-sector relationships. By blending cultural celebration with professional networking, the event will strengthen Wales' global visibility and enhance its economic, </w:t>
      </w:r>
      <w:r>
        <w:rPr>
          <w:szCs w:val="24"/>
          <w:lang w:val="en-US"/>
        </w:rPr>
        <w:t>social, and cultural landscape.</w:t>
      </w:r>
      <w:r w:rsidR="00116309">
        <w:rPr>
          <w:szCs w:val="24"/>
          <w:lang w:val="en-US"/>
        </w:rPr>
        <w:t xml:space="preserve"> </w:t>
      </w:r>
      <w:r w:rsidRPr="007A2E16">
        <w:rPr>
          <w:szCs w:val="24"/>
          <w:lang w:val="en-US"/>
        </w:rPr>
        <w:t xml:space="preserve">To achieve this aim, the event will work towards </w:t>
      </w:r>
      <w:r>
        <w:rPr>
          <w:szCs w:val="24"/>
          <w:lang w:val="en-US"/>
        </w:rPr>
        <w:t>the following SMART objectives:</w:t>
      </w:r>
    </w:p>
    <w:p w14:paraId="4C6EAF08" w14:textId="01276C3D" w:rsidR="007A2E16" w:rsidRPr="007A2E16" w:rsidRDefault="006C507E" w:rsidP="007A2E16">
      <w:pPr>
        <w:rPr>
          <w:szCs w:val="24"/>
          <w:lang w:val="en-US"/>
        </w:rPr>
      </w:pPr>
      <w:r w:rsidRPr="006C507E">
        <w:rPr>
          <w:b/>
          <w:szCs w:val="24"/>
          <w:lang w:val="en-US"/>
        </w:rPr>
        <w:t>Specific:</w:t>
      </w:r>
      <w:r>
        <w:rPr>
          <w:szCs w:val="24"/>
          <w:lang w:val="en-US"/>
        </w:rPr>
        <w:t xml:space="preserve"> </w:t>
      </w:r>
      <w:r w:rsidR="007A2E16" w:rsidRPr="007A2E16">
        <w:rPr>
          <w:szCs w:val="24"/>
          <w:lang w:val="en-US"/>
        </w:rPr>
        <w:t>Attract more than 500 international delegates, primarily from the tourism, culture, education, and business investment sectors, by targeting global MICE professionals.</w:t>
      </w:r>
    </w:p>
    <w:p w14:paraId="3735E7E0" w14:textId="6C0CCD2C" w:rsidR="007A2E16" w:rsidRPr="007A2E16" w:rsidRDefault="007A2E16" w:rsidP="007A2E16">
      <w:pPr>
        <w:rPr>
          <w:szCs w:val="24"/>
          <w:lang w:val="en-US"/>
        </w:rPr>
      </w:pPr>
      <w:r w:rsidRPr="006C507E">
        <w:rPr>
          <w:b/>
          <w:szCs w:val="24"/>
          <w:lang w:val="en-US"/>
        </w:rPr>
        <w:t>Measurable:</w:t>
      </w:r>
      <w:r w:rsidRPr="007A2E16">
        <w:rPr>
          <w:szCs w:val="24"/>
          <w:lang w:val="en-US"/>
        </w:rPr>
        <w:t xml:space="preserve"> Generate a minimum of £200,000 in revenue through delegate fees, sponsorships, exhibitor contributions, and government support to e</w:t>
      </w:r>
      <w:r>
        <w:rPr>
          <w:szCs w:val="24"/>
          <w:lang w:val="en-US"/>
        </w:rPr>
        <w:t>nsure financial sustainability</w:t>
      </w:r>
      <w:r w:rsidR="00B86865">
        <w:rPr>
          <w:szCs w:val="24"/>
          <w:lang w:val="en-US"/>
        </w:rPr>
        <w:t xml:space="preserve"> </w:t>
      </w:r>
      <w:r w:rsidR="00B86865" w:rsidRPr="00B86865">
        <w:rPr>
          <w:szCs w:val="24"/>
          <w:lang w:val="en-US"/>
        </w:rPr>
        <w:t>(</w:t>
      </w:r>
      <w:proofErr w:type="spellStart"/>
      <w:r w:rsidR="00B86865" w:rsidRPr="00B86865">
        <w:rPr>
          <w:szCs w:val="24"/>
          <w:lang w:val="en-US"/>
        </w:rPr>
        <w:t>Croke</w:t>
      </w:r>
      <w:proofErr w:type="spellEnd"/>
      <w:r w:rsidR="00B86865" w:rsidRPr="00B86865">
        <w:rPr>
          <w:szCs w:val="24"/>
          <w:lang w:val="en-US"/>
        </w:rPr>
        <w:t xml:space="preserve"> et al., 2021)</w:t>
      </w:r>
      <w:r>
        <w:rPr>
          <w:szCs w:val="24"/>
          <w:lang w:val="en-US"/>
        </w:rPr>
        <w:t>.</w:t>
      </w:r>
    </w:p>
    <w:p w14:paraId="59CE8EE3" w14:textId="2F194E4D" w:rsidR="007A2E16" w:rsidRPr="007A2E16" w:rsidRDefault="007A2E16" w:rsidP="007A2E16">
      <w:pPr>
        <w:rPr>
          <w:szCs w:val="24"/>
          <w:lang w:val="en-US"/>
        </w:rPr>
      </w:pPr>
      <w:r w:rsidRPr="006C507E">
        <w:rPr>
          <w:b/>
          <w:szCs w:val="24"/>
          <w:lang w:val="en-US"/>
        </w:rPr>
        <w:t>Achievable:</w:t>
      </w:r>
      <w:r w:rsidRPr="007A2E16">
        <w:rPr>
          <w:szCs w:val="24"/>
          <w:lang w:val="en-US"/>
        </w:rPr>
        <w:t xml:space="preserve"> Gather participant feedback post-event to evaluate their understanding and appreciation of Welsh culture, aiming for a satisfaction rate of at least 80%, ensuring that the event meets its cultural and experi</w:t>
      </w:r>
      <w:r>
        <w:rPr>
          <w:szCs w:val="24"/>
          <w:lang w:val="en-US"/>
        </w:rPr>
        <w:t>ential goals</w:t>
      </w:r>
      <w:r w:rsidR="008160CF">
        <w:rPr>
          <w:szCs w:val="24"/>
          <w:lang w:val="en-US"/>
        </w:rPr>
        <w:t xml:space="preserve"> </w:t>
      </w:r>
      <w:r w:rsidR="008160CF" w:rsidRPr="008160CF">
        <w:rPr>
          <w:szCs w:val="24"/>
          <w:lang w:val="en-US"/>
        </w:rPr>
        <w:t>(Evans and Williams, 2024)</w:t>
      </w:r>
      <w:r>
        <w:rPr>
          <w:szCs w:val="24"/>
          <w:lang w:val="en-US"/>
        </w:rPr>
        <w:t>.</w:t>
      </w:r>
    </w:p>
    <w:p w14:paraId="15A1389C" w14:textId="77777777" w:rsidR="00F64510" w:rsidRPr="00F64510" w:rsidRDefault="00EE7930" w:rsidP="00CA5410">
      <w:pPr>
        <w:pStyle w:val="Heading1"/>
        <w:rPr>
          <w:lang w:val="en-US"/>
        </w:rPr>
      </w:pPr>
      <w:bookmarkStart w:id="4" w:name="_Toc200051285"/>
      <w:r w:rsidRPr="00F64510">
        <w:rPr>
          <w:lang w:val="en-US"/>
        </w:rPr>
        <w:t>Event Management</w:t>
      </w:r>
      <w:bookmarkEnd w:id="4"/>
    </w:p>
    <w:p w14:paraId="65057044" w14:textId="7EB4097C" w:rsidR="000C7D52" w:rsidRPr="000C7D52" w:rsidRDefault="009474FC" w:rsidP="000C7D52">
      <w:pPr>
        <w:rPr>
          <w:szCs w:val="24"/>
          <w:lang w:val="en-US"/>
        </w:rPr>
      </w:pPr>
      <w:r w:rsidRPr="009474FC">
        <w:rPr>
          <w:szCs w:val="24"/>
          <w:lang w:val="en-US"/>
        </w:rPr>
        <w:t xml:space="preserve">Successful delivery of </w:t>
      </w:r>
      <w:proofErr w:type="spellStart"/>
      <w:r w:rsidRPr="009474FC">
        <w:rPr>
          <w:szCs w:val="24"/>
          <w:lang w:val="en-US"/>
        </w:rPr>
        <w:t>Croeso</w:t>
      </w:r>
      <w:proofErr w:type="spellEnd"/>
      <w:r w:rsidRPr="009474FC">
        <w:rPr>
          <w:szCs w:val="24"/>
          <w:lang w:val="en-US"/>
        </w:rPr>
        <w:t xml:space="preserve"> Connect 2025 will require a team with diverse skills, including expert event planners capable of man</w:t>
      </w:r>
      <w:r>
        <w:rPr>
          <w:szCs w:val="24"/>
          <w:lang w:val="en-US"/>
        </w:rPr>
        <w:t xml:space="preserve">aging all aspects of the event. </w:t>
      </w:r>
      <w:r w:rsidR="00EE7930" w:rsidRPr="000C7D52">
        <w:rPr>
          <w:szCs w:val="24"/>
          <w:lang w:val="en-US"/>
        </w:rPr>
        <w:t>Smooth communication and cultural exchanges depend on having cultural liaisons and multilingual staff. Technical staff will be responsible for the equipment and stage layout and provide simultaneous translation so events are presented flawlessly</w:t>
      </w:r>
      <w:r w:rsidR="00717CE0" w:rsidRPr="00717CE0">
        <w:t xml:space="preserve"> </w:t>
      </w:r>
      <w:r w:rsidR="00717CE0" w:rsidRPr="00717CE0">
        <w:rPr>
          <w:szCs w:val="24"/>
          <w:lang w:val="en-US"/>
        </w:rPr>
        <w:t>(Kumar, 2021)</w:t>
      </w:r>
      <w:r>
        <w:t xml:space="preserve">. </w:t>
      </w:r>
      <w:r w:rsidR="00EE7930" w:rsidRPr="000C7D52">
        <w:rPr>
          <w:szCs w:val="24"/>
          <w:lang w:val="en-US"/>
        </w:rPr>
        <w:t>Experts in hospitality and catering will ensure that all food is served and that it matches guests' dietary needs, focusing on genuine Welsh dishes.</w:t>
      </w:r>
    </w:p>
    <w:p w14:paraId="1CB0D85E" w14:textId="628193FC" w:rsidR="000C7D52" w:rsidRDefault="00EE7930" w:rsidP="000C7D52">
      <w:pPr>
        <w:rPr>
          <w:szCs w:val="24"/>
          <w:lang w:val="en-US"/>
        </w:rPr>
      </w:pPr>
      <w:r w:rsidRPr="000C7D52">
        <w:rPr>
          <w:szCs w:val="24"/>
          <w:lang w:val="en-US"/>
        </w:rPr>
        <w:t>Resource needs involve handling all logistics at ICC Wales, such as arranging rooms, ensuring security, putting up signs, and handling the flow of visitors. The latest technology will be used for keynote talks, exhibitions, and cultural acts</w:t>
      </w:r>
      <w:r w:rsidR="00EE7CC6" w:rsidRPr="00EE7CC6">
        <w:t xml:space="preserve"> </w:t>
      </w:r>
      <w:r w:rsidR="00EE7CC6" w:rsidRPr="00EE7CC6">
        <w:rPr>
          <w:szCs w:val="24"/>
          <w:lang w:val="en-US"/>
        </w:rPr>
        <w:t>(</w:t>
      </w:r>
      <w:proofErr w:type="spellStart"/>
      <w:r w:rsidR="00EE7CC6" w:rsidRPr="00EE7CC6">
        <w:rPr>
          <w:szCs w:val="24"/>
          <w:lang w:val="en-US"/>
        </w:rPr>
        <w:t>Bowdin</w:t>
      </w:r>
      <w:proofErr w:type="spellEnd"/>
      <w:r w:rsidR="00EE7CC6" w:rsidRPr="00EE7CC6">
        <w:rPr>
          <w:szCs w:val="24"/>
          <w:lang w:val="en-US"/>
        </w:rPr>
        <w:t xml:space="preserve"> et al., 2023)</w:t>
      </w:r>
      <w:r w:rsidRPr="000C7D52">
        <w:rPr>
          <w:szCs w:val="24"/>
          <w:lang w:val="en-US"/>
        </w:rPr>
        <w:t>. Proper transportation coordination will make it easy for guests to get to the airport or around the resort, and accommodation choices will make things easy for delegates.</w:t>
      </w:r>
    </w:p>
    <w:p w14:paraId="476944B2" w14:textId="3829BAC6" w:rsidR="000C7D52" w:rsidRPr="000C7D52" w:rsidRDefault="00EE7930" w:rsidP="000C7D52">
      <w:pPr>
        <w:rPr>
          <w:szCs w:val="24"/>
          <w:lang w:val="en-US"/>
        </w:rPr>
      </w:pPr>
      <w:r w:rsidRPr="000C7D52">
        <w:rPr>
          <w:szCs w:val="24"/>
          <w:lang w:val="en-US"/>
        </w:rPr>
        <w:t xml:space="preserve">The team will </w:t>
      </w:r>
      <w:proofErr w:type="spellStart"/>
      <w:r w:rsidRPr="000C7D52">
        <w:rPr>
          <w:szCs w:val="24"/>
          <w:lang w:val="en-US"/>
        </w:rPr>
        <w:t>utilise</w:t>
      </w:r>
      <w:proofErr w:type="spellEnd"/>
      <w:r w:rsidRPr="000C7D52">
        <w:rPr>
          <w:szCs w:val="24"/>
          <w:lang w:val="en-US"/>
        </w:rPr>
        <w:t xml:space="preserve"> platforms like LinkedIn and MICE industry networks to reach the participants the event attracts. Partnerships with Visit Wales, trade </w:t>
      </w:r>
      <w:proofErr w:type="spellStart"/>
      <w:r w:rsidRPr="000C7D52">
        <w:rPr>
          <w:szCs w:val="24"/>
          <w:lang w:val="en-US"/>
        </w:rPr>
        <w:t>organisations</w:t>
      </w:r>
      <w:proofErr w:type="spellEnd"/>
      <w:r w:rsidRPr="000C7D52">
        <w:rPr>
          <w:szCs w:val="24"/>
          <w:lang w:val="en-US"/>
        </w:rPr>
        <w:t xml:space="preserve">, embassies and diplomatic missions will be used to get business </w:t>
      </w:r>
      <w:proofErr w:type="spellStart"/>
      <w:r w:rsidRPr="000C7D52">
        <w:rPr>
          <w:szCs w:val="24"/>
          <w:lang w:val="en-US"/>
        </w:rPr>
        <w:t>organisations</w:t>
      </w:r>
      <w:proofErr w:type="spellEnd"/>
      <w:r w:rsidRPr="000C7D52">
        <w:rPr>
          <w:szCs w:val="24"/>
          <w:lang w:val="en-US"/>
        </w:rPr>
        <w:t xml:space="preserve"> and invite top-level delegates from other countries</w:t>
      </w:r>
      <w:r w:rsidR="00717CE0" w:rsidRPr="00717CE0">
        <w:t xml:space="preserve"> </w:t>
      </w:r>
      <w:r w:rsidR="00717CE0" w:rsidRPr="00717CE0">
        <w:rPr>
          <w:szCs w:val="24"/>
          <w:lang w:val="en-US"/>
        </w:rPr>
        <w:t>(</w:t>
      </w:r>
      <w:proofErr w:type="spellStart"/>
      <w:r w:rsidR="00717CE0" w:rsidRPr="00717CE0">
        <w:rPr>
          <w:szCs w:val="24"/>
          <w:lang w:val="en-US"/>
        </w:rPr>
        <w:t>Refiloe</w:t>
      </w:r>
      <w:proofErr w:type="spellEnd"/>
      <w:r w:rsidR="00717CE0" w:rsidRPr="00717CE0">
        <w:rPr>
          <w:szCs w:val="24"/>
          <w:lang w:val="en-US"/>
        </w:rPr>
        <w:t xml:space="preserve"> Julia </w:t>
      </w:r>
      <w:proofErr w:type="spellStart"/>
      <w:r w:rsidR="00717CE0" w:rsidRPr="00717CE0">
        <w:rPr>
          <w:szCs w:val="24"/>
          <w:lang w:val="en-US"/>
        </w:rPr>
        <w:t>Lekgau</w:t>
      </w:r>
      <w:proofErr w:type="spellEnd"/>
      <w:r w:rsidR="00717CE0" w:rsidRPr="00717CE0">
        <w:rPr>
          <w:szCs w:val="24"/>
          <w:lang w:val="en-US"/>
        </w:rPr>
        <w:t xml:space="preserve"> and </w:t>
      </w:r>
      <w:proofErr w:type="spellStart"/>
      <w:r w:rsidR="00717CE0" w:rsidRPr="00717CE0">
        <w:rPr>
          <w:szCs w:val="24"/>
          <w:lang w:val="en-US"/>
        </w:rPr>
        <w:t>Tembi</w:t>
      </w:r>
      <w:proofErr w:type="spellEnd"/>
      <w:r w:rsidR="00717CE0" w:rsidRPr="00717CE0">
        <w:rPr>
          <w:szCs w:val="24"/>
          <w:lang w:val="en-US"/>
        </w:rPr>
        <w:t xml:space="preserve"> Maloney </w:t>
      </w:r>
      <w:proofErr w:type="spellStart"/>
      <w:r w:rsidR="00717CE0" w:rsidRPr="00717CE0">
        <w:rPr>
          <w:szCs w:val="24"/>
          <w:lang w:val="en-US"/>
        </w:rPr>
        <w:t>Tichaawa</w:t>
      </w:r>
      <w:proofErr w:type="spellEnd"/>
      <w:r w:rsidR="00717CE0" w:rsidRPr="00717CE0">
        <w:rPr>
          <w:szCs w:val="24"/>
          <w:lang w:val="en-US"/>
        </w:rPr>
        <w:t>, 2023)</w:t>
      </w:r>
      <w:r w:rsidRPr="000C7D52">
        <w:rPr>
          <w:szCs w:val="24"/>
          <w:lang w:val="en-US"/>
        </w:rPr>
        <w:t xml:space="preserve">. The efforts will receive support from content that </w:t>
      </w:r>
      <w:proofErr w:type="spellStart"/>
      <w:r w:rsidRPr="000C7D52">
        <w:rPr>
          <w:szCs w:val="24"/>
          <w:lang w:val="en-US"/>
        </w:rPr>
        <w:t>emphasises</w:t>
      </w:r>
      <w:proofErr w:type="spellEnd"/>
      <w:r w:rsidRPr="000C7D52">
        <w:rPr>
          <w:szCs w:val="24"/>
          <w:lang w:val="en-US"/>
        </w:rPr>
        <w:t xml:space="preserve"> the special cultural aspects of the event.</w:t>
      </w:r>
    </w:p>
    <w:p w14:paraId="2C7D437F" w14:textId="77777777" w:rsidR="000C7D52" w:rsidRDefault="00EE7930" w:rsidP="000C7D52">
      <w:pPr>
        <w:rPr>
          <w:szCs w:val="24"/>
          <w:lang w:val="en-US"/>
        </w:rPr>
      </w:pPr>
      <w:r w:rsidRPr="000C7D52">
        <w:rPr>
          <w:szCs w:val="24"/>
          <w:lang w:val="en-US"/>
        </w:rPr>
        <w:t xml:space="preserve">Part of the planning process is carefully </w:t>
      </w:r>
      <w:proofErr w:type="spellStart"/>
      <w:r w:rsidRPr="000C7D52">
        <w:rPr>
          <w:szCs w:val="24"/>
          <w:lang w:val="en-US"/>
        </w:rPr>
        <w:t>organising</w:t>
      </w:r>
      <w:proofErr w:type="spellEnd"/>
      <w:r w:rsidRPr="000C7D52">
        <w:rPr>
          <w:szCs w:val="24"/>
          <w:lang w:val="en-US"/>
        </w:rPr>
        <w:t xml:space="preserve"> sessions, performances, and networking events. A proper risk management plan will outline how to handle health, safety, and issues created by disruptions. Inclusivity will be achieved through accessibility plans, which include supporting people with disabilities, providing clear signs, and helping with language</w:t>
      </w:r>
      <w:r w:rsidR="00AE7FC8">
        <w:rPr>
          <w:szCs w:val="24"/>
          <w:lang w:val="en-US"/>
        </w:rPr>
        <w:t xml:space="preserve"> </w:t>
      </w:r>
      <w:r w:rsidR="00AE7FC8" w:rsidRPr="00AE7FC8">
        <w:rPr>
          <w:szCs w:val="24"/>
          <w:lang w:val="en-US"/>
        </w:rPr>
        <w:t>(Rogers and Wynn-Moylan, 2022)</w:t>
      </w:r>
      <w:r w:rsidRPr="000C7D52">
        <w:rPr>
          <w:szCs w:val="24"/>
          <w:lang w:val="en-US"/>
        </w:rPr>
        <w:t>. Properly coordinating stakeholders will help ensure that Visit Wales, local authorities, sponsors, and cultural partners are aligned and understand each other.</w:t>
      </w:r>
    </w:p>
    <w:p w14:paraId="5C932904" w14:textId="77777777" w:rsidR="007D675D" w:rsidRPr="00F64510" w:rsidRDefault="00EE7930" w:rsidP="00CA5410">
      <w:pPr>
        <w:rPr>
          <w:szCs w:val="24"/>
          <w:lang w:val="en-US"/>
        </w:rPr>
      </w:pPr>
      <w:r w:rsidRPr="000C7D52">
        <w:rPr>
          <w:szCs w:val="24"/>
          <w:lang w:val="en-US"/>
        </w:rPr>
        <w:t>All these elements unite to ensure guests have a smooth, professional, and inspiring event that fits the 2025 strategic objectives. Smoothly working teams ensure that operations run well, the culture is preserved, and the event is enjoyable for everyone.</w:t>
      </w:r>
    </w:p>
    <w:p w14:paraId="14995C0B" w14:textId="77777777" w:rsidR="00F64510" w:rsidRPr="00F64510" w:rsidRDefault="00EE7930" w:rsidP="00CA5410">
      <w:pPr>
        <w:pStyle w:val="Heading1"/>
        <w:rPr>
          <w:lang w:val="en-US"/>
        </w:rPr>
      </w:pPr>
      <w:bookmarkStart w:id="5" w:name="_Toc200051286"/>
      <w:r w:rsidRPr="00F64510">
        <w:rPr>
          <w:lang w:val="en-US"/>
        </w:rPr>
        <w:t>Event Budget</w:t>
      </w:r>
      <w:bookmarkEnd w:id="5"/>
    </w:p>
    <w:p w14:paraId="66FE1178" w14:textId="5ED30376" w:rsidR="009474FC" w:rsidRPr="009474FC" w:rsidRDefault="009474FC" w:rsidP="009474FC">
      <w:pPr>
        <w:rPr>
          <w:szCs w:val="24"/>
          <w:lang w:val="en-US"/>
        </w:rPr>
      </w:pPr>
      <w:r w:rsidRPr="009474FC">
        <w:rPr>
          <w:szCs w:val="24"/>
          <w:lang w:val="en-US"/>
        </w:rPr>
        <w:t xml:space="preserve">The budget for </w:t>
      </w:r>
      <w:proofErr w:type="spellStart"/>
      <w:r w:rsidRPr="009474FC">
        <w:rPr>
          <w:szCs w:val="24"/>
          <w:lang w:val="en-US"/>
        </w:rPr>
        <w:t>Croeso</w:t>
      </w:r>
      <w:proofErr w:type="spellEnd"/>
      <w:r w:rsidRPr="009474FC">
        <w:rPr>
          <w:szCs w:val="24"/>
          <w:lang w:val="en-US"/>
        </w:rPr>
        <w:t xml:space="preserve"> Connect 2025 outlines both income and expenditure streams necessary for the event's success. Income is projected to reach £200,000, primarily from delegate fees (£100,000), sponsorships (£50,000), </w:t>
      </w:r>
      <w:r w:rsidR="00C0201F" w:rsidRPr="009474FC">
        <w:rPr>
          <w:szCs w:val="24"/>
          <w:lang w:val="en-US"/>
        </w:rPr>
        <w:t>and a</w:t>
      </w:r>
      <w:r w:rsidRPr="009474FC">
        <w:rPr>
          <w:szCs w:val="24"/>
          <w:lang w:val="en-US"/>
        </w:rPr>
        <w:t xml:space="preserve"> grant from Visit Wales (£30,000), and exhibitor fees (£20,000). These income sources are strategically diversified to ensure financial stability.</w:t>
      </w:r>
    </w:p>
    <w:p w14:paraId="78DF3733" w14:textId="4D522F78" w:rsidR="007D675D" w:rsidRDefault="009474FC" w:rsidP="009474FC">
      <w:pPr>
        <w:rPr>
          <w:szCs w:val="24"/>
          <w:lang w:val="en-US"/>
        </w:rPr>
      </w:pPr>
      <w:r w:rsidRPr="009474FC">
        <w:rPr>
          <w:szCs w:val="24"/>
          <w:lang w:val="en-US"/>
        </w:rPr>
        <w:t>On the expenditure side, £160,000 is allocated across several key categories. The largest cost is venue hire and equipment at ICC Wales (£60,000), which provides state-of-the-art facilities for the event. Catering, with a focus on traditional Welsh meals, is budgeted at £30,000, ensuring delegates’ dietary needs are met. Staffing costs (£25,000) cover event planners, technical experts, and hospitality staff. Marketing and public relations efforts are allocated £20,000 to attract a global audience. Transport and miscellaneous expenses are planned at £15,000 and £10,000, respectively. Contingency planning ensures flexibility to manage unforeseen costs or additional sponsorships</w:t>
      </w:r>
      <w:r w:rsidR="00C0201F">
        <w:rPr>
          <w:szCs w:val="24"/>
          <w:lang w:val="en-US"/>
        </w:rPr>
        <w:t xml:space="preserve"> </w:t>
      </w:r>
      <w:r w:rsidR="00C0201F" w:rsidRPr="00C0201F">
        <w:rPr>
          <w:szCs w:val="24"/>
          <w:lang w:val="en-US"/>
        </w:rPr>
        <w:t>(</w:t>
      </w:r>
      <w:proofErr w:type="spellStart"/>
      <w:r w:rsidR="00C0201F" w:rsidRPr="00C0201F">
        <w:rPr>
          <w:szCs w:val="24"/>
          <w:lang w:val="en-US"/>
        </w:rPr>
        <w:t>Consoli</w:t>
      </w:r>
      <w:proofErr w:type="spellEnd"/>
      <w:r w:rsidR="00C0201F" w:rsidRPr="00C0201F">
        <w:rPr>
          <w:szCs w:val="24"/>
          <w:lang w:val="en-US"/>
        </w:rPr>
        <w:t xml:space="preserve"> et al., 2024)</w:t>
      </w:r>
      <w:r w:rsidRPr="009474FC">
        <w:rPr>
          <w:szCs w:val="24"/>
          <w:lang w:val="en-US"/>
        </w:rPr>
        <w:t>.</w:t>
      </w:r>
    </w:p>
    <w:p w14:paraId="2D7C3DDE" w14:textId="2BC48E0B" w:rsidR="009474FC" w:rsidRDefault="009474FC" w:rsidP="009474FC">
      <w:pPr>
        <w:pStyle w:val="Caption"/>
        <w:keepNext/>
      </w:pPr>
      <w:r>
        <w:t xml:space="preserve">Table </w:t>
      </w:r>
      <w:r>
        <w:fldChar w:fldCharType="begin"/>
      </w:r>
      <w:r>
        <w:instrText xml:space="preserve"> SEQ Table \* ARABIC </w:instrText>
      </w:r>
      <w:r>
        <w:fldChar w:fldCharType="separate"/>
      </w:r>
      <w:r w:rsidR="00EE7CC6">
        <w:rPr>
          <w:noProof/>
        </w:rPr>
        <w:t>1</w:t>
      </w:r>
      <w:r>
        <w:fldChar w:fldCharType="end"/>
      </w:r>
      <w:r>
        <w:t xml:space="preserve"> Event Budget</w:t>
      </w:r>
    </w:p>
    <w:tbl>
      <w:tblPr>
        <w:tblStyle w:val="TableGrid"/>
        <w:tblW w:w="5000" w:type="pct"/>
        <w:tblLook w:val="04A0" w:firstRow="1" w:lastRow="0" w:firstColumn="1" w:lastColumn="0" w:noHBand="0" w:noVBand="1"/>
      </w:tblPr>
      <w:tblGrid>
        <w:gridCol w:w="2924"/>
        <w:gridCol w:w="4532"/>
        <w:gridCol w:w="1174"/>
      </w:tblGrid>
      <w:tr w:rsidR="009474FC" w:rsidRPr="009474FC" w14:paraId="416A2403" w14:textId="77777777" w:rsidTr="009474FC">
        <w:tc>
          <w:tcPr>
            <w:tcW w:w="1694" w:type="pct"/>
            <w:hideMark/>
          </w:tcPr>
          <w:p w14:paraId="74242A00" w14:textId="77777777" w:rsidR="009474FC" w:rsidRPr="009474FC" w:rsidRDefault="009474FC" w:rsidP="00444864">
            <w:pPr>
              <w:spacing w:before="0" w:after="0"/>
              <w:jc w:val="center"/>
              <w:rPr>
                <w:rFonts w:eastAsia="Times New Roman" w:cs="Times New Roman"/>
                <w:b/>
                <w:bCs/>
                <w:szCs w:val="24"/>
                <w:lang w:val="en-US"/>
              </w:rPr>
            </w:pPr>
            <w:r w:rsidRPr="009474FC">
              <w:rPr>
                <w:rFonts w:eastAsia="Times New Roman" w:cs="Times New Roman"/>
                <w:b/>
                <w:bCs/>
                <w:szCs w:val="24"/>
                <w:lang w:val="en-US"/>
              </w:rPr>
              <w:t>Category</w:t>
            </w:r>
          </w:p>
        </w:tc>
        <w:tc>
          <w:tcPr>
            <w:tcW w:w="2626" w:type="pct"/>
            <w:hideMark/>
          </w:tcPr>
          <w:p w14:paraId="2A6C41E7" w14:textId="77777777" w:rsidR="009474FC" w:rsidRPr="009474FC" w:rsidRDefault="009474FC" w:rsidP="00444864">
            <w:pPr>
              <w:spacing w:before="0" w:after="0"/>
              <w:jc w:val="center"/>
              <w:rPr>
                <w:rFonts w:eastAsia="Times New Roman" w:cs="Times New Roman"/>
                <w:b/>
                <w:bCs/>
                <w:szCs w:val="24"/>
                <w:lang w:val="en-US"/>
              </w:rPr>
            </w:pPr>
            <w:r w:rsidRPr="009474FC">
              <w:rPr>
                <w:rFonts w:eastAsia="Times New Roman" w:cs="Times New Roman"/>
                <w:b/>
                <w:bCs/>
                <w:szCs w:val="24"/>
                <w:lang w:val="en-US"/>
              </w:rPr>
              <w:t>Details</w:t>
            </w:r>
          </w:p>
        </w:tc>
        <w:tc>
          <w:tcPr>
            <w:tcW w:w="680" w:type="pct"/>
            <w:hideMark/>
          </w:tcPr>
          <w:p w14:paraId="16291728" w14:textId="77777777" w:rsidR="009474FC" w:rsidRPr="009474FC" w:rsidRDefault="009474FC" w:rsidP="00444864">
            <w:pPr>
              <w:spacing w:before="0" w:after="0"/>
              <w:jc w:val="center"/>
              <w:rPr>
                <w:rFonts w:eastAsia="Times New Roman" w:cs="Times New Roman"/>
                <w:b/>
                <w:bCs/>
                <w:szCs w:val="24"/>
                <w:lang w:val="en-US"/>
              </w:rPr>
            </w:pPr>
            <w:r w:rsidRPr="009474FC">
              <w:rPr>
                <w:rFonts w:eastAsia="Times New Roman" w:cs="Times New Roman"/>
                <w:b/>
                <w:bCs/>
                <w:szCs w:val="24"/>
                <w:lang w:val="en-US"/>
              </w:rPr>
              <w:t>Amount (£)</w:t>
            </w:r>
          </w:p>
        </w:tc>
      </w:tr>
      <w:tr w:rsidR="009474FC" w:rsidRPr="009474FC" w14:paraId="774701AF" w14:textId="77777777" w:rsidTr="009474FC">
        <w:tc>
          <w:tcPr>
            <w:tcW w:w="5000" w:type="pct"/>
            <w:gridSpan w:val="3"/>
            <w:hideMark/>
          </w:tcPr>
          <w:p w14:paraId="3C933AE4" w14:textId="23BDC0E7" w:rsidR="009474FC" w:rsidRPr="009474FC" w:rsidRDefault="009474FC" w:rsidP="00444864">
            <w:pPr>
              <w:spacing w:before="0" w:after="0"/>
              <w:jc w:val="center"/>
              <w:rPr>
                <w:rFonts w:eastAsia="Times New Roman" w:cs="Times New Roman"/>
                <w:sz w:val="20"/>
                <w:szCs w:val="20"/>
                <w:lang w:val="en-US"/>
              </w:rPr>
            </w:pPr>
            <w:r w:rsidRPr="009474FC">
              <w:rPr>
                <w:rFonts w:eastAsia="Times New Roman" w:cs="Times New Roman"/>
                <w:b/>
                <w:bCs/>
                <w:szCs w:val="24"/>
                <w:lang w:val="en-US"/>
              </w:rPr>
              <w:t>Income Sources</w:t>
            </w:r>
          </w:p>
        </w:tc>
      </w:tr>
      <w:tr w:rsidR="009474FC" w:rsidRPr="009474FC" w14:paraId="6B00C1A2" w14:textId="77777777" w:rsidTr="009474FC">
        <w:tc>
          <w:tcPr>
            <w:tcW w:w="1694" w:type="pct"/>
            <w:hideMark/>
          </w:tcPr>
          <w:p w14:paraId="7A189400"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Delegate Fees (500 delegates x £200)</w:t>
            </w:r>
          </w:p>
        </w:tc>
        <w:tc>
          <w:tcPr>
            <w:tcW w:w="2626" w:type="pct"/>
            <w:hideMark/>
          </w:tcPr>
          <w:p w14:paraId="1BF2C6E7" w14:textId="77777777" w:rsidR="009474FC" w:rsidRPr="009474FC" w:rsidRDefault="009474FC" w:rsidP="00444864">
            <w:pPr>
              <w:spacing w:before="0" w:after="0"/>
              <w:jc w:val="left"/>
              <w:rPr>
                <w:rFonts w:eastAsia="Times New Roman" w:cs="Times New Roman"/>
                <w:szCs w:val="24"/>
                <w:lang w:val="en-US"/>
              </w:rPr>
            </w:pPr>
          </w:p>
        </w:tc>
        <w:tc>
          <w:tcPr>
            <w:tcW w:w="680" w:type="pct"/>
            <w:hideMark/>
          </w:tcPr>
          <w:p w14:paraId="4BC54BFB"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£100,000</w:t>
            </w:r>
          </w:p>
        </w:tc>
      </w:tr>
      <w:tr w:rsidR="009474FC" w:rsidRPr="009474FC" w14:paraId="0A8E23AF" w14:textId="77777777" w:rsidTr="009474FC">
        <w:tc>
          <w:tcPr>
            <w:tcW w:w="1694" w:type="pct"/>
            <w:hideMark/>
          </w:tcPr>
          <w:p w14:paraId="171161CF"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Sponsorship (Cultural and Tourism Fields)</w:t>
            </w:r>
          </w:p>
        </w:tc>
        <w:tc>
          <w:tcPr>
            <w:tcW w:w="2626" w:type="pct"/>
            <w:hideMark/>
          </w:tcPr>
          <w:p w14:paraId="10E202B7"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Partnerships with Visit Wales and companies supporting the event</w:t>
            </w:r>
          </w:p>
        </w:tc>
        <w:tc>
          <w:tcPr>
            <w:tcW w:w="680" w:type="pct"/>
            <w:hideMark/>
          </w:tcPr>
          <w:p w14:paraId="498EE904"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£50,000</w:t>
            </w:r>
          </w:p>
        </w:tc>
      </w:tr>
      <w:tr w:rsidR="009474FC" w:rsidRPr="009474FC" w14:paraId="107C3105" w14:textId="77777777" w:rsidTr="009474FC">
        <w:tc>
          <w:tcPr>
            <w:tcW w:w="1694" w:type="pct"/>
            <w:hideMark/>
          </w:tcPr>
          <w:p w14:paraId="09FBB344"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Visit Wales Grant</w:t>
            </w:r>
          </w:p>
        </w:tc>
        <w:tc>
          <w:tcPr>
            <w:tcW w:w="2626" w:type="pct"/>
            <w:hideMark/>
          </w:tcPr>
          <w:p w14:paraId="1818DE25"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Financial assistance for the event</w:t>
            </w:r>
          </w:p>
        </w:tc>
        <w:tc>
          <w:tcPr>
            <w:tcW w:w="680" w:type="pct"/>
            <w:hideMark/>
          </w:tcPr>
          <w:p w14:paraId="0D0EEBE4"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£30,000</w:t>
            </w:r>
          </w:p>
        </w:tc>
      </w:tr>
      <w:tr w:rsidR="009474FC" w:rsidRPr="009474FC" w14:paraId="7422C4DC" w14:textId="77777777" w:rsidTr="009474FC">
        <w:tc>
          <w:tcPr>
            <w:tcW w:w="1694" w:type="pct"/>
            <w:hideMark/>
          </w:tcPr>
          <w:p w14:paraId="07714039"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Exhibitor Fees</w:t>
            </w:r>
          </w:p>
        </w:tc>
        <w:tc>
          <w:tcPr>
            <w:tcW w:w="2626" w:type="pct"/>
            <w:hideMark/>
          </w:tcPr>
          <w:p w14:paraId="1EB96F0D"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Fees from local and international businesses</w:t>
            </w:r>
          </w:p>
        </w:tc>
        <w:tc>
          <w:tcPr>
            <w:tcW w:w="680" w:type="pct"/>
            <w:hideMark/>
          </w:tcPr>
          <w:p w14:paraId="4AE5FCDF"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£20,000</w:t>
            </w:r>
          </w:p>
        </w:tc>
      </w:tr>
      <w:tr w:rsidR="009474FC" w:rsidRPr="009474FC" w14:paraId="23119F4A" w14:textId="77777777" w:rsidTr="009474FC">
        <w:tc>
          <w:tcPr>
            <w:tcW w:w="1694" w:type="pct"/>
            <w:hideMark/>
          </w:tcPr>
          <w:p w14:paraId="74E7218E"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b/>
                <w:bCs/>
                <w:szCs w:val="24"/>
                <w:lang w:val="en-US"/>
              </w:rPr>
              <w:t>Total Income</w:t>
            </w:r>
          </w:p>
        </w:tc>
        <w:tc>
          <w:tcPr>
            <w:tcW w:w="2626" w:type="pct"/>
            <w:hideMark/>
          </w:tcPr>
          <w:p w14:paraId="61FF4BAE" w14:textId="77777777" w:rsidR="009474FC" w:rsidRPr="009474FC" w:rsidRDefault="009474FC" w:rsidP="00444864">
            <w:pPr>
              <w:spacing w:before="0" w:after="0"/>
              <w:jc w:val="left"/>
              <w:rPr>
                <w:rFonts w:eastAsia="Times New Roman" w:cs="Times New Roman"/>
                <w:szCs w:val="24"/>
                <w:lang w:val="en-US"/>
              </w:rPr>
            </w:pPr>
          </w:p>
        </w:tc>
        <w:tc>
          <w:tcPr>
            <w:tcW w:w="680" w:type="pct"/>
            <w:hideMark/>
          </w:tcPr>
          <w:p w14:paraId="1A073F3C"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b/>
                <w:bCs/>
                <w:szCs w:val="24"/>
                <w:lang w:val="en-US"/>
              </w:rPr>
              <w:t>£200,000</w:t>
            </w:r>
          </w:p>
        </w:tc>
      </w:tr>
      <w:tr w:rsidR="009474FC" w:rsidRPr="009474FC" w14:paraId="5E723116" w14:textId="77777777" w:rsidTr="009474FC">
        <w:tc>
          <w:tcPr>
            <w:tcW w:w="5000" w:type="pct"/>
            <w:gridSpan w:val="3"/>
            <w:hideMark/>
          </w:tcPr>
          <w:p w14:paraId="23DFDEC7" w14:textId="5B254A3A" w:rsidR="009474FC" w:rsidRPr="009474FC" w:rsidRDefault="009474FC" w:rsidP="00444864">
            <w:pPr>
              <w:spacing w:before="0" w:after="0"/>
              <w:jc w:val="center"/>
              <w:rPr>
                <w:rFonts w:eastAsia="Times New Roman" w:cs="Times New Roman"/>
                <w:sz w:val="20"/>
                <w:szCs w:val="20"/>
                <w:lang w:val="en-US"/>
              </w:rPr>
            </w:pPr>
            <w:r w:rsidRPr="009474FC">
              <w:rPr>
                <w:rFonts w:eastAsia="Times New Roman" w:cs="Times New Roman"/>
                <w:b/>
                <w:bCs/>
                <w:szCs w:val="24"/>
                <w:lang w:val="en-US"/>
              </w:rPr>
              <w:t>Expenditure Categories</w:t>
            </w:r>
          </w:p>
        </w:tc>
      </w:tr>
      <w:tr w:rsidR="009474FC" w:rsidRPr="009474FC" w14:paraId="54E208BA" w14:textId="77777777" w:rsidTr="009474FC">
        <w:tc>
          <w:tcPr>
            <w:tcW w:w="1694" w:type="pct"/>
            <w:hideMark/>
          </w:tcPr>
          <w:p w14:paraId="5DD20D0E"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Venue Hire and Equipment (ICC Wales)</w:t>
            </w:r>
          </w:p>
        </w:tc>
        <w:tc>
          <w:tcPr>
            <w:tcW w:w="2626" w:type="pct"/>
            <w:hideMark/>
          </w:tcPr>
          <w:p w14:paraId="5E4BB9C9"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High-quality facilities for plenary sessions, exhibitions, and cultural events</w:t>
            </w:r>
          </w:p>
        </w:tc>
        <w:tc>
          <w:tcPr>
            <w:tcW w:w="680" w:type="pct"/>
            <w:hideMark/>
          </w:tcPr>
          <w:p w14:paraId="1A233CD9"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£60,000</w:t>
            </w:r>
          </w:p>
        </w:tc>
      </w:tr>
      <w:tr w:rsidR="009474FC" w:rsidRPr="009474FC" w14:paraId="7D073EF6" w14:textId="77777777" w:rsidTr="009474FC">
        <w:tc>
          <w:tcPr>
            <w:tcW w:w="1694" w:type="pct"/>
            <w:hideMark/>
          </w:tcPr>
          <w:p w14:paraId="7E75B4BD"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Catering (Meals following Welsh traditions)</w:t>
            </w:r>
          </w:p>
        </w:tc>
        <w:tc>
          <w:tcPr>
            <w:tcW w:w="2626" w:type="pct"/>
            <w:hideMark/>
          </w:tcPr>
          <w:p w14:paraId="04A3A974"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Food for delegates with special dietary requirements</w:t>
            </w:r>
          </w:p>
        </w:tc>
        <w:tc>
          <w:tcPr>
            <w:tcW w:w="680" w:type="pct"/>
            <w:hideMark/>
          </w:tcPr>
          <w:p w14:paraId="15A8851C"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£30,000</w:t>
            </w:r>
          </w:p>
        </w:tc>
      </w:tr>
      <w:tr w:rsidR="009474FC" w:rsidRPr="009474FC" w14:paraId="1FF88213" w14:textId="77777777" w:rsidTr="009474FC">
        <w:tc>
          <w:tcPr>
            <w:tcW w:w="1694" w:type="pct"/>
            <w:hideMark/>
          </w:tcPr>
          <w:p w14:paraId="1A0761A0"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Staffing (Event Planners, Tech Experts, Cultural Liaisons, Hospitality Workers)</w:t>
            </w:r>
          </w:p>
        </w:tc>
        <w:tc>
          <w:tcPr>
            <w:tcW w:w="2626" w:type="pct"/>
            <w:hideMark/>
          </w:tcPr>
          <w:p w14:paraId="2838ED26"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Including staff for all operational needs</w:t>
            </w:r>
          </w:p>
        </w:tc>
        <w:tc>
          <w:tcPr>
            <w:tcW w:w="680" w:type="pct"/>
            <w:hideMark/>
          </w:tcPr>
          <w:p w14:paraId="2AEEA339"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£25,000</w:t>
            </w:r>
          </w:p>
        </w:tc>
      </w:tr>
      <w:tr w:rsidR="009474FC" w:rsidRPr="009474FC" w14:paraId="4AC29689" w14:textId="77777777" w:rsidTr="009474FC">
        <w:tc>
          <w:tcPr>
            <w:tcW w:w="1694" w:type="pct"/>
            <w:hideMark/>
          </w:tcPr>
          <w:p w14:paraId="1BA2C781"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Marketing and Public Relations</w:t>
            </w:r>
          </w:p>
        </w:tc>
        <w:tc>
          <w:tcPr>
            <w:tcW w:w="2626" w:type="pct"/>
            <w:hideMark/>
          </w:tcPr>
          <w:p w14:paraId="4ECC66F8"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Digital and targeted PR to attract the desired audience</w:t>
            </w:r>
          </w:p>
        </w:tc>
        <w:tc>
          <w:tcPr>
            <w:tcW w:w="680" w:type="pct"/>
            <w:hideMark/>
          </w:tcPr>
          <w:p w14:paraId="12972066"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£20,000</w:t>
            </w:r>
          </w:p>
        </w:tc>
      </w:tr>
      <w:tr w:rsidR="009474FC" w:rsidRPr="009474FC" w14:paraId="78ED8435" w14:textId="77777777" w:rsidTr="009474FC">
        <w:tc>
          <w:tcPr>
            <w:tcW w:w="1694" w:type="pct"/>
            <w:hideMark/>
          </w:tcPr>
          <w:p w14:paraId="2615E96D"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Transport Support (Airport Transfers, Shuttles)</w:t>
            </w:r>
          </w:p>
        </w:tc>
        <w:tc>
          <w:tcPr>
            <w:tcW w:w="2626" w:type="pct"/>
            <w:hideMark/>
          </w:tcPr>
          <w:p w14:paraId="31A8C467"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Transport arrangements for delegates</w:t>
            </w:r>
          </w:p>
        </w:tc>
        <w:tc>
          <w:tcPr>
            <w:tcW w:w="680" w:type="pct"/>
            <w:hideMark/>
          </w:tcPr>
          <w:p w14:paraId="32837A09"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£15,000</w:t>
            </w:r>
          </w:p>
        </w:tc>
      </w:tr>
      <w:tr w:rsidR="009474FC" w:rsidRPr="009474FC" w14:paraId="494EF9E9" w14:textId="77777777" w:rsidTr="009474FC">
        <w:tc>
          <w:tcPr>
            <w:tcW w:w="1694" w:type="pct"/>
            <w:hideMark/>
          </w:tcPr>
          <w:p w14:paraId="4AF5D665"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Miscellaneous (Unplanned Needs)</w:t>
            </w:r>
          </w:p>
        </w:tc>
        <w:tc>
          <w:tcPr>
            <w:tcW w:w="2626" w:type="pct"/>
            <w:hideMark/>
          </w:tcPr>
          <w:p w14:paraId="542EC552"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Budget reserved for unforeseen expenses</w:t>
            </w:r>
          </w:p>
        </w:tc>
        <w:tc>
          <w:tcPr>
            <w:tcW w:w="680" w:type="pct"/>
            <w:hideMark/>
          </w:tcPr>
          <w:p w14:paraId="2154B275"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£10,000</w:t>
            </w:r>
          </w:p>
        </w:tc>
      </w:tr>
      <w:tr w:rsidR="009474FC" w:rsidRPr="009474FC" w14:paraId="6048B5A3" w14:textId="77777777" w:rsidTr="009474FC">
        <w:tc>
          <w:tcPr>
            <w:tcW w:w="1694" w:type="pct"/>
            <w:hideMark/>
          </w:tcPr>
          <w:p w14:paraId="75D63D74"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b/>
                <w:bCs/>
                <w:szCs w:val="24"/>
                <w:lang w:val="en-US"/>
              </w:rPr>
              <w:t>Total Expenditure</w:t>
            </w:r>
          </w:p>
        </w:tc>
        <w:tc>
          <w:tcPr>
            <w:tcW w:w="2626" w:type="pct"/>
            <w:hideMark/>
          </w:tcPr>
          <w:p w14:paraId="370074DE" w14:textId="77777777" w:rsidR="009474FC" w:rsidRPr="009474FC" w:rsidRDefault="009474FC" w:rsidP="00444864">
            <w:pPr>
              <w:spacing w:before="0" w:after="0"/>
              <w:jc w:val="left"/>
              <w:rPr>
                <w:rFonts w:eastAsia="Times New Roman" w:cs="Times New Roman"/>
                <w:szCs w:val="24"/>
                <w:lang w:val="en-US"/>
              </w:rPr>
            </w:pPr>
          </w:p>
        </w:tc>
        <w:tc>
          <w:tcPr>
            <w:tcW w:w="680" w:type="pct"/>
            <w:hideMark/>
          </w:tcPr>
          <w:p w14:paraId="27902784"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b/>
                <w:bCs/>
                <w:szCs w:val="24"/>
                <w:lang w:val="en-US"/>
              </w:rPr>
              <w:t>£160,000</w:t>
            </w:r>
          </w:p>
        </w:tc>
      </w:tr>
      <w:tr w:rsidR="009474FC" w:rsidRPr="009474FC" w14:paraId="0CE53869" w14:textId="77777777" w:rsidTr="009474FC">
        <w:tc>
          <w:tcPr>
            <w:tcW w:w="1694" w:type="pct"/>
            <w:hideMark/>
          </w:tcPr>
          <w:p w14:paraId="606D2161"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b/>
                <w:bCs/>
                <w:szCs w:val="24"/>
                <w:lang w:val="en-US"/>
              </w:rPr>
              <w:t>Contingency and Risk Management</w:t>
            </w:r>
          </w:p>
        </w:tc>
        <w:tc>
          <w:tcPr>
            <w:tcW w:w="2626" w:type="pct"/>
            <w:hideMark/>
          </w:tcPr>
          <w:p w14:paraId="55A6670B" w14:textId="77777777" w:rsidR="009474FC" w:rsidRPr="009474FC" w:rsidRDefault="009474FC" w:rsidP="00444864">
            <w:pPr>
              <w:spacing w:before="0" w:after="0"/>
              <w:jc w:val="left"/>
              <w:rPr>
                <w:rFonts w:eastAsia="Times New Roman" w:cs="Times New Roman"/>
                <w:szCs w:val="24"/>
                <w:lang w:val="en-US"/>
              </w:rPr>
            </w:pPr>
            <w:r w:rsidRPr="009474FC">
              <w:rPr>
                <w:rFonts w:eastAsia="Times New Roman" w:cs="Times New Roman"/>
                <w:szCs w:val="24"/>
                <w:lang w:val="en-US"/>
              </w:rPr>
              <w:t>Carefully monitored expenses, with additional funds in miscellaneous to handle unforeseen costs. Additional sponsors may be sought if necessary. (Smith, 2012)</w:t>
            </w:r>
          </w:p>
        </w:tc>
        <w:tc>
          <w:tcPr>
            <w:tcW w:w="680" w:type="pct"/>
            <w:hideMark/>
          </w:tcPr>
          <w:p w14:paraId="6BCC04E8" w14:textId="77777777" w:rsidR="009474FC" w:rsidRPr="009474FC" w:rsidRDefault="009474FC" w:rsidP="00444864">
            <w:pPr>
              <w:spacing w:before="0" w:after="0"/>
              <w:jc w:val="left"/>
              <w:rPr>
                <w:rFonts w:eastAsia="Times New Roman" w:cs="Times New Roman"/>
                <w:szCs w:val="24"/>
                <w:lang w:val="en-US"/>
              </w:rPr>
            </w:pPr>
          </w:p>
        </w:tc>
      </w:tr>
    </w:tbl>
    <w:p w14:paraId="2655A161" w14:textId="1B0B9C61" w:rsidR="00F64510" w:rsidRPr="00F64510" w:rsidRDefault="00EE7930" w:rsidP="007D675D">
      <w:pPr>
        <w:pStyle w:val="Heading1"/>
        <w:rPr>
          <w:lang w:val="en-US"/>
        </w:rPr>
      </w:pPr>
      <w:bookmarkStart w:id="6" w:name="_Toc200051287"/>
      <w:r w:rsidRPr="00F64510">
        <w:rPr>
          <w:lang w:val="en-US"/>
        </w:rPr>
        <w:t>Industry Trends / Issues / Impacts</w:t>
      </w:r>
      <w:bookmarkEnd w:id="6"/>
    </w:p>
    <w:p w14:paraId="3E1CD7D6" w14:textId="46349975" w:rsidR="000C7D52" w:rsidRDefault="00EE7930" w:rsidP="00CA5410">
      <w:pPr>
        <w:rPr>
          <w:szCs w:val="24"/>
          <w:lang w:val="en-US"/>
        </w:rPr>
      </w:pPr>
      <w:proofErr w:type="spellStart"/>
      <w:r w:rsidRPr="000C7D52">
        <w:rPr>
          <w:szCs w:val="24"/>
          <w:lang w:val="en-US"/>
        </w:rPr>
        <w:t>Croeso</w:t>
      </w:r>
      <w:proofErr w:type="spellEnd"/>
      <w:r w:rsidRPr="000C7D52">
        <w:rPr>
          <w:szCs w:val="24"/>
          <w:lang w:val="en-US"/>
        </w:rPr>
        <w:t xml:space="preserve"> Connect 2025 has been created in response to the critical trends affecting the MICE (Meetings, Incentives, Conferences and Exhibitions) industry. There is a growing tendency for business events to add cultural elements so that people can enjoy professional and artistic activities together. This matches the Welsh focus of </w:t>
      </w:r>
      <w:proofErr w:type="spellStart"/>
      <w:r w:rsidRPr="000C7D52">
        <w:rPr>
          <w:szCs w:val="24"/>
          <w:lang w:val="en-US"/>
        </w:rPr>
        <w:t>Croeso</w:t>
      </w:r>
      <w:proofErr w:type="spellEnd"/>
      <w:r w:rsidRPr="000C7D52">
        <w:rPr>
          <w:szCs w:val="24"/>
          <w:lang w:val="en-US"/>
        </w:rPr>
        <w:t xml:space="preserve"> Connect, allowing delegates to learn about Wales's heritage, arts and food. Sustainability has become very important, and the industry is now adopting green approaches such as less waste, plant-based menus and lower carbon emissions</w:t>
      </w:r>
      <w:r w:rsidR="00717CE0" w:rsidRPr="00717CE0">
        <w:t xml:space="preserve"> </w:t>
      </w:r>
      <w:r w:rsidR="00717CE0" w:rsidRPr="00717CE0">
        <w:rPr>
          <w:szCs w:val="24"/>
          <w:lang w:val="en-US"/>
        </w:rPr>
        <w:t>(Samuel et al., 2021)</w:t>
      </w:r>
      <w:r w:rsidRPr="000C7D52">
        <w:rPr>
          <w:szCs w:val="24"/>
          <w:lang w:val="en-US"/>
        </w:rPr>
        <w:t>. The conference applies these by handing out digital materials, ordering catering that uses plants and local sources and encouraging everyone to recycle and avoid waste everywhere.</w:t>
      </w:r>
    </w:p>
    <w:p w14:paraId="7390FF29" w14:textId="3AF10D1F" w:rsidR="000C7D52" w:rsidRDefault="00EE7930" w:rsidP="00CA5410">
      <w:pPr>
        <w:rPr>
          <w:szCs w:val="24"/>
          <w:lang w:val="en-US"/>
        </w:rPr>
      </w:pPr>
      <w:r w:rsidRPr="000C7D52">
        <w:rPr>
          <w:szCs w:val="24"/>
          <w:lang w:val="en-US"/>
        </w:rPr>
        <w:t xml:space="preserve">Health concerns and the possibility of travel restrictions after the pandemic still make keeping events safe very important. Health and safety are priorities at </w:t>
      </w:r>
      <w:proofErr w:type="spellStart"/>
      <w:r w:rsidRPr="000C7D52">
        <w:rPr>
          <w:szCs w:val="24"/>
          <w:lang w:val="en-US"/>
        </w:rPr>
        <w:t>Croeso</w:t>
      </w:r>
      <w:proofErr w:type="spellEnd"/>
      <w:r w:rsidRPr="000C7D52">
        <w:rPr>
          <w:szCs w:val="24"/>
          <w:lang w:val="en-US"/>
        </w:rPr>
        <w:t xml:space="preserve"> Connect 2025, so they will register attendees contactless, have clear hygiene protocols, and have plans ready for disruptions. Also, political or travel issues in some parts of the world can make it harder for people to attend the event</w:t>
      </w:r>
      <w:r w:rsidR="00F63313" w:rsidRPr="00F63313">
        <w:t xml:space="preserve"> </w:t>
      </w:r>
      <w:r w:rsidR="00EE7CC6" w:rsidRPr="00EE7CC6">
        <w:rPr>
          <w:szCs w:val="24"/>
          <w:lang w:val="en-US"/>
        </w:rPr>
        <w:t>(</w:t>
      </w:r>
      <w:proofErr w:type="spellStart"/>
      <w:r w:rsidR="00EE7CC6" w:rsidRPr="00EE7CC6">
        <w:rPr>
          <w:szCs w:val="24"/>
          <w:lang w:val="en-US"/>
        </w:rPr>
        <w:t>Mair</w:t>
      </w:r>
      <w:proofErr w:type="spellEnd"/>
      <w:r w:rsidR="00EE7CC6" w:rsidRPr="00EE7CC6">
        <w:rPr>
          <w:szCs w:val="24"/>
          <w:lang w:val="en-US"/>
        </w:rPr>
        <w:t xml:space="preserve"> and Smith, 2022)</w:t>
      </w:r>
      <w:r w:rsidRPr="000C7D52">
        <w:rPr>
          <w:szCs w:val="24"/>
          <w:lang w:val="en-US"/>
        </w:rPr>
        <w:t>. For risk management and marketing, these factors are now considered, especially by highlighting how flexible the company is and how it communicates with delegates.</w:t>
      </w:r>
    </w:p>
    <w:p w14:paraId="1C99C09B" w14:textId="19FE4A36" w:rsidR="007D675D" w:rsidRPr="00F64510" w:rsidRDefault="00906C21" w:rsidP="00CA5410">
      <w:pPr>
        <w:rPr>
          <w:szCs w:val="24"/>
          <w:lang w:val="en-US"/>
        </w:rPr>
      </w:pPr>
      <w:r w:rsidRPr="000C7D52">
        <w:rPr>
          <w:szCs w:val="24"/>
          <w:lang w:val="en-US"/>
        </w:rPr>
        <w:t>Organizers</w:t>
      </w:r>
      <w:r w:rsidR="00EE7930" w:rsidRPr="000C7D52">
        <w:rPr>
          <w:szCs w:val="24"/>
          <w:lang w:val="en-US"/>
        </w:rPr>
        <w:t xml:space="preserve"> also pay close attention to the social and environmental sides of planning the event. The event helps local culture and businesses, supporting community growth and the local economy. Sustainable practices in sourcing and operations are used at the event to help the environment by lowering waste and carbon emissions</w:t>
      </w:r>
      <w:r w:rsidR="00DA263E" w:rsidRPr="00DA263E">
        <w:t xml:space="preserve"> </w:t>
      </w:r>
      <w:r w:rsidR="00DA263E" w:rsidRPr="00DA263E">
        <w:rPr>
          <w:szCs w:val="24"/>
          <w:lang w:val="en-US"/>
        </w:rPr>
        <w:t>(</w:t>
      </w:r>
      <w:proofErr w:type="spellStart"/>
      <w:r w:rsidR="00DA263E" w:rsidRPr="00DA263E">
        <w:rPr>
          <w:szCs w:val="24"/>
          <w:lang w:val="en-US"/>
        </w:rPr>
        <w:t>Moayerian</w:t>
      </w:r>
      <w:proofErr w:type="spellEnd"/>
      <w:r w:rsidR="00DA263E" w:rsidRPr="00DA263E">
        <w:rPr>
          <w:szCs w:val="24"/>
          <w:lang w:val="en-US"/>
        </w:rPr>
        <w:t xml:space="preserve">, </w:t>
      </w:r>
      <w:proofErr w:type="spellStart"/>
      <w:r w:rsidR="00DA263E" w:rsidRPr="00DA263E">
        <w:rPr>
          <w:szCs w:val="24"/>
          <w:lang w:val="en-US"/>
        </w:rPr>
        <w:t>McGehee</w:t>
      </w:r>
      <w:proofErr w:type="spellEnd"/>
      <w:r w:rsidR="00DA263E" w:rsidRPr="00DA263E">
        <w:rPr>
          <w:szCs w:val="24"/>
          <w:lang w:val="en-US"/>
        </w:rPr>
        <w:t xml:space="preserve"> and Stephenson, 2022)</w:t>
      </w:r>
      <w:r w:rsidR="00DA263E">
        <w:rPr>
          <w:szCs w:val="24"/>
          <w:lang w:val="en-US"/>
        </w:rPr>
        <w:t>. Overall</w:t>
      </w:r>
      <w:r w:rsidR="00EE7930" w:rsidRPr="000C7D52">
        <w:rPr>
          <w:szCs w:val="24"/>
          <w:lang w:val="en-US"/>
        </w:rPr>
        <w:t xml:space="preserve">, these trends and challenges help guide the </w:t>
      </w:r>
      <w:r w:rsidR="00643965" w:rsidRPr="000C7D52">
        <w:rPr>
          <w:szCs w:val="24"/>
          <w:lang w:val="en-US"/>
        </w:rPr>
        <w:t>organization</w:t>
      </w:r>
      <w:r w:rsidR="00EE7930" w:rsidRPr="000C7D52">
        <w:rPr>
          <w:szCs w:val="24"/>
          <w:lang w:val="en-US"/>
        </w:rPr>
        <w:t xml:space="preserve"> of </w:t>
      </w:r>
      <w:proofErr w:type="spellStart"/>
      <w:r w:rsidR="00EE7930" w:rsidRPr="000C7D52">
        <w:rPr>
          <w:szCs w:val="24"/>
          <w:lang w:val="en-US"/>
        </w:rPr>
        <w:t>Croeso</w:t>
      </w:r>
      <w:proofErr w:type="spellEnd"/>
      <w:r w:rsidR="00EE7930" w:rsidRPr="000C7D52">
        <w:rPr>
          <w:szCs w:val="24"/>
          <w:lang w:val="en-US"/>
        </w:rPr>
        <w:t xml:space="preserve"> Connect 2025 so that it remains relevant, responsible and able to face future changes in the world.</w:t>
      </w:r>
    </w:p>
    <w:p w14:paraId="517EC5C3" w14:textId="77777777" w:rsidR="000C7D52" w:rsidRPr="000C7D52" w:rsidRDefault="00EE7930" w:rsidP="000C7D52">
      <w:pPr>
        <w:pStyle w:val="Heading1"/>
        <w:rPr>
          <w:lang w:val="en-US"/>
        </w:rPr>
      </w:pPr>
      <w:bookmarkStart w:id="7" w:name="_Toc200051288"/>
      <w:r w:rsidRPr="000C7D52">
        <w:rPr>
          <w:lang w:val="en-US"/>
        </w:rPr>
        <w:t>Situational and Cultural Considerations</w:t>
      </w:r>
      <w:bookmarkEnd w:id="7"/>
    </w:p>
    <w:p w14:paraId="0775A050" w14:textId="77777777" w:rsidR="000C7D52" w:rsidRPr="000C7D52" w:rsidRDefault="00EE7930" w:rsidP="000C7D52">
      <w:pPr>
        <w:rPr>
          <w:szCs w:val="24"/>
          <w:lang w:val="en-US"/>
        </w:rPr>
      </w:pPr>
      <w:r w:rsidRPr="000C7D52">
        <w:rPr>
          <w:szCs w:val="24"/>
          <w:lang w:val="en-US"/>
        </w:rPr>
        <w:t xml:space="preserve">The PESTEL framework shows that various outside factors play a major role in planning and delivering </w:t>
      </w:r>
      <w:proofErr w:type="spellStart"/>
      <w:r w:rsidRPr="000C7D52">
        <w:rPr>
          <w:szCs w:val="24"/>
          <w:lang w:val="en-US"/>
        </w:rPr>
        <w:t>Croeso</w:t>
      </w:r>
      <w:proofErr w:type="spellEnd"/>
      <w:r w:rsidRPr="000C7D52">
        <w:rPr>
          <w:szCs w:val="24"/>
          <w:lang w:val="en-US"/>
        </w:rPr>
        <w:t xml:space="preserve"> Connect 2025.</w:t>
      </w:r>
    </w:p>
    <w:p w14:paraId="4693C1B4" w14:textId="77777777" w:rsidR="000C7D52" w:rsidRDefault="00EE7930" w:rsidP="000C7D52">
      <w:pPr>
        <w:pStyle w:val="Heading2"/>
        <w:rPr>
          <w:lang w:val="en-US"/>
        </w:rPr>
      </w:pPr>
      <w:bookmarkStart w:id="8" w:name="_Toc200051289"/>
      <w:r>
        <w:rPr>
          <w:lang w:val="en-US"/>
        </w:rPr>
        <w:t>Political</w:t>
      </w:r>
      <w:bookmarkEnd w:id="8"/>
    </w:p>
    <w:p w14:paraId="2D7AE96A" w14:textId="6509EC5E" w:rsidR="000C7D52" w:rsidRPr="000C7D52" w:rsidRDefault="00EE7930" w:rsidP="000C7D52">
      <w:pPr>
        <w:rPr>
          <w:szCs w:val="24"/>
          <w:lang w:val="en-US"/>
        </w:rPr>
      </w:pPr>
      <w:r w:rsidRPr="000C7D52">
        <w:rPr>
          <w:szCs w:val="24"/>
          <w:lang w:val="en-US"/>
        </w:rPr>
        <w:t xml:space="preserve">Strong political support from Visit Wales makes the event possible by providing financial support, promoting it, and adding legitimacy. Because of this support, tourism policies are followed, and partnerships with </w:t>
      </w:r>
      <w:r w:rsidR="00643965" w:rsidRPr="000C7D52">
        <w:rPr>
          <w:szCs w:val="24"/>
          <w:lang w:val="en-US"/>
        </w:rPr>
        <w:t>organizations</w:t>
      </w:r>
      <w:r w:rsidRPr="000C7D52">
        <w:rPr>
          <w:szCs w:val="24"/>
          <w:lang w:val="en-US"/>
        </w:rPr>
        <w:t xml:space="preserve"> like the Newport City Council are formed, providing better infrastructure and assistance</w:t>
      </w:r>
      <w:r w:rsidR="00DA263E" w:rsidRPr="00DA263E">
        <w:t xml:space="preserve"> </w:t>
      </w:r>
      <w:r w:rsidR="00DA263E" w:rsidRPr="00DA263E">
        <w:rPr>
          <w:szCs w:val="24"/>
          <w:lang w:val="en-US"/>
        </w:rPr>
        <w:t>(</w:t>
      </w:r>
      <w:proofErr w:type="spellStart"/>
      <w:r w:rsidR="00DA263E" w:rsidRPr="00DA263E">
        <w:rPr>
          <w:szCs w:val="24"/>
          <w:lang w:val="en-US"/>
        </w:rPr>
        <w:t>Ormerod</w:t>
      </w:r>
      <w:proofErr w:type="spellEnd"/>
      <w:r w:rsidR="00DA263E" w:rsidRPr="00DA263E">
        <w:rPr>
          <w:szCs w:val="24"/>
          <w:lang w:val="en-US"/>
        </w:rPr>
        <w:t xml:space="preserve"> and Wood, 2020)</w:t>
      </w:r>
      <w:r w:rsidRPr="000C7D52">
        <w:rPr>
          <w:szCs w:val="24"/>
          <w:lang w:val="en-US"/>
        </w:rPr>
        <w:t>.</w:t>
      </w:r>
    </w:p>
    <w:p w14:paraId="5F5944DF" w14:textId="77777777" w:rsidR="000C7D52" w:rsidRDefault="00EE7930" w:rsidP="000C7D52">
      <w:pPr>
        <w:pStyle w:val="Heading2"/>
        <w:rPr>
          <w:lang w:val="en-US"/>
        </w:rPr>
      </w:pPr>
      <w:bookmarkStart w:id="9" w:name="_Toc200051290"/>
      <w:r>
        <w:rPr>
          <w:lang w:val="en-US"/>
        </w:rPr>
        <w:t>Economic</w:t>
      </w:r>
      <w:bookmarkEnd w:id="9"/>
    </w:p>
    <w:p w14:paraId="7EB41625" w14:textId="3478212A" w:rsidR="000C7D52" w:rsidRPr="000C7D52" w:rsidRDefault="00EE7930" w:rsidP="000C7D52">
      <w:pPr>
        <w:rPr>
          <w:szCs w:val="24"/>
          <w:lang w:val="en-US"/>
        </w:rPr>
      </w:pPr>
      <w:r w:rsidRPr="000C7D52">
        <w:rPr>
          <w:szCs w:val="24"/>
          <w:lang w:val="en-US"/>
        </w:rPr>
        <w:t xml:space="preserve">Significant economic change arises as international travel and business tourism recover after the pandemic. More interest in MICE events and the strong local economy around Newport and Cardiff make it possible to </w:t>
      </w:r>
      <w:r w:rsidR="00643965" w:rsidRPr="000C7D52">
        <w:rPr>
          <w:szCs w:val="24"/>
          <w:lang w:val="en-US"/>
        </w:rPr>
        <w:t>organize</w:t>
      </w:r>
      <w:r w:rsidRPr="000C7D52">
        <w:rPr>
          <w:szCs w:val="24"/>
          <w:lang w:val="en-US"/>
        </w:rPr>
        <w:t xml:space="preserve"> an international event</w:t>
      </w:r>
      <w:r w:rsidR="00717CE0" w:rsidRPr="00717CE0">
        <w:t xml:space="preserve"> </w:t>
      </w:r>
      <w:r w:rsidR="00717CE0" w:rsidRPr="00717CE0">
        <w:rPr>
          <w:szCs w:val="24"/>
          <w:lang w:val="en-US"/>
        </w:rPr>
        <w:t>(</w:t>
      </w:r>
      <w:proofErr w:type="spellStart"/>
      <w:r w:rsidR="00717CE0" w:rsidRPr="00717CE0">
        <w:rPr>
          <w:szCs w:val="24"/>
          <w:lang w:val="en-US"/>
        </w:rPr>
        <w:t>Tendai</w:t>
      </w:r>
      <w:proofErr w:type="spellEnd"/>
      <w:r w:rsidR="00717CE0" w:rsidRPr="00717CE0">
        <w:rPr>
          <w:szCs w:val="24"/>
          <w:lang w:val="en-US"/>
        </w:rPr>
        <w:t>, 2021)</w:t>
      </w:r>
      <w:r w:rsidRPr="000C7D52">
        <w:rPr>
          <w:szCs w:val="24"/>
          <w:lang w:val="en-US"/>
        </w:rPr>
        <w:t>. Moreover, links with local firms and support from sponsors provide much-needed money, and the event helps the local economy grow by attracting visitors and fueling sectors like tourism and retail.</w:t>
      </w:r>
    </w:p>
    <w:p w14:paraId="5DC2824D" w14:textId="77777777" w:rsidR="000C7D52" w:rsidRDefault="00EE7930" w:rsidP="000C7D52">
      <w:pPr>
        <w:pStyle w:val="Heading2"/>
        <w:rPr>
          <w:lang w:val="en-US"/>
        </w:rPr>
      </w:pPr>
      <w:bookmarkStart w:id="10" w:name="_Toc200051291"/>
      <w:r>
        <w:rPr>
          <w:lang w:val="en-US"/>
        </w:rPr>
        <w:t>Social</w:t>
      </w:r>
      <w:bookmarkEnd w:id="10"/>
    </w:p>
    <w:p w14:paraId="0A0D9D5E" w14:textId="5D4BB5DB" w:rsidR="000C7D52" w:rsidRPr="000C7D52" w:rsidRDefault="00EE7930" w:rsidP="000C7D52">
      <w:pPr>
        <w:rPr>
          <w:szCs w:val="24"/>
          <w:lang w:val="en-US"/>
        </w:rPr>
      </w:pPr>
      <w:r w:rsidRPr="00226A9D">
        <w:rPr>
          <w:szCs w:val="24"/>
          <w:lang w:val="en-US"/>
        </w:rPr>
        <w:t xml:space="preserve">Social factors are very important, as the Welsh culture and language define the event. When people speak more than one language and programmes are culturally aware, traditional customs are kept in mind while including </w:t>
      </w:r>
      <w:r w:rsidR="006C507E" w:rsidRPr="00226A9D">
        <w:rPr>
          <w:szCs w:val="24"/>
          <w:lang w:val="en-US"/>
        </w:rPr>
        <w:t>viewers’</w:t>
      </w:r>
      <w:r w:rsidRPr="00226A9D">
        <w:rPr>
          <w:szCs w:val="24"/>
          <w:lang w:val="en-US"/>
        </w:rPr>
        <w:t xml:space="preserve"> worldwide</w:t>
      </w:r>
      <w:r w:rsidR="009474FC">
        <w:rPr>
          <w:szCs w:val="24"/>
          <w:lang w:val="en-US"/>
        </w:rPr>
        <w:t xml:space="preserve"> </w:t>
      </w:r>
      <w:r w:rsidR="009474FC" w:rsidRPr="00F63313">
        <w:rPr>
          <w:szCs w:val="24"/>
          <w:lang w:val="en-US"/>
        </w:rPr>
        <w:t>(</w:t>
      </w:r>
      <w:proofErr w:type="spellStart"/>
      <w:r w:rsidR="009474FC" w:rsidRPr="00F63313">
        <w:rPr>
          <w:szCs w:val="24"/>
          <w:lang w:val="en-US"/>
        </w:rPr>
        <w:t>Neuhofer</w:t>
      </w:r>
      <w:proofErr w:type="spellEnd"/>
      <w:r w:rsidR="009474FC">
        <w:rPr>
          <w:szCs w:val="24"/>
          <w:lang w:val="en-US"/>
        </w:rPr>
        <w:t xml:space="preserve"> et al.</w:t>
      </w:r>
      <w:r w:rsidR="009474FC" w:rsidRPr="00F63313">
        <w:rPr>
          <w:szCs w:val="24"/>
          <w:lang w:val="en-US"/>
        </w:rPr>
        <w:t>, 2024)</w:t>
      </w:r>
      <w:r w:rsidR="009474FC" w:rsidRPr="000C7D52">
        <w:rPr>
          <w:szCs w:val="24"/>
          <w:lang w:val="en-US"/>
        </w:rPr>
        <w:t>.</w:t>
      </w:r>
      <w:r w:rsidRPr="00226A9D">
        <w:rPr>
          <w:szCs w:val="24"/>
          <w:lang w:val="en-US"/>
        </w:rPr>
        <w:t xml:space="preserve"> It also provides ways to include everyone by catering to various diets, mobility, and cultural diversity, ensuring all delegates are comfortable.</w:t>
      </w:r>
    </w:p>
    <w:p w14:paraId="475AC703" w14:textId="77777777" w:rsidR="000C7D52" w:rsidRDefault="00EE7930" w:rsidP="000C7D52">
      <w:pPr>
        <w:pStyle w:val="Heading2"/>
        <w:rPr>
          <w:lang w:val="en-US"/>
        </w:rPr>
      </w:pPr>
      <w:bookmarkStart w:id="11" w:name="_Toc200051292"/>
      <w:r w:rsidRPr="000C7D52">
        <w:rPr>
          <w:lang w:val="en-US"/>
        </w:rPr>
        <w:t>Technologica</w:t>
      </w:r>
      <w:r>
        <w:rPr>
          <w:lang w:val="en-US"/>
        </w:rPr>
        <w:t>l</w:t>
      </w:r>
      <w:bookmarkEnd w:id="11"/>
    </w:p>
    <w:p w14:paraId="009189D9" w14:textId="471DBD00" w:rsidR="000C7D52" w:rsidRPr="000C7D52" w:rsidRDefault="00EE7930" w:rsidP="000C7D52">
      <w:pPr>
        <w:rPr>
          <w:szCs w:val="24"/>
          <w:lang w:val="en-US"/>
        </w:rPr>
      </w:pPr>
      <w:r w:rsidRPr="00226A9D">
        <w:rPr>
          <w:szCs w:val="24"/>
          <w:lang w:val="en-US"/>
        </w:rPr>
        <w:t>At ICC Wales, the conference is equipped with modern audiovisual technology, promotion is handled through digital marketing on LinkedIn and MICE websites, and attendees receive digital brochures instead of physical ones</w:t>
      </w:r>
      <w:r w:rsidR="00EE7CC6" w:rsidRPr="00EE7CC6">
        <w:t xml:space="preserve"> </w:t>
      </w:r>
      <w:r w:rsidR="00EE7CC6" w:rsidRPr="00EE7CC6">
        <w:rPr>
          <w:szCs w:val="24"/>
          <w:lang w:val="en-US"/>
        </w:rPr>
        <w:t>(</w:t>
      </w:r>
      <w:proofErr w:type="spellStart"/>
      <w:r w:rsidR="00EE7CC6" w:rsidRPr="00EE7CC6">
        <w:rPr>
          <w:szCs w:val="24"/>
          <w:lang w:val="en-US"/>
        </w:rPr>
        <w:t>Dillette</w:t>
      </w:r>
      <w:proofErr w:type="spellEnd"/>
      <w:r w:rsidR="00EE7CC6" w:rsidRPr="00EE7CC6">
        <w:rPr>
          <w:szCs w:val="24"/>
          <w:lang w:val="en-US"/>
        </w:rPr>
        <w:t xml:space="preserve"> and Ponting, 2020)</w:t>
      </w:r>
      <w:r w:rsidRPr="00226A9D">
        <w:rPr>
          <w:szCs w:val="24"/>
          <w:lang w:val="en-US"/>
        </w:rPr>
        <w:t>. Such technologies make the event more enjoyable for participants and help reduce paper use, which is good for the environment.</w:t>
      </w:r>
    </w:p>
    <w:p w14:paraId="6A61EF72" w14:textId="77777777" w:rsidR="000C7D52" w:rsidRDefault="00EE7930" w:rsidP="000C7D52">
      <w:pPr>
        <w:pStyle w:val="Heading2"/>
        <w:rPr>
          <w:lang w:val="en-US"/>
        </w:rPr>
      </w:pPr>
      <w:bookmarkStart w:id="12" w:name="_Toc200051293"/>
      <w:r>
        <w:rPr>
          <w:lang w:val="en-US"/>
        </w:rPr>
        <w:t>Environmental</w:t>
      </w:r>
      <w:bookmarkEnd w:id="12"/>
    </w:p>
    <w:p w14:paraId="4A2BC94C" w14:textId="43CEB67A" w:rsidR="000C7D52" w:rsidRPr="000C7D52" w:rsidRDefault="00EE7930" w:rsidP="000C7D52">
      <w:pPr>
        <w:rPr>
          <w:szCs w:val="24"/>
          <w:lang w:val="en-US"/>
        </w:rPr>
      </w:pPr>
      <w:r w:rsidRPr="00226A9D">
        <w:rPr>
          <w:szCs w:val="24"/>
          <w:lang w:val="en-US"/>
        </w:rPr>
        <w:t xml:space="preserve">The event highlights sustainability by using plant-based menus, </w:t>
      </w:r>
      <w:r w:rsidR="005B7002" w:rsidRPr="00226A9D">
        <w:rPr>
          <w:szCs w:val="24"/>
          <w:lang w:val="en-US"/>
        </w:rPr>
        <w:t>minimizing</w:t>
      </w:r>
      <w:r w:rsidRPr="00226A9D">
        <w:rPr>
          <w:szCs w:val="24"/>
          <w:lang w:val="en-US"/>
        </w:rPr>
        <w:t xml:space="preserve"> waste, and having no-waste policies. The company tries to buy locally and uses eco-friendly methods that match international efforts to protect the environment</w:t>
      </w:r>
      <w:r w:rsidR="008160CF">
        <w:rPr>
          <w:szCs w:val="24"/>
          <w:lang w:val="en-US"/>
        </w:rPr>
        <w:t xml:space="preserve"> </w:t>
      </w:r>
      <w:r w:rsidR="008160CF" w:rsidRPr="008160CF">
        <w:rPr>
          <w:szCs w:val="24"/>
          <w:lang w:val="en-US"/>
        </w:rPr>
        <w:t>(</w:t>
      </w:r>
      <w:proofErr w:type="spellStart"/>
      <w:r w:rsidR="008160CF" w:rsidRPr="008160CF">
        <w:rPr>
          <w:szCs w:val="24"/>
          <w:lang w:val="en-US"/>
        </w:rPr>
        <w:t>Kontovas</w:t>
      </w:r>
      <w:proofErr w:type="spellEnd"/>
      <w:r w:rsidR="008160CF" w:rsidRPr="008160CF">
        <w:rPr>
          <w:szCs w:val="24"/>
          <w:lang w:val="en-US"/>
        </w:rPr>
        <w:t xml:space="preserve"> et al., 2022)</w:t>
      </w:r>
      <w:r w:rsidRPr="00226A9D">
        <w:rPr>
          <w:szCs w:val="24"/>
          <w:lang w:val="en-US"/>
        </w:rPr>
        <w:t>.</w:t>
      </w:r>
    </w:p>
    <w:p w14:paraId="0CD64899" w14:textId="77777777" w:rsidR="000C7D52" w:rsidRDefault="00EE7930" w:rsidP="000C7D52">
      <w:pPr>
        <w:pStyle w:val="Heading2"/>
        <w:rPr>
          <w:lang w:val="en-US"/>
        </w:rPr>
      </w:pPr>
      <w:bookmarkStart w:id="13" w:name="_Toc200051294"/>
      <w:r>
        <w:rPr>
          <w:lang w:val="en-US"/>
        </w:rPr>
        <w:t>Legal</w:t>
      </w:r>
      <w:bookmarkEnd w:id="13"/>
    </w:p>
    <w:p w14:paraId="13ABBCD9" w14:textId="308E1133" w:rsidR="000C7D52" w:rsidRDefault="00EE7930" w:rsidP="000C7D52">
      <w:pPr>
        <w:rPr>
          <w:szCs w:val="24"/>
          <w:lang w:val="en-US"/>
        </w:rPr>
      </w:pPr>
      <w:r w:rsidRPr="00226A9D">
        <w:rPr>
          <w:szCs w:val="24"/>
          <w:lang w:val="en-US"/>
        </w:rPr>
        <w:t>Following health, safety, and data protection rules is important, especially after the pandemic</w:t>
      </w:r>
      <w:r w:rsidR="008160CF">
        <w:rPr>
          <w:szCs w:val="24"/>
          <w:lang w:val="en-US"/>
        </w:rPr>
        <w:t xml:space="preserve"> </w:t>
      </w:r>
      <w:r w:rsidR="008160CF" w:rsidRPr="008160CF">
        <w:rPr>
          <w:szCs w:val="24"/>
          <w:lang w:val="en-US"/>
        </w:rPr>
        <w:t>(</w:t>
      </w:r>
      <w:proofErr w:type="spellStart"/>
      <w:r w:rsidR="008160CF" w:rsidRPr="008160CF">
        <w:rPr>
          <w:szCs w:val="24"/>
          <w:lang w:val="en-US"/>
        </w:rPr>
        <w:t>Harfst</w:t>
      </w:r>
      <w:proofErr w:type="spellEnd"/>
      <w:r w:rsidR="008160CF" w:rsidRPr="008160CF">
        <w:rPr>
          <w:szCs w:val="24"/>
          <w:lang w:val="en-US"/>
        </w:rPr>
        <w:t xml:space="preserve"> et al., 2025)</w:t>
      </w:r>
      <w:r w:rsidRPr="00226A9D">
        <w:rPr>
          <w:szCs w:val="24"/>
          <w:lang w:val="en-US"/>
        </w:rPr>
        <w:t>. Making the event inclusive is essential, so accessibility laws are a significant concern.</w:t>
      </w:r>
    </w:p>
    <w:p w14:paraId="3CE85667" w14:textId="77777777" w:rsidR="006C507E" w:rsidRDefault="006C507E" w:rsidP="006C507E">
      <w:pPr>
        <w:pStyle w:val="NormalWeb"/>
        <w:keepNext/>
      </w:pPr>
      <w:r>
        <w:rPr>
          <w:noProof/>
        </w:rPr>
        <w:drawing>
          <wp:inline distT="0" distB="0" distL="0" distR="0" wp14:anchorId="55E725A4" wp14:editId="031703CA">
            <wp:extent cx="5514975" cy="3259253"/>
            <wp:effectExtent l="0" t="0" r="0" b="0"/>
            <wp:docPr id="1" name="Picture 1" descr="C:\Users\user\Downloads\output (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output (1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19710" cy="3262051"/>
                    </a:xfrm>
                    <a:prstGeom prst="rect">
                      <a:avLst/>
                    </a:prstGeom>
                    <a:noFill/>
                    <a:ln>
                      <a:noFill/>
                    </a:ln>
                  </pic:spPr>
                </pic:pic>
              </a:graphicData>
            </a:graphic>
          </wp:inline>
        </w:drawing>
      </w:r>
    </w:p>
    <w:p w14:paraId="1F9BFA4B" w14:textId="7A3E6DF1" w:rsidR="006C507E" w:rsidRDefault="006C507E" w:rsidP="006C507E">
      <w:pPr>
        <w:pStyle w:val="Caption"/>
        <w:jc w:val="center"/>
        <w:rPr>
          <w:sz w:val="24"/>
          <w:lang w:val="en-US"/>
        </w:rPr>
      </w:pPr>
      <w:r>
        <w:t xml:space="preserve">Figure </w:t>
      </w:r>
      <w:r>
        <w:fldChar w:fldCharType="begin"/>
      </w:r>
      <w:r>
        <w:instrText xml:space="preserve"> SEQ Figure \* ARABIC </w:instrText>
      </w:r>
      <w:r>
        <w:fldChar w:fldCharType="separate"/>
      </w:r>
      <w:r w:rsidR="00C0201F">
        <w:rPr>
          <w:noProof/>
        </w:rPr>
        <w:t>3</w:t>
      </w:r>
      <w:r>
        <w:fldChar w:fldCharType="end"/>
      </w:r>
      <w:r>
        <w:t xml:space="preserve"> PESTEL Analysis for </w:t>
      </w:r>
      <w:proofErr w:type="spellStart"/>
      <w:r>
        <w:t>Croeso</w:t>
      </w:r>
      <w:proofErr w:type="spellEnd"/>
      <w:r>
        <w:t xml:space="preserve"> Connect 2025</w:t>
      </w:r>
    </w:p>
    <w:p w14:paraId="3E788B34" w14:textId="77777777" w:rsidR="00F64510" w:rsidRDefault="00EE7930" w:rsidP="007D675D">
      <w:pPr>
        <w:pStyle w:val="Heading1"/>
        <w:rPr>
          <w:lang w:val="en-US"/>
        </w:rPr>
      </w:pPr>
      <w:bookmarkStart w:id="14" w:name="_Toc200051295"/>
      <w:r>
        <w:t>Conclusion</w:t>
      </w:r>
      <w:bookmarkEnd w:id="14"/>
    </w:p>
    <w:p w14:paraId="31811079" w14:textId="77777777" w:rsidR="00226A9D" w:rsidRDefault="00DA263E" w:rsidP="00CA5410">
      <w:r>
        <w:t xml:space="preserve">It is concluded that </w:t>
      </w:r>
      <w:proofErr w:type="spellStart"/>
      <w:r w:rsidR="00EE7930" w:rsidRPr="00226A9D">
        <w:t>Croeso</w:t>
      </w:r>
      <w:proofErr w:type="spellEnd"/>
      <w:r w:rsidR="00EE7930" w:rsidRPr="00226A9D">
        <w:t xml:space="preserve"> Connect 2025 is an international event that brings together Wales' cultural heritage, business, and education per the purposes of the Wales' Year of </w:t>
      </w:r>
      <w:proofErr w:type="spellStart"/>
      <w:r w:rsidR="00EE7930" w:rsidRPr="00226A9D">
        <w:t>Croeso</w:t>
      </w:r>
      <w:proofErr w:type="spellEnd"/>
      <w:r w:rsidR="00EE7930" w:rsidRPr="00226A9D">
        <w:t xml:space="preserve"> campaign. Using a comprehensive event cycle model, the organisation plans, carries out and reviews the event systematically. Central aspects of operations are having well-trained staff, managing resources effectively, targeting marketing and planning for risks and access, all organised to ensure a smooth and enjoyable experience. The budget is made sustainable and balanced using financial planning, and different funding sources, such as delegate payments, sponsorships, grants, and exhibitor contributions, support it. The budget is handled with care using plans to prevent any possible overruns.</w:t>
      </w:r>
    </w:p>
    <w:p w14:paraId="3F61CFD8" w14:textId="77777777" w:rsidR="00226A9D" w:rsidRDefault="00EE7930" w:rsidP="00CA5410">
      <w:r w:rsidRPr="00226A9D">
        <w:t>The event reflects current trends in the MICE industry, such as the desire for culture-based experiences, environmentally friendly practices, and more online activities, as well as responses to concerns like health safety measures due to COVID-19 and uncertain political situations. The analysis points out that the government's support and special cultural features are strong points, and there is room to grow tourism and form partnerships with other countries. By keeping culture in mind, event planners ensure that everyone feels included and that the experience is true to the event's aims, attracting people worldwide.</w:t>
      </w:r>
    </w:p>
    <w:p w14:paraId="266F5BCD" w14:textId="77777777" w:rsidR="00DA263E" w:rsidRDefault="00EE7930" w:rsidP="00CA5410">
      <w:proofErr w:type="spellStart"/>
      <w:r w:rsidRPr="00226A9D">
        <w:t>Croeso</w:t>
      </w:r>
      <w:proofErr w:type="spellEnd"/>
      <w:r w:rsidRPr="00226A9D">
        <w:t xml:space="preserve"> Connect 2025 is prepared and positioned to bring significant cultural, economic, and tourism advantages to Wales. It is meant to raise Wales' profile and support the development of valuable connections between different sectors. By planning well and setting clear goals, the event can now be carried out in full detail, which serves as a significant step in Wales' Year of </w:t>
      </w:r>
      <w:proofErr w:type="spellStart"/>
      <w:r w:rsidRPr="00226A9D">
        <w:t>Croeso</w:t>
      </w:r>
      <w:proofErr w:type="spellEnd"/>
      <w:r w:rsidRPr="00226A9D">
        <w:t xml:space="preserve"> events and sets a standard for future international gatherings.</w:t>
      </w:r>
    </w:p>
    <w:p w14:paraId="19218225" w14:textId="77777777" w:rsidR="00DA263E" w:rsidRDefault="00DA263E">
      <w:pPr>
        <w:spacing w:before="0" w:after="160" w:line="259" w:lineRule="auto"/>
        <w:jc w:val="left"/>
      </w:pPr>
      <w:r>
        <w:br w:type="page"/>
      </w:r>
    </w:p>
    <w:p w14:paraId="358A8189" w14:textId="77777777" w:rsidR="00F64510" w:rsidRDefault="00DA263E" w:rsidP="00DA263E">
      <w:pPr>
        <w:pStyle w:val="Heading1"/>
        <w:rPr>
          <w:lang w:val="en-US"/>
        </w:rPr>
      </w:pPr>
      <w:bookmarkStart w:id="15" w:name="_Toc200051296"/>
      <w:r>
        <w:rPr>
          <w:lang w:val="en-US"/>
        </w:rPr>
        <w:t>References</w:t>
      </w:r>
      <w:bookmarkEnd w:id="15"/>
    </w:p>
    <w:p w14:paraId="42D906C4" w14:textId="77777777" w:rsidR="008160CF" w:rsidRDefault="008160CF" w:rsidP="009930BF">
      <w:pPr>
        <w:pStyle w:val="NormalWeb"/>
        <w:spacing w:before="0" w:beforeAutospacing="0" w:after="240" w:afterAutospacing="0" w:line="360" w:lineRule="auto"/>
        <w:jc w:val="both"/>
      </w:pPr>
      <w:proofErr w:type="spellStart"/>
      <w:r>
        <w:t>Bowdin</w:t>
      </w:r>
      <w:proofErr w:type="spellEnd"/>
      <w:r>
        <w:t xml:space="preserve">, G., McDonnell, I., Harris, R., O’Toole, W., Allen, J. and Leo Kenneth </w:t>
      </w:r>
      <w:proofErr w:type="spellStart"/>
      <w:r>
        <w:t>Jago</w:t>
      </w:r>
      <w:proofErr w:type="spellEnd"/>
      <w:r>
        <w:t xml:space="preserve"> </w:t>
      </w:r>
      <w:r>
        <w:tab/>
        <w:t xml:space="preserve">(2023). </w:t>
      </w:r>
      <w:r>
        <w:rPr>
          <w:i/>
          <w:iCs/>
        </w:rPr>
        <w:t>Events Management</w:t>
      </w:r>
      <w:r>
        <w:t xml:space="preserve">. Routledge. </w:t>
      </w:r>
      <w:r>
        <w:tab/>
      </w:r>
      <w:proofErr w:type="spellStart"/>
      <w:r>
        <w:t>doi:https</w:t>
      </w:r>
      <w:proofErr w:type="spellEnd"/>
      <w:r>
        <w:t>://doi.org/10.4324/9781003044963.</w:t>
      </w:r>
    </w:p>
    <w:p w14:paraId="1AE56F10" w14:textId="77777777" w:rsidR="008160CF" w:rsidRPr="008160CF" w:rsidRDefault="008160CF" w:rsidP="008160CF">
      <w:pPr>
        <w:ind w:left="720" w:hanging="720"/>
        <w:rPr>
          <w:shd w:val="clear" w:color="auto" w:fill="FFFFFF"/>
        </w:rPr>
      </w:pPr>
      <w:proofErr w:type="spellStart"/>
      <w:r w:rsidRPr="008160CF">
        <w:rPr>
          <w:shd w:val="clear" w:color="auto" w:fill="FFFFFF"/>
        </w:rPr>
        <w:t>Croke</w:t>
      </w:r>
      <w:proofErr w:type="spellEnd"/>
      <w:r w:rsidRPr="008160CF">
        <w:rPr>
          <w:shd w:val="clear" w:color="auto" w:fill="FFFFFF"/>
        </w:rPr>
        <w:t xml:space="preserve">, R., Dale, H., Dunhill, A., Roberts, A., </w:t>
      </w:r>
      <w:proofErr w:type="spellStart"/>
      <w:r w:rsidRPr="008160CF">
        <w:rPr>
          <w:shd w:val="clear" w:color="auto" w:fill="FFFFFF"/>
        </w:rPr>
        <w:t>Unnithan</w:t>
      </w:r>
      <w:proofErr w:type="spellEnd"/>
      <w:r w:rsidRPr="008160CF">
        <w:rPr>
          <w:shd w:val="clear" w:color="auto" w:fill="FFFFFF"/>
        </w:rPr>
        <w:t xml:space="preserve">, M., and Williams, J. (2021). Integrating sustainable development and children’s rights: A case study on Wales. </w:t>
      </w:r>
      <w:r w:rsidRPr="008160CF">
        <w:rPr>
          <w:i/>
          <w:iCs/>
          <w:shd w:val="clear" w:color="auto" w:fill="FFFFFF"/>
        </w:rPr>
        <w:t>Social Sciences</w:t>
      </w:r>
      <w:r w:rsidRPr="008160CF">
        <w:rPr>
          <w:shd w:val="clear" w:color="auto" w:fill="FFFFFF"/>
        </w:rPr>
        <w:t>, 10(3), 100.</w:t>
      </w:r>
    </w:p>
    <w:p w14:paraId="6EE274D4" w14:textId="77777777" w:rsidR="008160CF" w:rsidRDefault="008160CF" w:rsidP="009930BF">
      <w:pPr>
        <w:pStyle w:val="NormalWeb"/>
        <w:spacing w:before="0" w:beforeAutospacing="0" w:after="240" w:afterAutospacing="0" w:line="360" w:lineRule="auto"/>
        <w:jc w:val="both"/>
      </w:pPr>
      <w:proofErr w:type="spellStart"/>
      <w:r>
        <w:t>Dillette</w:t>
      </w:r>
      <w:proofErr w:type="spellEnd"/>
      <w:r>
        <w:t xml:space="preserve">, A. and Ponting, S.S.-A. (2020). Diffusing innovation in times of disasters: </w:t>
      </w:r>
      <w:r>
        <w:tab/>
        <w:t xml:space="preserve">considerations for event management professionals. </w:t>
      </w:r>
      <w:r>
        <w:rPr>
          <w:i/>
          <w:iCs/>
        </w:rPr>
        <w:t xml:space="preserve">Journal of Convention &amp; Event </w:t>
      </w:r>
      <w:r>
        <w:rPr>
          <w:i/>
          <w:iCs/>
        </w:rPr>
        <w:tab/>
        <w:t>Tourism</w:t>
      </w:r>
      <w:r>
        <w:t>, 22(3), pp.1–24.</w:t>
      </w:r>
    </w:p>
    <w:p w14:paraId="00A8D5D1" w14:textId="77777777" w:rsidR="008160CF" w:rsidRDefault="008160CF" w:rsidP="009930BF">
      <w:pPr>
        <w:pStyle w:val="NormalWeb"/>
        <w:spacing w:before="0" w:beforeAutospacing="0" w:after="240" w:afterAutospacing="0" w:line="360" w:lineRule="auto"/>
        <w:jc w:val="both"/>
      </w:pPr>
      <w:proofErr w:type="spellStart"/>
      <w:r>
        <w:t>Elshaer</w:t>
      </w:r>
      <w:proofErr w:type="spellEnd"/>
      <w:r>
        <w:t xml:space="preserve">, A.M. and </w:t>
      </w:r>
      <w:proofErr w:type="spellStart"/>
      <w:r>
        <w:t>Marzouk</w:t>
      </w:r>
      <w:proofErr w:type="spellEnd"/>
      <w:r>
        <w:t xml:space="preserve">, A.M. (2019). Labor in the Tourism and Hospitality Industry. </w:t>
      </w:r>
      <w:r>
        <w:tab/>
      </w:r>
      <w:proofErr w:type="spellStart"/>
      <w:r>
        <w:t>doi:https</w:t>
      </w:r>
      <w:proofErr w:type="spellEnd"/>
      <w:r>
        <w:t>://doi.org/10.1201/9780429465093.</w:t>
      </w:r>
    </w:p>
    <w:p w14:paraId="681F5C82" w14:textId="77777777" w:rsidR="008160CF" w:rsidRPr="008160CF" w:rsidRDefault="008160CF" w:rsidP="008160CF">
      <w:pPr>
        <w:ind w:left="720" w:hanging="720"/>
        <w:rPr>
          <w:shd w:val="clear" w:color="auto" w:fill="FFFFFF"/>
        </w:rPr>
      </w:pPr>
      <w:r w:rsidRPr="008160CF">
        <w:rPr>
          <w:shd w:val="clear" w:color="auto" w:fill="FFFFFF"/>
        </w:rPr>
        <w:t>Evans, N., and Williams, C. (2024). </w:t>
      </w:r>
      <w:r w:rsidRPr="008160CF">
        <w:rPr>
          <w:i/>
          <w:iCs/>
          <w:shd w:val="clear" w:color="auto" w:fill="FFFFFF"/>
        </w:rPr>
        <w:t>Globalising Welsh Studies: Decolonising history, heritage, society and culture</w:t>
      </w:r>
      <w:r w:rsidRPr="008160CF">
        <w:rPr>
          <w:shd w:val="clear" w:color="auto" w:fill="FFFFFF"/>
        </w:rPr>
        <w:t> (p. 336).</w:t>
      </w:r>
    </w:p>
    <w:p w14:paraId="162CE02A" w14:textId="77777777" w:rsidR="008160CF" w:rsidRPr="00DA263E" w:rsidRDefault="008160CF" w:rsidP="00DA263E">
      <w:pPr>
        <w:spacing w:before="100" w:beforeAutospacing="1" w:after="100" w:afterAutospacing="1"/>
        <w:rPr>
          <w:rFonts w:eastAsia="Times New Roman" w:cs="Times New Roman"/>
          <w:szCs w:val="24"/>
          <w:lang w:val="en-US"/>
        </w:rPr>
      </w:pPr>
      <w:r w:rsidRPr="00DA263E">
        <w:rPr>
          <w:rFonts w:eastAsia="Times New Roman" w:cs="Times New Roman"/>
          <w:szCs w:val="24"/>
          <w:lang w:val="en-US"/>
        </w:rPr>
        <w:t xml:space="preserve">Fox, D., </w:t>
      </w:r>
      <w:proofErr w:type="spellStart"/>
      <w:r w:rsidRPr="00DA263E">
        <w:rPr>
          <w:rFonts w:eastAsia="Times New Roman" w:cs="Times New Roman"/>
          <w:szCs w:val="24"/>
          <w:lang w:val="en-US"/>
        </w:rPr>
        <w:t>Gouthro</w:t>
      </w:r>
      <w:proofErr w:type="spellEnd"/>
      <w:r w:rsidRPr="00DA263E">
        <w:rPr>
          <w:rFonts w:eastAsia="Times New Roman" w:cs="Times New Roman"/>
          <w:szCs w:val="24"/>
          <w:lang w:val="en-US"/>
        </w:rPr>
        <w:t xml:space="preserve">, M.-B., </w:t>
      </w:r>
      <w:proofErr w:type="spellStart"/>
      <w:r w:rsidRPr="00DA263E">
        <w:rPr>
          <w:rFonts w:eastAsia="Times New Roman" w:cs="Times New Roman"/>
          <w:szCs w:val="24"/>
          <w:lang w:val="en-US"/>
        </w:rPr>
        <w:t>Morakabati</w:t>
      </w:r>
      <w:proofErr w:type="spellEnd"/>
      <w:r w:rsidRPr="00DA263E">
        <w:rPr>
          <w:rFonts w:eastAsia="Times New Roman" w:cs="Times New Roman"/>
          <w:szCs w:val="24"/>
          <w:lang w:val="en-US"/>
        </w:rPr>
        <w:t xml:space="preserve">, Y. and </w:t>
      </w:r>
      <w:proofErr w:type="spellStart"/>
      <w:r w:rsidRPr="00DA263E">
        <w:rPr>
          <w:rFonts w:eastAsia="Times New Roman" w:cs="Times New Roman"/>
          <w:szCs w:val="24"/>
          <w:lang w:val="en-US"/>
        </w:rPr>
        <w:t>Brackstone</w:t>
      </w:r>
      <w:proofErr w:type="spellEnd"/>
      <w:r w:rsidRPr="00DA263E">
        <w:rPr>
          <w:rFonts w:eastAsia="Times New Roman" w:cs="Times New Roman"/>
          <w:szCs w:val="24"/>
          <w:lang w:val="en-US"/>
        </w:rPr>
        <w:t xml:space="preserve">, J., 2014. </w:t>
      </w:r>
      <w:r w:rsidRPr="00DA263E">
        <w:rPr>
          <w:rFonts w:eastAsia="Times New Roman" w:cs="Times New Roman"/>
          <w:i/>
          <w:iCs/>
          <w:szCs w:val="24"/>
          <w:lang w:val="en-US"/>
        </w:rPr>
        <w:t xml:space="preserve">Doing events research: </w:t>
      </w:r>
      <w:r>
        <w:rPr>
          <w:rFonts w:eastAsia="Times New Roman" w:cs="Times New Roman"/>
          <w:i/>
          <w:iCs/>
          <w:szCs w:val="24"/>
          <w:lang w:val="en-US"/>
        </w:rPr>
        <w:tab/>
      </w:r>
      <w:r w:rsidRPr="00DA263E">
        <w:rPr>
          <w:rFonts w:eastAsia="Times New Roman" w:cs="Times New Roman"/>
          <w:i/>
          <w:iCs/>
          <w:szCs w:val="24"/>
          <w:lang w:val="en-US"/>
        </w:rPr>
        <w:t>from theory to practice</w:t>
      </w:r>
      <w:r w:rsidRPr="00DA263E">
        <w:rPr>
          <w:rFonts w:eastAsia="Times New Roman" w:cs="Times New Roman"/>
          <w:szCs w:val="24"/>
          <w:lang w:val="en-US"/>
        </w:rPr>
        <w:t>. Oxford: Routledge.</w:t>
      </w:r>
    </w:p>
    <w:p w14:paraId="52A070A4" w14:textId="77777777" w:rsidR="008160CF" w:rsidRPr="00DA263E" w:rsidRDefault="008160CF" w:rsidP="00DA263E">
      <w:pPr>
        <w:spacing w:before="100" w:beforeAutospacing="1" w:after="100" w:afterAutospacing="1"/>
        <w:rPr>
          <w:rFonts w:eastAsia="Times New Roman" w:cs="Times New Roman"/>
          <w:szCs w:val="24"/>
          <w:lang w:val="en-US"/>
        </w:rPr>
      </w:pPr>
      <w:r w:rsidRPr="00DA263E">
        <w:rPr>
          <w:rFonts w:eastAsia="Times New Roman" w:cs="Times New Roman"/>
          <w:szCs w:val="24"/>
          <w:lang w:val="en-US"/>
        </w:rPr>
        <w:t xml:space="preserve">Getz, D. and Page, S., 2019. </w:t>
      </w:r>
      <w:r w:rsidRPr="00DA263E">
        <w:rPr>
          <w:rFonts w:eastAsia="Times New Roman" w:cs="Times New Roman"/>
          <w:i/>
          <w:iCs/>
          <w:szCs w:val="24"/>
          <w:lang w:val="en-US"/>
        </w:rPr>
        <w:t>Event studies: theory, research and policy for planned events</w:t>
      </w:r>
      <w:r w:rsidRPr="00DA263E">
        <w:rPr>
          <w:rFonts w:eastAsia="Times New Roman" w:cs="Times New Roman"/>
          <w:szCs w:val="24"/>
          <w:lang w:val="en-US"/>
        </w:rPr>
        <w:t xml:space="preserve">. </w:t>
      </w:r>
      <w:r>
        <w:rPr>
          <w:rFonts w:eastAsia="Times New Roman" w:cs="Times New Roman"/>
          <w:szCs w:val="24"/>
          <w:lang w:val="en-US"/>
        </w:rPr>
        <w:tab/>
      </w:r>
      <w:r w:rsidRPr="00DA263E">
        <w:rPr>
          <w:rFonts w:eastAsia="Times New Roman" w:cs="Times New Roman"/>
          <w:szCs w:val="24"/>
          <w:lang w:val="en-US"/>
        </w:rPr>
        <w:t>3rd ed. Oxford: Routledge.</w:t>
      </w:r>
    </w:p>
    <w:p w14:paraId="700E250F" w14:textId="77777777" w:rsidR="008160CF" w:rsidRPr="008160CF" w:rsidRDefault="008160CF" w:rsidP="008160CF">
      <w:pPr>
        <w:ind w:left="720" w:hanging="720"/>
        <w:rPr>
          <w:shd w:val="clear" w:color="auto" w:fill="FFFFFF"/>
        </w:rPr>
      </w:pPr>
      <w:proofErr w:type="spellStart"/>
      <w:r w:rsidRPr="008160CF">
        <w:rPr>
          <w:shd w:val="clear" w:color="auto" w:fill="FFFFFF"/>
        </w:rPr>
        <w:t>Harfst</w:t>
      </w:r>
      <w:proofErr w:type="spellEnd"/>
      <w:r w:rsidRPr="008160CF">
        <w:rPr>
          <w:shd w:val="clear" w:color="auto" w:fill="FFFFFF"/>
        </w:rPr>
        <w:t xml:space="preserve">, J., </w:t>
      </w:r>
      <w:proofErr w:type="spellStart"/>
      <w:r w:rsidRPr="008160CF">
        <w:rPr>
          <w:shd w:val="clear" w:color="auto" w:fill="FFFFFF"/>
        </w:rPr>
        <w:t>Sandriester</w:t>
      </w:r>
      <w:proofErr w:type="spellEnd"/>
      <w:r w:rsidRPr="008160CF">
        <w:rPr>
          <w:shd w:val="clear" w:color="auto" w:fill="FFFFFF"/>
        </w:rPr>
        <w:t xml:space="preserve">, J., </w:t>
      </w:r>
      <w:proofErr w:type="spellStart"/>
      <w:r w:rsidRPr="008160CF">
        <w:rPr>
          <w:shd w:val="clear" w:color="auto" w:fill="FFFFFF"/>
        </w:rPr>
        <w:t>Mildeberg</w:t>
      </w:r>
      <w:proofErr w:type="spellEnd"/>
      <w:r w:rsidRPr="008160CF">
        <w:rPr>
          <w:shd w:val="clear" w:color="auto" w:fill="FFFFFF"/>
        </w:rPr>
        <w:t xml:space="preserve">, S., </w:t>
      </w:r>
      <w:proofErr w:type="spellStart"/>
      <w:r w:rsidRPr="008160CF">
        <w:rPr>
          <w:shd w:val="clear" w:color="auto" w:fill="FFFFFF"/>
        </w:rPr>
        <w:t>Dołzbłasz</w:t>
      </w:r>
      <w:proofErr w:type="spellEnd"/>
      <w:r w:rsidRPr="008160CF">
        <w:rPr>
          <w:shd w:val="clear" w:color="auto" w:fill="FFFFFF"/>
        </w:rPr>
        <w:t xml:space="preserve">, S. and </w:t>
      </w:r>
      <w:proofErr w:type="spellStart"/>
      <w:r w:rsidRPr="008160CF">
        <w:rPr>
          <w:shd w:val="clear" w:color="auto" w:fill="FFFFFF"/>
        </w:rPr>
        <w:t>Grochowska</w:t>
      </w:r>
      <w:proofErr w:type="spellEnd"/>
      <w:r w:rsidRPr="008160CF">
        <w:rPr>
          <w:shd w:val="clear" w:color="auto" w:fill="FFFFFF"/>
        </w:rPr>
        <w:t>, A., 2025. Policies on industrial heritage tourism as a tool for sustainable regional development? a Central and Eastern European analysis. </w:t>
      </w:r>
      <w:r w:rsidRPr="008160CF">
        <w:rPr>
          <w:i/>
          <w:iCs/>
          <w:shd w:val="clear" w:color="auto" w:fill="FFFFFF"/>
        </w:rPr>
        <w:t>Tourism Recreation Research</w:t>
      </w:r>
      <w:r w:rsidRPr="008160CF">
        <w:rPr>
          <w:shd w:val="clear" w:color="auto" w:fill="FFFFFF"/>
        </w:rPr>
        <w:t>, pp.1-14.</w:t>
      </w:r>
    </w:p>
    <w:p w14:paraId="69B09659" w14:textId="77777777" w:rsidR="008160CF" w:rsidRPr="008160CF" w:rsidRDefault="008160CF" w:rsidP="008160CF">
      <w:pPr>
        <w:ind w:left="720" w:hanging="720"/>
        <w:rPr>
          <w:shd w:val="clear" w:color="auto" w:fill="FFFFFF"/>
        </w:rPr>
      </w:pPr>
      <w:r w:rsidRPr="008160CF">
        <w:rPr>
          <w:shd w:val="clear" w:color="auto" w:fill="FFFFFF"/>
        </w:rPr>
        <w:t>Healey, N.M., 2023. Reinventing international higher education for a socially just, sustainable world. </w:t>
      </w:r>
      <w:r w:rsidRPr="008160CF">
        <w:rPr>
          <w:i/>
          <w:iCs/>
          <w:shd w:val="clear" w:color="auto" w:fill="FFFFFF"/>
        </w:rPr>
        <w:t>Perspectives: Policy and practice in higher education</w:t>
      </w:r>
      <w:r w:rsidRPr="008160CF">
        <w:rPr>
          <w:shd w:val="clear" w:color="auto" w:fill="FFFFFF"/>
        </w:rPr>
        <w:t>, </w:t>
      </w:r>
      <w:r w:rsidRPr="008160CF">
        <w:rPr>
          <w:i/>
          <w:iCs/>
          <w:shd w:val="clear" w:color="auto" w:fill="FFFFFF"/>
        </w:rPr>
        <w:t>27</w:t>
      </w:r>
      <w:r w:rsidRPr="008160CF">
        <w:rPr>
          <w:shd w:val="clear" w:color="auto" w:fill="FFFFFF"/>
        </w:rPr>
        <w:t>(4), pp.169-178.</w:t>
      </w:r>
    </w:p>
    <w:p w14:paraId="3684D5BC" w14:textId="77777777" w:rsidR="008160CF" w:rsidRPr="008160CF" w:rsidRDefault="008160CF" w:rsidP="008160CF">
      <w:pPr>
        <w:ind w:left="720" w:hanging="720"/>
        <w:rPr>
          <w:shd w:val="clear" w:color="auto" w:fill="FFFFFF"/>
        </w:rPr>
      </w:pPr>
      <w:proofErr w:type="spellStart"/>
      <w:r w:rsidRPr="008160CF">
        <w:rPr>
          <w:shd w:val="clear" w:color="auto" w:fill="FFFFFF"/>
        </w:rPr>
        <w:t>Kontovas</w:t>
      </w:r>
      <w:proofErr w:type="spellEnd"/>
      <w:r w:rsidRPr="008160CF">
        <w:rPr>
          <w:shd w:val="clear" w:color="auto" w:fill="FFFFFF"/>
        </w:rPr>
        <w:t xml:space="preserve">, C., Bras, A.A., Chang, C.H., Romano, A., Poo, M.C.P., Wang, J., McCormack, H., Qu, Z., </w:t>
      </w:r>
      <w:proofErr w:type="spellStart"/>
      <w:r w:rsidRPr="008160CF">
        <w:rPr>
          <w:shd w:val="clear" w:color="auto" w:fill="FFFFFF"/>
        </w:rPr>
        <w:t>Paraskevadakis</w:t>
      </w:r>
      <w:proofErr w:type="spellEnd"/>
      <w:r w:rsidRPr="008160CF">
        <w:rPr>
          <w:shd w:val="clear" w:color="auto" w:fill="FFFFFF"/>
        </w:rPr>
        <w:t>, D., Lamb, L. and Yang, Z., 2022. Fostering innovation in the blue economy within the United Kingdom (UK): A stakeholders’ perspective. </w:t>
      </w:r>
      <w:r w:rsidRPr="008160CF">
        <w:rPr>
          <w:i/>
          <w:iCs/>
          <w:shd w:val="clear" w:color="auto" w:fill="FFFFFF"/>
        </w:rPr>
        <w:t>Ocean &amp; Coastal Management</w:t>
      </w:r>
      <w:r w:rsidRPr="008160CF">
        <w:rPr>
          <w:shd w:val="clear" w:color="auto" w:fill="FFFFFF"/>
        </w:rPr>
        <w:t>, </w:t>
      </w:r>
      <w:r w:rsidRPr="008160CF">
        <w:rPr>
          <w:i/>
          <w:iCs/>
          <w:shd w:val="clear" w:color="auto" w:fill="FFFFFF"/>
        </w:rPr>
        <w:t>224</w:t>
      </w:r>
      <w:r w:rsidRPr="008160CF">
        <w:rPr>
          <w:shd w:val="clear" w:color="auto" w:fill="FFFFFF"/>
        </w:rPr>
        <w:t>, p.106143.</w:t>
      </w:r>
    </w:p>
    <w:p w14:paraId="21085B60" w14:textId="77777777" w:rsidR="008160CF" w:rsidRDefault="008160CF" w:rsidP="009930BF">
      <w:pPr>
        <w:pStyle w:val="NormalWeb"/>
        <w:spacing w:before="0" w:beforeAutospacing="0" w:after="240" w:afterAutospacing="0" w:line="360" w:lineRule="auto"/>
        <w:jc w:val="both"/>
      </w:pPr>
      <w:r>
        <w:t xml:space="preserve">Kumar, P. (2021). </w:t>
      </w:r>
      <w:r>
        <w:rPr>
          <w:i/>
          <w:iCs/>
        </w:rPr>
        <w:t>Hospitality and Tourism Information Technology</w:t>
      </w:r>
      <w:r>
        <w:t xml:space="preserve">. USF M3 Publishing, </w:t>
      </w:r>
      <w:r>
        <w:tab/>
        <w:t xml:space="preserve">LLC. </w:t>
      </w:r>
      <w:proofErr w:type="spellStart"/>
      <w:r>
        <w:t>doi:https</w:t>
      </w:r>
      <w:proofErr w:type="spellEnd"/>
      <w:r>
        <w:t>://doi.org/10.5038/9781732127593.</w:t>
      </w:r>
    </w:p>
    <w:p w14:paraId="58A62FB1" w14:textId="77777777" w:rsidR="008160CF" w:rsidRDefault="008160CF" w:rsidP="009930BF">
      <w:pPr>
        <w:pStyle w:val="NormalWeb"/>
        <w:spacing w:before="0" w:beforeAutospacing="0" w:after="240" w:afterAutospacing="0" w:line="360" w:lineRule="auto"/>
        <w:jc w:val="both"/>
      </w:pPr>
      <w:proofErr w:type="spellStart"/>
      <w:r>
        <w:t>Mair</w:t>
      </w:r>
      <w:proofErr w:type="spellEnd"/>
      <w:r>
        <w:t xml:space="preserve">, J. and Smith, A. (2022). Events and sustainability: why making events more </w:t>
      </w:r>
      <w:r>
        <w:tab/>
        <w:t xml:space="preserve">sustainable is not enough. </w:t>
      </w:r>
      <w:r>
        <w:rPr>
          <w:i/>
          <w:iCs/>
        </w:rPr>
        <w:t xml:space="preserve">Events and sustainability: why making events more </w:t>
      </w:r>
      <w:r>
        <w:rPr>
          <w:i/>
          <w:iCs/>
        </w:rPr>
        <w:tab/>
        <w:t>sustainable is not enough</w:t>
      </w:r>
      <w:r>
        <w:t xml:space="preserve">, pp.1–17. </w:t>
      </w:r>
      <w:proofErr w:type="spellStart"/>
      <w:r>
        <w:t>doi:https</w:t>
      </w:r>
      <w:proofErr w:type="spellEnd"/>
      <w:r>
        <w:t>://doi.org/10.4324/9781003314295-1.</w:t>
      </w:r>
    </w:p>
    <w:p w14:paraId="7A806D84" w14:textId="77777777" w:rsidR="008160CF" w:rsidRDefault="008160CF" w:rsidP="008160CF">
      <w:pPr>
        <w:ind w:left="720" w:hanging="720"/>
        <w:rPr>
          <w:shd w:val="clear" w:color="auto" w:fill="FFFFFF"/>
        </w:rPr>
      </w:pPr>
      <w:proofErr w:type="spellStart"/>
      <w:r w:rsidRPr="008160CF">
        <w:rPr>
          <w:shd w:val="clear" w:color="auto" w:fill="FFFFFF"/>
        </w:rPr>
        <w:t>McInch</w:t>
      </w:r>
      <w:proofErr w:type="spellEnd"/>
      <w:r w:rsidRPr="008160CF">
        <w:rPr>
          <w:shd w:val="clear" w:color="auto" w:fill="FFFFFF"/>
        </w:rPr>
        <w:t>, A. and Fleming, S., 2022. Sport policy formation and enactment in post-devolution Wales: 1999–2020. </w:t>
      </w:r>
      <w:r w:rsidRPr="008160CF">
        <w:rPr>
          <w:i/>
          <w:iCs/>
          <w:shd w:val="clear" w:color="auto" w:fill="FFFFFF"/>
        </w:rPr>
        <w:t>International Journal of Sport Policy and Politics</w:t>
      </w:r>
      <w:r w:rsidRPr="008160CF">
        <w:rPr>
          <w:shd w:val="clear" w:color="auto" w:fill="FFFFFF"/>
        </w:rPr>
        <w:t>, </w:t>
      </w:r>
      <w:r w:rsidRPr="008160CF">
        <w:rPr>
          <w:i/>
          <w:iCs/>
          <w:shd w:val="clear" w:color="auto" w:fill="FFFFFF"/>
        </w:rPr>
        <w:t>14</w:t>
      </w:r>
      <w:r w:rsidRPr="008160CF">
        <w:rPr>
          <w:shd w:val="clear" w:color="auto" w:fill="FFFFFF"/>
        </w:rPr>
        <w:t>(2), pp.225-237.</w:t>
      </w:r>
    </w:p>
    <w:p w14:paraId="2BF66773" w14:textId="77777777" w:rsidR="008160CF" w:rsidRDefault="008160CF" w:rsidP="009930BF">
      <w:pPr>
        <w:pStyle w:val="NormalWeb"/>
        <w:spacing w:before="0" w:beforeAutospacing="0" w:after="240" w:afterAutospacing="0" w:line="360" w:lineRule="auto"/>
        <w:jc w:val="both"/>
      </w:pPr>
      <w:r>
        <w:t xml:space="preserve">Menon, N. (2025). The Impact of Recent Global Events and Long-Term Industry Trends. </w:t>
      </w:r>
      <w:r>
        <w:tab/>
      </w:r>
      <w:r>
        <w:rPr>
          <w:i/>
          <w:iCs/>
        </w:rPr>
        <w:t>IGI Global eBooks</w:t>
      </w:r>
      <w:r>
        <w:t xml:space="preserve">, [online] pp.35–68. </w:t>
      </w:r>
      <w:proofErr w:type="spellStart"/>
      <w:r>
        <w:t>doi:https</w:t>
      </w:r>
      <w:proofErr w:type="spellEnd"/>
      <w:r>
        <w:t>://doi.org/10.4018/979-8-3693-</w:t>
      </w:r>
      <w:r>
        <w:tab/>
        <w:t>9760-2.ch002.</w:t>
      </w:r>
    </w:p>
    <w:p w14:paraId="26EB826B" w14:textId="77777777" w:rsidR="008160CF" w:rsidRPr="00DA263E" w:rsidRDefault="008160CF" w:rsidP="00DA263E">
      <w:pPr>
        <w:spacing w:before="0"/>
        <w:rPr>
          <w:rFonts w:eastAsia="Times New Roman" w:cs="Times New Roman"/>
          <w:szCs w:val="24"/>
          <w:lang w:val="en-US"/>
        </w:rPr>
      </w:pPr>
      <w:proofErr w:type="spellStart"/>
      <w:r w:rsidRPr="00DA263E">
        <w:rPr>
          <w:rFonts w:eastAsia="Times New Roman" w:cs="Times New Roman"/>
          <w:szCs w:val="24"/>
          <w:lang w:val="en-US"/>
        </w:rPr>
        <w:t>Moayerian</w:t>
      </w:r>
      <w:proofErr w:type="spellEnd"/>
      <w:r w:rsidRPr="00DA263E">
        <w:rPr>
          <w:rFonts w:eastAsia="Times New Roman" w:cs="Times New Roman"/>
          <w:szCs w:val="24"/>
          <w:lang w:val="en-US"/>
        </w:rPr>
        <w:t xml:space="preserve">, N., </w:t>
      </w:r>
      <w:proofErr w:type="spellStart"/>
      <w:r w:rsidRPr="00DA263E">
        <w:rPr>
          <w:rFonts w:eastAsia="Times New Roman" w:cs="Times New Roman"/>
          <w:szCs w:val="24"/>
          <w:lang w:val="en-US"/>
        </w:rPr>
        <w:t>McGehee</w:t>
      </w:r>
      <w:proofErr w:type="spellEnd"/>
      <w:r w:rsidRPr="00DA263E">
        <w:rPr>
          <w:rFonts w:eastAsia="Times New Roman" w:cs="Times New Roman"/>
          <w:szCs w:val="24"/>
          <w:lang w:val="en-US"/>
        </w:rPr>
        <w:t xml:space="preserve">, N.G. and Stephenson, M.O. (2022). Community cultural </w:t>
      </w:r>
      <w:r>
        <w:rPr>
          <w:rFonts w:eastAsia="Times New Roman" w:cs="Times New Roman"/>
          <w:szCs w:val="24"/>
          <w:lang w:val="en-US"/>
        </w:rPr>
        <w:tab/>
      </w:r>
      <w:r w:rsidRPr="00DA263E">
        <w:rPr>
          <w:rFonts w:eastAsia="Times New Roman" w:cs="Times New Roman"/>
          <w:szCs w:val="24"/>
          <w:lang w:val="en-US"/>
        </w:rPr>
        <w:t xml:space="preserve">development: Exploring the connections between collective art making, capacity </w:t>
      </w:r>
      <w:r>
        <w:rPr>
          <w:rFonts w:eastAsia="Times New Roman" w:cs="Times New Roman"/>
          <w:szCs w:val="24"/>
          <w:lang w:val="en-US"/>
        </w:rPr>
        <w:tab/>
      </w:r>
      <w:r w:rsidRPr="00DA263E">
        <w:rPr>
          <w:rFonts w:eastAsia="Times New Roman" w:cs="Times New Roman"/>
          <w:szCs w:val="24"/>
          <w:lang w:val="en-US"/>
        </w:rPr>
        <w:t xml:space="preserve">building and sustainable community-based tourism. </w:t>
      </w:r>
      <w:r w:rsidRPr="00DA263E">
        <w:rPr>
          <w:rFonts w:eastAsia="Times New Roman" w:cs="Times New Roman"/>
          <w:i/>
          <w:iCs/>
          <w:szCs w:val="24"/>
          <w:lang w:val="en-US"/>
        </w:rPr>
        <w:t>Annals of Tourism Research</w:t>
      </w:r>
      <w:r w:rsidRPr="00DA263E">
        <w:rPr>
          <w:rFonts w:eastAsia="Times New Roman" w:cs="Times New Roman"/>
          <w:szCs w:val="24"/>
          <w:lang w:val="en-US"/>
        </w:rPr>
        <w:t xml:space="preserve">, </w:t>
      </w:r>
      <w:r>
        <w:rPr>
          <w:rFonts w:eastAsia="Times New Roman" w:cs="Times New Roman"/>
          <w:szCs w:val="24"/>
          <w:lang w:val="en-US"/>
        </w:rPr>
        <w:tab/>
      </w:r>
      <w:r w:rsidRPr="00DA263E">
        <w:rPr>
          <w:rFonts w:eastAsia="Times New Roman" w:cs="Times New Roman"/>
          <w:szCs w:val="24"/>
          <w:lang w:val="en-US"/>
        </w:rPr>
        <w:t>93, p.103355. doi:https://doi.org/10.1016/j.annals.2022.103355.</w:t>
      </w:r>
    </w:p>
    <w:p w14:paraId="33F6FBF8" w14:textId="77777777" w:rsidR="008160CF" w:rsidRPr="00DA263E" w:rsidRDefault="008160CF" w:rsidP="00DA263E">
      <w:pPr>
        <w:spacing w:before="0"/>
        <w:rPr>
          <w:rFonts w:eastAsia="Times New Roman" w:cs="Times New Roman"/>
          <w:szCs w:val="24"/>
          <w:lang w:val="en-US"/>
        </w:rPr>
      </w:pPr>
      <w:proofErr w:type="spellStart"/>
      <w:r w:rsidRPr="00DA263E">
        <w:rPr>
          <w:rFonts w:eastAsia="Times New Roman" w:cs="Times New Roman"/>
          <w:szCs w:val="24"/>
          <w:lang w:val="en-US"/>
        </w:rPr>
        <w:t>Neuhofer</w:t>
      </w:r>
      <w:proofErr w:type="spellEnd"/>
      <w:r w:rsidRPr="00DA263E">
        <w:rPr>
          <w:rFonts w:eastAsia="Times New Roman" w:cs="Times New Roman"/>
          <w:szCs w:val="24"/>
          <w:lang w:val="en-US"/>
        </w:rPr>
        <w:t xml:space="preserve">, B., </w:t>
      </w:r>
      <w:proofErr w:type="spellStart"/>
      <w:r w:rsidRPr="00DA263E">
        <w:rPr>
          <w:rFonts w:eastAsia="Times New Roman" w:cs="Times New Roman"/>
          <w:szCs w:val="24"/>
          <w:lang w:val="en-US"/>
        </w:rPr>
        <w:t>Celuch</w:t>
      </w:r>
      <w:proofErr w:type="spellEnd"/>
      <w:r w:rsidRPr="00DA263E">
        <w:rPr>
          <w:rFonts w:eastAsia="Times New Roman" w:cs="Times New Roman"/>
          <w:szCs w:val="24"/>
          <w:lang w:val="en-US"/>
        </w:rPr>
        <w:t xml:space="preserve">, K. and </w:t>
      </w:r>
      <w:proofErr w:type="spellStart"/>
      <w:r w:rsidRPr="00DA263E">
        <w:rPr>
          <w:rFonts w:eastAsia="Times New Roman" w:cs="Times New Roman"/>
          <w:szCs w:val="24"/>
          <w:lang w:val="en-US"/>
        </w:rPr>
        <w:t>Rihova</w:t>
      </w:r>
      <w:proofErr w:type="spellEnd"/>
      <w:r w:rsidRPr="00DA263E">
        <w:rPr>
          <w:rFonts w:eastAsia="Times New Roman" w:cs="Times New Roman"/>
          <w:szCs w:val="24"/>
          <w:lang w:val="en-US"/>
        </w:rPr>
        <w:t xml:space="preserve">, I. (2024). The future of transformative events: an </w:t>
      </w:r>
      <w:r>
        <w:rPr>
          <w:rFonts w:eastAsia="Times New Roman" w:cs="Times New Roman"/>
          <w:szCs w:val="24"/>
          <w:lang w:val="en-US"/>
        </w:rPr>
        <w:tab/>
      </w:r>
      <w:r w:rsidRPr="00DA263E">
        <w:rPr>
          <w:rFonts w:eastAsia="Times New Roman" w:cs="Times New Roman"/>
          <w:szCs w:val="24"/>
          <w:lang w:val="en-US"/>
        </w:rPr>
        <w:t xml:space="preserve">event leaders’ perspective. </w:t>
      </w:r>
      <w:r w:rsidRPr="00DA263E">
        <w:rPr>
          <w:rFonts w:eastAsia="Times New Roman" w:cs="Times New Roman"/>
          <w:i/>
          <w:iCs/>
          <w:szCs w:val="24"/>
          <w:lang w:val="en-US"/>
        </w:rPr>
        <w:t xml:space="preserve">International journal of contemporary hospitality </w:t>
      </w:r>
      <w:r>
        <w:rPr>
          <w:rFonts w:eastAsia="Times New Roman" w:cs="Times New Roman"/>
          <w:i/>
          <w:iCs/>
          <w:szCs w:val="24"/>
          <w:lang w:val="en-US"/>
        </w:rPr>
        <w:tab/>
      </w:r>
      <w:r w:rsidRPr="00DA263E">
        <w:rPr>
          <w:rFonts w:eastAsia="Times New Roman" w:cs="Times New Roman"/>
          <w:i/>
          <w:iCs/>
          <w:szCs w:val="24"/>
          <w:lang w:val="en-US"/>
        </w:rPr>
        <w:t>management</w:t>
      </w:r>
      <w:r w:rsidRPr="00DA263E">
        <w:rPr>
          <w:rFonts w:eastAsia="Times New Roman" w:cs="Times New Roman"/>
          <w:szCs w:val="24"/>
          <w:lang w:val="en-US"/>
        </w:rPr>
        <w:t>, 36(10). doi:https://doi.org/10.1108/ijchm-07-2023-1027.</w:t>
      </w:r>
    </w:p>
    <w:p w14:paraId="4EA3B38D" w14:textId="77777777" w:rsidR="008160CF" w:rsidRPr="00DA263E" w:rsidRDefault="008160CF" w:rsidP="00DA263E">
      <w:pPr>
        <w:spacing w:before="0"/>
        <w:rPr>
          <w:rFonts w:eastAsia="Times New Roman" w:cs="Times New Roman"/>
          <w:szCs w:val="24"/>
          <w:lang w:val="en-US"/>
        </w:rPr>
      </w:pPr>
      <w:proofErr w:type="spellStart"/>
      <w:r w:rsidRPr="00DA263E">
        <w:rPr>
          <w:rFonts w:eastAsia="Times New Roman" w:cs="Times New Roman"/>
          <w:szCs w:val="24"/>
          <w:lang w:val="en-US"/>
        </w:rPr>
        <w:t>Ormerod</w:t>
      </w:r>
      <w:proofErr w:type="spellEnd"/>
      <w:r w:rsidRPr="00DA263E">
        <w:rPr>
          <w:rFonts w:eastAsia="Times New Roman" w:cs="Times New Roman"/>
          <w:szCs w:val="24"/>
          <w:lang w:val="en-US"/>
        </w:rPr>
        <w:t xml:space="preserve">, N. and Wood, E.H. (2020). Regional Event Tourism Funding Policies: A </w:t>
      </w:r>
      <w:r>
        <w:rPr>
          <w:rFonts w:eastAsia="Times New Roman" w:cs="Times New Roman"/>
          <w:szCs w:val="24"/>
          <w:lang w:val="en-US"/>
        </w:rPr>
        <w:tab/>
      </w:r>
      <w:r w:rsidRPr="00DA263E">
        <w:rPr>
          <w:rFonts w:eastAsia="Times New Roman" w:cs="Times New Roman"/>
          <w:szCs w:val="24"/>
          <w:lang w:val="en-US"/>
        </w:rPr>
        <w:t xml:space="preserve">Strategic-Relational Critique of Current Practice. </w:t>
      </w:r>
      <w:r w:rsidRPr="00DA263E">
        <w:rPr>
          <w:rFonts w:eastAsia="Times New Roman" w:cs="Times New Roman"/>
          <w:i/>
          <w:iCs/>
          <w:szCs w:val="24"/>
          <w:lang w:val="en-US"/>
        </w:rPr>
        <w:t>Journal of Travel Research</w:t>
      </w:r>
      <w:r w:rsidRPr="00DA263E">
        <w:rPr>
          <w:rFonts w:eastAsia="Times New Roman" w:cs="Times New Roman"/>
          <w:szCs w:val="24"/>
          <w:lang w:val="en-US"/>
        </w:rPr>
        <w:t xml:space="preserve">, </w:t>
      </w:r>
      <w:r>
        <w:rPr>
          <w:rFonts w:eastAsia="Times New Roman" w:cs="Times New Roman"/>
          <w:szCs w:val="24"/>
          <w:lang w:val="en-US"/>
        </w:rPr>
        <w:tab/>
      </w:r>
      <w:r w:rsidRPr="00DA263E">
        <w:rPr>
          <w:rFonts w:eastAsia="Times New Roman" w:cs="Times New Roman"/>
          <w:szCs w:val="24"/>
          <w:lang w:val="en-US"/>
        </w:rPr>
        <w:t>60(4), p.004728752091363. doi:https://doi.org/10.1177/0047287520913631.</w:t>
      </w:r>
    </w:p>
    <w:p w14:paraId="792C128B" w14:textId="77777777" w:rsidR="008160CF" w:rsidRPr="00DA263E" w:rsidRDefault="008160CF" w:rsidP="00DA263E">
      <w:pPr>
        <w:spacing w:before="0"/>
        <w:rPr>
          <w:rFonts w:eastAsia="Times New Roman" w:cs="Times New Roman"/>
          <w:szCs w:val="24"/>
          <w:lang w:val="en-US"/>
        </w:rPr>
      </w:pPr>
      <w:proofErr w:type="spellStart"/>
      <w:r w:rsidRPr="00DA263E">
        <w:rPr>
          <w:rFonts w:eastAsia="Times New Roman" w:cs="Times New Roman"/>
          <w:szCs w:val="24"/>
          <w:lang w:val="en-US"/>
        </w:rPr>
        <w:t>Pyankova</w:t>
      </w:r>
      <w:proofErr w:type="spellEnd"/>
      <w:r w:rsidRPr="00DA263E">
        <w:rPr>
          <w:rFonts w:eastAsia="Times New Roman" w:cs="Times New Roman"/>
          <w:szCs w:val="24"/>
          <w:lang w:val="en-US"/>
        </w:rPr>
        <w:t xml:space="preserve">, S., </w:t>
      </w:r>
      <w:proofErr w:type="spellStart"/>
      <w:r w:rsidRPr="00DA263E">
        <w:rPr>
          <w:rFonts w:eastAsia="Times New Roman" w:cs="Times New Roman"/>
          <w:szCs w:val="24"/>
          <w:lang w:val="en-US"/>
        </w:rPr>
        <w:t>Ergunova</w:t>
      </w:r>
      <w:proofErr w:type="spellEnd"/>
      <w:r w:rsidRPr="00DA263E">
        <w:rPr>
          <w:rFonts w:eastAsia="Times New Roman" w:cs="Times New Roman"/>
          <w:szCs w:val="24"/>
          <w:lang w:val="en-US"/>
        </w:rPr>
        <w:t xml:space="preserve">, O., </w:t>
      </w:r>
      <w:proofErr w:type="spellStart"/>
      <w:r w:rsidRPr="00DA263E">
        <w:rPr>
          <w:rFonts w:eastAsia="Times New Roman" w:cs="Times New Roman"/>
          <w:szCs w:val="24"/>
          <w:lang w:val="en-US"/>
        </w:rPr>
        <w:t>Bogomolova</w:t>
      </w:r>
      <w:proofErr w:type="spellEnd"/>
      <w:r w:rsidRPr="00DA263E">
        <w:rPr>
          <w:rFonts w:eastAsia="Times New Roman" w:cs="Times New Roman"/>
          <w:szCs w:val="24"/>
          <w:lang w:val="en-US"/>
        </w:rPr>
        <w:t xml:space="preserve">, I. and </w:t>
      </w:r>
      <w:proofErr w:type="spellStart"/>
      <w:r w:rsidRPr="00DA263E">
        <w:rPr>
          <w:rFonts w:eastAsia="Times New Roman" w:cs="Times New Roman"/>
          <w:szCs w:val="24"/>
          <w:lang w:val="en-US"/>
        </w:rPr>
        <w:t>Belyakova</w:t>
      </w:r>
      <w:proofErr w:type="spellEnd"/>
      <w:r w:rsidRPr="00DA263E">
        <w:rPr>
          <w:rFonts w:eastAsia="Times New Roman" w:cs="Times New Roman"/>
          <w:szCs w:val="24"/>
          <w:lang w:val="en-US"/>
        </w:rPr>
        <w:t xml:space="preserve">, N. (2022). Trends of </w:t>
      </w:r>
      <w:r>
        <w:rPr>
          <w:rFonts w:eastAsia="Times New Roman" w:cs="Times New Roman"/>
          <w:szCs w:val="24"/>
          <w:lang w:val="en-US"/>
        </w:rPr>
        <w:tab/>
      </w:r>
      <w:r w:rsidRPr="00DA263E">
        <w:rPr>
          <w:rFonts w:eastAsia="Times New Roman" w:cs="Times New Roman"/>
          <w:szCs w:val="24"/>
          <w:lang w:val="en-US"/>
        </w:rPr>
        <w:t xml:space="preserve">Integration of MICE-Tourism into Priority Areas of Socio-Economic Development </w:t>
      </w:r>
      <w:r>
        <w:rPr>
          <w:rFonts w:eastAsia="Times New Roman" w:cs="Times New Roman"/>
          <w:szCs w:val="24"/>
          <w:lang w:val="en-US"/>
        </w:rPr>
        <w:tab/>
      </w:r>
      <w:r w:rsidRPr="00DA263E">
        <w:rPr>
          <w:rFonts w:eastAsia="Times New Roman" w:cs="Times New Roman"/>
          <w:szCs w:val="24"/>
          <w:lang w:val="en-US"/>
        </w:rPr>
        <w:t xml:space="preserve">of the Region. </w:t>
      </w:r>
      <w:proofErr w:type="spellStart"/>
      <w:r w:rsidRPr="00DA263E">
        <w:rPr>
          <w:rFonts w:eastAsia="Times New Roman" w:cs="Times New Roman"/>
          <w:i/>
          <w:iCs/>
          <w:szCs w:val="24"/>
          <w:lang w:val="en-US"/>
        </w:rPr>
        <w:t>Regionalnaya</w:t>
      </w:r>
      <w:proofErr w:type="spellEnd"/>
      <w:r w:rsidRPr="00DA263E">
        <w:rPr>
          <w:rFonts w:eastAsia="Times New Roman" w:cs="Times New Roman"/>
          <w:i/>
          <w:iCs/>
          <w:szCs w:val="24"/>
          <w:lang w:val="en-US"/>
        </w:rPr>
        <w:t xml:space="preserve"> </w:t>
      </w:r>
      <w:proofErr w:type="spellStart"/>
      <w:r w:rsidRPr="00DA263E">
        <w:rPr>
          <w:rFonts w:eastAsia="Times New Roman" w:cs="Times New Roman"/>
          <w:i/>
          <w:iCs/>
          <w:szCs w:val="24"/>
          <w:lang w:val="en-US"/>
        </w:rPr>
        <w:t>ekonomika</w:t>
      </w:r>
      <w:proofErr w:type="spellEnd"/>
      <w:r w:rsidRPr="00DA263E">
        <w:rPr>
          <w:rFonts w:eastAsia="Times New Roman" w:cs="Times New Roman"/>
          <w:i/>
          <w:iCs/>
          <w:szCs w:val="24"/>
          <w:lang w:val="en-US"/>
        </w:rPr>
        <w:t xml:space="preserve">. </w:t>
      </w:r>
      <w:proofErr w:type="spellStart"/>
      <w:r w:rsidRPr="00DA263E">
        <w:rPr>
          <w:rFonts w:eastAsia="Times New Roman" w:cs="Times New Roman"/>
          <w:i/>
          <w:iCs/>
          <w:szCs w:val="24"/>
          <w:lang w:val="en-US"/>
        </w:rPr>
        <w:t>Yug</w:t>
      </w:r>
      <w:proofErr w:type="spellEnd"/>
      <w:r w:rsidRPr="00DA263E">
        <w:rPr>
          <w:rFonts w:eastAsia="Times New Roman" w:cs="Times New Roman"/>
          <w:i/>
          <w:iCs/>
          <w:szCs w:val="24"/>
          <w:lang w:val="en-US"/>
        </w:rPr>
        <w:t xml:space="preserve"> </w:t>
      </w:r>
      <w:proofErr w:type="spellStart"/>
      <w:r w:rsidRPr="00DA263E">
        <w:rPr>
          <w:rFonts w:eastAsia="Times New Roman" w:cs="Times New Roman"/>
          <w:i/>
          <w:iCs/>
          <w:szCs w:val="24"/>
          <w:lang w:val="en-US"/>
        </w:rPr>
        <w:t>Rossii</w:t>
      </w:r>
      <w:proofErr w:type="spellEnd"/>
      <w:r w:rsidRPr="00DA263E">
        <w:rPr>
          <w:rFonts w:eastAsia="Times New Roman" w:cs="Times New Roman"/>
          <w:szCs w:val="24"/>
          <w:lang w:val="en-US"/>
        </w:rPr>
        <w:t xml:space="preserve">, (3), pp.16–27. </w:t>
      </w:r>
      <w:r>
        <w:rPr>
          <w:rFonts w:eastAsia="Times New Roman" w:cs="Times New Roman"/>
          <w:szCs w:val="24"/>
          <w:lang w:val="en-US"/>
        </w:rPr>
        <w:tab/>
      </w:r>
      <w:r w:rsidRPr="00DA263E">
        <w:rPr>
          <w:rFonts w:eastAsia="Times New Roman" w:cs="Times New Roman"/>
          <w:szCs w:val="24"/>
          <w:lang w:val="en-US"/>
        </w:rPr>
        <w:t>doi:https://doi.org/10.15688/re.volsu.2022.3.2.</w:t>
      </w:r>
    </w:p>
    <w:p w14:paraId="2AD05509" w14:textId="77777777" w:rsidR="008160CF" w:rsidRDefault="008160CF" w:rsidP="009930BF">
      <w:pPr>
        <w:pStyle w:val="NormalWeb"/>
        <w:spacing w:before="0" w:beforeAutospacing="0" w:after="240" w:afterAutospacing="0" w:line="360" w:lineRule="auto"/>
        <w:jc w:val="both"/>
      </w:pPr>
      <w:proofErr w:type="spellStart"/>
      <w:r>
        <w:t>Refiloe</w:t>
      </w:r>
      <w:proofErr w:type="spellEnd"/>
      <w:r>
        <w:t xml:space="preserve"> Julia </w:t>
      </w:r>
      <w:proofErr w:type="spellStart"/>
      <w:r>
        <w:t>Lekgau</w:t>
      </w:r>
      <w:proofErr w:type="spellEnd"/>
      <w:r>
        <w:t xml:space="preserve"> and </w:t>
      </w:r>
      <w:proofErr w:type="spellStart"/>
      <w:r>
        <w:t>Tembi</w:t>
      </w:r>
      <w:proofErr w:type="spellEnd"/>
      <w:r>
        <w:t xml:space="preserve"> Maloney </w:t>
      </w:r>
      <w:proofErr w:type="spellStart"/>
      <w:r>
        <w:t>Tichaawa</w:t>
      </w:r>
      <w:proofErr w:type="spellEnd"/>
      <w:r>
        <w:t xml:space="preserve"> (2023). Dynamic Changes and </w:t>
      </w:r>
      <w:r>
        <w:tab/>
        <w:t xml:space="preserve">Recovery in Event Venues: Perspectives from MICE Event Planners and Venue </w:t>
      </w:r>
      <w:r>
        <w:tab/>
        <w:t xml:space="preserve">Managers. </w:t>
      </w:r>
      <w:proofErr w:type="spellStart"/>
      <w:r>
        <w:rPr>
          <w:i/>
          <w:iCs/>
        </w:rPr>
        <w:t>Studia</w:t>
      </w:r>
      <w:proofErr w:type="spellEnd"/>
      <w:r>
        <w:rPr>
          <w:i/>
          <w:iCs/>
        </w:rPr>
        <w:t xml:space="preserve"> </w:t>
      </w:r>
      <w:proofErr w:type="spellStart"/>
      <w:r>
        <w:rPr>
          <w:i/>
          <w:iCs/>
        </w:rPr>
        <w:t>Periegetica</w:t>
      </w:r>
      <w:proofErr w:type="spellEnd"/>
      <w:r>
        <w:t xml:space="preserve">. </w:t>
      </w:r>
      <w:proofErr w:type="spellStart"/>
      <w:r>
        <w:t>doi:https</w:t>
      </w:r>
      <w:proofErr w:type="spellEnd"/>
      <w:r>
        <w:t>://doi.org/10.58683/sp.598.</w:t>
      </w:r>
    </w:p>
    <w:p w14:paraId="155AFB89" w14:textId="77777777" w:rsidR="008160CF" w:rsidRPr="00DA263E" w:rsidRDefault="008160CF" w:rsidP="00DA263E">
      <w:pPr>
        <w:spacing w:before="100" w:beforeAutospacing="1" w:after="100" w:afterAutospacing="1"/>
        <w:rPr>
          <w:rFonts w:eastAsia="Times New Roman" w:cs="Times New Roman"/>
          <w:szCs w:val="24"/>
          <w:lang w:val="en-US"/>
        </w:rPr>
      </w:pPr>
      <w:r w:rsidRPr="00DA263E">
        <w:rPr>
          <w:rFonts w:eastAsia="Times New Roman" w:cs="Times New Roman"/>
          <w:szCs w:val="24"/>
          <w:lang w:val="en-US"/>
        </w:rPr>
        <w:t xml:space="preserve">Rogers, T. and Wynn-Moylan, P., 2022. </w:t>
      </w:r>
      <w:r w:rsidRPr="00DA263E">
        <w:rPr>
          <w:rFonts w:eastAsia="Times New Roman" w:cs="Times New Roman"/>
          <w:i/>
          <w:iCs/>
          <w:szCs w:val="24"/>
          <w:lang w:val="en-US"/>
        </w:rPr>
        <w:t>Conferences and conventions: a global industry</w:t>
      </w:r>
      <w:r w:rsidRPr="00DA263E">
        <w:rPr>
          <w:rFonts w:eastAsia="Times New Roman" w:cs="Times New Roman"/>
          <w:szCs w:val="24"/>
          <w:lang w:val="en-US"/>
        </w:rPr>
        <w:t xml:space="preserve">. </w:t>
      </w:r>
      <w:r>
        <w:rPr>
          <w:rFonts w:eastAsia="Times New Roman" w:cs="Times New Roman"/>
          <w:szCs w:val="24"/>
          <w:lang w:val="en-US"/>
        </w:rPr>
        <w:tab/>
      </w:r>
      <w:r w:rsidRPr="00DA263E">
        <w:rPr>
          <w:rFonts w:eastAsia="Times New Roman" w:cs="Times New Roman"/>
          <w:szCs w:val="24"/>
          <w:lang w:val="en-US"/>
        </w:rPr>
        <w:t>4th ed. Oxford: Routledge.</w:t>
      </w:r>
    </w:p>
    <w:p w14:paraId="5E707243" w14:textId="77777777" w:rsidR="008160CF" w:rsidRDefault="008160CF" w:rsidP="009930BF">
      <w:pPr>
        <w:pStyle w:val="NormalWeb"/>
        <w:spacing w:before="0" w:beforeAutospacing="0" w:after="240" w:afterAutospacing="0" w:line="360" w:lineRule="auto"/>
        <w:jc w:val="both"/>
      </w:pPr>
      <w:r>
        <w:t xml:space="preserve">Samuel, M., Choi, H., Kang, H. and Lee, M.J. (2021). Sustainable Event Planning: An </w:t>
      </w:r>
      <w:r>
        <w:tab/>
        <w:t xml:space="preserve">Exploration of University Conference Centers. </w:t>
      </w:r>
      <w:r>
        <w:rPr>
          <w:i/>
          <w:iCs/>
        </w:rPr>
        <w:t>Sustainability</w:t>
      </w:r>
      <w:r>
        <w:t xml:space="preserve">, 13(13), p.7194. </w:t>
      </w:r>
      <w:r>
        <w:tab/>
      </w:r>
      <w:proofErr w:type="spellStart"/>
      <w:r>
        <w:t>doi:https</w:t>
      </w:r>
      <w:proofErr w:type="spellEnd"/>
      <w:r>
        <w:t>://doi.org/10.3390/su13137194.</w:t>
      </w:r>
    </w:p>
    <w:p w14:paraId="11F7BDA5" w14:textId="77777777" w:rsidR="008160CF" w:rsidRDefault="008160CF" w:rsidP="009930BF">
      <w:pPr>
        <w:pStyle w:val="NormalWeb"/>
        <w:spacing w:before="0" w:beforeAutospacing="0" w:after="240" w:afterAutospacing="0" w:line="360" w:lineRule="auto"/>
        <w:jc w:val="both"/>
      </w:pPr>
      <w:proofErr w:type="spellStart"/>
      <w:r>
        <w:t>Tendai</w:t>
      </w:r>
      <w:proofErr w:type="spellEnd"/>
      <w:r>
        <w:t xml:space="preserve">, C. (2021). </w:t>
      </w:r>
      <w:r>
        <w:rPr>
          <w:i/>
          <w:iCs/>
        </w:rPr>
        <w:t xml:space="preserve">A critical assessment of the sectorial development potential of business </w:t>
      </w:r>
      <w:r>
        <w:rPr>
          <w:i/>
          <w:iCs/>
        </w:rPr>
        <w:tab/>
        <w:t>tourism events</w:t>
      </w:r>
      <w:r>
        <w:t xml:space="preserve">. [online] Available at: </w:t>
      </w:r>
      <w:r>
        <w:tab/>
        <w:t>https://repository.nwu.ac.za/handle/10394/37340.</w:t>
      </w:r>
    </w:p>
    <w:p w14:paraId="68330C86" w14:textId="77777777" w:rsidR="008160CF" w:rsidRDefault="008160CF" w:rsidP="00DA263E">
      <w:pPr>
        <w:spacing w:before="0"/>
        <w:rPr>
          <w:rFonts w:eastAsia="Times New Roman" w:cs="Times New Roman"/>
          <w:szCs w:val="24"/>
          <w:lang w:val="en-US"/>
        </w:rPr>
      </w:pPr>
      <w:proofErr w:type="spellStart"/>
      <w:r w:rsidRPr="00DA263E">
        <w:rPr>
          <w:rFonts w:eastAsia="Times New Roman" w:cs="Times New Roman"/>
          <w:szCs w:val="24"/>
          <w:lang w:val="en-US"/>
        </w:rPr>
        <w:t>Zhylenko</w:t>
      </w:r>
      <w:proofErr w:type="spellEnd"/>
      <w:r w:rsidRPr="00DA263E">
        <w:rPr>
          <w:rFonts w:eastAsia="Times New Roman" w:cs="Times New Roman"/>
          <w:szCs w:val="24"/>
          <w:lang w:val="en-US"/>
        </w:rPr>
        <w:t xml:space="preserve">, K.M., </w:t>
      </w:r>
      <w:proofErr w:type="spellStart"/>
      <w:r w:rsidRPr="00DA263E">
        <w:rPr>
          <w:rFonts w:eastAsia="Times New Roman" w:cs="Times New Roman"/>
          <w:szCs w:val="24"/>
          <w:lang w:val="en-US"/>
        </w:rPr>
        <w:t>Khalatur</w:t>
      </w:r>
      <w:proofErr w:type="spellEnd"/>
      <w:r w:rsidRPr="00DA263E">
        <w:rPr>
          <w:rFonts w:eastAsia="Times New Roman" w:cs="Times New Roman"/>
          <w:szCs w:val="24"/>
          <w:lang w:val="en-US"/>
        </w:rPr>
        <w:t xml:space="preserve">, S.M., </w:t>
      </w:r>
      <w:proofErr w:type="spellStart"/>
      <w:r w:rsidRPr="00DA263E">
        <w:rPr>
          <w:rFonts w:eastAsia="Times New Roman" w:cs="Times New Roman"/>
          <w:szCs w:val="24"/>
          <w:lang w:val="en-US"/>
        </w:rPr>
        <w:t>Pavlenko</w:t>
      </w:r>
      <w:proofErr w:type="spellEnd"/>
      <w:r w:rsidRPr="00DA263E">
        <w:rPr>
          <w:rFonts w:eastAsia="Times New Roman" w:cs="Times New Roman"/>
          <w:szCs w:val="24"/>
          <w:lang w:val="en-US"/>
        </w:rPr>
        <w:t xml:space="preserve">, O.P. and </w:t>
      </w:r>
      <w:proofErr w:type="spellStart"/>
      <w:r w:rsidRPr="00DA263E">
        <w:rPr>
          <w:rFonts w:eastAsia="Times New Roman" w:cs="Times New Roman"/>
          <w:szCs w:val="24"/>
          <w:lang w:val="en-US"/>
        </w:rPr>
        <w:t>Pavlenko</w:t>
      </w:r>
      <w:proofErr w:type="spellEnd"/>
      <w:r w:rsidRPr="00DA263E">
        <w:rPr>
          <w:rFonts w:eastAsia="Times New Roman" w:cs="Times New Roman"/>
          <w:szCs w:val="24"/>
          <w:lang w:val="en-US"/>
        </w:rPr>
        <w:t xml:space="preserve">, O.S. (2022). </w:t>
      </w:r>
      <w:r>
        <w:rPr>
          <w:rFonts w:eastAsia="Times New Roman" w:cs="Times New Roman"/>
          <w:szCs w:val="24"/>
          <w:lang w:val="en-US"/>
        </w:rPr>
        <w:tab/>
      </w:r>
      <w:r w:rsidRPr="00DA263E">
        <w:rPr>
          <w:rFonts w:eastAsia="Times New Roman" w:cs="Times New Roman"/>
          <w:szCs w:val="24"/>
          <w:lang w:val="en-US"/>
        </w:rPr>
        <w:t xml:space="preserve">FORMATION OF MACROECONOMIC INDICATORS UNDER THE </w:t>
      </w:r>
      <w:r>
        <w:rPr>
          <w:rFonts w:eastAsia="Times New Roman" w:cs="Times New Roman"/>
          <w:szCs w:val="24"/>
          <w:lang w:val="en-US"/>
        </w:rPr>
        <w:tab/>
      </w:r>
      <w:r w:rsidRPr="00DA263E">
        <w:rPr>
          <w:rFonts w:eastAsia="Times New Roman" w:cs="Times New Roman"/>
          <w:szCs w:val="24"/>
          <w:lang w:val="en-US"/>
        </w:rPr>
        <w:t xml:space="preserve">INFLUENCE OF MICE-TOURISM. </w:t>
      </w:r>
      <w:proofErr w:type="spellStart"/>
      <w:r w:rsidRPr="00DA263E">
        <w:rPr>
          <w:rFonts w:eastAsia="Times New Roman" w:cs="Times New Roman"/>
          <w:i/>
          <w:iCs/>
          <w:szCs w:val="24"/>
          <w:lang w:val="en-US"/>
        </w:rPr>
        <w:t>Akademìčnij</w:t>
      </w:r>
      <w:proofErr w:type="spellEnd"/>
      <w:r w:rsidRPr="00DA263E">
        <w:rPr>
          <w:rFonts w:eastAsia="Times New Roman" w:cs="Times New Roman"/>
          <w:i/>
          <w:iCs/>
          <w:szCs w:val="24"/>
          <w:lang w:val="en-US"/>
        </w:rPr>
        <w:t xml:space="preserve"> </w:t>
      </w:r>
      <w:proofErr w:type="spellStart"/>
      <w:r w:rsidRPr="00DA263E">
        <w:rPr>
          <w:rFonts w:eastAsia="Times New Roman" w:cs="Times New Roman"/>
          <w:i/>
          <w:iCs/>
          <w:szCs w:val="24"/>
          <w:lang w:val="en-US"/>
        </w:rPr>
        <w:t>oglâd</w:t>
      </w:r>
      <w:proofErr w:type="spellEnd"/>
      <w:r w:rsidRPr="00DA263E">
        <w:rPr>
          <w:rFonts w:eastAsia="Times New Roman" w:cs="Times New Roman"/>
          <w:szCs w:val="24"/>
          <w:lang w:val="en-US"/>
        </w:rPr>
        <w:t xml:space="preserve">, 2(57), pp.249–266. </w:t>
      </w:r>
      <w:r>
        <w:rPr>
          <w:rFonts w:eastAsia="Times New Roman" w:cs="Times New Roman"/>
          <w:szCs w:val="24"/>
          <w:lang w:val="en-US"/>
        </w:rPr>
        <w:tab/>
      </w:r>
      <w:r w:rsidRPr="00DA263E">
        <w:rPr>
          <w:rFonts w:eastAsia="Times New Roman" w:cs="Times New Roman"/>
          <w:szCs w:val="24"/>
          <w:lang w:val="en-US"/>
        </w:rPr>
        <w:t>doi:https://doi.org/10.32342/2074-5354-2022-2-57-19.</w:t>
      </w:r>
    </w:p>
    <w:p w14:paraId="2EA1D82C" w14:textId="77777777" w:rsidR="00DA263E" w:rsidRPr="00DA263E" w:rsidRDefault="00DA263E" w:rsidP="00DA263E">
      <w:pPr>
        <w:rPr>
          <w:lang w:val="en-US" w:eastAsia="en-GB"/>
        </w:rPr>
      </w:pPr>
    </w:p>
    <w:p w14:paraId="11EED9B8" w14:textId="73F22AA9" w:rsidR="00D16736" w:rsidRDefault="00D16736">
      <w:pPr>
        <w:spacing w:before="0" w:after="160" w:line="259" w:lineRule="auto"/>
        <w:jc w:val="left"/>
      </w:pPr>
    </w:p>
    <w:sectPr w:rsidR="00D16736" w:rsidSect="00AE7FC8">
      <w:headerReference w:type="even" r:id="rId12"/>
      <w:headerReference w:type="default" r:id="rId13"/>
      <w:footerReference w:type="even" r:id="rId14"/>
      <w:footerReference w:type="default" r:id="rId15"/>
      <w:headerReference w:type="first" r:id="rId16"/>
      <w:footerReference w:type="first" r:id="rId17"/>
      <w:type w:val="continuous"/>
      <w:pgSz w:w="1152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DF48F" w14:textId="77777777" w:rsidR="00856E9B" w:rsidRDefault="00856E9B" w:rsidP="007D675D">
      <w:pPr>
        <w:spacing w:before="0" w:after="0" w:line="240" w:lineRule="auto"/>
      </w:pPr>
      <w:r>
        <w:separator/>
      </w:r>
    </w:p>
  </w:endnote>
  <w:endnote w:type="continuationSeparator" w:id="0">
    <w:p w14:paraId="5DDB39EF" w14:textId="77777777" w:rsidR="00856E9B" w:rsidRDefault="00856E9B" w:rsidP="007D675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Microsoft YaHei"/>
    <w:panose1 w:val="02010600030101010101"/>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5B75" w14:textId="77777777" w:rsidR="00756E9C" w:rsidRDefault="00756E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B7638" w14:textId="77777777" w:rsidR="00756E9C" w:rsidRDefault="00756E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E5445" w14:textId="77777777" w:rsidR="00756E9C" w:rsidRDefault="00756E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0EC144" w14:textId="77777777" w:rsidR="00856E9B" w:rsidRDefault="00856E9B" w:rsidP="007D675D">
      <w:pPr>
        <w:spacing w:before="0" w:after="0" w:line="240" w:lineRule="auto"/>
      </w:pPr>
      <w:r>
        <w:separator/>
      </w:r>
    </w:p>
  </w:footnote>
  <w:footnote w:type="continuationSeparator" w:id="0">
    <w:p w14:paraId="24096873" w14:textId="77777777" w:rsidR="00856E9B" w:rsidRDefault="00856E9B" w:rsidP="007D675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48FAF" w14:textId="77777777" w:rsidR="00756E9C" w:rsidRDefault="00756E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4632009"/>
      <w:docPartObj>
        <w:docPartGallery w:val="Page Numbers (Top of Page)"/>
        <w:docPartUnique/>
      </w:docPartObj>
    </w:sdtPr>
    <w:sdtEndPr>
      <w:rPr>
        <w:noProof/>
      </w:rPr>
    </w:sdtEndPr>
    <w:sdtContent>
      <w:p w14:paraId="59C5B5F7" w14:textId="22176B27" w:rsidR="00AE7FC8" w:rsidRDefault="00AE7FC8" w:rsidP="00AE7FC8">
        <w:pPr>
          <w:pStyle w:val="Header"/>
          <w:jc w:val="right"/>
        </w:pPr>
        <w:r>
          <w:fldChar w:fldCharType="begin"/>
        </w:r>
        <w:r>
          <w:instrText xml:space="preserve"> PAGE   \* MERGEFORMAT </w:instrText>
        </w:r>
        <w:r>
          <w:fldChar w:fldCharType="separate"/>
        </w:r>
        <w:r w:rsidR="00C0201F">
          <w:rPr>
            <w:noProof/>
          </w:rPr>
          <w:t>17</w:t>
        </w:r>
        <w:r>
          <w:rPr>
            <w:noProof/>
          </w:rPr>
          <w:fldChar w:fldCharType="end"/>
        </w:r>
      </w:p>
    </w:sdtContent>
  </w:sdt>
  <w:p w14:paraId="10E29E46" w14:textId="77777777" w:rsidR="00AE7FC8" w:rsidRDefault="00AE7F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92FF1" w14:textId="77777777" w:rsidR="007D675D" w:rsidRDefault="007D675D" w:rsidP="00AE7FC8">
    <w:pPr>
      <w:pStyle w:val="Header"/>
      <w:ind w:left="360"/>
      <w:jc w:val="right"/>
    </w:pPr>
  </w:p>
  <w:p w14:paraId="33A123A4" w14:textId="77777777" w:rsidR="007D675D" w:rsidRDefault="007D67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F1EA9"/>
    <w:multiLevelType w:val="multilevel"/>
    <w:tmpl w:val="DFF0B2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79C2752"/>
    <w:multiLevelType w:val="multilevel"/>
    <w:tmpl w:val="320095A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FD175B1"/>
    <w:multiLevelType w:val="multilevel"/>
    <w:tmpl w:val="A3E04E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132533D4"/>
    <w:multiLevelType w:val="multilevel"/>
    <w:tmpl w:val="B9BCD2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464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3EE4054"/>
    <w:multiLevelType w:val="multilevel"/>
    <w:tmpl w:val="4A24B0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DC93A4F"/>
    <w:multiLevelType w:val="hybridMultilevel"/>
    <w:tmpl w:val="7464BD26"/>
    <w:lvl w:ilvl="0" w:tplc="B424624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AE1EC1"/>
    <w:multiLevelType w:val="multilevel"/>
    <w:tmpl w:val="9788E704"/>
    <w:lvl w:ilvl="0">
      <w:start w:val="1"/>
      <w:numFmt w:val="upperRoman"/>
      <w:lvlText w:val="%1."/>
      <w:lvlJc w:val="left"/>
      <w:pPr>
        <w:ind w:left="360" w:hanging="360"/>
      </w:pPr>
      <w:rPr>
        <w:rFonts w:hint="default"/>
      </w:rPr>
    </w:lvl>
    <w:lvl w:ilvl="1">
      <w:start w:val="1"/>
      <w:numFmt w:val="none"/>
      <w:lvlText w:val="1."/>
      <w:lvlJc w:val="left"/>
      <w:pPr>
        <w:ind w:left="720" w:hanging="360"/>
      </w:pPr>
      <w:rPr>
        <w:rFonts w:hint="default"/>
      </w:rPr>
    </w:lvl>
    <w:lvl w:ilvl="2">
      <w:start w:val="1"/>
      <w:numFmt w:val="lowerLetter"/>
      <w:lvlText w:val="%3)"/>
      <w:lvlJc w:val="left"/>
      <w:pPr>
        <w:ind w:left="45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63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43F14477"/>
    <w:multiLevelType w:val="multilevel"/>
    <w:tmpl w:val="F710C29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49133307"/>
    <w:multiLevelType w:val="multilevel"/>
    <w:tmpl w:val="D8500ABC"/>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57BC1938"/>
    <w:multiLevelType w:val="multilevel"/>
    <w:tmpl w:val="A348962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59E148C7"/>
    <w:multiLevelType w:val="hybridMultilevel"/>
    <w:tmpl w:val="D17C4288"/>
    <w:lvl w:ilvl="0" w:tplc="2AF2EAEC">
      <w:start w:val="1"/>
      <w:numFmt w:val="decimal"/>
      <w:lvlText w:val="%1.1. "/>
      <w:lvlJc w:val="left"/>
      <w:pPr>
        <w:ind w:left="360" w:hanging="360"/>
      </w:pPr>
      <w:rPr>
        <w:rFonts w:hint="default"/>
      </w:rPr>
    </w:lvl>
    <w:lvl w:ilvl="1" w:tplc="E8B870A4" w:tentative="1">
      <w:start w:val="1"/>
      <w:numFmt w:val="lowerLetter"/>
      <w:lvlText w:val="%2."/>
      <w:lvlJc w:val="left"/>
      <w:pPr>
        <w:ind w:left="1440" w:hanging="360"/>
      </w:pPr>
    </w:lvl>
    <w:lvl w:ilvl="2" w:tplc="BCE2CA6C" w:tentative="1">
      <w:start w:val="1"/>
      <w:numFmt w:val="lowerRoman"/>
      <w:lvlText w:val="%3."/>
      <w:lvlJc w:val="right"/>
      <w:pPr>
        <w:ind w:left="2160" w:hanging="180"/>
      </w:pPr>
    </w:lvl>
    <w:lvl w:ilvl="3" w:tplc="4AA4040A" w:tentative="1">
      <w:start w:val="1"/>
      <w:numFmt w:val="decimal"/>
      <w:lvlText w:val="%4."/>
      <w:lvlJc w:val="left"/>
      <w:pPr>
        <w:ind w:left="2880" w:hanging="360"/>
      </w:pPr>
    </w:lvl>
    <w:lvl w:ilvl="4" w:tplc="2F40FBB6" w:tentative="1">
      <w:start w:val="1"/>
      <w:numFmt w:val="lowerLetter"/>
      <w:lvlText w:val="%5."/>
      <w:lvlJc w:val="left"/>
      <w:pPr>
        <w:ind w:left="3600" w:hanging="360"/>
      </w:pPr>
    </w:lvl>
    <w:lvl w:ilvl="5" w:tplc="1A0C9310" w:tentative="1">
      <w:start w:val="1"/>
      <w:numFmt w:val="lowerRoman"/>
      <w:lvlText w:val="%6."/>
      <w:lvlJc w:val="right"/>
      <w:pPr>
        <w:ind w:left="4320" w:hanging="180"/>
      </w:pPr>
    </w:lvl>
    <w:lvl w:ilvl="6" w:tplc="68EEFC80" w:tentative="1">
      <w:start w:val="1"/>
      <w:numFmt w:val="decimal"/>
      <w:lvlText w:val="%7."/>
      <w:lvlJc w:val="left"/>
      <w:pPr>
        <w:ind w:left="5040" w:hanging="360"/>
      </w:pPr>
    </w:lvl>
    <w:lvl w:ilvl="7" w:tplc="7AE63224" w:tentative="1">
      <w:start w:val="1"/>
      <w:numFmt w:val="lowerLetter"/>
      <w:lvlText w:val="%8."/>
      <w:lvlJc w:val="left"/>
      <w:pPr>
        <w:ind w:left="5760" w:hanging="360"/>
      </w:pPr>
    </w:lvl>
    <w:lvl w:ilvl="8" w:tplc="01406DD8" w:tentative="1">
      <w:start w:val="1"/>
      <w:numFmt w:val="lowerRoman"/>
      <w:lvlText w:val="%9."/>
      <w:lvlJc w:val="right"/>
      <w:pPr>
        <w:ind w:left="6480" w:hanging="180"/>
      </w:pPr>
    </w:lvl>
  </w:abstractNum>
  <w:abstractNum w:abstractNumId="11" w15:restartNumberingAfterBreak="0">
    <w:nsid w:val="5BBF7EAC"/>
    <w:multiLevelType w:val="hybridMultilevel"/>
    <w:tmpl w:val="9E046CBE"/>
    <w:lvl w:ilvl="0" w:tplc="E1807544">
      <w:start w:val="1"/>
      <w:numFmt w:val="decimal"/>
      <w:lvlText w:val="%1.1.1. "/>
      <w:lvlJc w:val="left"/>
      <w:pPr>
        <w:ind w:left="1440" w:hanging="360"/>
      </w:pPr>
      <w:rPr>
        <w:rFonts w:hint="default"/>
      </w:rPr>
    </w:lvl>
    <w:lvl w:ilvl="1" w:tplc="3190B5BE" w:tentative="1">
      <w:start w:val="1"/>
      <w:numFmt w:val="lowerLetter"/>
      <w:lvlText w:val="%2."/>
      <w:lvlJc w:val="left"/>
      <w:pPr>
        <w:ind w:left="2160" w:hanging="360"/>
      </w:pPr>
    </w:lvl>
    <w:lvl w:ilvl="2" w:tplc="AE2A2C9C" w:tentative="1">
      <w:start w:val="1"/>
      <w:numFmt w:val="lowerRoman"/>
      <w:lvlText w:val="%3."/>
      <w:lvlJc w:val="right"/>
      <w:pPr>
        <w:ind w:left="2880" w:hanging="180"/>
      </w:pPr>
    </w:lvl>
    <w:lvl w:ilvl="3" w:tplc="C0866872" w:tentative="1">
      <w:start w:val="1"/>
      <w:numFmt w:val="decimal"/>
      <w:lvlText w:val="%4."/>
      <w:lvlJc w:val="left"/>
      <w:pPr>
        <w:ind w:left="3600" w:hanging="360"/>
      </w:pPr>
    </w:lvl>
    <w:lvl w:ilvl="4" w:tplc="3FCCE756" w:tentative="1">
      <w:start w:val="1"/>
      <w:numFmt w:val="lowerLetter"/>
      <w:lvlText w:val="%5."/>
      <w:lvlJc w:val="left"/>
      <w:pPr>
        <w:ind w:left="4320" w:hanging="360"/>
      </w:pPr>
    </w:lvl>
    <w:lvl w:ilvl="5" w:tplc="7CB216B2" w:tentative="1">
      <w:start w:val="1"/>
      <w:numFmt w:val="lowerRoman"/>
      <w:lvlText w:val="%6."/>
      <w:lvlJc w:val="right"/>
      <w:pPr>
        <w:ind w:left="5040" w:hanging="180"/>
      </w:pPr>
    </w:lvl>
    <w:lvl w:ilvl="6" w:tplc="1AD81950" w:tentative="1">
      <w:start w:val="1"/>
      <w:numFmt w:val="decimal"/>
      <w:lvlText w:val="%7."/>
      <w:lvlJc w:val="left"/>
      <w:pPr>
        <w:ind w:left="5760" w:hanging="360"/>
      </w:pPr>
    </w:lvl>
    <w:lvl w:ilvl="7" w:tplc="5CA6BB1C" w:tentative="1">
      <w:start w:val="1"/>
      <w:numFmt w:val="lowerLetter"/>
      <w:lvlText w:val="%8."/>
      <w:lvlJc w:val="left"/>
      <w:pPr>
        <w:ind w:left="6480" w:hanging="360"/>
      </w:pPr>
    </w:lvl>
    <w:lvl w:ilvl="8" w:tplc="D60AE5D0" w:tentative="1">
      <w:start w:val="1"/>
      <w:numFmt w:val="lowerRoman"/>
      <w:lvlText w:val="%9."/>
      <w:lvlJc w:val="right"/>
      <w:pPr>
        <w:ind w:left="7200" w:hanging="180"/>
      </w:pPr>
    </w:lvl>
  </w:abstractNum>
  <w:abstractNum w:abstractNumId="12" w15:restartNumberingAfterBreak="0">
    <w:nsid w:val="61792426"/>
    <w:multiLevelType w:val="multilevel"/>
    <w:tmpl w:val="D95AE8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DAB0C53"/>
    <w:multiLevelType w:val="multilevel"/>
    <w:tmpl w:val="B4E68FA4"/>
    <w:lvl w:ilvl="0">
      <w:start w:val="1"/>
      <w:numFmt w:val="decimal"/>
      <w:pStyle w:val="Style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DB461A3"/>
    <w:multiLevelType w:val="hybridMultilevel"/>
    <w:tmpl w:val="5352F53C"/>
    <w:lvl w:ilvl="0" w:tplc="B1CA0C70">
      <w:start w:val="1"/>
      <w:numFmt w:val="decimal"/>
      <w:lvlText w:val="%1.1. "/>
      <w:lvlJc w:val="left"/>
      <w:pPr>
        <w:ind w:left="720" w:hanging="360"/>
      </w:pPr>
      <w:rPr>
        <w:rFonts w:hint="default"/>
      </w:rPr>
    </w:lvl>
    <w:lvl w:ilvl="1" w:tplc="6B3E88B2" w:tentative="1">
      <w:start w:val="1"/>
      <w:numFmt w:val="lowerLetter"/>
      <w:lvlText w:val="%2."/>
      <w:lvlJc w:val="left"/>
      <w:pPr>
        <w:ind w:left="1440" w:hanging="360"/>
      </w:pPr>
    </w:lvl>
    <w:lvl w:ilvl="2" w:tplc="B3B00BE8" w:tentative="1">
      <w:start w:val="1"/>
      <w:numFmt w:val="lowerRoman"/>
      <w:lvlText w:val="%3."/>
      <w:lvlJc w:val="right"/>
      <w:pPr>
        <w:ind w:left="2160" w:hanging="180"/>
      </w:pPr>
    </w:lvl>
    <w:lvl w:ilvl="3" w:tplc="1648407A" w:tentative="1">
      <w:start w:val="1"/>
      <w:numFmt w:val="decimal"/>
      <w:lvlText w:val="%4."/>
      <w:lvlJc w:val="left"/>
      <w:pPr>
        <w:ind w:left="2880" w:hanging="360"/>
      </w:pPr>
    </w:lvl>
    <w:lvl w:ilvl="4" w:tplc="FB2213E0" w:tentative="1">
      <w:start w:val="1"/>
      <w:numFmt w:val="lowerLetter"/>
      <w:lvlText w:val="%5."/>
      <w:lvlJc w:val="left"/>
      <w:pPr>
        <w:ind w:left="3600" w:hanging="360"/>
      </w:pPr>
    </w:lvl>
    <w:lvl w:ilvl="5" w:tplc="CCBAADDA" w:tentative="1">
      <w:start w:val="1"/>
      <w:numFmt w:val="lowerRoman"/>
      <w:lvlText w:val="%6."/>
      <w:lvlJc w:val="right"/>
      <w:pPr>
        <w:ind w:left="4320" w:hanging="180"/>
      </w:pPr>
    </w:lvl>
    <w:lvl w:ilvl="6" w:tplc="1B60A9D4" w:tentative="1">
      <w:start w:val="1"/>
      <w:numFmt w:val="decimal"/>
      <w:lvlText w:val="%7."/>
      <w:lvlJc w:val="left"/>
      <w:pPr>
        <w:ind w:left="5040" w:hanging="360"/>
      </w:pPr>
    </w:lvl>
    <w:lvl w:ilvl="7" w:tplc="B9626C6C" w:tentative="1">
      <w:start w:val="1"/>
      <w:numFmt w:val="lowerLetter"/>
      <w:lvlText w:val="%8."/>
      <w:lvlJc w:val="left"/>
      <w:pPr>
        <w:ind w:left="5760" w:hanging="360"/>
      </w:pPr>
    </w:lvl>
    <w:lvl w:ilvl="8" w:tplc="CBAE71BC" w:tentative="1">
      <w:start w:val="1"/>
      <w:numFmt w:val="lowerRoman"/>
      <w:lvlText w:val="%9."/>
      <w:lvlJc w:val="right"/>
      <w:pPr>
        <w:ind w:left="6480" w:hanging="180"/>
      </w:pPr>
    </w:lvl>
  </w:abstractNum>
  <w:abstractNum w:abstractNumId="15" w15:restartNumberingAfterBreak="0">
    <w:nsid w:val="72991E28"/>
    <w:multiLevelType w:val="multilevel"/>
    <w:tmpl w:val="D07233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8F653BC"/>
    <w:multiLevelType w:val="hybridMultilevel"/>
    <w:tmpl w:val="8D347D34"/>
    <w:lvl w:ilvl="0" w:tplc="0C86C6AE">
      <w:start w:val="1"/>
      <w:numFmt w:val="decimal"/>
      <w:lvlText w:val="%1."/>
      <w:lvlJc w:val="left"/>
      <w:pPr>
        <w:ind w:left="985" w:hanging="360"/>
      </w:pPr>
    </w:lvl>
    <w:lvl w:ilvl="1" w:tplc="76F61CFA" w:tentative="1">
      <w:start w:val="1"/>
      <w:numFmt w:val="lowerLetter"/>
      <w:lvlText w:val="%2."/>
      <w:lvlJc w:val="left"/>
      <w:pPr>
        <w:ind w:left="1705" w:hanging="360"/>
      </w:pPr>
    </w:lvl>
    <w:lvl w:ilvl="2" w:tplc="0EA41642" w:tentative="1">
      <w:start w:val="1"/>
      <w:numFmt w:val="lowerRoman"/>
      <w:lvlText w:val="%3."/>
      <w:lvlJc w:val="right"/>
      <w:pPr>
        <w:ind w:left="2425" w:hanging="180"/>
      </w:pPr>
    </w:lvl>
    <w:lvl w:ilvl="3" w:tplc="604844C6" w:tentative="1">
      <w:start w:val="1"/>
      <w:numFmt w:val="decimal"/>
      <w:lvlText w:val="%4."/>
      <w:lvlJc w:val="left"/>
      <w:pPr>
        <w:ind w:left="3145" w:hanging="360"/>
      </w:pPr>
    </w:lvl>
    <w:lvl w:ilvl="4" w:tplc="DF22AC8E" w:tentative="1">
      <w:start w:val="1"/>
      <w:numFmt w:val="lowerLetter"/>
      <w:lvlText w:val="%5."/>
      <w:lvlJc w:val="left"/>
      <w:pPr>
        <w:ind w:left="3865" w:hanging="360"/>
      </w:pPr>
    </w:lvl>
    <w:lvl w:ilvl="5" w:tplc="6706CFF6" w:tentative="1">
      <w:start w:val="1"/>
      <w:numFmt w:val="lowerRoman"/>
      <w:lvlText w:val="%6."/>
      <w:lvlJc w:val="right"/>
      <w:pPr>
        <w:ind w:left="4585" w:hanging="180"/>
      </w:pPr>
    </w:lvl>
    <w:lvl w:ilvl="6" w:tplc="A07C26DE" w:tentative="1">
      <w:start w:val="1"/>
      <w:numFmt w:val="decimal"/>
      <w:lvlText w:val="%7."/>
      <w:lvlJc w:val="left"/>
      <w:pPr>
        <w:ind w:left="5305" w:hanging="360"/>
      </w:pPr>
    </w:lvl>
    <w:lvl w:ilvl="7" w:tplc="76E23A74" w:tentative="1">
      <w:start w:val="1"/>
      <w:numFmt w:val="lowerLetter"/>
      <w:lvlText w:val="%8."/>
      <w:lvlJc w:val="left"/>
      <w:pPr>
        <w:ind w:left="6025" w:hanging="360"/>
      </w:pPr>
    </w:lvl>
    <w:lvl w:ilvl="8" w:tplc="F5D0D846" w:tentative="1">
      <w:start w:val="1"/>
      <w:numFmt w:val="lowerRoman"/>
      <w:lvlText w:val="%9."/>
      <w:lvlJc w:val="right"/>
      <w:pPr>
        <w:ind w:left="6745" w:hanging="180"/>
      </w:pPr>
    </w:lvl>
  </w:abstractNum>
  <w:num w:numId="1" w16cid:durableId="911356591">
    <w:abstractNumId w:val="16"/>
  </w:num>
  <w:num w:numId="2" w16cid:durableId="1647514817">
    <w:abstractNumId w:val="14"/>
  </w:num>
  <w:num w:numId="3" w16cid:durableId="1433206845">
    <w:abstractNumId w:val="11"/>
  </w:num>
  <w:num w:numId="4" w16cid:durableId="1458138699">
    <w:abstractNumId w:val="10"/>
  </w:num>
  <w:num w:numId="5" w16cid:durableId="1693333846">
    <w:abstractNumId w:val="10"/>
  </w:num>
  <w:num w:numId="6" w16cid:durableId="465977800">
    <w:abstractNumId w:val="12"/>
  </w:num>
  <w:num w:numId="7" w16cid:durableId="3562792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726568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053752">
    <w:abstractNumId w:val="4"/>
  </w:num>
  <w:num w:numId="10" w16cid:durableId="378168431">
    <w:abstractNumId w:val="4"/>
  </w:num>
  <w:num w:numId="11" w16cid:durableId="1065569030">
    <w:abstractNumId w:val="2"/>
  </w:num>
  <w:num w:numId="12" w16cid:durableId="1438062253">
    <w:abstractNumId w:val="9"/>
  </w:num>
  <w:num w:numId="13" w16cid:durableId="1070272005">
    <w:abstractNumId w:val="9"/>
  </w:num>
  <w:num w:numId="14" w16cid:durableId="1004165348">
    <w:abstractNumId w:val="3"/>
  </w:num>
  <w:num w:numId="15" w16cid:durableId="974062036">
    <w:abstractNumId w:val="3"/>
  </w:num>
  <w:num w:numId="16" w16cid:durableId="611670603">
    <w:abstractNumId w:val="0"/>
  </w:num>
  <w:num w:numId="17" w16cid:durableId="1309475145">
    <w:abstractNumId w:val="6"/>
  </w:num>
  <w:num w:numId="18" w16cid:durableId="1042245200">
    <w:abstractNumId w:val="15"/>
  </w:num>
  <w:num w:numId="19" w16cid:durableId="1692560851">
    <w:abstractNumId w:val="15"/>
  </w:num>
  <w:num w:numId="20" w16cid:durableId="307436636">
    <w:abstractNumId w:val="7"/>
  </w:num>
  <w:num w:numId="21" w16cid:durableId="16396646">
    <w:abstractNumId w:val="7"/>
  </w:num>
  <w:num w:numId="22" w16cid:durableId="1886869161">
    <w:abstractNumId w:val="1"/>
  </w:num>
  <w:num w:numId="23" w16cid:durableId="566113090">
    <w:abstractNumId w:val="13"/>
  </w:num>
  <w:num w:numId="24" w16cid:durableId="2107849965">
    <w:abstractNumId w:val="8"/>
  </w:num>
  <w:num w:numId="25" w16cid:durableId="12950646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revisionView w:inkAnnotation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Y2MTExtDSwNDQwNTRW0lEKTi0uzszPAykwqgUAw+6XgSwAAAA="/>
  </w:docVars>
  <w:rsids>
    <w:rsidRoot w:val="00F64510"/>
    <w:rsid w:val="000116EA"/>
    <w:rsid w:val="0007065F"/>
    <w:rsid w:val="00097EA0"/>
    <w:rsid w:val="000C3FB2"/>
    <w:rsid w:val="000C7D52"/>
    <w:rsid w:val="001020B6"/>
    <w:rsid w:val="00116309"/>
    <w:rsid w:val="001263A0"/>
    <w:rsid w:val="00163901"/>
    <w:rsid w:val="00174200"/>
    <w:rsid w:val="001C7E81"/>
    <w:rsid w:val="001E28F4"/>
    <w:rsid w:val="00211DFC"/>
    <w:rsid w:val="002172C8"/>
    <w:rsid w:val="0022616C"/>
    <w:rsid w:val="00226A9D"/>
    <w:rsid w:val="0024432F"/>
    <w:rsid w:val="00247DEA"/>
    <w:rsid w:val="00255402"/>
    <w:rsid w:val="0029615E"/>
    <w:rsid w:val="0032444E"/>
    <w:rsid w:val="00343EB2"/>
    <w:rsid w:val="00394246"/>
    <w:rsid w:val="003B456D"/>
    <w:rsid w:val="003C507A"/>
    <w:rsid w:val="003D59F1"/>
    <w:rsid w:val="003E3DC2"/>
    <w:rsid w:val="00444864"/>
    <w:rsid w:val="00455638"/>
    <w:rsid w:val="00462828"/>
    <w:rsid w:val="004646AB"/>
    <w:rsid w:val="004C240A"/>
    <w:rsid w:val="004C6199"/>
    <w:rsid w:val="00527BCE"/>
    <w:rsid w:val="005573C5"/>
    <w:rsid w:val="00572A84"/>
    <w:rsid w:val="00575BC7"/>
    <w:rsid w:val="005A08F8"/>
    <w:rsid w:val="005B7002"/>
    <w:rsid w:val="005C22B9"/>
    <w:rsid w:val="005E66B0"/>
    <w:rsid w:val="006279E5"/>
    <w:rsid w:val="006314D8"/>
    <w:rsid w:val="00643965"/>
    <w:rsid w:val="00661900"/>
    <w:rsid w:val="00672094"/>
    <w:rsid w:val="00683318"/>
    <w:rsid w:val="00693402"/>
    <w:rsid w:val="006C507E"/>
    <w:rsid w:val="006E41FA"/>
    <w:rsid w:val="006E45F4"/>
    <w:rsid w:val="00717CE0"/>
    <w:rsid w:val="0073567A"/>
    <w:rsid w:val="00756E9C"/>
    <w:rsid w:val="007625D2"/>
    <w:rsid w:val="007A2E16"/>
    <w:rsid w:val="007D675D"/>
    <w:rsid w:val="007E5AA8"/>
    <w:rsid w:val="007F243B"/>
    <w:rsid w:val="00815123"/>
    <w:rsid w:val="008160CF"/>
    <w:rsid w:val="00856E9B"/>
    <w:rsid w:val="00863A5A"/>
    <w:rsid w:val="00865D99"/>
    <w:rsid w:val="00867731"/>
    <w:rsid w:val="00871A89"/>
    <w:rsid w:val="008866BC"/>
    <w:rsid w:val="008B4016"/>
    <w:rsid w:val="008E7718"/>
    <w:rsid w:val="00901F4B"/>
    <w:rsid w:val="009057DC"/>
    <w:rsid w:val="00906C21"/>
    <w:rsid w:val="00932C36"/>
    <w:rsid w:val="009474FC"/>
    <w:rsid w:val="009614F9"/>
    <w:rsid w:val="00982852"/>
    <w:rsid w:val="009930BF"/>
    <w:rsid w:val="009C2D11"/>
    <w:rsid w:val="00A054C4"/>
    <w:rsid w:val="00A07806"/>
    <w:rsid w:val="00A1327E"/>
    <w:rsid w:val="00A17102"/>
    <w:rsid w:val="00A37590"/>
    <w:rsid w:val="00A96DFD"/>
    <w:rsid w:val="00AD7AD6"/>
    <w:rsid w:val="00AE7FC8"/>
    <w:rsid w:val="00AF655C"/>
    <w:rsid w:val="00B41DDB"/>
    <w:rsid w:val="00B46FC6"/>
    <w:rsid w:val="00B53B28"/>
    <w:rsid w:val="00B64942"/>
    <w:rsid w:val="00B724CF"/>
    <w:rsid w:val="00B86865"/>
    <w:rsid w:val="00BC1242"/>
    <w:rsid w:val="00BF3AE9"/>
    <w:rsid w:val="00C0201F"/>
    <w:rsid w:val="00C16259"/>
    <w:rsid w:val="00C24476"/>
    <w:rsid w:val="00C41BF5"/>
    <w:rsid w:val="00C509AD"/>
    <w:rsid w:val="00C91E7E"/>
    <w:rsid w:val="00CA5410"/>
    <w:rsid w:val="00CC438B"/>
    <w:rsid w:val="00D16736"/>
    <w:rsid w:val="00D237EB"/>
    <w:rsid w:val="00D36005"/>
    <w:rsid w:val="00D74ECA"/>
    <w:rsid w:val="00D8564F"/>
    <w:rsid w:val="00DA263E"/>
    <w:rsid w:val="00DF7808"/>
    <w:rsid w:val="00E717D8"/>
    <w:rsid w:val="00EE0469"/>
    <w:rsid w:val="00EE7930"/>
    <w:rsid w:val="00EE7CC6"/>
    <w:rsid w:val="00F274CA"/>
    <w:rsid w:val="00F3015B"/>
    <w:rsid w:val="00F328EA"/>
    <w:rsid w:val="00F5775B"/>
    <w:rsid w:val="00F6192D"/>
    <w:rsid w:val="00F63313"/>
    <w:rsid w:val="00F64510"/>
    <w:rsid w:val="00F7290D"/>
    <w:rsid w:val="00F93FD5"/>
    <w:rsid w:val="00FA2EC2"/>
    <w:rsid w:val="00FF5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3789B1"/>
  <w15:chartTrackingRefBased/>
  <w15:docId w15:val="{8FED0B4C-48D4-4323-B01D-4DAD47C2E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08F8"/>
    <w:pPr>
      <w:spacing w:before="240" w:after="24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1"/>
    <w:qFormat/>
    <w:rsid w:val="00CA5410"/>
    <w:pPr>
      <w:widowControl w:val="0"/>
      <w:numPr>
        <w:numId w:val="24"/>
      </w:numPr>
      <w:autoSpaceDE w:val="0"/>
      <w:autoSpaceDN w:val="0"/>
      <w:adjustRightInd w:val="0"/>
      <w:spacing w:before="16" w:after="120"/>
      <w:outlineLvl w:val="0"/>
    </w:pPr>
    <w:rPr>
      <w:rFonts w:cs="Arial"/>
      <w:b/>
      <w:szCs w:val="32"/>
      <w:lang w:eastAsia="en-GB"/>
    </w:rPr>
  </w:style>
  <w:style w:type="paragraph" w:styleId="Heading2">
    <w:name w:val="heading 2"/>
    <w:basedOn w:val="Normal"/>
    <w:next w:val="Normal"/>
    <w:link w:val="Heading2Char"/>
    <w:autoRedefine/>
    <w:uiPriority w:val="9"/>
    <w:unhideWhenUsed/>
    <w:qFormat/>
    <w:rsid w:val="000C7D52"/>
    <w:pPr>
      <w:keepNext/>
      <w:keepLines/>
      <w:numPr>
        <w:ilvl w:val="1"/>
        <w:numId w:val="24"/>
      </w:numPr>
      <w:spacing w:before="40"/>
      <w:outlineLvl w:val="1"/>
    </w:pPr>
    <w:rPr>
      <w:rFonts w:eastAsia="Times New Roman"/>
      <w:b/>
      <w:bCs/>
      <w:i/>
      <w:iCs/>
      <w:color w:val="000000" w:themeColor="text1"/>
      <w:kern w:val="2"/>
      <w:szCs w:val="24"/>
      <w14:ligatures w14:val="standardContextual"/>
    </w:rPr>
  </w:style>
  <w:style w:type="paragraph" w:styleId="Heading3">
    <w:name w:val="heading 3"/>
    <w:basedOn w:val="Normal"/>
    <w:next w:val="Normal"/>
    <w:link w:val="Heading3Char"/>
    <w:autoRedefine/>
    <w:uiPriority w:val="9"/>
    <w:unhideWhenUsed/>
    <w:qFormat/>
    <w:rsid w:val="00815123"/>
    <w:pPr>
      <w:keepNext/>
      <w:keepLines/>
      <w:numPr>
        <w:ilvl w:val="2"/>
        <w:numId w:val="24"/>
      </w:numPr>
      <w:outlineLvl w:val="2"/>
    </w:pPr>
    <w:rPr>
      <w:rFonts w:eastAsia="Times New Roman"/>
      <w:b/>
      <w:color w:val="000000" w:themeColor="text1"/>
      <w:kern w:val="2"/>
      <w:szCs w:val="24"/>
      <w14:ligatures w14:val="standardContextual"/>
    </w:rPr>
  </w:style>
  <w:style w:type="paragraph" w:styleId="Heading4">
    <w:name w:val="heading 4"/>
    <w:basedOn w:val="Normal"/>
    <w:next w:val="Normal"/>
    <w:link w:val="Heading4Char"/>
    <w:uiPriority w:val="9"/>
    <w:semiHidden/>
    <w:unhideWhenUsed/>
    <w:qFormat/>
    <w:rsid w:val="000C7D52"/>
    <w:pPr>
      <w:keepNext/>
      <w:keepLines/>
      <w:numPr>
        <w:ilvl w:val="3"/>
        <w:numId w:val="2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C7D52"/>
    <w:pPr>
      <w:keepNext/>
      <w:keepLines/>
      <w:numPr>
        <w:ilvl w:val="4"/>
        <w:numId w:val="2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C7D52"/>
    <w:pPr>
      <w:keepNext/>
      <w:keepLines/>
      <w:numPr>
        <w:ilvl w:val="5"/>
        <w:numId w:val="2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C7D52"/>
    <w:pPr>
      <w:keepNext/>
      <w:keepLines/>
      <w:numPr>
        <w:ilvl w:val="6"/>
        <w:numId w:val="2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C7D52"/>
    <w:pPr>
      <w:keepNext/>
      <w:keepLines/>
      <w:numPr>
        <w:ilvl w:val="7"/>
        <w:numId w:val="2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C7D52"/>
    <w:pPr>
      <w:keepNext/>
      <w:keepLines/>
      <w:numPr>
        <w:ilvl w:val="8"/>
        <w:numId w:val="2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rsid w:val="00CA5410"/>
    <w:rPr>
      <w:rFonts w:ascii="Times New Roman" w:hAnsi="Times New Roman" w:cs="Arial"/>
      <w:b/>
      <w:sz w:val="24"/>
      <w:szCs w:val="32"/>
      <w:lang w:val="en-GB" w:eastAsia="en-GB"/>
    </w:rPr>
  </w:style>
  <w:style w:type="character" w:customStyle="1" w:styleId="Heading2Char">
    <w:name w:val="Heading 2 Char"/>
    <w:basedOn w:val="DefaultParagraphFont"/>
    <w:link w:val="Heading2"/>
    <w:uiPriority w:val="9"/>
    <w:rsid w:val="000C7D52"/>
    <w:rPr>
      <w:rFonts w:ascii="Times New Roman" w:eastAsia="Times New Roman" w:hAnsi="Times New Roman"/>
      <w:b/>
      <w:bCs/>
      <w:i/>
      <w:iCs/>
      <w:color w:val="000000" w:themeColor="text1"/>
      <w:kern w:val="2"/>
      <w:sz w:val="24"/>
      <w:szCs w:val="24"/>
      <w:lang w:val="en-GB"/>
      <w14:ligatures w14:val="standardContextual"/>
    </w:rPr>
  </w:style>
  <w:style w:type="character" w:customStyle="1" w:styleId="Heading3Char">
    <w:name w:val="Heading 3 Char"/>
    <w:basedOn w:val="DefaultParagraphFont"/>
    <w:link w:val="Heading3"/>
    <w:uiPriority w:val="9"/>
    <w:rsid w:val="00815123"/>
    <w:rPr>
      <w:rFonts w:ascii="Times New Roman" w:eastAsia="Times New Roman" w:hAnsi="Times New Roman"/>
      <w:b/>
      <w:color w:val="000000" w:themeColor="text1"/>
      <w:kern w:val="2"/>
      <w:sz w:val="24"/>
      <w:szCs w:val="24"/>
      <w:lang w:val="en-GB"/>
      <w14:ligatures w14:val="standardContextual"/>
    </w:rPr>
  </w:style>
  <w:style w:type="paragraph" w:styleId="Subtitle">
    <w:name w:val="Subtitle"/>
    <w:basedOn w:val="Normal"/>
    <w:next w:val="Normal"/>
    <w:link w:val="SubtitleChar"/>
    <w:uiPriority w:val="11"/>
    <w:qFormat/>
    <w:rsid w:val="004C6199"/>
    <w:pPr>
      <w:numPr>
        <w:ilvl w:val="1"/>
      </w:numPr>
      <w:ind w:firstLine="432"/>
    </w:pPr>
    <w:rPr>
      <w:rFonts w:asciiTheme="minorHAnsi" w:hAnsiTheme="minorHAnsi"/>
      <w:b/>
      <w:color w:val="000000" w:themeColor="text1"/>
      <w:spacing w:val="15"/>
      <w:sz w:val="22"/>
    </w:rPr>
  </w:style>
  <w:style w:type="character" w:customStyle="1" w:styleId="SubtitleChar">
    <w:name w:val="Subtitle Char"/>
    <w:basedOn w:val="DefaultParagraphFont"/>
    <w:link w:val="Subtitle"/>
    <w:uiPriority w:val="11"/>
    <w:rsid w:val="004C6199"/>
    <w:rPr>
      <w:rFonts w:eastAsiaTheme="minorEastAsia"/>
      <w:b/>
      <w:color w:val="000000" w:themeColor="text1"/>
      <w:spacing w:val="15"/>
      <w:kern w:val="2"/>
      <w14:ligatures w14:val="standardContextual"/>
    </w:rPr>
  </w:style>
  <w:style w:type="paragraph" w:styleId="BodyText">
    <w:name w:val="Body Text"/>
    <w:basedOn w:val="Normal"/>
    <w:link w:val="BodyTextChar"/>
    <w:uiPriority w:val="99"/>
    <w:semiHidden/>
    <w:unhideWhenUsed/>
    <w:rsid w:val="00E717D8"/>
  </w:style>
  <w:style w:type="character" w:customStyle="1" w:styleId="BodyTextChar">
    <w:name w:val="Body Text Char"/>
    <w:basedOn w:val="DefaultParagraphFont"/>
    <w:link w:val="BodyText"/>
    <w:uiPriority w:val="99"/>
    <w:semiHidden/>
    <w:rsid w:val="00E717D8"/>
    <w:rPr>
      <w:rFonts w:ascii="Times New Roman" w:eastAsiaTheme="minorEastAsia" w:hAnsi="Times New Roman"/>
      <w:kern w:val="2"/>
      <w:sz w:val="24"/>
      <w:lang w:eastAsia="zh-CN"/>
      <w14:ligatures w14:val="standardContextual"/>
    </w:rPr>
  </w:style>
  <w:style w:type="paragraph" w:customStyle="1" w:styleId="Style1">
    <w:name w:val="Style1"/>
    <w:basedOn w:val="Normal"/>
    <w:link w:val="Style1Char"/>
    <w:autoRedefine/>
    <w:qFormat/>
    <w:rsid w:val="00EE0469"/>
    <w:pPr>
      <w:spacing w:before="100" w:beforeAutospacing="1" w:after="100" w:afterAutospacing="1"/>
    </w:pPr>
    <w:rPr>
      <w:rFonts w:eastAsia="Times New Roman" w:cs="Times New Roman"/>
      <w:b/>
      <w:bCs/>
      <w:szCs w:val="24"/>
    </w:rPr>
  </w:style>
  <w:style w:type="character" w:customStyle="1" w:styleId="Style1Char">
    <w:name w:val="Style1 Char"/>
    <w:basedOn w:val="DefaultParagraphFont"/>
    <w:link w:val="Style1"/>
    <w:locked/>
    <w:rsid w:val="00EE0469"/>
    <w:rPr>
      <w:rFonts w:ascii="Times New Roman" w:eastAsia="Times New Roman" w:hAnsi="Times New Roman" w:cs="Times New Roman"/>
      <w:b/>
      <w:bCs/>
      <w:sz w:val="24"/>
      <w:szCs w:val="24"/>
    </w:rPr>
  </w:style>
  <w:style w:type="paragraph" w:customStyle="1" w:styleId="Style2">
    <w:name w:val="Style2"/>
    <w:basedOn w:val="Heading1"/>
    <w:link w:val="Style2Char"/>
    <w:autoRedefine/>
    <w:qFormat/>
    <w:rsid w:val="00865D99"/>
    <w:pPr>
      <w:numPr>
        <w:numId w:val="23"/>
      </w:numPr>
      <w:ind w:left="432" w:hanging="432"/>
    </w:pPr>
    <w:rPr>
      <w:rFonts w:eastAsia="DengXian Light" w:cs="Calibri"/>
      <w:sz w:val="22"/>
      <w:lang w:val="en-ZW"/>
    </w:rPr>
  </w:style>
  <w:style w:type="character" w:customStyle="1" w:styleId="Style2Char">
    <w:name w:val="Style2 Char"/>
    <w:link w:val="Style2"/>
    <w:locked/>
    <w:rsid w:val="00865D99"/>
    <w:rPr>
      <w:rFonts w:ascii="Times New Roman" w:eastAsia="DengXian Light" w:hAnsi="Times New Roman" w:cs="Calibri"/>
      <w:b/>
      <w:szCs w:val="24"/>
      <w:lang w:val="en-ZW"/>
    </w:rPr>
  </w:style>
  <w:style w:type="paragraph" w:customStyle="1" w:styleId="Style3">
    <w:name w:val="Style3"/>
    <w:basedOn w:val="Heading2"/>
    <w:link w:val="Style3Char"/>
    <w:autoRedefine/>
    <w:qFormat/>
    <w:rsid w:val="00865D99"/>
    <w:pPr>
      <w:adjustRightInd w:val="0"/>
      <w:spacing w:after="160"/>
      <w:ind w:left="720"/>
    </w:pPr>
    <w:rPr>
      <w:rFonts w:eastAsia="DengXian Light" w:cs="Calibri"/>
      <w:i w:val="0"/>
      <w:iCs w:val="0"/>
      <w:sz w:val="22"/>
      <w:lang w:val="en-ZW"/>
    </w:rPr>
  </w:style>
  <w:style w:type="character" w:customStyle="1" w:styleId="Style3Char">
    <w:name w:val="Style3 Char"/>
    <w:link w:val="Style3"/>
    <w:rsid w:val="00865D99"/>
    <w:rPr>
      <w:rFonts w:ascii="Times New Roman" w:eastAsia="DengXian Light" w:hAnsi="Times New Roman" w:cs="Calibri"/>
      <w:b/>
      <w:iCs/>
      <w:szCs w:val="24"/>
      <w:lang w:val="en-ZW"/>
    </w:rPr>
  </w:style>
  <w:style w:type="paragraph" w:styleId="NormalWeb">
    <w:name w:val="Normal (Web)"/>
    <w:basedOn w:val="Normal"/>
    <w:uiPriority w:val="99"/>
    <w:semiHidden/>
    <w:unhideWhenUsed/>
    <w:rsid w:val="00F6451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D675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D675D"/>
    <w:rPr>
      <w:rFonts w:ascii="Times New Roman" w:hAnsi="Times New Roman"/>
      <w:sz w:val="24"/>
      <w:lang w:val="en-GB"/>
    </w:rPr>
  </w:style>
  <w:style w:type="paragraph" w:styleId="Footer">
    <w:name w:val="footer"/>
    <w:basedOn w:val="Normal"/>
    <w:link w:val="FooterChar"/>
    <w:uiPriority w:val="99"/>
    <w:unhideWhenUsed/>
    <w:rsid w:val="007D675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D675D"/>
    <w:rPr>
      <w:rFonts w:ascii="Times New Roman" w:hAnsi="Times New Roman"/>
      <w:sz w:val="24"/>
      <w:lang w:val="en-GB"/>
    </w:rPr>
  </w:style>
  <w:style w:type="character" w:customStyle="1" w:styleId="Heading4Char">
    <w:name w:val="Heading 4 Char"/>
    <w:basedOn w:val="DefaultParagraphFont"/>
    <w:link w:val="Heading4"/>
    <w:uiPriority w:val="9"/>
    <w:semiHidden/>
    <w:rsid w:val="000C7D52"/>
    <w:rPr>
      <w:rFonts w:asciiTheme="majorHAnsi" w:eastAsiaTheme="majorEastAsia" w:hAnsiTheme="majorHAnsi" w:cstheme="majorBidi"/>
      <w:i/>
      <w:iCs/>
      <w:color w:val="2E74B5" w:themeColor="accent1" w:themeShade="BF"/>
      <w:sz w:val="24"/>
      <w:lang w:val="en-GB"/>
    </w:rPr>
  </w:style>
  <w:style w:type="character" w:customStyle="1" w:styleId="Heading5Char">
    <w:name w:val="Heading 5 Char"/>
    <w:basedOn w:val="DefaultParagraphFont"/>
    <w:link w:val="Heading5"/>
    <w:uiPriority w:val="9"/>
    <w:semiHidden/>
    <w:rsid w:val="000C7D52"/>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0C7D52"/>
    <w:rPr>
      <w:rFonts w:asciiTheme="majorHAnsi" w:eastAsiaTheme="majorEastAsia" w:hAnsiTheme="majorHAnsi" w:cstheme="majorBidi"/>
      <w:color w:val="1F4D78" w:themeColor="accent1" w:themeShade="7F"/>
      <w:sz w:val="24"/>
      <w:lang w:val="en-GB"/>
    </w:rPr>
  </w:style>
  <w:style w:type="character" w:customStyle="1" w:styleId="Heading7Char">
    <w:name w:val="Heading 7 Char"/>
    <w:basedOn w:val="DefaultParagraphFont"/>
    <w:link w:val="Heading7"/>
    <w:uiPriority w:val="9"/>
    <w:semiHidden/>
    <w:rsid w:val="000C7D52"/>
    <w:rPr>
      <w:rFonts w:asciiTheme="majorHAnsi" w:eastAsiaTheme="majorEastAsia" w:hAnsiTheme="majorHAnsi" w:cstheme="majorBidi"/>
      <w:i/>
      <w:iCs/>
      <w:color w:val="1F4D78" w:themeColor="accent1" w:themeShade="7F"/>
      <w:sz w:val="24"/>
      <w:lang w:val="en-GB"/>
    </w:rPr>
  </w:style>
  <w:style w:type="character" w:customStyle="1" w:styleId="Heading8Char">
    <w:name w:val="Heading 8 Char"/>
    <w:basedOn w:val="DefaultParagraphFont"/>
    <w:link w:val="Heading8"/>
    <w:uiPriority w:val="9"/>
    <w:semiHidden/>
    <w:rsid w:val="000C7D5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0C7D52"/>
    <w:rPr>
      <w:rFonts w:asciiTheme="majorHAnsi" w:eastAsiaTheme="majorEastAsia" w:hAnsiTheme="majorHAnsi" w:cstheme="majorBidi"/>
      <w:i/>
      <w:iCs/>
      <w:color w:val="272727" w:themeColor="text1" w:themeTint="D8"/>
      <w:sz w:val="21"/>
      <w:szCs w:val="21"/>
      <w:lang w:val="en-GB"/>
    </w:rPr>
  </w:style>
  <w:style w:type="paragraph" w:styleId="TOCHeading">
    <w:name w:val="TOC Heading"/>
    <w:basedOn w:val="Heading1"/>
    <w:next w:val="Normal"/>
    <w:uiPriority w:val="39"/>
    <w:unhideWhenUsed/>
    <w:qFormat/>
    <w:rsid w:val="00AE7FC8"/>
    <w:pPr>
      <w:keepNext/>
      <w:keepLines/>
      <w:widowControl/>
      <w:numPr>
        <w:numId w:val="0"/>
      </w:numPr>
      <w:autoSpaceDE/>
      <w:autoSpaceDN/>
      <w:adjustRightInd/>
      <w:spacing w:before="240" w:after="0" w:line="259" w:lineRule="auto"/>
      <w:jc w:val="left"/>
      <w:outlineLvl w:val="9"/>
    </w:pPr>
    <w:rPr>
      <w:rFonts w:asciiTheme="majorHAnsi" w:eastAsiaTheme="majorEastAsia" w:hAnsiTheme="majorHAnsi" w:cstheme="majorBidi"/>
      <w:b w:val="0"/>
      <w:color w:val="2E74B5" w:themeColor="accent1" w:themeShade="BF"/>
      <w:sz w:val="32"/>
      <w:lang w:val="en-US" w:eastAsia="en-US"/>
    </w:rPr>
  </w:style>
  <w:style w:type="paragraph" w:styleId="TOC1">
    <w:name w:val="toc 1"/>
    <w:basedOn w:val="Normal"/>
    <w:next w:val="Normal"/>
    <w:autoRedefine/>
    <w:uiPriority w:val="39"/>
    <w:unhideWhenUsed/>
    <w:rsid w:val="00AE7FC8"/>
    <w:pPr>
      <w:spacing w:after="100"/>
    </w:pPr>
  </w:style>
  <w:style w:type="paragraph" w:styleId="TOC2">
    <w:name w:val="toc 2"/>
    <w:basedOn w:val="Normal"/>
    <w:next w:val="Normal"/>
    <w:autoRedefine/>
    <w:uiPriority w:val="39"/>
    <w:unhideWhenUsed/>
    <w:rsid w:val="00AE7FC8"/>
    <w:pPr>
      <w:spacing w:after="100"/>
      <w:ind w:left="240"/>
    </w:pPr>
  </w:style>
  <w:style w:type="character" w:styleId="Hyperlink">
    <w:name w:val="Hyperlink"/>
    <w:basedOn w:val="DefaultParagraphFont"/>
    <w:uiPriority w:val="99"/>
    <w:unhideWhenUsed/>
    <w:rsid w:val="00AE7FC8"/>
    <w:rPr>
      <w:color w:val="0563C1" w:themeColor="hyperlink"/>
      <w:u w:val="single"/>
    </w:rPr>
  </w:style>
  <w:style w:type="character" w:styleId="Emphasis">
    <w:name w:val="Emphasis"/>
    <w:basedOn w:val="DefaultParagraphFont"/>
    <w:uiPriority w:val="20"/>
    <w:qFormat/>
    <w:rsid w:val="00DA263E"/>
    <w:rPr>
      <w:i/>
      <w:iCs/>
    </w:rPr>
  </w:style>
  <w:style w:type="character" w:styleId="CommentReference">
    <w:name w:val="annotation reference"/>
    <w:basedOn w:val="DefaultParagraphFont"/>
    <w:uiPriority w:val="99"/>
    <w:semiHidden/>
    <w:unhideWhenUsed/>
    <w:rsid w:val="0029615E"/>
    <w:rPr>
      <w:sz w:val="16"/>
      <w:szCs w:val="16"/>
    </w:rPr>
  </w:style>
  <w:style w:type="paragraph" w:styleId="CommentText">
    <w:name w:val="annotation text"/>
    <w:basedOn w:val="Normal"/>
    <w:link w:val="CommentTextChar"/>
    <w:uiPriority w:val="99"/>
    <w:semiHidden/>
    <w:unhideWhenUsed/>
    <w:rsid w:val="0029615E"/>
    <w:pPr>
      <w:spacing w:line="240" w:lineRule="auto"/>
    </w:pPr>
    <w:rPr>
      <w:sz w:val="20"/>
      <w:szCs w:val="20"/>
    </w:rPr>
  </w:style>
  <w:style w:type="character" w:customStyle="1" w:styleId="CommentTextChar">
    <w:name w:val="Comment Text Char"/>
    <w:basedOn w:val="DefaultParagraphFont"/>
    <w:link w:val="CommentText"/>
    <w:uiPriority w:val="99"/>
    <w:semiHidden/>
    <w:rsid w:val="0029615E"/>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29615E"/>
    <w:rPr>
      <w:b/>
      <w:bCs/>
    </w:rPr>
  </w:style>
  <w:style w:type="character" w:customStyle="1" w:styleId="CommentSubjectChar">
    <w:name w:val="Comment Subject Char"/>
    <w:basedOn w:val="CommentTextChar"/>
    <w:link w:val="CommentSubject"/>
    <w:uiPriority w:val="99"/>
    <w:semiHidden/>
    <w:rsid w:val="0029615E"/>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29615E"/>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615E"/>
    <w:rPr>
      <w:rFonts w:ascii="Segoe UI" w:hAnsi="Segoe UI" w:cs="Segoe UI"/>
      <w:sz w:val="18"/>
      <w:szCs w:val="18"/>
      <w:lang w:val="en-GB"/>
    </w:rPr>
  </w:style>
  <w:style w:type="character" w:styleId="Strong">
    <w:name w:val="Strong"/>
    <w:basedOn w:val="DefaultParagraphFont"/>
    <w:uiPriority w:val="22"/>
    <w:qFormat/>
    <w:rsid w:val="009474FC"/>
    <w:rPr>
      <w:b/>
      <w:bCs/>
    </w:rPr>
  </w:style>
  <w:style w:type="table" w:styleId="TableGrid">
    <w:name w:val="Table Grid"/>
    <w:basedOn w:val="TableNormal"/>
    <w:uiPriority w:val="39"/>
    <w:rsid w:val="00947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474FC"/>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49521">
      <w:bodyDiv w:val="1"/>
      <w:marLeft w:val="0"/>
      <w:marRight w:val="0"/>
      <w:marTop w:val="0"/>
      <w:marBottom w:val="0"/>
      <w:divBdr>
        <w:top w:val="none" w:sz="0" w:space="0" w:color="auto"/>
        <w:left w:val="none" w:sz="0" w:space="0" w:color="auto"/>
        <w:bottom w:val="none" w:sz="0" w:space="0" w:color="auto"/>
        <w:right w:val="none" w:sz="0" w:space="0" w:color="auto"/>
      </w:divBdr>
    </w:div>
    <w:div w:id="32778046">
      <w:bodyDiv w:val="1"/>
      <w:marLeft w:val="0"/>
      <w:marRight w:val="0"/>
      <w:marTop w:val="0"/>
      <w:marBottom w:val="0"/>
      <w:divBdr>
        <w:top w:val="none" w:sz="0" w:space="0" w:color="auto"/>
        <w:left w:val="none" w:sz="0" w:space="0" w:color="auto"/>
        <w:bottom w:val="none" w:sz="0" w:space="0" w:color="auto"/>
        <w:right w:val="none" w:sz="0" w:space="0" w:color="auto"/>
      </w:divBdr>
    </w:div>
    <w:div w:id="98649744">
      <w:bodyDiv w:val="1"/>
      <w:marLeft w:val="0"/>
      <w:marRight w:val="0"/>
      <w:marTop w:val="0"/>
      <w:marBottom w:val="0"/>
      <w:divBdr>
        <w:top w:val="none" w:sz="0" w:space="0" w:color="auto"/>
        <w:left w:val="none" w:sz="0" w:space="0" w:color="auto"/>
        <w:bottom w:val="none" w:sz="0" w:space="0" w:color="auto"/>
        <w:right w:val="none" w:sz="0" w:space="0" w:color="auto"/>
      </w:divBdr>
    </w:div>
    <w:div w:id="107941086">
      <w:bodyDiv w:val="1"/>
      <w:marLeft w:val="0"/>
      <w:marRight w:val="0"/>
      <w:marTop w:val="0"/>
      <w:marBottom w:val="0"/>
      <w:divBdr>
        <w:top w:val="none" w:sz="0" w:space="0" w:color="auto"/>
        <w:left w:val="none" w:sz="0" w:space="0" w:color="auto"/>
        <w:bottom w:val="none" w:sz="0" w:space="0" w:color="auto"/>
        <w:right w:val="none" w:sz="0" w:space="0" w:color="auto"/>
      </w:divBdr>
    </w:div>
    <w:div w:id="483549458">
      <w:bodyDiv w:val="1"/>
      <w:marLeft w:val="0"/>
      <w:marRight w:val="0"/>
      <w:marTop w:val="0"/>
      <w:marBottom w:val="0"/>
      <w:divBdr>
        <w:top w:val="none" w:sz="0" w:space="0" w:color="auto"/>
        <w:left w:val="none" w:sz="0" w:space="0" w:color="auto"/>
        <w:bottom w:val="none" w:sz="0" w:space="0" w:color="auto"/>
        <w:right w:val="none" w:sz="0" w:space="0" w:color="auto"/>
      </w:divBdr>
    </w:div>
    <w:div w:id="548884767">
      <w:bodyDiv w:val="1"/>
      <w:marLeft w:val="0"/>
      <w:marRight w:val="0"/>
      <w:marTop w:val="0"/>
      <w:marBottom w:val="0"/>
      <w:divBdr>
        <w:top w:val="none" w:sz="0" w:space="0" w:color="auto"/>
        <w:left w:val="none" w:sz="0" w:space="0" w:color="auto"/>
        <w:bottom w:val="none" w:sz="0" w:space="0" w:color="auto"/>
        <w:right w:val="none" w:sz="0" w:space="0" w:color="auto"/>
      </w:divBdr>
      <w:divsChild>
        <w:div w:id="1912156374">
          <w:marLeft w:val="0"/>
          <w:marRight w:val="0"/>
          <w:marTop w:val="0"/>
          <w:marBottom w:val="0"/>
          <w:divBdr>
            <w:top w:val="none" w:sz="0" w:space="0" w:color="auto"/>
            <w:left w:val="none" w:sz="0" w:space="0" w:color="auto"/>
            <w:bottom w:val="none" w:sz="0" w:space="0" w:color="auto"/>
            <w:right w:val="none" w:sz="0" w:space="0" w:color="auto"/>
          </w:divBdr>
        </w:div>
      </w:divsChild>
    </w:div>
    <w:div w:id="595869776">
      <w:bodyDiv w:val="1"/>
      <w:marLeft w:val="0"/>
      <w:marRight w:val="0"/>
      <w:marTop w:val="0"/>
      <w:marBottom w:val="0"/>
      <w:divBdr>
        <w:top w:val="none" w:sz="0" w:space="0" w:color="auto"/>
        <w:left w:val="none" w:sz="0" w:space="0" w:color="auto"/>
        <w:bottom w:val="none" w:sz="0" w:space="0" w:color="auto"/>
        <w:right w:val="none" w:sz="0" w:space="0" w:color="auto"/>
      </w:divBdr>
    </w:div>
    <w:div w:id="955137015">
      <w:bodyDiv w:val="1"/>
      <w:marLeft w:val="0"/>
      <w:marRight w:val="0"/>
      <w:marTop w:val="0"/>
      <w:marBottom w:val="0"/>
      <w:divBdr>
        <w:top w:val="none" w:sz="0" w:space="0" w:color="auto"/>
        <w:left w:val="none" w:sz="0" w:space="0" w:color="auto"/>
        <w:bottom w:val="none" w:sz="0" w:space="0" w:color="auto"/>
        <w:right w:val="none" w:sz="0" w:space="0" w:color="auto"/>
      </w:divBdr>
    </w:div>
    <w:div w:id="993530057">
      <w:bodyDiv w:val="1"/>
      <w:marLeft w:val="0"/>
      <w:marRight w:val="0"/>
      <w:marTop w:val="0"/>
      <w:marBottom w:val="0"/>
      <w:divBdr>
        <w:top w:val="none" w:sz="0" w:space="0" w:color="auto"/>
        <w:left w:val="none" w:sz="0" w:space="0" w:color="auto"/>
        <w:bottom w:val="none" w:sz="0" w:space="0" w:color="auto"/>
        <w:right w:val="none" w:sz="0" w:space="0" w:color="auto"/>
      </w:divBdr>
    </w:div>
    <w:div w:id="1223296341">
      <w:bodyDiv w:val="1"/>
      <w:marLeft w:val="0"/>
      <w:marRight w:val="0"/>
      <w:marTop w:val="0"/>
      <w:marBottom w:val="0"/>
      <w:divBdr>
        <w:top w:val="none" w:sz="0" w:space="0" w:color="auto"/>
        <w:left w:val="none" w:sz="0" w:space="0" w:color="auto"/>
        <w:bottom w:val="none" w:sz="0" w:space="0" w:color="auto"/>
        <w:right w:val="none" w:sz="0" w:space="0" w:color="auto"/>
      </w:divBdr>
    </w:div>
    <w:div w:id="1623003252">
      <w:bodyDiv w:val="1"/>
      <w:marLeft w:val="0"/>
      <w:marRight w:val="0"/>
      <w:marTop w:val="0"/>
      <w:marBottom w:val="0"/>
      <w:divBdr>
        <w:top w:val="none" w:sz="0" w:space="0" w:color="auto"/>
        <w:left w:val="none" w:sz="0" w:space="0" w:color="auto"/>
        <w:bottom w:val="none" w:sz="0" w:space="0" w:color="auto"/>
        <w:right w:val="none" w:sz="0" w:space="0" w:color="auto"/>
      </w:divBdr>
    </w:div>
    <w:div w:id="1768504891">
      <w:bodyDiv w:val="1"/>
      <w:marLeft w:val="0"/>
      <w:marRight w:val="0"/>
      <w:marTop w:val="0"/>
      <w:marBottom w:val="0"/>
      <w:divBdr>
        <w:top w:val="none" w:sz="0" w:space="0" w:color="auto"/>
        <w:left w:val="none" w:sz="0" w:space="0" w:color="auto"/>
        <w:bottom w:val="none" w:sz="0" w:space="0" w:color="auto"/>
        <w:right w:val="none" w:sz="0" w:space="0" w:color="auto"/>
      </w:divBdr>
      <w:divsChild>
        <w:div w:id="1593274175">
          <w:marLeft w:val="0"/>
          <w:marRight w:val="0"/>
          <w:marTop w:val="0"/>
          <w:marBottom w:val="0"/>
          <w:divBdr>
            <w:top w:val="none" w:sz="0" w:space="0" w:color="auto"/>
            <w:left w:val="none" w:sz="0" w:space="0" w:color="auto"/>
            <w:bottom w:val="none" w:sz="0" w:space="0" w:color="auto"/>
            <w:right w:val="none" w:sz="0" w:space="0" w:color="auto"/>
          </w:divBdr>
        </w:div>
      </w:divsChild>
    </w:div>
    <w:div w:id="213516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2.xm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17" Type="http://schemas.openxmlformats.org/officeDocument/2006/relationships/footer" Target="footer3.xml" /><Relationship Id="rId2" Type="http://schemas.openxmlformats.org/officeDocument/2006/relationships/numbering" Target="numbering.xml" /><Relationship Id="rId16"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2.xml"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70791-8FD8-4138-8F39-13548DB1EE2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3617</Words>
  <Characters>20622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Catalina Coman</cp:lastModifiedBy>
  <cp:revision>2</cp:revision>
  <dcterms:created xsi:type="dcterms:W3CDTF">2025-06-11T11:29:00Z</dcterms:created>
  <dcterms:modified xsi:type="dcterms:W3CDTF">2025-06-11T11:29:00Z</dcterms:modified>
</cp:coreProperties>
</file>