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27522734"/>
        <w:docPartObj>
          <w:docPartGallery w:val="Cover Pages"/>
          <w:docPartUnique/>
        </w:docPartObj>
      </w:sdtPr>
      <w:sdtContent>
        <w:p w14:paraId="0970C004" w14:textId="2082F7DB" w:rsidR="00F006D7" w:rsidRDefault="00F006D7">
          <w:r>
            <w:rPr>
              <w:noProof/>
            </w:rPr>
            <mc:AlternateContent>
              <mc:Choice Requires="wpg">
                <w:drawing>
                  <wp:anchor distT="0" distB="0" distL="114300" distR="114300" simplePos="0" relativeHeight="251659264" behindDoc="1" locked="0" layoutInCell="1" allowOverlap="1" wp14:anchorId="45831AB7" wp14:editId="2CE33BF2">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0E86910" w14:textId="12A75A82" w:rsidR="00F006D7" w:rsidRDefault="00F006D7">
                                      <w:pPr>
                                        <w:pStyle w:val="NoSpacing"/>
                                        <w:spacing w:before="120"/>
                                        <w:jc w:val="center"/>
                                        <w:rPr>
                                          <w:color w:val="FFFFFF" w:themeColor="background1"/>
                                        </w:rPr>
                                      </w:pPr>
                                      <w:r>
                                        <w:rPr>
                                          <w:color w:val="FFFFFF" w:themeColor="background1"/>
                                        </w:rPr>
                                        <w:t>Leo Smith (2217998)</w:t>
                                      </w:r>
                                    </w:p>
                                  </w:sdtContent>
                                </w:sdt>
                                <w:p w14:paraId="0F1356DE" w14:textId="51F06E62" w:rsidR="00F006D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C7DD6">
                                        <w:rPr>
                                          <w:caps/>
                                          <w:color w:val="FFFFFF" w:themeColor="background1"/>
                                        </w:rPr>
                                        <w:t xml:space="preserve">     </w:t>
                                      </w:r>
                                    </w:sdtContent>
                                  </w:sdt>
                                  <w:r w:rsidR="00F006D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82179" w:rsidRPr="00B82179">
                                        <w:rPr>
                                          <w:color w:val="FFFFFF" w:themeColor="background1"/>
                                        </w:rPr>
                                        <w:t>Produced For Module ACDB5013 - Safety &amp; Hazard Assessment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5AC31E" w14:textId="0BF0375B" w:rsidR="00F006D7" w:rsidRDefault="003D7E6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Storage of Sea Wolf Missiles:  Risk Assessment and ALARP Justification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831AB7"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0E86910" w14:textId="12A75A82" w:rsidR="00F006D7" w:rsidRDefault="00F006D7">
                                <w:pPr>
                                  <w:pStyle w:val="NoSpacing"/>
                                  <w:spacing w:before="120"/>
                                  <w:jc w:val="center"/>
                                  <w:rPr>
                                    <w:color w:val="FFFFFF" w:themeColor="background1"/>
                                  </w:rPr>
                                </w:pPr>
                                <w:r>
                                  <w:rPr>
                                    <w:color w:val="FFFFFF" w:themeColor="background1"/>
                                  </w:rPr>
                                  <w:t>Leo Smith (2217998)</w:t>
                                </w:r>
                              </w:p>
                            </w:sdtContent>
                          </w:sdt>
                          <w:p w14:paraId="0F1356DE" w14:textId="51F06E62" w:rsidR="00F006D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C7DD6">
                                  <w:rPr>
                                    <w:caps/>
                                    <w:color w:val="FFFFFF" w:themeColor="background1"/>
                                  </w:rPr>
                                  <w:t xml:space="preserve">     </w:t>
                                </w:r>
                              </w:sdtContent>
                            </w:sdt>
                            <w:r w:rsidR="00F006D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82179" w:rsidRPr="00B82179">
                                  <w:rPr>
                                    <w:color w:val="FFFFFF" w:themeColor="background1"/>
                                  </w:rPr>
                                  <w:t>Produced For Module ACDB5013 - Safety &amp; Hazard Assessment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5AC31E" w14:textId="0BF0375B" w:rsidR="00F006D7" w:rsidRDefault="003D7E6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Storage of Sea Wolf Missiles:  Risk Assessment and ALARP Justification</w:t>
                                </w:r>
                              </w:p>
                            </w:sdtContent>
                          </w:sdt>
                        </w:txbxContent>
                      </v:textbox>
                    </v:shape>
                    <w10:wrap anchorx="page" anchory="page"/>
                  </v:group>
                </w:pict>
              </mc:Fallback>
            </mc:AlternateContent>
          </w:r>
        </w:p>
        <w:p w14:paraId="0DD281E2" w14:textId="68239B66" w:rsidR="00F006D7" w:rsidRDefault="00F006D7">
          <w:r>
            <w:rPr>
              <w:noProof/>
            </w:rPr>
            <w:drawing>
              <wp:anchor distT="0" distB="0" distL="114300" distR="114300" simplePos="0" relativeHeight="251660288" behindDoc="0" locked="0" layoutInCell="1" allowOverlap="1" wp14:anchorId="1C3A3E5F" wp14:editId="673EA9B7">
                <wp:simplePos x="0" y="0"/>
                <wp:positionH relativeFrom="margin">
                  <wp:posOffset>-487680</wp:posOffset>
                </wp:positionH>
                <wp:positionV relativeFrom="page">
                  <wp:posOffset>4833620</wp:posOffset>
                </wp:positionV>
                <wp:extent cx="6696075" cy="4348251"/>
                <wp:effectExtent l="0" t="0" r="0" b="0"/>
                <wp:wrapNone/>
                <wp:docPr id="946137006" name="Picture 3" descr="Lightweight Sea Wolf | Navy Look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ghtweight Sea Wolf | Navy Lookout"/>
                        <pic:cNvPicPr>
                          <a:picLocks noChangeAspect="1" noChangeArrowheads="1"/>
                        </pic:cNvPicPr>
                      </pic:nvPicPr>
                      <pic:blipFill rotWithShape="1">
                        <a:blip r:embed="rId9">
                          <a:duotone>
                            <a:schemeClr val="accent4">
                              <a:shade val="45000"/>
                              <a:satMod val="135000"/>
                            </a:schemeClr>
                            <a:prstClr val="white"/>
                          </a:duotone>
                          <a:extLst>
                            <a:ext uri="{28A0092B-C50C-407E-A947-70E740481C1C}">
                              <a14:useLocalDpi xmlns:a14="http://schemas.microsoft.com/office/drawing/2010/main" val="0"/>
                            </a:ext>
                          </a:extLst>
                        </a:blip>
                        <a:srcRect l="46110" t="1136" r="2683" b="36276"/>
                        <a:stretch/>
                      </pic:blipFill>
                      <pic:spPr bwMode="auto">
                        <a:xfrm>
                          <a:off x="0" y="0"/>
                          <a:ext cx="6696075" cy="434825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sdtContent>
    </w:sdt>
    <w:p w14:paraId="0431315F" w14:textId="72A0086E" w:rsidR="0097014A" w:rsidRDefault="00B82179" w:rsidP="00B82179">
      <w:pPr>
        <w:pStyle w:val="Heading1"/>
      </w:pPr>
      <w:bookmarkStart w:id="0" w:name="_Toc175649220"/>
      <w:r>
        <w:lastRenderedPageBreak/>
        <w:t>Executive Summary</w:t>
      </w:r>
      <w:bookmarkEnd w:id="0"/>
    </w:p>
    <w:p w14:paraId="7002108F" w14:textId="0CA819EA" w:rsidR="00B82179" w:rsidRDefault="002925FC" w:rsidP="00B82179">
      <w:r>
        <w:t xml:space="preserve">The following report has been prepared to address the hazards associated with the </w:t>
      </w:r>
      <w:r w:rsidR="00E7773C">
        <w:t>long-term</w:t>
      </w:r>
      <w:r w:rsidR="00E7773C">
        <w:t xml:space="preserve"> storage </w:t>
      </w:r>
      <w:r>
        <w:t>of Sea Wolf Missile whilst at forward operating stations. The first element of the document is a</w:t>
      </w:r>
      <w:r w:rsidR="00E7773C">
        <w:t>n</w:t>
      </w:r>
      <w:r>
        <w:t xml:space="preserve"> As Low as Reasonably Practicable (ALARP) justification for one of the many hazards present in this scenario, Mass Explosion. Here</w:t>
      </w:r>
      <w:r w:rsidR="00E7773C">
        <w:t>,</w:t>
      </w:r>
      <w:r>
        <w:t xml:space="preserve"> the system is described before each stage of the hazard identification, risk estimation, mitigation and acceptance process are explained. This section of the reports ends with a set of additional control measures that must be implemented for the process to be deemed ALARP</w:t>
      </w:r>
      <w:r w:rsidR="00E7773C">
        <w:t xml:space="preserve"> and a final ALARP ruling</w:t>
      </w:r>
      <w:r w:rsidR="006B7617">
        <w:t xml:space="preserve">. </w:t>
      </w:r>
      <w:r>
        <w:t xml:space="preserve">The second section of this document is a wider risk assessment looking at the broad range of hazards </w:t>
      </w:r>
      <w:r w:rsidR="00CB612C">
        <w:t xml:space="preserve">present within the </w:t>
      </w:r>
      <w:r w:rsidR="00E7773C">
        <w:t>storage</w:t>
      </w:r>
      <w:r w:rsidR="00CB612C">
        <w:t xml:space="preserve"> environment.</w:t>
      </w:r>
    </w:p>
    <w:p w14:paraId="76C8045F" w14:textId="725CB13C" w:rsidR="00B82179" w:rsidRDefault="00B82179">
      <w:r>
        <w:br w:type="page"/>
      </w:r>
    </w:p>
    <w:sdt>
      <w:sdtPr>
        <w:rPr>
          <w:rFonts w:asciiTheme="minorHAnsi" w:eastAsiaTheme="minorHAnsi" w:hAnsiTheme="minorHAnsi" w:cstheme="minorBidi"/>
          <w:color w:val="auto"/>
          <w:kern w:val="2"/>
          <w:sz w:val="22"/>
          <w:szCs w:val="22"/>
          <w:lang w:val="en-GB"/>
          <w14:ligatures w14:val="standardContextual"/>
        </w:rPr>
        <w:id w:val="518815619"/>
        <w:docPartObj>
          <w:docPartGallery w:val="Table of Contents"/>
          <w:docPartUnique/>
        </w:docPartObj>
      </w:sdtPr>
      <w:sdtEndPr>
        <w:rPr>
          <w:b/>
          <w:bCs/>
          <w:noProof/>
        </w:rPr>
      </w:sdtEndPr>
      <w:sdtContent>
        <w:p w14:paraId="0D5273F2" w14:textId="770B818E" w:rsidR="00B82179" w:rsidRPr="003D7E6B" w:rsidRDefault="00B82179">
          <w:pPr>
            <w:pStyle w:val="TOCHeading"/>
            <w:rPr>
              <w:rStyle w:val="Heading1Char"/>
            </w:rPr>
          </w:pPr>
          <w:r w:rsidRPr="003D7E6B">
            <w:rPr>
              <w:rStyle w:val="Heading1Char"/>
            </w:rPr>
            <w:t>Table of Contents</w:t>
          </w:r>
        </w:p>
        <w:p w14:paraId="47AF724F" w14:textId="6A3320DE" w:rsidR="006B7617" w:rsidRDefault="00B8217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649220" w:history="1">
            <w:r w:rsidR="006B7617" w:rsidRPr="00E10A27">
              <w:rPr>
                <w:rStyle w:val="Hyperlink"/>
                <w:noProof/>
              </w:rPr>
              <w:t>Executive Summary</w:t>
            </w:r>
            <w:r w:rsidR="006B7617">
              <w:rPr>
                <w:noProof/>
                <w:webHidden/>
              </w:rPr>
              <w:tab/>
            </w:r>
            <w:r w:rsidR="006B7617">
              <w:rPr>
                <w:noProof/>
                <w:webHidden/>
              </w:rPr>
              <w:fldChar w:fldCharType="begin"/>
            </w:r>
            <w:r w:rsidR="006B7617">
              <w:rPr>
                <w:noProof/>
                <w:webHidden/>
              </w:rPr>
              <w:instrText xml:space="preserve"> PAGEREF _Toc175649220 \h </w:instrText>
            </w:r>
            <w:r w:rsidR="006B7617">
              <w:rPr>
                <w:noProof/>
                <w:webHidden/>
              </w:rPr>
            </w:r>
            <w:r w:rsidR="006B7617">
              <w:rPr>
                <w:noProof/>
                <w:webHidden/>
              </w:rPr>
              <w:fldChar w:fldCharType="separate"/>
            </w:r>
            <w:r w:rsidR="006B7617">
              <w:rPr>
                <w:noProof/>
                <w:webHidden/>
              </w:rPr>
              <w:t>1</w:t>
            </w:r>
            <w:r w:rsidR="006B7617">
              <w:rPr>
                <w:noProof/>
                <w:webHidden/>
              </w:rPr>
              <w:fldChar w:fldCharType="end"/>
            </w:r>
          </w:hyperlink>
        </w:p>
        <w:p w14:paraId="30C11E36" w14:textId="6EFE56DA" w:rsidR="006B7617" w:rsidRDefault="00000000">
          <w:pPr>
            <w:pStyle w:val="TOC1"/>
            <w:tabs>
              <w:tab w:val="right" w:leader="dot" w:pos="9016"/>
            </w:tabs>
            <w:rPr>
              <w:rFonts w:eastAsiaTheme="minorEastAsia"/>
              <w:noProof/>
              <w:sz w:val="24"/>
              <w:szCs w:val="24"/>
              <w:lang w:eastAsia="en-GB"/>
            </w:rPr>
          </w:pPr>
          <w:hyperlink w:anchor="_Toc175649221" w:history="1">
            <w:r w:rsidR="006B7617" w:rsidRPr="00E10A27">
              <w:rPr>
                <w:rStyle w:val="Hyperlink"/>
                <w:noProof/>
              </w:rPr>
              <w:t>Table of Figures</w:t>
            </w:r>
            <w:r w:rsidR="006B7617">
              <w:rPr>
                <w:noProof/>
                <w:webHidden/>
              </w:rPr>
              <w:tab/>
            </w:r>
            <w:r w:rsidR="006B7617">
              <w:rPr>
                <w:noProof/>
                <w:webHidden/>
              </w:rPr>
              <w:fldChar w:fldCharType="begin"/>
            </w:r>
            <w:r w:rsidR="006B7617">
              <w:rPr>
                <w:noProof/>
                <w:webHidden/>
              </w:rPr>
              <w:instrText xml:space="preserve"> PAGEREF _Toc175649221 \h </w:instrText>
            </w:r>
            <w:r w:rsidR="006B7617">
              <w:rPr>
                <w:noProof/>
                <w:webHidden/>
              </w:rPr>
            </w:r>
            <w:r w:rsidR="006B7617">
              <w:rPr>
                <w:noProof/>
                <w:webHidden/>
              </w:rPr>
              <w:fldChar w:fldCharType="separate"/>
            </w:r>
            <w:r w:rsidR="006B7617">
              <w:rPr>
                <w:noProof/>
                <w:webHidden/>
              </w:rPr>
              <w:t>2</w:t>
            </w:r>
            <w:r w:rsidR="006B7617">
              <w:rPr>
                <w:noProof/>
                <w:webHidden/>
              </w:rPr>
              <w:fldChar w:fldCharType="end"/>
            </w:r>
          </w:hyperlink>
        </w:p>
        <w:p w14:paraId="7BB0CB77" w14:textId="4B2002E9" w:rsidR="006B7617" w:rsidRDefault="00000000">
          <w:pPr>
            <w:pStyle w:val="TOC1"/>
            <w:tabs>
              <w:tab w:val="right" w:leader="dot" w:pos="9016"/>
            </w:tabs>
            <w:rPr>
              <w:rFonts w:eastAsiaTheme="minorEastAsia"/>
              <w:noProof/>
              <w:sz w:val="24"/>
              <w:szCs w:val="24"/>
              <w:lang w:eastAsia="en-GB"/>
            </w:rPr>
          </w:pPr>
          <w:hyperlink w:anchor="_Toc175649222" w:history="1">
            <w:r w:rsidR="006B7617" w:rsidRPr="00E10A27">
              <w:rPr>
                <w:rStyle w:val="Hyperlink"/>
                <w:noProof/>
              </w:rPr>
              <w:t>Table of Tables</w:t>
            </w:r>
            <w:r w:rsidR="006B7617">
              <w:rPr>
                <w:noProof/>
                <w:webHidden/>
              </w:rPr>
              <w:tab/>
            </w:r>
            <w:r w:rsidR="006B7617">
              <w:rPr>
                <w:noProof/>
                <w:webHidden/>
              </w:rPr>
              <w:fldChar w:fldCharType="begin"/>
            </w:r>
            <w:r w:rsidR="006B7617">
              <w:rPr>
                <w:noProof/>
                <w:webHidden/>
              </w:rPr>
              <w:instrText xml:space="preserve"> PAGEREF _Toc175649222 \h </w:instrText>
            </w:r>
            <w:r w:rsidR="006B7617">
              <w:rPr>
                <w:noProof/>
                <w:webHidden/>
              </w:rPr>
            </w:r>
            <w:r w:rsidR="006B7617">
              <w:rPr>
                <w:noProof/>
                <w:webHidden/>
              </w:rPr>
              <w:fldChar w:fldCharType="separate"/>
            </w:r>
            <w:r w:rsidR="006B7617">
              <w:rPr>
                <w:noProof/>
                <w:webHidden/>
              </w:rPr>
              <w:t>2</w:t>
            </w:r>
            <w:r w:rsidR="006B7617">
              <w:rPr>
                <w:noProof/>
                <w:webHidden/>
              </w:rPr>
              <w:fldChar w:fldCharType="end"/>
            </w:r>
          </w:hyperlink>
        </w:p>
        <w:p w14:paraId="487A89DE" w14:textId="7FDD3C7A" w:rsidR="006B7617" w:rsidRDefault="00000000">
          <w:pPr>
            <w:pStyle w:val="TOC1"/>
            <w:tabs>
              <w:tab w:val="left" w:pos="720"/>
              <w:tab w:val="right" w:leader="dot" w:pos="9016"/>
            </w:tabs>
            <w:rPr>
              <w:rFonts w:eastAsiaTheme="minorEastAsia"/>
              <w:noProof/>
              <w:sz w:val="24"/>
              <w:szCs w:val="24"/>
              <w:lang w:eastAsia="en-GB"/>
            </w:rPr>
          </w:pPr>
          <w:hyperlink w:anchor="_Toc175649223" w:history="1">
            <w:r w:rsidR="006B7617" w:rsidRPr="00E10A27">
              <w:rPr>
                <w:rStyle w:val="Hyperlink"/>
                <w:noProof/>
              </w:rPr>
              <w:t>1.0</w:t>
            </w:r>
            <w:r w:rsidR="001E74A4">
              <w:rPr>
                <w:rFonts w:eastAsiaTheme="minorEastAsia"/>
                <w:noProof/>
                <w:sz w:val="24"/>
                <w:szCs w:val="24"/>
                <w:lang w:eastAsia="en-GB"/>
              </w:rPr>
              <w:t xml:space="preserve"> </w:t>
            </w:r>
            <w:r w:rsidR="006B7617" w:rsidRPr="00E10A27">
              <w:rPr>
                <w:rStyle w:val="Hyperlink"/>
                <w:noProof/>
              </w:rPr>
              <w:t>System Overview and Assessment Scope</w:t>
            </w:r>
            <w:r w:rsidR="006B7617">
              <w:rPr>
                <w:noProof/>
                <w:webHidden/>
              </w:rPr>
              <w:tab/>
            </w:r>
            <w:r w:rsidR="006B7617">
              <w:rPr>
                <w:noProof/>
                <w:webHidden/>
              </w:rPr>
              <w:fldChar w:fldCharType="begin"/>
            </w:r>
            <w:r w:rsidR="006B7617">
              <w:rPr>
                <w:noProof/>
                <w:webHidden/>
              </w:rPr>
              <w:instrText xml:space="preserve"> PAGEREF _Toc175649223 \h </w:instrText>
            </w:r>
            <w:r w:rsidR="006B7617">
              <w:rPr>
                <w:noProof/>
                <w:webHidden/>
              </w:rPr>
            </w:r>
            <w:r w:rsidR="006B7617">
              <w:rPr>
                <w:noProof/>
                <w:webHidden/>
              </w:rPr>
              <w:fldChar w:fldCharType="separate"/>
            </w:r>
            <w:r w:rsidR="006B7617">
              <w:rPr>
                <w:noProof/>
                <w:webHidden/>
              </w:rPr>
              <w:t>3</w:t>
            </w:r>
            <w:r w:rsidR="006B7617">
              <w:rPr>
                <w:noProof/>
                <w:webHidden/>
              </w:rPr>
              <w:fldChar w:fldCharType="end"/>
            </w:r>
          </w:hyperlink>
        </w:p>
        <w:p w14:paraId="2007EA62" w14:textId="322D9E27" w:rsidR="006B7617" w:rsidRDefault="00000000">
          <w:pPr>
            <w:pStyle w:val="TOC1"/>
            <w:tabs>
              <w:tab w:val="right" w:leader="dot" w:pos="9016"/>
            </w:tabs>
            <w:rPr>
              <w:rFonts w:eastAsiaTheme="minorEastAsia"/>
              <w:noProof/>
              <w:sz w:val="24"/>
              <w:szCs w:val="24"/>
              <w:lang w:eastAsia="en-GB"/>
            </w:rPr>
          </w:pPr>
          <w:hyperlink w:anchor="_Toc175649224" w:history="1">
            <w:r w:rsidR="006B7617" w:rsidRPr="00E10A27">
              <w:rPr>
                <w:rStyle w:val="Hyperlink"/>
                <w:noProof/>
              </w:rPr>
              <w:t>2.0 Hazard Identification</w:t>
            </w:r>
            <w:r w:rsidR="006B7617">
              <w:rPr>
                <w:noProof/>
                <w:webHidden/>
              </w:rPr>
              <w:tab/>
            </w:r>
            <w:r w:rsidR="006B7617">
              <w:rPr>
                <w:noProof/>
                <w:webHidden/>
              </w:rPr>
              <w:fldChar w:fldCharType="begin"/>
            </w:r>
            <w:r w:rsidR="006B7617">
              <w:rPr>
                <w:noProof/>
                <w:webHidden/>
              </w:rPr>
              <w:instrText xml:space="preserve"> PAGEREF _Toc175649224 \h </w:instrText>
            </w:r>
            <w:r w:rsidR="006B7617">
              <w:rPr>
                <w:noProof/>
                <w:webHidden/>
              </w:rPr>
            </w:r>
            <w:r w:rsidR="006B7617">
              <w:rPr>
                <w:noProof/>
                <w:webHidden/>
              </w:rPr>
              <w:fldChar w:fldCharType="separate"/>
            </w:r>
            <w:r w:rsidR="006B7617">
              <w:rPr>
                <w:noProof/>
                <w:webHidden/>
              </w:rPr>
              <w:t>3</w:t>
            </w:r>
            <w:r w:rsidR="006B7617">
              <w:rPr>
                <w:noProof/>
                <w:webHidden/>
              </w:rPr>
              <w:fldChar w:fldCharType="end"/>
            </w:r>
          </w:hyperlink>
        </w:p>
        <w:p w14:paraId="6AB7782F" w14:textId="3A7146E1" w:rsidR="006B7617" w:rsidRDefault="00000000">
          <w:pPr>
            <w:pStyle w:val="TOC1"/>
            <w:tabs>
              <w:tab w:val="right" w:leader="dot" w:pos="9016"/>
            </w:tabs>
            <w:rPr>
              <w:rFonts w:eastAsiaTheme="minorEastAsia"/>
              <w:noProof/>
              <w:sz w:val="24"/>
              <w:szCs w:val="24"/>
              <w:lang w:eastAsia="en-GB"/>
            </w:rPr>
          </w:pPr>
          <w:hyperlink w:anchor="_Toc175649225" w:history="1">
            <w:r w:rsidR="006B7617" w:rsidRPr="00E10A27">
              <w:rPr>
                <w:rStyle w:val="Hyperlink"/>
                <w:noProof/>
              </w:rPr>
              <w:t>3.0 Existing Controls and Mitigations</w:t>
            </w:r>
            <w:r w:rsidR="006B7617">
              <w:rPr>
                <w:noProof/>
                <w:webHidden/>
              </w:rPr>
              <w:tab/>
            </w:r>
            <w:r w:rsidR="006B7617">
              <w:rPr>
                <w:noProof/>
                <w:webHidden/>
              </w:rPr>
              <w:fldChar w:fldCharType="begin"/>
            </w:r>
            <w:r w:rsidR="006B7617">
              <w:rPr>
                <w:noProof/>
                <w:webHidden/>
              </w:rPr>
              <w:instrText xml:space="preserve"> PAGEREF _Toc175649225 \h </w:instrText>
            </w:r>
            <w:r w:rsidR="006B7617">
              <w:rPr>
                <w:noProof/>
                <w:webHidden/>
              </w:rPr>
            </w:r>
            <w:r w:rsidR="006B7617">
              <w:rPr>
                <w:noProof/>
                <w:webHidden/>
              </w:rPr>
              <w:fldChar w:fldCharType="separate"/>
            </w:r>
            <w:r w:rsidR="006B7617">
              <w:rPr>
                <w:noProof/>
                <w:webHidden/>
              </w:rPr>
              <w:t>4</w:t>
            </w:r>
            <w:r w:rsidR="006B7617">
              <w:rPr>
                <w:noProof/>
                <w:webHidden/>
              </w:rPr>
              <w:fldChar w:fldCharType="end"/>
            </w:r>
          </w:hyperlink>
        </w:p>
        <w:p w14:paraId="1B8A80F6" w14:textId="5FDA2734" w:rsidR="006B7617" w:rsidRDefault="00000000">
          <w:pPr>
            <w:pStyle w:val="TOC1"/>
            <w:tabs>
              <w:tab w:val="right" w:leader="dot" w:pos="9016"/>
            </w:tabs>
            <w:rPr>
              <w:rFonts w:eastAsiaTheme="minorEastAsia"/>
              <w:noProof/>
              <w:sz w:val="24"/>
              <w:szCs w:val="24"/>
              <w:lang w:eastAsia="en-GB"/>
            </w:rPr>
          </w:pPr>
          <w:hyperlink w:anchor="_Toc175649226" w:history="1">
            <w:r w:rsidR="006B7617" w:rsidRPr="00E10A27">
              <w:rPr>
                <w:rStyle w:val="Hyperlink"/>
                <w:noProof/>
              </w:rPr>
              <w:t>4.0 Initial Risk Rating</w:t>
            </w:r>
            <w:r w:rsidR="006B7617">
              <w:rPr>
                <w:noProof/>
                <w:webHidden/>
              </w:rPr>
              <w:tab/>
            </w:r>
            <w:r w:rsidR="006B7617">
              <w:rPr>
                <w:noProof/>
                <w:webHidden/>
              </w:rPr>
              <w:fldChar w:fldCharType="begin"/>
            </w:r>
            <w:r w:rsidR="006B7617">
              <w:rPr>
                <w:noProof/>
                <w:webHidden/>
              </w:rPr>
              <w:instrText xml:space="preserve"> PAGEREF _Toc175649226 \h </w:instrText>
            </w:r>
            <w:r w:rsidR="006B7617">
              <w:rPr>
                <w:noProof/>
                <w:webHidden/>
              </w:rPr>
            </w:r>
            <w:r w:rsidR="006B7617">
              <w:rPr>
                <w:noProof/>
                <w:webHidden/>
              </w:rPr>
              <w:fldChar w:fldCharType="separate"/>
            </w:r>
            <w:r w:rsidR="006B7617">
              <w:rPr>
                <w:noProof/>
                <w:webHidden/>
              </w:rPr>
              <w:t>5</w:t>
            </w:r>
            <w:r w:rsidR="006B7617">
              <w:rPr>
                <w:noProof/>
                <w:webHidden/>
              </w:rPr>
              <w:fldChar w:fldCharType="end"/>
            </w:r>
          </w:hyperlink>
        </w:p>
        <w:p w14:paraId="2B8227B3" w14:textId="2BE0105F" w:rsidR="006B7617" w:rsidRDefault="00000000">
          <w:pPr>
            <w:pStyle w:val="TOC1"/>
            <w:tabs>
              <w:tab w:val="right" w:leader="dot" w:pos="9016"/>
            </w:tabs>
            <w:rPr>
              <w:rFonts w:eastAsiaTheme="minorEastAsia"/>
              <w:noProof/>
              <w:sz w:val="24"/>
              <w:szCs w:val="24"/>
              <w:lang w:eastAsia="en-GB"/>
            </w:rPr>
          </w:pPr>
          <w:hyperlink w:anchor="_Toc175649227" w:history="1">
            <w:r w:rsidR="006B7617" w:rsidRPr="00E10A27">
              <w:rPr>
                <w:rStyle w:val="Hyperlink"/>
                <w:noProof/>
              </w:rPr>
              <w:t>5.0 Additional Controls and Mitigations</w:t>
            </w:r>
            <w:r w:rsidR="006B7617">
              <w:rPr>
                <w:noProof/>
                <w:webHidden/>
              </w:rPr>
              <w:tab/>
            </w:r>
            <w:r w:rsidR="006B7617">
              <w:rPr>
                <w:noProof/>
                <w:webHidden/>
              </w:rPr>
              <w:fldChar w:fldCharType="begin"/>
            </w:r>
            <w:r w:rsidR="006B7617">
              <w:rPr>
                <w:noProof/>
                <w:webHidden/>
              </w:rPr>
              <w:instrText xml:space="preserve"> PAGEREF _Toc175649227 \h </w:instrText>
            </w:r>
            <w:r w:rsidR="006B7617">
              <w:rPr>
                <w:noProof/>
                <w:webHidden/>
              </w:rPr>
            </w:r>
            <w:r w:rsidR="006B7617">
              <w:rPr>
                <w:noProof/>
                <w:webHidden/>
              </w:rPr>
              <w:fldChar w:fldCharType="separate"/>
            </w:r>
            <w:r w:rsidR="006B7617">
              <w:rPr>
                <w:noProof/>
                <w:webHidden/>
              </w:rPr>
              <w:t>7</w:t>
            </w:r>
            <w:r w:rsidR="006B7617">
              <w:rPr>
                <w:noProof/>
                <w:webHidden/>
              </w:rPr>
              <w:fldChar w:fldCharType="end"/>
            </w:r>
          </w:hyperlink>
        </w:p>
        <w:p w14:paraId="3B39B8B2" w14:textId="3ECECDA7" w:rsidR="006B7617" w:rsidRDefault="00000000">
          <w:pPr>
            <w:pStyle w:val="TOC1"/>
            <w:tabs>
              <w:tab w:val="right" w:leader="dot" w:pos="9016"/>
            </w:tabs>
            <w:rPr>
              <w:rFonts w:eastAsiaTheme="minorEastAsia"/>
              <w:noProof/>
              <w:sz w:val="24"/>
              <w:szCs w:val="24"/>
              <w:lang w:eastAsia="en-GB"/>
            </w:rPr>
          </w:pPr>
          <w:hyperlink w:anchor="_Toc175649228" w:history="1">
            <w:r w:rsidR="006B7617" w:rsidRPr="00E10A27">
              <w:rPr>
                <w:rStyle w:val="Hyperlink"/>
                <w:noProof/>
              </w:rPr>
              <w:t>6.0 Residual Risk Rating</w:t>
            </w:r>
            <w:r w:rsidR="006B7617">
              <w:rPr>
                <w:noProof/>
                <w:webHidden/>
              </w:rPr>
              <w:tab/>
            </w:r>
            <w:r w:rsidR="006B7617">
              <w:rPr>
                <w:noProof/>
                <w:webHidden/>
              </w:rPr>
              <w:fldChar w:fldCharType="begin"/>
            </w:r>
            <w:r w:rsidR="006B7617">
              <w:rPr>
                <w:noProof/>
                <w:webHidden/>
              </w:rPr>
              <w:instrText xml:space="preserve"> PAGEREF _Toc175649228 \h </w:instrText>
            </w:r>
            <w:r w:rsidR="006B7617">
              <w:rPr>
                <w:noProof/>
                <w:webHidden/>
              </w:rPr>
            </w:r>
            <w:r w:rsidR="006B7617">
              <w:rPr>
                <w:noProof/>
                <w:webHidden/>
              </w:rPr>
              <w:fldChar w:fldCharType="separate"/>
            </w:r>
            <w:r w:rsidR="006B7617">
              <w:rPr>
                <w:noProof/>
                <w:webHidden/>
              </w:rPr>
              <w:t>8</w:t>
            </w:r>
            <w:r w:rsidR="006B7617">
              <w:rPr>
                <w:noProof/>
                <w:webHidden/>
              </w:rPr>
              <w:fldChar w:fldCharType="end"/>
            </w:r>
          </w:hyperlink>
        </w:p>
        <w:p w14:paraId="306F671F" w14:textId="4E45C384" w:rsidR="006B7617" w:rsidRDefault="00000000">
          <w:pPr>
            <w:pStyle w:val="TOC1"/>
            <w:tabs>
              <w:tab w:val="right" w:leader="dot" w:pos="9016"/>
            </w:tabs>
            <w:rPr>
              <w:rFonts w:eastAsiaTheme="minorEastAsia"/>
              <w:noProof/>
              <w:sz w:val="24"/>
              <w:szCs w:val="24"/>
              <w:lang w:eastAsia="en-GB"/>
            </w:rPr>
          </w:pPr>
          <w:hyperlink w:anchor="_Toc175649229" w:history="1">
            <w:r w:rsidR="006B7617" w:rsidRPr="00E10A27">
              <w:rPr>
                <w:rStyle w:val="Hyperlink"/>
                <w:noProof/>
              </w:rPr>
              <w:t>7.0 Further Considered Measured</w:t>
            </w:r>
            <w:r w:rsidR="006B7617">
              <w:rPr>
                <w:noProof/>
                <w:webHidden/>
              </w:rPr>
              <w:tab/>
            </w:r>
            <w:r w:rsidR="006B7617">
              <w:rPr>
                <w:noProof/>
                <w:webHidden/>
              </w:rPr>
              <w:fldChar w:fldCharType="begin"/>
            </w:r>
            <w:r w:rsidR="006B7617">
              <w:rPr>
                <w:noProof/>
                <w:webHidden/>
              </w:rPr>
              <w:instrText xml:space="preserve"> PAGEREF _Toc175649229 \h </w:instrText>
            </w:r>
            <w:r w:rsidR="006B7617">
              <w:rPr>
                <w:noProof/>
                <w:webHidden/>
              </w:rPr>
            </w:r>
            <w:r w:rsidR="006B7617">
              <w:rPr>
                <w:noProof/>
                <w:webHidden/>
              </w:rPr>
              <w:fldChar w:fldCharType="separate"/>
            </w:r>
            <w:r w:rsidR="006B7617">
              <w:rPr>
                <w:noProof/>
                <w:webHidden/>
              </w:rPr>
              <w:t>8</w:t>
            </w:r>
            <w:r w:rsidR="006B7617">
              <w:rPr>
                <w:noProof/>
                <w:webHidden/>
              </w:rPr>
              <w:fldChar w:fldCharType="end"/>
            </w:r>
          </w:hyperlink>
        </w:p>
        <w:p w14:paraId="3CD3DDAA" w14:textId="74E9821A" w:rsidR="006B7617" w:rsidRDefault="00000000">
          <w:pPr>
            <w:pStyle w:val="TOC1"/>
            <w:tabs>
              <w:tab w:val="right" w:leader="dot" w:pos="9016"/>
            </w:tabs>
            <w:rPr>
              <w:rFonts w:eastAsiaTheme="minorEastAsia"/>
              <w:noProof/>
              <w:sz w:val="24"/>
              <w:szCs w:val="24"/>
              <w:lang w:eastAsia="en-GB"/>
            </w:rPr>
          </w:pPr>
          <w:hyperlink w:anchor="_Toc175649230" w:history="1">
            <w:r w:rsidR="006B7617" w:rsidRPr="00E10A27">
              <w:rPr>
                <w:rStyle w:val="Hyperlink"/>
                <w:noProof/>
              </w:rPr>
              <w:t>8.0 Risk Acceptance</w:t>
            </w:r>
            <w:r w:rsidR="006B7617">
              <w:rPr>
                <w:noProof/>
                <w:webHidden/>
              </w:rPr>
              <w:tab/>
            </w:r>
            <w:r w:rsidR="006B7617">
              <w:rPr>
                <w:noProof/>
                <w:webHidden/>
              </w:rPr>
              <w:fldChar w:fldCharType="begin"/>
            </w:r>
            <w:r w:rsidR="006B7617">
              <w:rPr>
                <w:noProof/>
                <w:webHidden/>
              </w:rPr>
              <w:instrText xml:space="preserve"> PAGEREF _Toc175649230 \h </w:instrText>
            </w:r>
            <w:r w:rsidR="006B7617">
              <w:rPr>
                <w:noProof/>
                <w:webHidden/>
              </w:rPr>
            </w:r>
            <w:r w:rsidR="006B7617">
              <w:rPr>
                <w:noProof/>
                <w:webHidden/>
              </w:rPr>
              <w:fldChar w:fldCharType="separate"/>
            </w:r>
            <w:r w:rsidR="006B7617">
              <w:rPr>
                <w:noProof/>
                <w:webHidden/>
              </w:rPr>
              <w:t>9</w:t>
            </w:r>
            <w:r w:rsidR="006B7617">
              <w:rPr>
                <w:noProof/>
                <w:webHidden/>
              </w:rPr>
              <w:fldChar w:fldCharType="end"/>
            </w:r>
          </w:hyperlink>
        </w:p>
        <w:p w14:paraId="26EB8E96" w14:textId="3C3FD11D" w:rsidR="006B7617" w:rsidRDefault="00000000">
          <w:pPr>
            <w:pStyle w:val="TOC1"/>
            <w:tabs>
              <w:tab w:val="right" w:leader="dot" w:pos="9016"/>
            </w:tabs>
            <w:rPr>
              <w:rFonts w:eastAsiaTheme="minorEastAsia"/>
              <w:noProof/>
              <w:sz w:val="24"/>
              <w:szCs w:val="24"/>
              <w:lang w:eastAsia="en-GB"/>
            </w:rPr>
          </w:pPr>
          <w:hyperlink w:anchor="_Toc175649231" w:history="1">
            <w:r w:rsidR="006B7617" w:rsidRPr="00E10A27">
              <w:rPr>
                <w:rStyle w:val="Hyperlink"/>
                <w:noProof/>
              </w:rPr>
              <w:t>References</w:t>
            </w:r>
            <w:r w:rsidR="006B7617">
              <w:rPr>
                <w:noProof/>
                <w:webHidden/>
              </w:rPr>
              <w:tab/>
            </w:r>
            <w:r w:rsidR="006B7617">
              <w:rPr>
                <w:noProof/>
                <w:webHidden/>
              </w:rPr>
              <w:fldChar w:fldCharType="begin"/>
            </w:r>
            <w:r w:rsidR="006B7617">
              <w:rPr>
                <w:noProof/>
                <w:webHidden/>
              </w:rPr>
              <w:instrText xml:space="preserve"> PAGEREF _Toc175649231 \h </w:instrText>
            </w:r>
            <w:r w:rsidR="006B7617">
              <w:rPr>
                <w:noProof/>
                <w:webHidden/>
              </w:rPr>
            </w:r>
            <w:r w:rsidR="006B7617">
              <w:rPr>
                <w:noProof/>
                <w:webHidden/>
              </w:rPr>
              <w:fldChar w:fldCharType="separate"/>
            </w:r>
            <w:r w:rsidR="006B7617">
              <w:rPr>
                <w:noProof/>
                <w:webHidden/>
              </w:rPr>
              <w:t>10</w:t>
            </w:r>
            <w:r w:rsidR="006B7617">
              <w:rPr>
                <w:noProof/>
                <w:webHidden/>
              </w:rPr>
              <w:fldChar w:fldCharType="end"/>
            </w:r>
          </w:hyperlink>
        </w:p>
        <w:p w14:paraId="35C9E370" w14:textId="33515C16" w:rsidR="006B7617" w:rsidRDefault="00000000">
          <w:pPr>
            <w:pStyle w:val="TOC1"/>
            <w:tabs>
              <w:tab w:val="right" w:leader="dot" w:pos="9016"/>
            </w:tabs>
            <w:rPr>
              <w:rFonts w:eastAsiaTheme="minorEastAsia"/>
              <w:noProof/>
              <w:sz w:val="24"/>
              <w:szCs w:val="24"/>
              <w:lang w:eastAsia="en-GB"/>
            </w:rPr>
          </w:pPr>
          <w:hyperlink w:anchor="_Toc175649232" w:history="1">
            <w:r w:rsidR="006B7617" w:rsidRPr="00E10A27">
              <w:rPr>
                <w:rStyle w:val="Hyperlink"/>
                <w:noProof/>
              </w:rPr>
              <w:t>Appendix A – Full Process Risk Assessment</w:t>
            </w:r>
            <w:r w:rsidR="006B7617">
              <w:rPr>
                <w:noProof/>
                <w:webHidden/>
              </w:rPr>
              <w:tab/>
            </w:r>
            <w:r w:rsidR="006B7617">
              <w:rPr>
                <w:noProof/>
                <w:webHidden/>
              </w:rPr>
              <w:fldChar w:fldCharType="begin"/>
            </w:r>
            <w:r w:rsidR="006B7617">
              <w:rPr>
                <w:noProof/>
                <w:webHidden/>
              </w:rPr>
              <w:instrText xml:space="preserve"> PAGEREF _Toc175649232 \h </w:instrText>
            </w:r>
            <w:r w:rsidR="006B7617">
              <w:rPr>
                <w:noProof/>
                <w:webHidden/>
              </w:rPr>
            </w:r>
            <w:r w:rsidR="006B7617">
              <w:rPr>
                <w:noProof/>
                <w:webHidden/>
              </w:rPr>
              <w:fldChar w:fldCharType="separate"/>
            </w:r>
            <w:r w:rsidR="006B7617">
              <w:rPr>
                <w:noProof/>
                <w:webHidden/>
              </w:rPr>
              <w:t>11</w:t>
            </w:r>
            <w:r w:rsidR="006B7617">
              <w:rPr>
                <w:noProof/>
                <w:webHidden/>
              </w:rPr>
              <w:fldChar w:fldCharType="end"/>
            </w:r>
          </w:hyperlink>
        </w:p>
        <w:p w14:paraId="2F36BB9E" w14:textId="1D271C74" w:rsidR="00B82179" w:rsidRDefault="00B82179">
          <w:r>
            <w:rPr>
              <w:b/>
              <w:bCs/>
              <w:noProof/>
            </w:rPr>
            <w:fldChar w:fldCharType="end"/>
          </w:r>
        </w:p>
      </w:sdtContent>
    </w:sdt>
    <w:p w14:paraId="69084D65" w14:textId="33B5D083" w:rsidR="00B82179" w:rsidRDefault="00B82179" w:rsidP="003D7E6B">
      <w:pPr>
        <w:pStyle w:val="Heading1"/>
      </w:pPr>
      <w:bookmarkStart w:id="1" w:name="_Toc175649221"/>
      <w:r>
        <w:t>Table of Figures</w:t>
      </w:r>
      <w:bookmarkEnd w:id="1"/>
    </w:p>
    <w:p w14:paraId="48BCB9B8" w14:textId="05658EFB" w:rsidR="006B7617" w:rsidRDefault="00B82179">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5649233" w:history="1">
        <w:r w:rsidR="006B7617" w:rsidRPr="00630C8A">
          <w:rPr>
            <w:rStyle w:val="Hyperlink"/>
            <w:noProof/>
          </w:rPr>
          <w:t>Figure 1 - Severity Assessment Table [7]</w:t>
        </w:r>
        <w:r w:rsidR="006B7617">
          <w:rPr>
            <w:noProof/>
            <w:webHidden/>
          </w:rPr>
          <w:tab/>
        </w:r>
        <w:r w:rsidR="006B7617">
          <w:rPr>
            <w:noProof/>
            <w:webHidden/>
          </w:rPr>
          <w:fldChar w:fldCharType="begin"/>
        </w:r>
        <w:r w:rsidR="006B7617">
          <w:rPr>
            <w:noProof/>
            <w:webHidden/>
          </w:rPr>
          <w:instrText xml:space="preserve"> PAGEREF _Toc175649233 \h </w:instrText>
        </w:r>
        <w:r w:rsidR="006B7617">
          <w:rPr>
            <w:noProof/>
            <w:webHidden/>
          </w:rPr>
        </w:r>
        <w:r w:rsidR="006B7617">
          <w:rPr>
            <w:noProof/>
            <w:webHidden/>
          </w:rPr>
          <w:fldChar w:fldCharType="separate"/>
        </w:r>
        <w:r w:rsidR="006B7617">
          <w:rPr>
            <w:noProof/>
            <w:webHidden/>
          </w:rPr>
          <w:t>5</w:t>
        </w:r>
        <w:r w:rsidR="006B7617">
          <w:rPr>
            <w:noProof/>
            <w:webHidden/>
          </w:rPr>
          <w:fldChar w:fldCharType="end"/>
        </w:r>
      </w:hyperlink>
    </w:p>
    <w:p w14:paraId="0B2D9BC4" w14:textId="0BB3C053" w:rsidR="006B7617" w:rsidRDefault="00000000">
      <w:pPr>
        <w:pStyle w:val="TableofFigures"/>
        <w:tabs>
          <w:tab w:val="right" w:leader="dot" w:pos="9016"/>
        </w:tabs>
        <w:rPr>
          <w:rFonts w:eastAsiaTheme="minorEastAsia"/>
          <w:noProof/>
          <w:sz w:val="24"/>
          <w:szCs w:val="24"/>
          <w:lang w:eastAsia="en-GB"/>
        </w:rPr>
      </w:pPr>
      <w:hyperlink w:anchor="_Toc175649234" w:history="1">
        <w:r w:rsidR="006B7617" w:rsidRPr="00630C8A">
          <w:rPr>
            <w:rStyle w:val="Hyperlink"/>
            <w:noProof/>
          </w:rPr>
          <w:t>Figure 2 - Likelihood Assessment Table [7]</w:t>
        </w:r>
        <w:r w:rsidR="006B7617">
          <w:rPr>
            <w:noProof/>
            <w:webHidden/>
          </w:rPr>
          <w:tab/>
        </w:r>
        <w:r w:rsidR="006B7617">
          <w:rPr>
            <w:noProof/>
            <w:webHidden/>
          </w:rPr>
          <w:fldChar w:fldCharType="begin"/>
        </w:r>
        <w:r w:rsidR="006B7617">
          <w:rPr>
            <w:noProof/>
            <w:webHidden/>
          </w:rPr>
          <w:instrText xml:space="preserve"> PAGEREF _Toc175649234 \h </w:instrText>
        </w:r>
        <w:r w:rsidR="006B7617">
          <w:rPr>
            <w:noProof/>
            <w:webHidden/>
          </w:rPr>
        </w:r>
        <w:r w:rsidR="006B7617">
          <w:rPr>
            <w:noProof/>
            <w:webHidden/>
          </w:rPr>
          <w:fldChar w:fldCharType="separate"/>
        </w:r>
        <w:r w:rsidR="006B7617">
          <w:rPr>
            <w:noProof/>
            <w:webHidden/>
          </w:rPr>
          <w:t>6</w:t>
        </w:r>
        <w:r w:rsidR="006B7617">
          <w:rPr>
            <w:noProof/>
            <w:webHidden/>
          </w:rPr>
          <w:fldChar w:fldCharType="end"/>
        </w:r>
      </w:hyperlink>
    </w:p>
    <w:p w14:paraId="6FBD7276" w14:textId="3712E0FC" w:rsidR="006B7617" w:rsidRDefault="00000000">
      <w:pPr>
        <w:pStyle w:val="TableofFigures"/>
        <w:tabs>
          <w:tab w:val="right" w:leader="dot" w:pos="9016"/>
        </w:tabs>
        <w:rPr>
          <w:rFonts w:eastAsiaTheme="minorEastAsia"/>
          <w:noProof/>
          <w:sz w:val="24"/>
          <w:szCs w:val="24"/>
          <w:lang w:eastAsia="en-GB"/>
        </w:rPr>
      </w:pPr>
      <w:hyperlink w:anchor="_Toc175649235" w:history="1">
        <w:r w:rsidR="006B7617" w:rsidRPr="00630C8A">
          <w:rPr>
            <w:rStyle w:val="Hyperlink"/>
            <w:noProof/>
          </w:rPr>
          <w:t>Figure 3 - Risk Assessment Matrix [7]</w:t>
        </w:r>
        <w:r w:rsidR="006B7617">
          <w:rPr>
            <w:noProof/>
            <w:webHidden/>
          </w:rPr>
          <w:tab/>
        </w:r>
        <w:r w:rsidR="006B7617">
          <w:rPr>
            <w:noProof/>
            <w:webHidden/>
          </w:rPr>
          <w:fldChar w:fldCharType="begin"/>
        </w:r>
        <w:r w:rsidR="006B7617">
          <w:rPr>
            <w:noProof/>
            <w:webHidden/>
          </w:rPr>
          <w:instrText xml:space="preserve"> PAGEREF _Toc175649235 \h </w:instrText>
        </w:r>
        <w:r w:rsidR="006B7617">
          <w:rPr>
            <w:noProof/>
            <w:webHidden/>
          </w:rPr>
        </w:r>
        <w:r w:rsidR="006B7617">
          <w:rPr>
            <w:noProof/>
            <w:webHidden/>
          </w:rPr>
          <w:fldChar w:fldCharType="separate"/>
        </w:r>
        <w:r w:rsidR="006B7617">
          <w:rPr>
            <w:noProof/>
            <w:webHidden/>
          </w:rPr>
          <w:t>6</w:t>
        </w:r>
        <w:r w:rsidR="006B7617">
          <w:rPr>
            <w:noProof/>
            <w:webHidden/>
          </w:rPr>
          <w:fldChar w:fldCharType="end"/>
        </w:r>
      </w:hyperlink>
    </w:p>
    <w:p w14:paraId="51DD04EA" w14:textId="3009F611" w:rsidR="006B7617" w:rsidRDefault="00000000">
      <w:pPr>
        <w:pStyle w:val="TableofFigures"/>
        <w:tabs>
          <w:tab w:val="right" w:leader="dot" w:pos="9016"/>
        </w:tabs>
        <w:rPr>
          <w:rFonts w:eastAsiaTheme="minorEastAsia"/>
          <w:noProof/>
          <w:sz w:val="24"/>
          <w:szCs w:val="24"/>
          <w:lang w:eastAsia="en-GB"/>
        </w:rPr>
      </w:pPr>
      <w:hyperlink w:anchor="_Toc175649236" w:history="1">
        <w:r w:rsidR="006B7617" w:rsidRPr="00630C8A">
          <w:rPr>
            <w:rStyle w:val="Hyperlink"/>
            <w:noProof/>
          </w:rPr>
          <w:t>Figure 4 - Risk Classification Definitions [7]</w:t>
        </w:r>
        <w:r w:rsidR="006B7617">
          <w:rPr>
            <w:noProof/>
            <w:webHidden/>
          </w:rPr>
          <w:tab/>
        </w:r>
        <w:r w:rsidR="006B7617">
          <w:rPr>
            <w:noProof/>
            <w:webHidden/>
          </w:rPr>
          <w:fldChar w:fldCharType="begin"/>
        </w:r>
        <w:r w:rsidR="006B7617">
          <w:rPr>
            <w:noProof/>
            <w:webHidden/>
          </w:rPr>
          <w:instrText xml:space="preserve"> PAGEREF _Toc175649236 \h </w:instrText>
        </w:r>
        <w:r w:rsidR="006B7617">
          <w:rPr>
            <w:noProof/>
            <w:webHidden/>
          </w:rPr>
        </w:r>
        <w:r w:rsidR="006B7617">
          <w:rPr>
            <w:noProof/>
            <w:webHidden/>
          </w:rPr>
          <w:fldChar w:fldCharType="separate"/>
        </w:r>
        <w:r w:rsidR="006B7617">
          <w:rPr>
            <w:noProof/>
            <w:webHidden/>
          </w:rPr>
          <w:t>6</w:t>
        </w:r>
        <w:r w:rsidR="006B7617">
          <w:rPr>
            <w:noProof/>
            <w:webHidden/>
          </w:rPr>
          <w:fldChar w:fldCharType="end"/>
        </w:r>
      </w:hyperlink>
    </w:p>
    <w:p w14:paraId="4CF50733" w14:textId="27125C27" w:rsidR="00B82179" w:rsidRDefault="00B82179" w:rsidP="00B82179">
      <w:r>
        <w:fldChar w:fldCharType="end"/>
      </w:r>
    </w:p>
    <w:p w14:paraId="0A7DE91E" w14:textId="0F204597" w:rsidR="00B82179" w:rsidRDefault="00B82179" w:rsidP="003D7E6B">
      <w:pPr>
        <w:pStyle w:val="Heading1"/>
      </w:pPr>
      <w:bookmarkStart w:id="2" w:name="_Toc175649222"/>
      <w:r>
        <w:t>Table of Tables</w:t>
      </w:r>
      <w:bookmarkEnd w:id="2"/>
    </w:p>
    <w:p w14:paraId="04A088A5" w14:textId="100FB7BE" w:rsidR="006B7617" w:rsidRDefault="00B82179">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75649237" w:history="1">
        <w:r w:rsidR="006B7617" w:rsidRPr="003A1C1F">
          <w:rPr>
            <w:rStyle w:val="Hyperlink"/>
            <w:noProof/>
          </w:rPr>
          <w:t>Table 1- Identified Causes of Mass Explosion Hazards</w:t>
        </w:r>
        <w:r w:rsidR="006B7617">
          <w:rPr>
            <w:noProof/>
            <w:webHidden/>
          </w:rPr>
          <w:tab/>
        </w:r>
        <w:r w:rsidR="006B7617">
          <w:rPr>
            <w:noProof/>
            <w:webHidden/>
          </w:rPr>
          <w:fldChar w:fldCharType="begin"/>
        </w:r>
        <w:r w:rsidR="006B7617">
          <w:rPr>
            <w:noProof/>
            <w:webHidden/>
          </w:rPr>
          <w:instrText xml:space="preserve"> PAGEREF _Toc175649237 \h </w:instrText>
        </w:r>
        <w:r w:rsidR="006B7617">
          <w:rPr>
            <w:noProof/>
            <w:webHidden/>
          </w:rPr>
        </w:r>
        <w:r w:rsidR="006B7617">
          <w:rPr>
            <w:noProof/>
            <w:webHidden/>
          </w:rPr>
          <w:fldChar w:fldCharType="separate"/>
        </w:r>
        <w:r w:rsidR="006B7617">
          <w:rPr>
            <w:noProof/>
            <w:webHidden/>
          </w:rPr>
          <w:t>4</w:t>
        </w:r>
        <w:r w:rsidR="006B7617">
          <w:rPr>
            <w:noProof/>
            <w:webHidden/>
          </w:rPr>
          <w:fldChar w:fldCharType="end"/>
        </w:r>
      </w:hyperlink>
    </w:p>
    <w:p w14:paraId="1DA6E60E" w14:textId="5667DC0A" w:rsidR="006B7617" w:rsidRDefault="00000000">
      <w:pPr>
        <w:pStyle w:val="TableofFigures"/>
        <w:tabs>
          <w:tab w:val="right" w:leader="dot" w:pos="9016"/>
        </w:tabs>
        <w:rPr>
          <w:rFonts w:eastAsiaTheme="minorEastAsia"/>
          <w:noProof/>
          <w:sz w:val="24"/>
          <w:szCs w:val="24"/>
          <w:lang w:eastAsia="en-GB"/>
        </w:rPr>
      </w:pPr>
      <w:hyperlink w:anchor="_Toc175649238" w:history="1">
        <w:r w:rsidR="006B7617" w:rsidRPr="003A1C1F">
          <w:rPr>
            <w:rStyle w:val="Hyperlink"/>
            <w:noProof/>
          </w:rPr>
          <w:t>Table 2 - AOP 15 defined munitions tests.</w:t>
        </w:r>
        <w:r w:rsidR="006B7617">
          <w:rPr>
            <w:noProof/>
            <w:webHidden/>
          </w:rPr>
          <w:tab/>
        </w:r>
        <w:r w:rsidR="006B7617">
          <w:rPr>
            <w:noProof/>
            <w:webHidden/>
          </w:rPr>
          <w:fldChar w:fldCharType="begin"/>
        </w:r>
        <w:r w:rsidR="006B7617">
          <w:rPr>
            <w:noProof/>
            <w:webHidden/>
          </w:rPr>
          <w:instrText xml:space="preserve"> PAGEREF _Toc175649238 \h </w:instrText>
        </w:r>
        <w:r w:rsidR="006B7617">
          <w:rPr>
            <w:noProof/>
            <w:webHidden/>
          </w:rPr>
        </w:r>
        <w:r w:rsidR="006B7617">
          <w:rPr>
            <w:noProof/>
            <w:webHidden/>
          </w:rPr>
          <w:fldChar w:fldCharType="separate"/>
        </w:r>
        <w:r w:rsidR="006B7617">
          <w:rPr>
            <w:noProof/>
            <w:webHidden/>
          </w:rPr>
          <w:t>4</w:t>
        </w:r>
        <w:r w:rsidR="006B7617">
          <w:rPr>
            <w:noProof/>
            <w:webHidden/>
          </w:rPr>
          <w:fldChar w:fldCharType="end"/>
        </w:r>
      </w:hyperlink>
    </w:p>
    <w:p w14:paraId="26D45ED6" w14:textId="0D725B34" w:rsidR="006B7617" w:rsidRDefault="00000000">
      <w:pPr>
        <w:pStyle w:val="TableofFigures"/>
        <w:tabs>
          <w:tab w:val="right" w:leader="dot" w:pos="9016"/>
        </w:tabs>
        <w:rPr>
          <w:rFonts w:eastAsiaTheme="minorEastAsia"/>
          <w:noProof/>
          <w:sz w:val="24"/>
          <w:szCs w:val="24"/>
          <w:lang w:eastAsia="en-GB"/>
        </w:rPr>
      </w:pPr>
      <w:hyperlink w:anchor="_Toc175649239" w:history="1">
        <w:r w:rsidR="006B7617" w:rsidRPr="003A1C1F">
          <w:rPr>
            <w:rStyle w:val="Hyperlink"/>
            <w:noProof/>
          </w:rPr>
          <w:t>Table 3 - Additional Control Measures</w:t>
        </w:r>
        <w:r w:rsidR="006B7617">
          <w:rPr>
            <w:noProof/>
            <w:webHidden/>
          </w:rPr>
          <w:tab/>
        </w:r>
        <w:r w:rsidR="006B7617">
          <w:rPr>
            <w:noProof/>
            <w:webHidden/>
          </w:rPr>
          <w:fldChar w:fldCharType="begin"/>
        </w:r>
        <w:r w:rsidR="006B7617">
          <w:rPr>
            <w:noProof/>
            <w:webHidden/>
          </w:rPr>
          <w:instrText xml:space="preserve"> PAGEREF _Toc175649239 \h </w:instrText>
        </w:r>
        <w:r w:rsidR="006B7617">
          <w:rPr>
            <w:noProof/>
            <w:webHidden/>
          </w:rPr>
        </w:r>
        <w:r w:rsidR="006B7617">
          <w:rPr>
            <w:noProof/>
            <w:webHidden/>
          </w:rPr>
          <w:fldChar w:fldCharType="separate"/>
        </w:r>
        <w:r w:rsidR="006B7617">
          <w:rPr>
            <w:noProof/>
            <w:webHidden/>
          </w:rPr>
          <w:t>7</w:t>
        </w:r>
        <w:r w:rsidR="006B7617">
          <w:rPr>
            <w:noProof/>
            <w:webHidden/>
          </w:rPr>
          <w:fldChar w:fldCharType="end"/>
        </w:r>
      </w:hyperlink>
    </w:p>
    <w:p w14:paraId="3C46F09D" w14:textId="1CF3E746" w:rsidR="006B7617" w:rsidRDefault="00000000">
      <w:pPr>
        <w:pStyle w:val="TableofFigures"/>
        <w:tabs>
          <w:tab w:val="right" w:leader="dot" w:pos="9016"/>
        </w:tabs>
        <w:rPr>
          <w:rFonts w:eastAsiaTheme="minorEastAsia"/>
          <w:noProof/>
          <w:sz w:val="24"/>
          <w:szCs w:val="24"/>
          <w:lang w:eastAsia="en-GB"/>
        </w:rPr>
      </w:pPr>
      <w:hyperlink w:anchor="_Toc175649240" w:history="1">
        <w:r w:rsidR="006B7617" w:rsidRPr="003A1C1F">
          <w:rPr>
            <w:rStyle w:val="Hyperlink"/>
            <w:noProof/>
          </w:rPr>
          <w:t>Table 4 - Examples of considered additional measures.</w:t>
        </w:r>
        <w:r w:rsidR="006B7617">
          <w:rPr>
            <w:noProof/>
            <w:webHidden/>
          </w:rPr>
          <w:tab/>
        </w:r>
        <w:r w:rsidR="006B7617">
          <w:rPr>
            <w:noProof/>
            <w:webHidden/>
          </w:rPr>
          <w:fldChar w:fldCharType="begin"/>
        </w:r>
        <w:r w:rsidR="006B7617">
          <w:rPr>
            <w:noProof/>
            <w:webHidden/>
          </w:rPr>
          <w:instrText xml:space="preserve"> PAGEREF _Toc175649240 \h </w:instrText>
        </w:r>
        <w:r w:rsidR="006B7617">
          <w:rPr>
            <w:noProof/>
            <w:webHidden/>
          </w:rPr>
        </w:r>
        <w:r w:rsidR="006B7617">
          <w:rPr>
            <w:noProof/>
            <w:webHidden/>
          </w:rPr>
          <w:fldChar w:fldCharType="separate"/>
        </w:r>
        <w:r w:rsidR="006B7617">
          <w:rPr>
            <w:noProof/>
            <w:webHidden/>
          </w:rPr>
          <w:t>9</w:t>
        </w:r>
        <w:r w:rsidR="006B7617">
          <w:rPr>
            <w:noProof/>
            <w:webHidden/>
          </w:rPr>
          <w:fldChar w:fldCharType="end"/>
        </w:r>
      </w:hyperlink>
    </w:p>
    <w:p w14:paraId="3A3D5BCA" w14:textId="08898BB5" w:rsidR="00B82179" w:rsidRDefault="00B82179" w:rsidP="00B82179">
      <w:r>
        <w:fldChar w:fldCharType="end"/>
      </w:r>
    </w:p>
    <w:p w14:paraId="110D19B9" w14:textId="3EA09550" w:rsidR="00B82179" w:rsidRDefault="00B82179">
      <w:r>
        <w:br w:type="page"/>
      </w:r>
    </w:p>
    <w:p w14:paraId="318D065D" w14:textId="0927F88D" w:rsidR="00B82179" w:rsidRDefault="006B7617" w:rsidP="00B82179">
      <w:pPr>
        <w:pStyle w:val="Heading1"/>
        <w:numPr>
          <w:ilvl w:val="0"/>
          <w:numId w:val="1"/>
        </w:numPr>
      </w:pPr>
      <w:bookmarkStart w:id="3" w:name="_Toc175649223"/>
      <w:r>
        <w:lastRenderedPageBreak/>
        <w:t>System Overview and Assessment Scope</w:t>
      </w:r>
      <w:bookmarkEnd w:id="3"/>
    </w:p>
    <w:p w14:paraId="76E0CFB8" w14:textId="7B1FA9A3" w:rsidR="006B7617" w:rsidRDefault="006B7617" w:rsidP="006B7617">
      <w:r>
        <w:t>This report has been produced as part of a wider safety case for the GWS-26 Vertically Launched Sea Wolf (VLSW) missile system</w:t>
      </w:r>
      <w:r w:rsidR="00E7773C">
        <w:t>.</w:t>
      </w:r>
      <w:r>
        <w:t xml:space="preserve"> </w:t>
      </w:r>
      <w:r w:rsidR="00E7773C">
        <w:t>A</w:t>
      </w:r>
      <w:r>
        <w:t xml:space="preserve"> naval surface to air missile currently in service with Type 23 Duke Class Frigates of the UK Royal Navy.  The system comprises of a 14kg HE-Fragmentation warhead, a Blackcap solid fuel sustainer and an additional Cadiz booster motor and turnover pack.  When assembles the system weighs 140kg and has a footprint of approximately 3000mm by 450mm. Missiles are loaded onto the Type 23 frigates in sets of 32 via crane whilst the vessels are in port </w:t>
      </w:r>
      <w:sdt>
        <w:sdtPr>
          <w:id w:val="-723904940"/>
          <w:citation/>
        </w:sdtPr>
        <w:sdtContent>
          <w:r>
            <w:fldChar w:fldCharType="begin"/>
          </w:r>
          <w:r>
            <w:instrText xml:space="preserve"> CITATION Wik24 \l 2057 </w:instrText>
          </w:r>
          <w:r>
            <w:fldChar w:fldCharType="separate"/>
          </w:r>
          <w:r w:rsidRPr="006B7617">
            <w:rPr>
              <w:noProof/>
            </w:rPr>
            <w:t>[1]</w:t>
          </w:r>
          <w:r>
            <w:fldChar w:fldCharType="end"/>
          </w:r>
        </w:sdtContent>
      </w:sdt>
      <w:r>
        <w:t>,</w:t>
      </w:r>
      <w:sdt>
        <w:sdtPr>
          <w:id w:val="-978460581"/>
          <w:citation/>
        </w:sdtPr>
        <w:sdtContent>
          <w:r>
            <w:fldChar w:fldCharType="begin"/>
          </w:r>
          <w:r>
            <w:instrText xml:space="preserve"> CITATION Nav13 \l 2057 </w:instrText>
          </w:r>
          <w:r>
            <w:fldChar w:fldCharType="separate"/>
          </w:r>
          <w:r>
            <w:rPr>
              <w:noProof/>
            </w:rPr>
            <w:t xml:space="preserve"> </w:t>
          </w:r>
          <w:r w:rsidRPr="006B7617">
            <w:rPr>
              <w:noProof/>
            </w:rPr>
            <w:t>[2]</w:t>
          </w:r>
          <w:r>
            <w:fldChar w:fldCharType="end"/>
          </w:r>
        </w:sdtContent>
      </w:sdt>
      <w:r>
        <w:t>.</w:t>
      </w:r>
    </w:p>
    <w:p w14:paraId="298DAFF2" w14:textId="5D4A5749" w:rsidR="006B7617" w:rsidRDefault="006B7617" w:rsidP="006B7617">
      <w:r>
        <w:t>This ALARP justification report focuses exclusively on the long-term storage of</w:t>
      </w:r>
      <w:r w:rsidR="00E7773C">
        <w:t>,</w:t>
      </w:r>
      <w:r>
        <w:t xml:space="preserve"> up to 64</w:t>
      </w:r>
      <w:r w:rsidR="00E7773C">
        <w:t>,</w:t>
      </w:r>
      <w:r>
        <w:t xml:space="preserve"> Sea Wolf missiles at forward operating bases prior to loading onto Royal Navy ships. As such, the document is bounded to exclusively cover the risk</w:t>
      </w:r>
      <w:r w:rsidR="00E7773C">
        <w:t>s</w:t>
      </w:r>
      <w:r>
        <w:t xml:space="preserve"> o</w:t>
      </w:r>
      <w:r w:rsidR="00E7773C">
        <w:t>f</w:t>
      </w:r>
      <w:r>
        <w:t xml:space="preserve"> movement and storage within the designated storage facility only.</w:t>
      </w:r>
    </w:p>
    <w:p w14:paraId="385D49F0" w14:textId="6AC6B4A3" w:rsidR="006B7617" w:rsidRPr="006B7617" w:rsidRDefault="006B7617" w:rsidP="006B7617">
      <w:r>
        <w:t>In the context of this assessment, there is currently no specialist explosive storage facility available, the missile system arrives broken down into its three individual stages and is packaged to UK ADR and Defence Ordnance Safety Regulator (DOSR) regulations.</w:t>
      </w:r>
    </w:p>
    <w:p w14:paraId="1BFD776B" w14:textId="7D70DE20" w:rsidR="00B82179" w:rsidRDefault="006B7617" w:rsidP="00B82179">
      <w:pPr>
        <w:pStyle w:val="Heading1"/>
      </w:pPr>
      <w:bookmarkStart w:id="4" w:name="_Toc175649224"/>
      <w:r>
        <w:t>2</w:t>
      </w:r>
      <w:r w:rsidR="00B82179">
        <w:t>.0 Hazard Identification</w:t>
      </w:r>
      <w:bookmarkEnd w:id="4"/>
    </w:p>
    <w:p w14:paraId="5357AA75" w14:textId="1C729A2E" w:rsidR="006B7617" w:rsidRDefault="006B7617" w:rsidP="006B7617">
      <w:r>
        <w:t xml:space="preserve">Def Stan 00-56 </w:t>
      </w:r>
      <w:sdt>
        <w:sdtPr>
          <w:id w:val="1382983654"/>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defines a hazard as the “Potential to cause harm, e.g. A physical situation or state of a system, often following from some initiating event that may lead to an accident.”</w:t>
      </w:r>
    </w:p>
    <w:p w14:paraId="6533326D" w14:textId="07C6ED7E" w:rsidR="006B7617" w:rsidRDefault="006B7617" w:rsidP="006B7617">
      <w:r>
        <w:t>A robust process for identifying hazards is given in the Defence Equipment &amp; Support’s (DE</w:t>
      </w:r>
      <w:r w:rsidR="00E7773C">
        <w:t>&amp;</w:t>
      </w:r>
      <w:r>
        <w:t xml:space="preserve">S) Acquisition Safety and Environmental Management System (ASEMS) </w:t>
      </w:r>
      <w:sdt>
        <w:sdtPr>
          <w:id w:val="702909686"/>
          <w:citation/>
        </w:sdtPr>
        <w:sdtContent>
          <w:r>
            <w:fldChar w:fldCharType="begin"/>
          </w:r>
          <w:r>
            <w:instrText xml:space="preserve"> CITATION MOD24 \l 2057 </w:instrText>
          </w:r>
          <w:r>
            <w:fldChar w:fldCharType="separate"/>
          </w:r>
          <w:r w:rsidRPr="006B7617">
            <w:rPr>
              <w:noProof/>
            </w:rPr>
            <w:t>[4]</w:t>
          </w:r>
          <w:r>
            <w:fldChar w:fldCharType="end"/>
          </w:r>
        </w:sdtContent>
      </w:sdt>
      <w:r>
        <w:t>.</w:t>
      </w:r>
    </w:p>
    <w:p w14:paraId="78227D53" w14:textId="511E19A7" w:rsidR="006B7617" w:rsidRDefault="006B7617" w:rsidP="006B7617">
      <w:r>
        <w:t xml:space="preserve"> Def stan 00-56 </w:t>
      </w:r>
      <w:sdt>
        <w:sdtPr>
          <w:id w:val="-258209973"/>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defines Hazzard Identification as “The process of identifying and listing the hazards and accidents associated with a system” and Hazzard Analysis as “The process of analysing in detail the hazards and accidents associated with a system.”</w:t>
      </w:r>
    </w:p>
    <w:p w14:paraId="5E2ED169" w14:textId="026A1440" w:rsidR="006B7617" w:rsidRDefault="006B7617" w:rsidP="006B7617">
      <w:r>
        <w:t xml:space="preserve">ASEMS SMP05 </w:t>
      </w:r>
      <w:sdt>
        <w:sdtPr>
          <w:id w:val="1985115739"/>
          <w:citation/>
        </w:sdtPr>
        <w:sdtContent>
          <w:r>
            <w:fldChar w:fldCharType="begin"/>
          </w:r>
          <w:r>
            <w:instrText xml:space="preserve"> CITATION MOD24 \l 2057 </w:instrText>
          </w:r>
          <w:r>
            <w:fldChar w:fldCharType="separate"/>
          </w:r>
          <w:r w:rsidRPr="006B7617">
            <w:rPr>
              <w:noProof/>
            </w:rPr>
            <w:t>[4]</w:t>
          </w:r>
          <w:r>
            <w:fldChar w:fldCharType="end"/>
          </w:r>
        </w:sdtContent>
      </w:sdt>
      <w:r>
        <w:t xml:space="preserve"> recommends hazards are identified and analysed using hazard checklists. Th</w:t>
      </w:r>
      <w:r w:rsidR="00E7773C">
        <w:t>ese are</w:t>
      </w:r>
      <w:r>
        <w:t xml:space="preserve"> document</w:t>
      </w:r>
      <w:r w:rsidR="00E7773C">
        <w:t>s</w:t>
      </w:r>
      <w:r>
        <w:t xml:space="preserve"> containing a range of potential hazards prompting risk assessor to evaluate the full system. For Ordnance, Munitions and Explosives the suggested hazard checklist is </w:t>
      </w:r>
      <w:r w:rsidR="00E7773C">
        <w:t xml:space="preserve">found in NATO </w:t>
      </w:r>
      <w:r>
        <w:t xml:space="preserve">AOP-15 </w:t>
      </w:r>
      <w:sdt>
        <w:sdtPr>
          <w:id w:val="1564986999"/>
          <w:citation/>
        </w:sdtPr>
        <w:sdtContent>
          <w:r>
            <w:fldChar w:fldCharType="begin"/>
          </w:r>
          <w:r>
            <w:instrText xml:space="preserve"> CITATION NAT08 \l 2057 </w:instrText>
          </w:r>
          <w:r>
            <w:fldChar w:fldCharType="separate"/>
          </w:r>
          <w:r w:rsidRPr="006B7617">
            <w:rPr>
              <w:noProof/>
            </w:rPr>
            <w:t>[5]</w:t>
          </w:r>
          <w:r>
            <w:fldChar w:fldCharType="end"/>
          </w:r>
        </w:sdtContent>
      </w:sdt>
      <w:r>
        <w:t xml:space="preserve">.  </w:t>
      </w:r>
    </w:p>
    <w:p w14:paraId="45249784" w14:textId="77777777" w:rsidR="006B7617" w:rsidRDefault="006B7617" w:rsidP="006B7617">
      <w:r>
        <w:t>Through applying this hazard checklist to the discussed scenario, a preliminary risk assessment was produced. This is given in Annex A.</w:t>
      </w:r>
    </w:p>
    <w:p w14:paraId="27D56BC9" w14:textId="77777777" w:rsidR="006B7617" w:rsidRDefault="006B7617" w:rsidP="006B7617">
      <w:r>
        <w:t xml:space="preserve">This document focuses exclusively on the “Mass Explosion” hazard. </w:t>
      </w:r>
    </w:p>
    <w:p w14:paraId="4194C6C6" w14:textId="4629FC8B" w:rsidR="006B7617" w:rsidRDefault="006B7617" w:rsidP="006B7617">
      <w:r>
        <w:t xml:space="preserve">Mass Explosion is defined by the Health and Safety Executive (HSE) </w:t>
      </w:r>
      <w:sdt>
        <w:sdtPr>
          <w:id w:val="-285122075"/>
          <w:citation/>
        </w:sdtPr>
        <w:sdtContent>
          <w:r>
            <w:fldChar w:fldCharType="begin"/>
          </w:r>
          <w:r>
            <w:instrText xml:space="preserve"> CITATION Hea24 \l 2057 </w:instrText>
          </w:r>
          <w:r>
            <w:fldChar w:fldCharType="separate"/>
          </w:r>
          <w:r w:rsidRPr="006B7617">
            <w:rPr>
              <w:noProof/>
            </w:rPr>
            <w:t>[6]</w:t>
          </w:r>
          <w:r>
            <w:fldChar w:fldCharType="end"/>
          </w:r>
        </w:sdtContent>
      </w:sdt>
      <w:r>
        <w:t xml:space="preserve"> as an explosion in which:</w:t>
      </w:r>
    </w:p>
    <w:p w14:paraId="039A8216" w14:textId="32142B7E" w:rsidR="006B7617" w:rsidRDefault="006B7617" w:rsidP="006B7617">
      <w:pPr>
        <w:pStyle w:val="ListParagraph"/>
        <w:numPr>
          <w:ilvl w:val="0"/>
          <w:numId w:val="6"/>
        </w:numPr>
      </w:pPr>
      <w:r>
        <w:t>The entire body of explosives explodes as one</w:t>
      </w:r>
      <w:r w:rsidR="00E7773C">
        <w:t>.</w:t>
      </w:r>
    </w:p>
    <w:p w14:paraId="597D2589" w14:textId="7181BA1C" w:rsidR="006B7617" w:rsidRDefault="006B7617" w:rsidP="006B7617">
      <w:pPr>
        <w:pStyle w:val="ListParagraph"/>
        <w:numPr>
          <w:ilvl w:val="0"/>
          <w:numId w:val="6"/>
        </w:numPr>
      </w:pPr>
      <w:r>
        <w:t>A substantial proportion of the explosives present could explode in such a way that the practical hazard should be assessed by assuming simultaneous explosion of all the explosives present.</w:t>
      </w:r>
    </w:p>
    <w:p w14:paraId="3115E4AB" w14:textId="24925B10" w:rsidR="006B7617" w:rsidRDefault="006B7617" w:rsidP="006B7617">
      <w:pPr>
        <w:pStyle w:val="ListParagraph"/>
        <w:numPr>
          <w:ilvl w:val="0"/>
          <w:numId w:val="6"/>
        </w:numPr>
      </w:pPr>
      <w:r>
        <w:t>It is associated with a serious blast hazard.</w:t>
      </w:r>
    </w:p>
    <w:p w14:paraId="2FF23D2D" w14:textId="77777777" w:rsidR="006B7617" w:rsidRDefault="006B7617" w:rsidP="006B7617">
      <w:r>
        <w:t>In the scenario given a mass explosion hazard could significantly impact explosive process workers, MOD personnel and the surrounding public.</w:t>
      </w:r>
    </w:p>
    <w:p w14:paraId="14B1472C" w14:textId="7B21C501" w:rsidR="006B7617" w:rsidRPr="006B7617" w:rsidRDefault="006B7617" w:rsidP="006B7617">
      <w:r>
        <w:lastRenderedPageBreak/>
        <w:t>Several identified causes for this hazard are given in Table 1.</w:t>
      </w:r>
    </w:p>
    <w:p w14:paraId="389837B2" w14:textId="6CDD9130" w:rsidR="008F7575" w:rsidRDefault="008F7575" w:rsidP="008F7575">
      <w:pPr>
        <w:pStyle w:val="Caption"/>
        <w:keepNext/>
      </w:pPr>
      <w:bookmarkStart w:id="5" w:name="_Ref174796319"/>
      <w:bookmarkStart w:id="6" w:name="_Toc175649237"/>
      <w:r>
        <w:t xml:space="preserve">Table </w:t>
      </w:r>
      <w:r>
        <w:fldChar w:fldCharType="begin"/>
      </w:r>
      <w:r>
        <w:instrText xml:space="preserve"> SEQ Table \* ARABIC </w:instrText>
      </w:r>
      <w:r>
        <w:fldChar w:fldCharType="separate"/>
      </w:r>
      <w:r w:rsidR="003D7E6B">
        <w:rPr>
          <w:noProof/>
        </w:rPr>
        <w:t>1</w:t>
      </w:r>
      <w:r>
        <w:fldChar w:fldCharType="end"/>
      </w:r>
      <w:bookmarkEnd w:id="5"/>
      <w:r>
        <w:t>- Identified Causes of Mass Explosion Hazards</w:t>
      </w:r>
      <w:bookmarkEnd w:id="6"/>
    </w:p>
    <w:tbl>
      <w:tblPr>
        <w:tblStyle w:val="ListTable4-Accent1"/>
        <w:tblW w:w="0" w:type="auto"/>
        <w:tblLook w:val="04A0" w:firstRow="1" w:lastRow="0" w:firstColumn="1" w:lastColumn="0" w:noHBand="0" w:noVBand="1"/>
      </w:tblPr>
      <w:tblGrid>
        <w:gridCol w:w="2972"/>
        <w:gridCol w:w="6044"/>
      </w:tblGrid>
      <w:tr w:rsidR="00B82179" w14:paraId="057838FB" w14:textId="77777777" w:rsidTr="00FF66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5357468" w14:textId="77777777" w:rsidR="00B82179" w:rsidRDefault="00B82179" w:rsidP="00FF669E">
            <w:r>
              <w:t xml:space="preserve">Cause </w:t>
            </w:r>
          </w:p>
        </w:tc>
        <w:tc>
          <w:tcPr>
            <w:tcW w:w="6044" w:type="dxa"/>
          </w:tcPr>
          <w:p w14:paraId="2EBF8C5B" w14:textId="77777777" w:rsidR="00B82179" w:rsidRDefault="00B82179" w:rsidP="00FF669E">
            <w:pPr>
              <w:cnfStyle w:val="100000000000" w:firstRow="1" w:lastRow="0" w:firstColumn="0" w:lastColumn="0" w:oddVBand="0" w:evenVBand="0" w:oddHBand="0" w:evenHBand="0" w:firstRowFirstColumn="0" w:firstRowLastColumn="0" w:lastRowFirstColumn="0" w:lastRowLastColumn="0"/>
            </w:pPr>
            <w:r>
              <w:t>Accident Scenario</w:t>
            </w:r>
          </w:p>
        </w:tc>
      </w:tr>
      <w:tr w:rsidR="00B82179" w14:paraId="078F31CB"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702EB851" w14:textId="77777777" w:rsidR="00B82179" w:rsidRDefault="00B82179" w:rsidP="00FF669E">
            <w:r>
              <w:t xml:space="preserve">Impact  </w:t>
            </w:r>
          </w:p>
        </w:tc>
        <w:tc>
          <w:tcPr>
            <w:tcW w:w="6044" w:type="dxa"/>
          </w:tcPr>
          <w:p w14:paraId="4B61F209" w14:textId="77777777" w:rsidR="00B82179" w:rsidRDefault="00B82179" w:rsidP="00FF669E">
            <w:pPr>
              <w:cnfStyle w:val="000000100000" w:firstRow="0" w:lastRow="0" w:firstColumn="0" w:lastColumn="0" w:oddVBand="0" w:evenVBand="0" w:oddHBand="1" w:evenHBand="0" w:firstRowFirstColumn="0" w:firstRowLastColumn="0" w:lastRowFirstColumn="0" w:lastRowLastColumn="0"/>
            </w:pPr>
            <w:r>
              <w:t>Dropping of the article during transport within the facility.</w:t>
            </w:r>
          </w:p>
        </w:tc>
      </w:tr>
      <w:tr w:rsidR="00B82179" w14:paraId="2711251D"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1B75E927" w14:textId="77777777" w:rsidR="00B82179" w:rsidRDefault="00B82179" w:rsidP="00FF669E">
            <w:r>
              <w:t>Ballistic Impact</w:t>
            </w:r>
          </w:p>
        </w:tc>
        <w:tc>
          <w:tcPr>
            <w:tcW w:w="6044" w:type="dxa"/>
          </w:tcPr>
          <w:p w14:paraId="157E3DAF" w14:textId="443DC66E" w:rsidR="00B82179" w:rsidRDefault="00B82179" w:rsidP="00FF669E">
            <w:pPr>
              <w:cnfStyle w:val="000000000000" w:firstRow="0" w:lastRow="0" w:firstColumn="0" w:lastColumn="0" w:oddVBand="0" w:evenVBand="0" w:oddHBand="0" w:evenHBand="0" w:firstRowFirstColumn="0" w:firstRowLastColumn="0" w:lastRowFirstColumn="0" w:lastRowLastColumn="0"/>
            </w:pPr>
            <w:r>
              <w:t>High velocity impact into the article</w:t>
            </w:r>
            <w:r w:rsidR="000C7DD6">
              <w:t xml:space="preserve"> by</w:t>
            </w:r>
            <w:r>
              <w:t xml:space="preserve"> objects such as </w:t>
            </w:r>
            <w:r w:rsidRPr="00235E65">
              <w:t>initiated rocket motors or ballistic projectiles</w:t>
            </w:r>
            <w:r w:rsidR="00E7773C">
              <w:t xml:space="preserve"> / fragments. </w:t>
            </w:r>
          </w:p>
        </w:tc>
      </w:tr>
      <w:tr w:rsidR="00B82179" w14:paraId="525ECA9C"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57C98866" w14:textId="77777777" w:rsidR="00B82179" w:rsidRDefault="00B82179" w:rsidP="00FF669E">
            <w:r>
              <w:t>Electrostatic Discharge (ESD)</w:t>
            </w:r>
          </w:p>
        </w:tc>
        <w:tc>
          <w:tcPr>
            <w:tcW w:w="6044" w:type="dxa"/>
          </w:tcPr>
          <w:p w14:paraId="69829A1A" w14:textId="7E2A0EF3" w:rsidR="00B82179" w:rsidRDefault="00B82179" w:rsidP="00FF669E">
            <w:pPr>
              <w:cnfStyle w:val="000000100000" w:firstRow="0" w:lastRow="0" w:firstColumn="0" w:lastColumn="0" w:oddVBand="0" w:evenVBand="0" w:oddHBand="1" w:evenHBand="0" w:firstRowFirstColumn="0" w:firstRowLastColumn="0" w:lastRowFirstColumn="0" w:lastRowLastColumn="0"/>
            </w:pPr>
            <w:r>
              <w:t>ESD caused by static buildup o</w:t>
            </w:r>
            <w:r w:rsidR="00E7773C">
              <w:t>n</w:t>
            </w:r>
            <w:r>
              <w:t xml:space="preserve"> surfaces, faulty electric</w:t>
            </w:r>
            <w:r w:rsidR="00E7773C">
              <w:t>s</w:t>
            </w:r>
            <w:r>
              <w:t xml:space="preserve"> or lightning.</w:t>
            </w:r>
          </w:p>
        </w:tc>
      </w:tr>
      <w:tr w:rsidR="00B82179" w14:paraId="52749E8F"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198FA37B" w14:textId="77777777" w:rsidR="00B82179" w:rsidRDefault="00B82179" w:rsidP="00FF669E">
            <w:r>
              <w:t>Electromagnetic Radiation</w:t>
            </w:r>
          </w:p>
        </w:tc>
        <w:tc>
          <w:tcPr>
            <w:tcW w:w="6044" w:type="dxa"/>
          </w:tcPr>
          <w:p w14:paraId="367F733C" w14:textId="77777777" w:rsidR="00B82179" w:rsidRDefault="00B82179" w:rsidP="00FF669E">
            <w:pPr>
              <w:cnfStyle w:val="000000000000" w:firstRow="0" w:lastRow="0" w:firstColumn="0" w:lastColumn="0" w:oddVBand="0" w:evenVBand="0" w:oddHBand="0" w:evenHBand="0" w:firstRowFirstColumn="0" w:firstRowLastColumn="0" w:lastRowFirstColumn="0" w:lastRowLastColumn="0"/>
            </w:pPr>
            <w:r>
              <w:t>High power Radio Frequency (RF) inducing current in the munitions firing systems.</w:t>
            </w:r>
          </w:p>
        </w:tc>
      </w:tr>
      <w:tr w:rsidR="00B82179" w14:paraId="6F705C94"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5EF3C504" w14:textId="77777777" w:rsidR="00B82179" w:rsidRDefault="00B82179" w:rsidP="00FF669E">
            <w:r>
              <w:t>Slow Heating</w:t>
            </w:r>
          </w:p>
        </w:tc>
        <w:tc>
          <w:tcPr>
            <w:tcW w:w="6044" w:type="dxa"/>
          </w:tcPr>
          <w:p w14:paraId="48DA07F7" w14:textId="77777777" w:rsidR="00B82179" w:rsidRDefault="00B82179" w:rsidP="00FF669E">
            <w:pPr>
              <w:cnfStyle w:val="000000100000" w:firstRow="0" w:lastRow="0" w:firstColumn="0" w:lastColumn="0" w:oddVBand="0" w:evenVBand="0" w:oddHBand="1" w:evenHBand="0" w:firstRowFirstColumn="0" w:firstRowLastColumn="0" w:lastRowFirstColumn="0" w:lastRowLastColumn="0"/>
            </w:pPr>
            <w:r>
              <w:t>A fire in an adjacent building or facility.</w:t>
            </w:r>
          </w:p>
        </w:tc>
      </w:tr>
      <w:tr w:rsidR="00B82179" w14:paraId="4DBAF5C0"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449C8F67" w14:textId="77777777" w:rsidR="00B82179" w:rsidRDefault="00B82179" w:rsidP="00FF669E">
            <w:r>
              <w:t>Fast Heating</w:t>
            </w:r>
          </w:p>
        </w:tc>
        <w:tc>
          <w:tcPr>
            <w:tcW w:w="6044" w:type="dxa"/>
          </w:tcPr>
          <w:p w14:paraId="45364327" w14:textId="77777777" w:rsidR="00B82179" w:rsidRDefault="00B82179" w:rsidP="00FF669E">
            <w:pPr>
              <w:cnfStyle w:val="000000000000" w:firstRow="0" w:lastRow="0" w:firstColumn="0" w:lastColumn="0" w:oddVBand="0" w:evenVBand="0" w:oddHBand="0" w:evenHBand="0" w:firstRowFirstColumn="0" w:firstRowLastColumn="0" w:lastRowFirstColumn="0" w:lastRowLastColumn="0"/>
            </w:pPr>
            <w:r>
              <w:t>A fire engulfing the energetic article.</w:t>
            </w:r>
          </w:p>
        </w:tc>
      </w:tr>
      <w:tr w:rsidR="00B82179" w14:paraId="2EE77488"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872A4A3" w14:textId="77777777" w:rsidR="00B82179" w:rsidRDefault="00B82179" w:rsidP="00FF669E">
            <w:r>
              <w:t>Sympathetic Detonation</w:t>
            </w:r>
          </w:p>
        </w:tc>
        <w:tc>
          <w:tcPr>
            <w:tcW w:w="6044" w:type="dxa"/>
          </w:tcPr>
          <w:p w14:paraId="0122CB8C" w14:textId="77777777" w:rsidR="00B82179" w:rsidRDefault="00B82179" w:rsidP="00FF669E">
            <w:pPr>
              <w:cnfStyle w:val="000000100000" w:firstRow="0" w:lastRow="0" w:firstColumn="0" w:lastColumn="0" w:oddVBand="0" w:evenVBand="0" w:oddHBand="1" w:evenHBand="0" w:firstRowFirstColumn="0" w:firstRowLastColumn="0" w:lastRowFirstColumn="0" w:lastRowLastColumn="0"/>
            </w:pPr>
            <w:r>
              <w:t>Detonation of adjacent energetic stores imparting shock into the energetic material.</w:t>
            </w:r>
          </w:p>
        </w:tc>
      </w:tr>
    </w:tbl>
    <w:p w14:paraId="006E4181" w14:textId="77777777" w:rsidR="00B82179" w:rsidRDefault="00B82179" w:rsidP="00B82179">
      <w:r>
        <w:t xml:space="preserve"> </w:t>
      </w:r>
    </w:p>
    <w:p w14:paraId="504AFC81" w14:textId="28AB0800" w:rsidR="00B82179" w:rsidRDefault="006B7617" w:rsidP="00D82675">
      <w:pPr>
        <w:pStyle w:val="Heading1"/>
      </w:pPr>
      <w:bookmarkStart w:id="7" w:name="_Toc175649225"/>
      <w:r>
        <w:t>3</w:t>
      </w:r>
      <w:r w:rsidR="00D82675">
        <w:t>.0 Existing Controls and Mitigations</w:t>
      </w:r>
      <w:bookmarkEnd w:id="7"/>
    </w:p>
    <w:p w14:paraId="397C1CE1" w14:textId="71F83FB3" w:rsidR="006B7617" w:rsidRDefault="006B7617" w:rsidP="006B7617">
      <w:r>
        <w:t>Before proceeding to analyse the hazard further it is important to fully understand the hazard environment. This includes current control (likelihood reduction) and mitigation (severity reduction) measures.</w:t>
      </w:r>
    </w:p>
    <w:p w14:paraId="460F329D" w14:textId="68022404" w:rsidR="00D82675" w:rsidRDefault="00E7773C" w:rsidP="006B7617">
      <w:r>
        <w:t>The primary</w:t>
      </w:r>
      <w:r w:rsidR="006B7617">
        <w:t xml:space="preserve"> controls have been implemented through the munitions design process and qualification in line with AOP 15 </w:t>
      </w:r>
      <w:sdt>
        <w:sdtPr>
          <w:id w:val="-378475755"/>
          <w:citation/>
        </w:sdtPr>
        <w:sdtContent>
          <w:r w:rsidR="006B7617">
            <w:fldChar w:fldCharType="begin"/>
          </w:r>
          <w:r w:rsidR="006B7617">
            <w:instrText xml:space="preserve"> CITATION NAT08 \l 2057 </w:instrText>
          </w:r>
          <w:r w:rsidR="006B7617">
            <w:fldChar w:fldCharType="separate"/>
          </w:r>
          <w:r w:rsidR="006B7617" w:rsidRPr="006B7617">
            <w:rPr>
              <w:noProof/>
            </w:rPr>
            <w:t>[5]</w:t>
          </w:r>
          <w:r w:rsidR="006B7617">
            <w:fldChar w:fldCharType="end"/>
          </w:r>
        </w:sdtContent>
      </w:sdt>
      <w:r w:rsidR="006B7617">
        <w:t xml:space="preserve"> </w:t>
      </w:r>
      <w:r>
        <w:t>(</w:t>
      </w:r>
      <w:r w:rsidR="006B7617">
        <w:t>Tests provided in Table 2</w:t>
      </w:r>
      <w:r>
        <w:t>)</w:t>
      </w:r>
      <w:r w:rsidR="006B7617">
        <w:t xml:space="preserve">. This certification ensures a baseline resilience </w:t>
      </w:r>
      <w:r>
        <w:t xml:space="preserve">to </w:t>
      </w:r>
      <w:r w:rsidR="006B7617">
        <w:t>a range of initiating stimuli and hazard causes.</w:t>
      </w:r>
    </w:p>
    <w:p w14:paraId="52A62FED" w14:textId="7594B724" w:rsidR="00D82675" w:rsidRDefault="00D82675" w:rsidP="00D82675">
      <w:pPr>
        <w:pStyle w:val="Caption"/>
        <w:keepNext/>
      </w:pPr>
      <w:bookmarkStart w:id="8" w:name="_Ref174796452"/>
      <w:bookmarkStart w:id="9" w:name="_Toc175649238"/>
      <w:r>
        <w:t xml:space="preserve">Table </w:t>
      </w:r>
      <w:r>
        <w:fldChar w:fldCharType="begin"/>
      </w:r>
      <w:r>
        <w:instrText xml:space="preserve"> SEQ Table \* ARABIC </w:instrText>
      </w:r>
      <w:r>
        <w:fldChar w:fldCharType="separate"/>
      </w:r>
      <w:r w:rsidR="003D7E6B">
        <w:rPr>
          <w:noProof/>
        </w:rPr>
        <w:t>2</w:t>
      </w:r>
      <w:r>
        <w:fldChar w:fldCharType="end"/>
      </w:r>
      <w:bookmarkEnd w:id="8"/>
      <w:r>
        <w:t xml:space="preserve"> - AOP 15 defined munitions tests.</w:t>
      </w:r>
      <w:bookmarkEnd w:id="9"/>
    </w:p>
    <w:tbl>
      <w:tblPr>
        <w:tblStyle w:val="GridTable4-Accent1"/>
        <w:tblW w:w="0" w:type="auto"/>
        <w:tblLook w:val="04A0" w:firstRow="1" w:lastRow="0" w:firstColumn="1" w:lastColumn="0" w:noHBand="0" w:noVBand="1"/>
      </w:tblPr>
      <w:tblGrid>
        <w:gridCol w:w="4508"/>
        <w:gridCol w:w="4508"/>
      </w:tblGrid>
      <w:tr w:rsidR="00D82675" w14:paraId="6C833473" w14:textId="77777777" w:rsidTr="00D826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83EA48" w14:textId="77777777" w:rsidR="00D82675" w:rsidRDefault="00D82675" w:rsidP="00FF669E">
            <w:r>
              <w:t>Test:</w:t>
            </w:r>
          </w:p>
        </w:tc>
        <w:tc>
          <w:tcPr>
            <w:tcW w:w="4508" w:type="dxa"/>
          </w:tcPr>
          <w:p w14:paraId="0EBFBB5A" w14:textId="77777777" w:rsidR="00D82675" w:rsidRDefault="00D82675" w:rsidP="00FF669E">
            <w:pPr>
              <w:cnfStyle w:val="100000000000" w:firstRow="1" w:lastRow="0" w:firstColumn="0" w:lastColumn="0" w:oddVBand="0" w:evenVBand="0" w:oddHBand="0" w:evenHBand="0" w:firstRowFirstColumn="0" w:firstRowLastColumn="0" w:lastRowFirstColumn="0" w:lastRowLastColumn="0"/>
            </w:pPr>
            <w:r>
              <w:t>Description:</w:t>
            </w:r>
          </w:p>
        </w:tc>
      </w:tr>
      <w:tr w:rsidR="00D82675" w14:paraId="4F09F0C9" w14:textId="77777777" w:rsidTr="00D8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8007EF" w14:textId="77777777" w:rsidR="00D82675" w:rsidRDefault="00D82675" w:rsidP="00FF669E">
            <w:r>
              <w:t>STANAG 4375</w:t>
            </w:r>
          </w:p>
        </w:tc>
        <w:tc>
          <w:tcPr>
            <w:tcW w:w="4508" w:type="dxa"/>
          </w:tcPr>
          <w:p w14:paraId="4ABCFB85" w14:textId="77777777" w:rsidR="00D82675" w:rsidRDefault="00D82675" w:rsidP="00FF669E">
            <w:pPr>
              <w:cnfStyle w:val="000000100000" w:firstRow="0" w:lastRow="0" w:firstColumn="0" w:lastColumn="0" w:oddVBand="0" w:evenVBand="0" w:oddHBand="1" w:evenHBand="0" w:firstRowFirstColumn="0" w:firstRowLastColumn="0" w:lastRowFirstColumn="0" w:lastRowLastColumn="0"/>
            </w:pPr>
            <w:r w:rsidRPr="00427CBB">
              <w:t>Freefall drops associated with handling the components or the complete munition in the land and sea environment</w:t>
            </w:r>
            <w:r>
              <w:t>.</w:t>
            </w:r>
          </w:p>
        </w:tc>
      </w:tr>
      <w:tr w:rsidR="00D82675" w14:paraId="102CF76C" w14:textId="77777777" w:rsidTr="00D82675">
        <w:tc>
          <w:tcPr>
            <w:cnfStyle w:val="001000000000" w:firstRow="0" w:lastRow="0" w:firstColumn="1" w:lastColumn="0" w:oddVBand="0" w:evenVBand="0" w:oddHBand="0" w:evenHBand="0" w:firstRowFirstColumn="0" w:firstRowLastColumn="0" w:lastRowFirstColumn="0" w:lastRowLastColumn="0"/>
            <w:tcW w:w="4508" w:type="dxa"/>
          </w:tcPr>
          <w:p w14:paraId="4B6741A9" w14:textId="77777777" w:rsidR="00D82675" w:rsidRDefault="00D82675" w:rsidP="00FF669E">
            <w:r>
              <w:t xml:space="preserve">STANAG 4321 </w:t>
            </w:r>
          </w:p>
        </w:tc>
        <w:tc>
          <w:tcPr>
            <w:tcW w:w="4508" w:type="dxa"/>
          </w:tcPr>
          <w:p w14:paraId="534EC6C9" w14:textId="77777777" w:rsidR="00D82675" w:rsidRDefault="00D82675" w:rsidP="00FF669E">
            <w:pPr>
              <w:cnfStyle w:val="000000000000" w:firstRow="0" w:lastRow="0" w:firstColumn="0" w:lastColumn="0" w:oddVBand="0" w:evenVBand="0" w:oddHBand="0" w:evenHBand="0" w:firstRowFirstColumn="0" w:firstRowLastColumn="0" w:lastRowFirstColumn="0" w:lastRowLastColumn="0"/>
            </w:pPr>
            <w:r>
              <w:t>The response of the munition to bullet attack by AP projectiles.</w:t>
            </w:r>
          </w:p>
        </w:tc>
      </w:tr>
      <w:tr w:rsidR="00D82675" w14:paraId="2B9EDAB6" w14:textId="77777777" w:rsidTr="00D8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1C9B04" w14:textId="77777777" w:rsidR="00D82675" w:rsidRDefault="00D82675" w:rsidP="00FF669E">
            <w:r>
              <w:t>STANAG 4496</w:t>
            </w:r>
          </w:p>
        </w:tc>
        <w:tc>
          <w:tcPr>
            <w:tcW w:w="4508" w:type="dxa"/>
          </w:tcPr>
          <w:p w14:paraId="6C73A571" w14:textId="77777777" w:rsidR="00D82675" w:rsidRDefault="00D82675" w:rsidP="00FF669E">
            <w:pPr>
              <w:cnfStyle w:val="000000100000" w:firstRow="0" w:lastRow="0" w:firstColumn="0" w:lastColumn="0" w:oddVBand="0" w:evenVBand="0" w:oddHBand="1" w:evenHBand="0" w:firstRowFirstColumn="0" w:firstRowLastColumn="0" w:lastRowFirstColumn="0" w:lastRowLastColumn="0"/>
            </w:pPr>
            <w:r w:rsidRPr="00427CBB">
              <w:t>The response of the munition to fragment impact</w:t>
            </w:r>
            <w:r>
              <w:t>.</w:t>
            </w:r>
          </w:p>
        </w:tc>
      </w:tr>
      <w:tr w:rsidR="00D82675" w14:paraId="2B449FC2" w14:textId="77777777" w:rsidTr="00D82675">
        <w:tc>
          <w:tcPr>
            <w:cnfStyle w:val="001000000000" w:firstRow="0" w:lastRow="0" w:firstColumn="1" w:lastColumn="0" w:oddVBand="0" w:evenVBand="0" w:oddHBand="0" w:evenHBand="0" w:firstRowFirstColumn="0" w:firstRowLastColumn="0" w:lastRowFirstColumn="0" w:lastRowLastColumn="0"/>
            <w:tcW w:w="4508" w:type="dxa"/>
          </w:tcPr>
          <w:p w14:paraId="083938EF" w14:textId="77777777" w:rsidR="00D82675" w:rsidRDefault="00D82675" w:rsidP="00FF669E">
            <w:r>
              <w:t>STANAG 4526</w:t>
            </w:r>
          </w:p>
        </w:tc>
        <w:tc>
          <w:tcPr>
            <w:tcW w:w="4508" w:type="dxa"/>
          </w:tcPr>
          <w:p w14:paraId="1649E0E0" w14:textId="3DDDA490" w:rsidR="00D82675" w:rsidRDefault="00D82675" w:rsidP="00FF669E">
            <w:pPr>
              <w:cnfStyle w:val="000000000000" w:firstRow="0" w:lastRow="0" w:firstColumn="0" w:lastColumn="0" w:oddVBand="0" w:evenVBand="0" w:oddHBand="0" w:evenHBand="0" w:firstRowFirstColumn="0" w:firstRowLastColumn="0" w:lastRowFirstColumn="0" w:lastRowLastColumn="0"/>
            </w:pPr>
            <w:r w:rsidRPr="00427CBB">
              <w:t>The response of the munition to shaped charge (jet) impact</w:t>
            </w:r>
            <w:r w:rsidR="00E7773C">
              <w:t>.</w:t>
            </w:r>
          </w:p>
        </w:tc>
      </w:tr>
      <w:tr w:rsidR="00D82675" w14:paraId="06B77613" w14:textId="77777777" w:rsidTr="00D8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B199AA" w14:textId="77777777" w:rsidR="00D82675" w:rsidRDefault="00D82675" w:rsidP="00FF669E">
            <w:r w:rsidRPr="00550152">
              <w:t>STANAG 4370</w:t>
            </w:r>
            <w:r>
              <w:t xml:space="preserve"> &amp; </w:t>
            </w:r>
            <w:r w:rsidRPr="00550152">
              <w:t>AECTP 200</w:t>
            </w:r>
          </w:p>
        </w:tc>
        <w:tc>
          <w:tcPr>
            <w:tcW w:w="4508" w:type="dxa"/>
          </w:tcPr>
          <w:p w14:paraId="7260CD78" w14:textId="10758AED" w:rsidR="00D82675" w:rsidRDefault="00D82675" w:rsidP="00FF669E">
            <w:pPr>
              <w:tabs>
                <w:tab w:val="left" w:pos="923"/>
              </w:tabs>
              <w:cnfStyle w:val="000000100000" w:firstRow="0" w:lastRow="0" w:firstColumn="0" w:lastColumn="0" w:oddVBand="0" w:evenVBand="0" w:oddHBand="1" w:evenHBand="0" w:firstRowFirstColumn="0" w:firstRowLastColumn="0" w:lastRowFirstColumn="0" w:lastRowLastColumn="0"/>
            </w:pPr>
            <w:r>
              <w:t>Hazards of electromagnetic radiation</w:t>
            </w:r>
            <w:r w:rsidR="00E7773C">
              <w:t xml:space="preserve"> and the </w:t>
            </w:r>
            <w:r>
              <w:t>effects of electrostatic discharge and lightning on the munition</w:t>
            </w:r>
          </w:p>
        </w:tc>
      </w:tr>
      <w:tr w:rsidR="00D82675" w14:paraId="03EE9D5C" w14:textId="77777777" w:rsidTr="00D82675">
        <w:tc>
          <w:tcPr>
            <w:cnfStyle w:val="001000000000" w:firstRow="0" w:lastRow="0" w:firstColumn="1" w:lastColumn="0" w:oddVBand="0" w:evenVBand="0" w:oddHBand="0" w:evenHBand="0" w:firstRowFirstColumn="0" w:firstRowLastColumn="0" w:lastRowFirstColumn="0" w:lastRowLastColumn="0"/>
            <w:tcW w:w="4508" w:type="dxa"/>
          </w:tcPr>
          <w:p w14:paraId="47397CA9" w14:textId="77777777" w:rsidR="00D82675" w:rsidRDefault="00D82675" w:rsidP="00FF669E">
            <w:r>
              <w:t>STANAG 4382</w:t>
            </w:r>
          </w:p>
        </w:tc>
        <w:tc>
          <w:tcPr>
            <w:tcW w:w="4508" w:type="dxa"/>
          </w:tcPr>
          <w:p w14:paraId="03703D5C" w14:textId="77777777" w:rsidR="00D82675" w:rsidRDefault="00D82675" w:rsidP="00FF669E">
            <w:pPr>
              <w:cnfStyle w:val="000000000000" w:firstRow="0" w:lastRow="0" w:firstColumn="0" w:lastColumn="0" w:oddVBand="0" w:evenVBand="0" w:oddHBand="0" w:evenHBand="0" w:firstRowFirstColumn="0" w:firstRowLastColumn="0" w:lastRowFirstColumn="0" w:lastRowLastColumn="0"/>
            </w:pPr>
            <w:r w:rsidRPr="00550152">
              <w:t>The response of the munition to a gradual but continuous temperature rise</w:t>
            </w:r>
            <w:r>
              <w:t>.</w:t>
            </w:r>
          </w:p>
        </w:tc>
      </w:tr>
      <w:tr w:rsidR="00D82675" w14:paraId="6808720D" w14:textId="77777777" w:rsidTr="00D8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1788F8" w14:textId="77777777" w:rsidR="00D82675" w:rsidRDefault="00D82675" w:rsidP="00FF669E">
            <w:r>
              <w:t>STANAG 4240</w:t>
            </w:r>
          </w:p>
        </w:tc>
        <w:tc>
          <w:tcPr>
            <w:tcW w:w="4508" w:type="dxa"/>
          </w:tcPr>
          <w:p w14:paraId="45EE74ED" w14:textId="25318A90" w:rsidR="00D82675" w:rsidRDefault="00D82675" w:rsidP="00FF669E">
            <w:pPr>
              <w:cnfStyle w:val="000000100000" w:firstRow="0" w:lastRow="0" w:firstColumn="0" w:lastColumn="0" w:oddVBand="0" w:evenVBand="0" w:oddHBand="1" w:evenHBand="0" w:firstRowFirstColumn="0" w:firstRowLastColumn="0" w:lastRowFirstColumn="0" w:lastRowLastColumn="0"/>
            </w:pPr>
            <w:r w:rsidRPr="00550152">
              <w:t>The response of the munition to a liquid fuel fire</w:t>
            </w:r>
            <w:r w:rsidR="00E7773C">
              <w:t xml:space="preserve"> surrounding the munition</w:t>
            </w:r>
            <w:r>
              <w:t>.</w:t>
            </w:r>
          </w:p>
        </w:tc>
      </w:tr>
      <w:tr w:rsidR="00D82675" w14:paraId="2178DA4E" w14:textId="77777777" w:rsidTr="00D82675">
        <w:tc>
          <w:tcPr>
            <w:cnfStyle w:val="001000000000" w:firstRow="0" w:lastRow="0" w:firstColumn="1" w:lastColumn="0" w:oddVBand="0" w:evenVBand="0" w:oddHBand="0" w:evenHBand="0" w:firstRowFirstColumn="0" w:firstRowLastColumn="0" w:lastRowFirstColumn="0" w:lastRowLastColumn="0"/>
            <w:tcW w:w="4508" w:type="dxa"/>
          </w:tcPr>
          <w:p w14:paraId="270C4147" w14:textId="77777777" w:rsidR="00D82675" w:rsidRDefault="00D82675" w:rsidP="00FF669E">
            <w:r>
              <w:t>STANAG 4396</w:t>
            </w:r>
          </w:p>
        </w:tc>
        <w:tc>
          <w:tcPr>
            <w:tcW w:w="4508" w:type="dxa"/>
          </w:tcPr>
          <w:p w14:paraId="1C31117E" w14:textId="77777777" w:rsidR="00D82675" w:rsidRDefault="00D82675" w:rsidP="00FF669E">
            <w:pPr>
              <w:cnfStyle w:val="000000000000" w:firstRow="0" w:lastRow="0" w:firstColumn="0" w:lastColumn="0" w:oddVBand="0" w:evenVBand="0" w:oddHBand="0" w:evenHBand="0" w:firstRowFirstColumn="0" w:firstRowLastColumn="0" w:lastRowFirstColumn="0" w:lastRowLastColumn="0"/>
            </w:pPr>
            <w:r w:rsidRPr="00550152">
              <w:t>Effects on adjacent munitions of the premature function of a munition</w:t>
            </w:r>
            <w:r>
              <w:t>.</w:t>
            </w:r>
          </w:p>
        </w:tc>
      </w:tr>
    </w:tbl>
    <w:p w14:paraId="6ACC1A3C" w14:textId="77777777" w:rsidR="00D82675" w:rsidRDefault="00D82675" w:rsidP="00D82675"/>
    <w:p w14:paraId="622052DA" w14:textId="77777777" w:rsidR="006B7617" w:rsidRDefault="006B7617" w:rsidP="00D82675"/>
    <w:p w14:paraId="0D33EEAD" w14:textId="2F71A539" w:rsidR="006B7617" w:rsidRDefault="006B7617" w:rsidP="006B7617">
      <w:r>
        <w:lastRenderedPageBreak/>
        <w:t>Two existing mitigations have been implemented:</w:t>
      </w:r>
    </w:p>
    <w:p w14:paraId="1C580FBB" w14:textId="2106A12F" w:rsidR="006B7617" w:rsidRDefault="006B7617" w:rsidP="006B7617">
      <w:pPr>
        <w:pStyle w:val="ListParagraph"/>
        <w:numPr>
          <w:ilvl w:val="0"/>
          <w:numId w:val="7"/>
        </w:numPr>
      </w:pPr>
      <w:r>
        <w:t>Separation of the missile into three components, reducing the total Net Explosive Quantity (NEQ) of each article.</w:t>
      </w:r>
    </w:p>
    <w:p w14:paraId="0983A02B" w14:textId="75FA8907" w:rsidR="006B7617" w:rsidRDefault="006B7617" w:rsidP="006B7617">
      <w:pPr>
        <w:pStyle w:val="ListParagraph"/>
        <w:numPr>
          <w:ilvl w:val="0"/>
          <w:numId w:val="7"/>
        </w:numPr>
      </w:pPr>
      <w:r>
        <w:t xml:space="preserve">Minimisation of the quantity of stores, 64 missiles is the minimum required to resupply two Type 23 Frigates </w:t>
      </w:r>
      <w:sdt>
        <w:sdtPr>
          <w:id w:val="-1372376370"/>
          <w:citation/>
        </w:sdtPr>
        <w:sdtContent>
          <w:r>
            <w:fldChar w:fldCharType="begin"/>
          </w:r>
          <w:r>
            <w:instrText xml:space="preserve"> CITATION Wik24 \l 2057 </w:instrText>
          </w:r>
          <w:r>
            <w:fldChar w:fldCharType="separate"/>
          </w:r>
          <w:r w:rsidRPr="006B7617">
            <w:rPr>
              <w:noProof/>
            </w:rPr>
            <w:t>[1]</w:t>
          </w:r>
          <w:r>
            <w:fldChar w:fldCharType="end"/>
          </w:r>
        </w:sdtContent>
      </w:sdt>
      <w:r w:rsidR="00E7773C">
        <w:t xml:space="preserve"> and maintain operational efficacy</w:t>
      </w:r>
      <w:r>
        <w:t>.</w:t>
      </w:r>
    </w:p>
    <w:p w14:paraId="56845E12" w14:textId="3FF7D709" w:rsidR="00D82675" w:rsidRDefault="006B7617" w:rsidP="00D82675">
      <w:pPr>
        <w:pStyle w:val="Heading1"/>
      </w:pPr>
      <w:bookmarkStart w:id="10" w:name="_Toc175649226"/>
      <w:r>
        <w:t>4</w:t>
      </w:r>
      <w:r w:rsidR="00D82675">
        <w:t>.0 Initial Risk Rating</w:t>
      </w:r>
      <w:bookmarkEnd w:id="10"/>
    </w:p>
    <w:p w14:paraId="5C6984DA" w14:textId="24F9BBC4" w:rsidR="006B7617" w:rsidRDefault="006B7617" w:rsidP="006B7617">
      <w:pPr>
        <w:keepNext/>
      </w:pPr>
      <w:r>
        <w:t>DE&amp;S’s ASEMS calls for risk estimation to be completed for all identified hazards in line with ASEMS SMP06</w:t>
      </w:r>
      <w:r w:rsidR="00E7773C">
        <w:t xml:space="preserve"> processes</w:t>
      </w:r>
      <w:r>
        <w:t xml:space="preserve"> </w:t>
      </w:r>
      <w:sdt>
        <w:sdtPr>
          <w:id w:val="-100954725"/>
          <w:citation/>
        </w:sdtPr>
        <w:sdtContent>
          <w:r>
            <w:fldChar w:fldCharType="begin"/>
          </w:r>
          <w:r>
            <w:instrText xml:space="preserve"> CITATION MOD24 \l 2057 </w:instrText>
          </w:r>
          <w:r>
            <w:fldChar w:fldCharType="separate"/>
          </w:r>
          <w:r w:rsidRPr="006B7617">
            <w:rPr>
              <w:noProof/>
            </w:rPr>
            <w:t>[4]</w:t>
          </w:r>
          <w:r>
            <w:fldChar w:fldCharType="end"/>
          </w:r>
        </w:sdtContent>
      </w:sdt>
      <w:r>
        <w:t>.</w:t>
      </w:r>
    </w:p>
    <w:p w14:paraId="571A8878" w14:textId="2ABEE476" w:rsidR="006B7617" w:rsidRDefault="006B7617" w:rsidP="006B7617">
      <w:pPr>
        <w:keepNext/>
      </w:pPr>
      <w:r>
        <w:t xml:space="preserve">Def Stan 00-056 </w:t>
      </w:r>
      <w:sdt>
        <w:sdtPr>
          <w:id w:val="922694434"/>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defines Risk Estimation as “The systematic use of available information to estimate risk.” Here, Risk is a combination of the likelihood the severity harm.</w:t>
      </w:r>
    </w:p>
    <w:p w14:paraId="2FF2454D" w14:textId="632EEC5D" w:rsidR="006B7617" w:rsidRDefault="006B7617" w:rsidP="006B7617">
      <w:pPr>
        <w:keepNext/>
      </w:pPr>
      <w:r>
        <w:t xml:space="preserve">Risk estimation should, where possible, be based on objective qualitative data from past accident data and engineering testing. Where unavailable SMP006 </w:t>
      </w:r>
      <w:sdt>
        <w:sdtPr>
          <w:id w:val="1488208514"/>
          <w:citation/>
        </w:sdtPr>
        <w:sdtContent>
          <w:r>
            <w:fldChar w:fldCharType="begin"/>
          </w:r>
          <w:r>
            <w:instrText xml:space="preserve"> CITATION MOD24 \l 2057 </w:instrText>
          </w:r>
          <w:r>
            <w:fldChar w:fldCharType="separate"/>
          </w:r>
          <w:r w:rsidRPr="006B7617">
            <w:rPr>
              <w:noProof/>
            </w:rPr>
            <w:t>[4]</w:t>
          </w:r>
          <w:r>
            <w:fldChar w:fldCharType="end"/>
          </w:r>
        </w:sdtContent>
      </w:sdt>
      <w:r>
        <w:t xml:space="preserve"> permits subjective judgment by Suitably Qualified and Experienced Persons (SQEP).</w:t>
      </w:r>
    </w:p>
    <w:p w14:paraId="7C596F6A" w14:textId="021685E2" w:rsidR="006B7617" w:rsidRDefault="006B7617" w:rsidP="006B7617">
      <w:pPr>
        <w:keepNext/>
      </w:pPr>
      <w:r>
        <w:t xml:space="preserve">All DE&amp;S projects use a Safety Risk Classification Matrix for risk estimation. This document will utilise the </w:t>
      </w:r>
      <w:r w:rsidR="00E7773C">
        <w:t>matrix</w:t>
      </w:r>
      <w:r>
        <w:t xml:space="preserve"> defined in JSP 375 (Management of health and safety in defence: safety forms)</w:t>
      </w:r>
      <w:sdt>
        <w:sdtPr>
          <w:id w:val="1137924863"/>
          <w:citation/>
        </w:sdtPr>
        <w:sdtContent>
          <w:r>
            <w:fldChar w:fldCharType="begin"/>
          </w:r>
          <w:r>
            <w:instrText xml:space="preserve"> CITATION Min24 \l 2057 </w:instrText>
          </w:r>
          <w:r>
            <w:fldChar w:fldCharType="separate"/>
          </w:r>
          <w:r>
            <w:rPr>
              <w:noProof/>
            </w:rPr>
            <w:t xml:space="preserve"> </w:t>
          </w:r>
          <w:r w:rsidRPr="006B7617">
            <w:rPr>
              <w:noProof/>
            </w:rPr>
            <w:t>[7]</w:t>
          </w:r>
          <w:r>
            <w:fldChar w:fldCharType="end"/>
          </w:r>
        </w:sdtContent>
      </w:sdt>
      <w:r>
        <w:t>.</w:t>
      </w:r>
    </w:p>
    <w:p w14:paraId="2DC24A4E" w14:textId="01EC27EB" w:rsidR="006B7617" w:rsidRDefault="006B7617" w:rsidP="006B7617">
      <w:pPr>
        <w:keepNext/>
      </w:pPr>
      <w:r>
        <w:t xml:space="preserve">First, the severity table shown in Figure 1 is used. Additional guidance on the definitions is given in JSP 375 Volume 1, Chapter 16 Safety Occurrence Reporting and Investigation </w:t>
      </w:r>
      <w:sdt>
        <w:sdtPr>
          <w:id w:val="1406793536"/>
          <w:citation/>
        </w:sdtPr>
        <w:sdtContent>
          <w:r>
            <w:fldChar w:fldCharType="begin"/>
          </w:r>
          <w:r>
            <w:instrText xml:space="preserve"> CITATION Min241 \l 2057 </w:instrText>
          </w:r>
          <w:r>
            <w:fldChar w:fldCharType="separate"/>
          </w:r>
          <w:r w:rsidRPr="006B7617">
            <w:rPr>
              <w:noProof/>
            </w:rPr>
            <w:t>[8]</w:t>
          </w:r>
          <w:r>
            <w:fldChar w:fldCharType="end"/>
          </w:r>
        </w:sdtContent>
      </w:sdt>
      <w:r>
        <w:t>.</w:t>
      </w:r>
    </w:p>
    <w:p w14:paraId="611333A5" w14:textId="03E2C593" w:rsidR="00D82675" w:rsidRDefault="00D82675" w:rsidP="006B7617">
      <w:pPr>
        <w:keepNext/>
      </w:pPr>
      <w:r w:rsidRPr="005A2354">
        <w:rPr>
          <w:noProof/>
        </w:rPr>
        <w:drawing>
          <wp:inline distT="0" distB="0" distL="0" distR="0" wp14:anchorId="5DD40413" wp14:editId="51BC225D">
            <wp:extent cx="5731510" cy="1529080"/>
            <wp:effectExtent l="0" t="0" r="2540" b="0"/>
            <wp:docPr id="681427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27735" name="Picture 1" descr="A screenshot of a computer&#10;&#10;Description automatically generated"/>
                    <pic:cNvPicPr/>
                  </pic:nvPicPr>
                  <pic:blipFill>
                    <a:blip r:embed="rId10"/>
                    <a:stretch>
                      <a:fillRect/>
                    </a:stretch>
                  </pic:blipFill>
                  <pic:spPr>
                    <a:xfrm>
                      <a:off x="0" y="0"/>
                      <a:ext cx="5731510" cy="1529080"/>
                    </a:xfrm>
                    <a:prstGeom prst="rect">
                      <a:avLst/>
                    </a:prstGeom>
                  </pic:spPr>
                </pic:pic>
              </a:graphicData>
            </a:graphic>
          </wp:inline>
        </w:drawing>
      </w:r>
    </w:p>
    <w:p w14:paraId="64BC0151" w14:textId="468D2020" w:rsidR="006B7617" w:rsidRDefault="00D82675" w:rsidP="006B7617">
      <w:pPr>
        <w:pStyle w:val="Caption"/>
      </w:pPr>
      <w:bookmarkStart w:id="11" w:name="_Ref174796873"/>
      <w:bookmarkStart w:id="12" w:name="_Toc175649233"/>
      <w:r>
        <w:t xml:space="preserve">Figure </w:t>
      </w:r>
      <w:r>
        <w:fldChar w:fldCharType="begin"/>
      </w:r>
      <w:r>
        <w:instrText xml:space="preserve"> SEQ Figure \* ARABIC </w:instrText>
      </w:r>
      <w:r>
        <w:fldChar w:fldCharType="separate"/>
      </w:r>
      <w:r>
        <w:rPr>
          <w:noProof/>
        </w:rPr>
        <w:t>1</w:t>
      </w:r>
      <w:r>
        <w:fldChar w:fldCharType="end"/>
      </w:r>
      <w:bookmarkEnd w:id="11"/>
      <w:r>
        <w:t xml:space="preserve"> - Severity Assessment Table </w:t>
      </w:r>
      <w:sdt>
        <w:sdtPr>
          <w:id w:val="-576132170"/>
          <w:citation/>
        </w:sdtPr>
        <w:sdtContent>
          <w:r>
            <w:fldChar w:fldCharType="begin"/>
          </w:r>
          <w:r>
            <w:instrText xml:space="preserve"> CITATION Min24 \l 2057 </w:instrText>
          </w:r>
          <w:r>
            <w:fldChar w:fldCharType="separate"/>
          </w:r>
          <w:r w:rsidR="006B7617" w:rsidRPr="006B7617">
            <w:rPr>
              <w:noProof/>
            </w:rPr>
            <w:t>[7]</w:t>
          </w:r>
          <w:r>
            <w:fldChar w:fldCharType="end"/>
          </w:r>
        </w:sdtContent>
      </w:sdt>
      <w:bookmarkEnd w:id="12"/>
    </w:p>
    <w:p w14:paraId="7EFAA54F" w14:textId="7B9249CF" w:rsidR="006B7617" w:rsidRDefault="006B7617" w:rsidP="006B7617">
      <w:r>
        <w:t xml:space="preserve">Past accidents such as the RAF Fauld explosion in 1944 demonstrate poor explosive storage can result in high casualty numbers, approximately 70 people, including RAF personnel and the public </w:t>
      </w:r>
      <w:sdt>
        <w:sdtPr>
          <w:id w:val="-1102259365"/>
          <w:citation/>
        </w:sdtPr>
        <w:sdtContent>
          <w:r>
            <w:fldChar w:fldCharType="begin"/>
          </w:r>
          <w:r>
            <w:instrText xml:space="preserve"> CITATION Wik23 \l 2057 </w:instrText>
          </w:r>
          <w:r>
            <w:fldChar w:fldCharType="separate"/>
          </w:r>
          <w:r w:rsidRPr="006B7617">
            <w:rPr>
              <w:noProof/>
            </w:rPr>
            <w:t>[9]</w:t>
          </w:r>
          <w:r>
            <w:fldChar w:fldCharType="end"/>
          </w:r>
        </w:sdtContent>
      </w:sdt>
      <w:r>
        <w:t xml:space="preserve">. This accident amongst others shows the extent of harm caused by the mass explosion hazard. As such, the severity is defined as Critical.   </w:t>
      </w:r>
    </w:p>
    <w:p w14:paraId="229B5616" w14:textId="77777777" w:rsidR="006B7617" w:rsidRDefault="006B7617" w:rsidP="006B7617">
      <w:r>
        <w:t>Secondly, the likelihood of the hazard’s occurrence must be defined based on Figure 2.</w:t>
      </w:r>
    </w:p>
    <w:p w14:paraId="77920813" w14:textId="01E0A80B" w:rsidR="00D82675" w:rsidRDefault="00D82675" w:rsidP="006B7617">
      <w:r w:rsidRPr="00FB4E4F">
        <w:rPr>
          <w:noProof/>
        </w:rPr>
        <w:lastRenderedPageBreak/>
        <w:drawing>
          <wp:inline distT="0" distB="0" distL="0" distR="0" wp14:anchorId="3597AE1A" wp14:editId="380B4C1F">
            <wp:extent cx="5731510" cy="1663065"/>
            <wp:effectExtent l="0" t="0" r="2540" b="0"/>
            <wp:docPr id="39082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2133" name="Picture 1" descr="A screenshot of a computer&#10;&#10;Description automatically generated"/>
                    <pic:cNvPicPr/>
                  </pic:nvPicPr>
                  <pic:blipFill>
                    <a:blip r:embed="rId11"/>
                    <a:stretch>
                      <a:fillRect/>
                    </a:stretch>
                  </pic:blipFill>
                  <pic:spPr>
                    <a:xfrm>
                      <a:off x="0" y="0"/>
                      <a:ext cx="5731510" cy="1663065"/>
                    </a:xfrm>
                    <a:prstGeom prst="rect">
                      <a:avLst/>
                    </a:prstGeom>
                  </pic:spPr>
                </pic:pic>
              </a:graphicData>
            </a:graphic>
          </wp:inline>
        </w:drawing>
      </w:r>
    </w:p>
    <w:p w14:paraId="458554D5" w14:textId="5A4E8096" w:rsidR="00D82675" w:rsidRDefault="00D82675" w:rsidP="00D82675">
      <w:pPr>
        <w:pStyle w:val="Caption"/>
      </w:pPr>
      <w:bookmarkStart w:id="13" w:name="_Toc175649234"/>
      <w:r>
        <w:t xml:space="preserve">Figure </w:t>
      </w:r>
      <w:r>
        <w:fldChar w:fldCharType="begin"/>
      </w:r>
      <w:r>
        <w:instrText xml:space="preserve"> SEQ Figure \* ARABIC </w:instrText>
      </w:r>
      <w:r>
        <w:fldChar w:fldCharType="separate"/>
      </w:r>
      <w:r>
        <w:rPr>
          <w:noProof/>
        </w:rPr>
        <w:t>2</w:t>
      </w:r>
      <w:r>
        <w:fldChar w:fldCharType="end"/>
      </w:r>
      <w:r>
        <w:t xml:space="preserve"> - Likelihood Assessment Table </w:t>
      </w:r>
      <w:sdt>
        <w:sdtPr>
          <w:id w:val="1805809563"/>
          <w:citation/>
        </w:sdtPr>
        <w:sdtContent>
          <w:r>
            <w:fldChar w:fldCharType="begin"/>
          </w:r>
          <w:r>
            <w:instrText xml:space="preserve"> CITATION Min24 \l 2057 </w:instrText>
          </w:r>
          <w:r>
            <w:fldChar w:fldCharType="separate"/>
          </w:r>
          <w:r w:rsidR="006B7617" w:rsidRPr="006B7617">
            <w:rPr>
              <w:noProof/>
            </w:rPr>
            <w:t>[7]</w:t>
          </w:r>
          <w:r>
            <w:fldChar w:fldCharType="end"/>
          </w:r>
        </w:sdtContent>
      </w:sdt>
      <w:bookmarkEnd w:id="13"/>
    </w:p>
    <w:p w14:paraId="4725287A" w14:textId="2D9532EB" w:rsidR="006B7617" w:rsidRDefault="006B7617" w:rsidP="006B7617">
      <w:r>
        <w:t xml:space="preserve">Qualitative previous accident data for this scenario is unavailable. Mass explosion incidents, however, have continued to occur sporadically since </w:t>
      </w:r>
      <w:r w:rsidR="00E7773C">
        <w:t>militarisation of energetic materials.</w:t>
      </w:r>
      <w:r>
        <w:t xml:space="preserve"> Furthermore, although the design on munitions has developed</w:t>
      </w:r>
      <w:r w:rsidR="00955578">
        <w:t>,</w:t>
      </w:r>
      <w:r>
        <w:t xml:space="preserve"> AOP</w:t>
      </w:r>
      <w:r w:rsidR="00955578">
        <w:t>-</w:t>
      </w:r>
      <w:r>
        <w:t xml:space="preserve">15 </w:t>
      </w:r>
      <w:sdt>
        <w:sdtPr>
          <w:id w:val="-53549419"/>
          <w:citation/>
        </w:sdtPr>
        <w:sdtContent>
          <w:r>
            <w:fldChar w:fldCharType="begin"/>
          </w:r>
          <w:r>
            <w:instrText xml:space="preserve"> CITATION NAT08 \l 2057 </w:instrText>
          </w:r>
          <w:r>
            <w:fldChar w:fldCharType="separate"/>
          </w:r>
          <w:r w:rsidRPr="006B7617">
            <w:rPr>
              <w:noProof/>
            </w:rPr>
            <w:t>[5]</w:t>
          </w:r>
          <w:r>
            <w:fldChar w:fldCharType="end"/>
          </w:r>
        </w:sdtContent>
      </w:sdt>
      <w:r>
        <w:t xml:space="preserve"> certified munitions have been involved in energetic accidents</w:t>
      </w:r>
      <w:r w:rsidR="00955578">
        <w:t xml:space="preserve"> although not to the same extent</w:t>
      </w:r>
      <w:r>
        <w:t>. As such, the likelihood is rated at Unlikely.</w:t>
      </w:r>
    </w:p>
    <w:p w14:paraId="4CBE83FE" w14:textId="778E9819" w:rsidR="006B7617" w:rsidRPr="006B7617" w:rsidRDefault="006B7617" w:rsidP="006B7617">
      <w:r>
        <w:t>The final stage of Risk Estimation combines the above classifications into an overall rating using the matrix and definitions provided in Figures 4 and 5.</w:t>
      </w:r>
    </w:p>
    <w:p w14:paraId="064EC819" w14:textId="77777777" w:rsidR="00D82675" w:rsidRDefault="00D82675" w:rsidP="00D82675">
      <w:pPr>
        <w:keepNext/>
      </w:pPr>
      <w:r w:rsidRPr="00FB4E4F">
        <w:rPr>
          <w:noProof/>
        </w:rPr>
        <w:drawing>
          <wp:inline distT="0" distB="0" distL="0" distR="0" wp14:anchorId="67C36193" wp14:editId="2EC1724A">
            <wp:extent cx="5731510" cy="2296795"/>
            <wp:effectExtent l="0" t="0" r="2540" b="8255"/>
            <wp:docPr id="48362430" name="Picture 1" descr="A chart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62430" name="Picture 1" descr="A chart with different colored squares&#10;&#10;Description automatically generated with medium confidence"/>
                    <pic:cNvPicPr/>
                  </pic:nvPicPr>
                  <pic:blipFill>
                    <a:blip r:embed="rId12"/>
                    <a:stretch>
                      <a:fillRect/>
                    </a:stretch>
                  </pic:blipFill>
                  <pic:spPr>
                    <a:xfrm>
                      <a:off x="0" y="0"/>
                      <a:ext cx="5731510" cy="2296795"/>
                    </a:xfrm>
                    <a:prstGeom prst="rect">
                      <a:avLst/>
                    </a:prstGeom>
                  </pic:spPr>
                </pic:pic>
              </a:graphicData>
            </a:graphic>
          </wp:inline>
        </w:drawing>
      </w:r>
    </w:p>
    <w:p w14:paraId="18D0E54E" w14:textId="02C705F7" w:rsidR="00D82675" w:rsidRDefault="00D82675" w:rsidP="00D82675">
      <w:pPr>
        <w:pStyle w:val="Caption"/>
      </w:pPr>
      <w:bookmarkStart w:id="14" w:name="_Ref174797062"/>
      <w:bookmarkStart w:id="15" w:name="_Toc175649235"/>
      <w:r>
        <w:t xml:space="preserve">Figure </w:t>
      </w:r>
      <w:r>
        <w:fldChar w:fldCharType="begin"/>
      </w:r>
      <w:r>
        <w:instrText xml:space="preserve"> SEQ Figure \* ARABIC </w:instrText>
      </w:r>
      <w:r>
        <w:fldChar w:fldCharType="separate"/>
      </w:r>
      <w:r>
        <w:rPr>
          <w:noProof/>
        </w:rPr>
        <w:t>3</w:t>
      </w:r>
      <w:r>
        <w:fldChar w:fldCharType="end"/>
      </w:r>
      <w:bookmarkEnd w:id="14"/>
      <w:r>
        <w:t xml:space="preserve"> - Risk Assessment Matrix </w:t>
      </w:r>
      <w:sdt>
        <w:sdtPr>
          <w:id w:val="-928882461"/>
          <w:citation/>
        </w:sdtPr>
        <w:sdtContent>
          <w:r>
            <w:fldChar w:fldCharType="begin"/>
          </w:r>
          <w:r>
            <w:instrText xml:space="preserve"> CITATION Min24 \l 2057 </w:instrText>
          </w:r>
          <w:r>
            <w:fldChar w:fldCharType="separate"/>
          </w:r>
          <w:r w:rsidR="006B7617" w:rsidRPr="006B7617">
            <w:rPr>
              <w:noProof/>
            </w:rPr>
            <w:t>[7]</w:t>
          </w:r>
          <w:r>
            <w:fldChar w:fldCharType="end"/>
          </w:r>
        </w:sdtContent>
      </w:sdt>
      <w:bookmarkEnd w:id="15"/>
    </w:p>
    <w:p w14:paraId="3F893FD5" w14:textId="77777777" w:rsidR="00D82675" w:rsidRDefault="00D82675" w:rsidP="00D82675">
      <w:pPr>
        <w:keepNext/>
      </w:pPr>
      <w:r w:rsidRPr="00FB4E4F">
        <w:rPr>
          <w:noProof/>
        </w:rPr>
        <w:drawing>
          <wp:inline distT="0" distB="0" distL="0" distR="0" wp14:anchorId="0CCF67A4" wp14:editId="1E81F61A">
            <wp:extent cx="5731510" cy="1511935"/>
            <wp:effectExtent l="0" t="0" r="2540" b="0"/>
            <wp:docPr id="353983895"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83895" name="Picture 1" descr="A close-up of text&#10;&#10;Description automatically generated"/>
                    <pic:cNvPicPr/>
                  </pic:nvPicPr>
                  <pic:blipFill>
                    <a:blip r:embed="rId13"/>
                    <a:stretch>
                      <a:fillRect/>
                    </a:stretch>
                  </pic:blipFill>
                  <pic:spPr>
                    <a:xfrm>
                      <a:off x="0" y="0"/>
                      <a:ext cx="5731510" cy="1511935"/>
                    </a:xfrm>
                    <a:prstGeom prst="rect">
                      <a:avLst/>
                    </a:prstGeom>
                  </pic:spPr>
                </pic:pic>
              </a:graphicData>
            </a:graphic>
          </wp:inline>
        </w:drawing>
      </w:r>
    </w:p>
    <w:p w14:paraId="4E0D68C8" w14:textId="6DF948F8" w:rsidR="00D82675" w:rsidRDefault="00D82675" w:rsidP="00D82675">
      <w:pPr>
        <w:pStyle w:val="Caption"/>
      </w:pPr>
      <w:bookmarkStart w:id="16" w:name="_Ref174797070"/>
      <w:bookmarkStart w:id="17" w:name="_Toc175649236"/>
      <w:r>
        <w:t xml:space="preserve">Figure </w:t>
      </w:r>
      <w:r>
        <w:fldChar w:fldCharType="begin"/>
      </w:r>
      <w:r>
        <w:instrText xml:space="preserve"> SEQ Figure \* ARABIC </w:instrText>
      </w:r>
      <w:r>
        <w:fldChar w:fldCharType="separate"/>
      </w:r>
      <w:r>
        <w:rPr>
          <w:noProof/>
        </w:rPr>
        <w:t>4</w:t>
      </w:r>
      <w:r>
        <w:fldChar w:fldCharType="end"/>
      </w:r>
      <w:bookmarkEnd w:id="16"/>
      <w:r>
        <w:t xml:space="preserve"> - Risk Classification Definitions </w:t>
      </w:r>
      <w:sdt>
        <w:sdtPr>
          <w:id w:val="1114092035"/>
          <w:citation/>
        </w:sdtPr>
        <w:sdtContent>
          <w:r>
            <w:fldChar w:fldCharType="begin"/>
          </w:r>
          <w:r>
            <w:instrText xml:space="preserve"> CITATION Min24 \l 2057 </w:instrText>
          </w:r>
          <w:r>
            <w:fldChar w:fldCharType="separate"/>
          </w:r>
          <w:r w:rsidR="006B7617" w:rsidRPr="006B7617">
            <w:rPr>
              <w:noProof/>
            </w:rPr>
            <w:t>[7]</w:t>
          </w:r>
          <w:r>
            <w:fldChar w:fldCharType="end"/>
          </w:r>
        </w:sdtContent>
      </w:sdt>
      <w:bookmarkEnd w:id="17"/>
    </w:p>
    <w:p w14:paraId="62FA5A35" w14:textId="3B6B3937" w:rsidR="006B7617" w:rsidRDefault="006B7617" w:rsidP="006B7617">
      <w:r w:rsidRPr="006B7617">
        <w:t>Using this matrix the mass explosion hazard is given a High overall risk rating. This shows the risk is not ALARP and additional controls and mitigations are required.</w:t>
      </w:r>
    </w:p>
    <w:p w14:paraId="690530AD" w14:textId="0426C1B5" w:rsidR="00E24882" w:rsidRDefault="006B7617" w:rsidP="00E24882">
      <w:pPr>
        <w:pStyle w:val="Heading1"/>
      </w:pPr>
      <w:bookmarkStart w:id="18" w:name="_Toc175649227"/>
      <w:r>
        <w:lastRenderedPageBreak/>
        <w:t>5</w:t>
      </w:r>
      <w:r w:rsidR="00E24882">
        <w:t>.0 Additional Controls and Mitigations</w:t>
      </w:r>
      <w:bookmarkEnd w:id="18"/>
    </w:p>
    <w:p w14:paraId="1EDB03A6" w14:textId="56C9966D" w:rsidR="006B7617" w:rsidRDefault="006B7617" w:rsidP="006B7617">
      <w:bookmarkStart w:id="19" w:name="_Ref174797219"/>
      <w:r>
        <w:t xml:space="preserve">As the risk is not yet tolerable or ALARP further risk reduction is required. This process is defined in ASEMS SMP08 </w:t>
      </w:r>
      <w:sdt>
        <w:sdtPr>
          <w:id w:val="-585998118"/>
          <w:citation/>
        </w:sdtPr>
        <w:sdtContent>
          <w:r>
            <w:fldChar w:fldCharType="begin"/>
          </w:r>
          <w:r>
            <w:instrText xml:space="preserve"> CITATION NAT08 \l 2057 </w:instrText>
          </w:r>
          <w:r>
            <w:fldChar w:fldCharType="separate"/>
          </w:r>
          <w:r w:rsidRPr="006B7617">
            <w:rPr>
              <w:noProof/>
            </w:rPr>
            <w:t>[5]</w:t>
          </w:r>
          <w:r>
            <w:fldChar w:fldCharType="end"/>
          </w:r>
        </w:sdtContent>
      </w:sdt>
      <w:r>
        <w:t xml:space="preserve">. </w:t>
      </w:r>
    </w:p>
    <w:p w14:paraId="5327C4EE" w14:textId="1E95CDE1" w:rsidR="006B7617" w:rsidRDefault="006B7617" w:rsidP="006B7617">
      <w:r>
        <w:t xml:space="preserve">Here Def Stan 00-056 </w:t>
      </w:r>
      <w:sdt>
        <w:sdtPr>
          <w:id w:val="-2095765871"/>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defines Risk Reduction as “The systematic process of reducing risk.”</w:t>
      </w:r>
    </w:p>
    <w:p w14:paraId="37BABF32" w14:textId="5D063BEB" w:rsidR="006B7617" w:rsidRDefault="006B7617" w:rsidP="006B7617">
      <w:r>
        <w:t>Risk can be reduced by eliminating the hazard or implementing additional controls and mitigations. To meet the responsibilities imposed by the HSE all three must be explored in detail. Only then, on</w:t>
      </w:r>
      <w:r w:rsidR="00955578">
        <w:t xml:space="preserve">ce proved grossly disproportionate, </w:t>
      </w:r>
      <w:r>
        <w:t>can a risk reduction measure be discarded. Should a measure be implemented further hazard identification must occur to ensure new hazards are not introduced.</w:t>
      </w:r>
    </w:p>
    <w:p w14:paraId="6AD4E256" w14:textId="44F5BB43" w:rsidR="006B7617" w:rsidRDefault="006B7617" w:rsidP="006B7617">
      <w:r>
        <w:t xml:space="preserve">For the defined task hazard elimination is in-practicable as the missiles are required to operate the Type 23 fleet </w:t>
      </w:r>
      <w:sdt>
        <w:sdtPr>
          <w:id w:val="575783509"/>
          <w:citation/>
        </w:sdtPr>
        <w:sdtContent>
          <w:r>
            <w:fldChar w:fldCharType="begin"/>
          </w:r>
          <w:r>
            <w:instrText xml:space="preserve"> CITATION Wik24 \l 2057 </w:instrText>
          </w:r>
          <w:r>
            <w:fldChar w:fldCharType="separate"/>
          </w:r>
          <w:r w:rsidRPr="006B7617">
            <w:rPr>
              <w:noProof/>
            </w:rPr>
            <w:t>[1]</w:t>
          </w:r>
          <w:r>
            <w:fldChar w:fldCharType="end"/>
          </w:r>
        </w:sdtContent>
      </w:sdt>
      <w:r>
        <w:t>. Many control measures, however, could be implemented. Examples are given in Table 3 alongside the specific cause they influence.</w:t>
      </w:r>
    </w:p>
    <w:p w14:paraId="4423738D" w14:textId="1B7ECEEC" w:rsidR="00E24882" w:rsidRDefault="00E24882" w:rsidP="00E24882">
      <w:pPr>
        <w:pStyle w:val="Caption"/>
        <w:keepNext/>
      </w:pPr>
      <w:bookmarkStart w:id="20" w:name="_Toc175649239"/>
      <w:r>
        <w:t xml:space="preserve">Table </w:t>
      </w:r>
      <w:r>
        <w:fldChar w:fldCharType="begin"/>
      </w:r>
      <w:r>
        <w:instrText xml:space="preserve"> SEQ Table \* ARABIC </w:instrText>
      </w:r>
      <w:r>
        <w:fldChar w:fldCharType="separate"/>
      </w:r>
      <w:r w:rsidR="003D7E6B">
        <w:rPr>
          <w:noProof/>
        </w:rPr>
        <w:t>3</w:t>
      </w:r>
      <w:r>
        <w:fldChar w:fldCharType="end"/>
      </w:r>
      <w:bookmarkEnd w:id="19"/>
      <w:r>
        <w:t xml:space="preserve"> - Additional Control Measures</w:t>
      </w:r>
      <w:bookmarkEnd w:id="20"/>
    </w:p>
    <w:tbl>
      <w:tblPr>
        <w:tblStyle w:val="ListTable4-Accent1"/>
        <w:tblW w:w="0" w:type="auto"/>
        <w:tblLook w:val="04A0" w:firstRow="1" w:lastRow="0" w:firstColumn="1" w:lastColumn="0" w:noHBand="0" w:noVBand="1"/>
      </w:tblPr>
      <w:tblGrid>
        <w:gridCol w:w="2972"/>
        <w:gridCol w:w="6044"/>
      </w:tblGrid>
      <w:tr w:rsidR="00E24882" w14:paraId="130C8942" w14:textId="77777777" w:rsidTr="00FF66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7404110" w14:textId="77777777" w:rsidR="00E24882" w:rsidRDefault="00E24882" w:rsidP="00FF669E">
            <w:r>
              <w:t xml:space="preserve">Cause </w:t>
            </w:r>
          </w:p>
        </w:tc>
        <w:tc>
          <w:tcPr>
            <w:tcW w:w="6044" w:type="dxa"/>
          </w:tcPr>
          <w:p w14:paraId="070CD9CF" w14:textId="77777777" w:rsidR="00E24882" w:rsidRDefault="00E24882" w:rsidP="00FF669E">
            <w:pPr>
              <w:cnfStyle w:val="100000000000" w:firstRow="1" w:lastRow="0" w:firstColumn="0" w:lastColumn="0" w:oddVBand="0" w:evenVBand="0" w:oddHBand="0" w:evenHBand="0" w:firstRowFirstColumn="0" w:firstRowLastColumn="0" w:lastRowFirstColumn="0" w:lastRowLastColumn="0"/>
            </w:pPr>
            <w:r>
              <w:t>Control Measure</w:t>
            </w:r>
          </w:p>
        </w:tc>
      </w:tr>
      <w:tr w:rsidR="00E24882" w14:paraId="231BAC05"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2FA5F26" w14:textId="77777777" w:rsidR="00E24882" w:rsidRDefault="00E24882" w:rsidP="00FF669E">
            <w:r>
              <w:t xml:space="preserve">Impact  </w:t>
            </w:r>
          </w:p>
        </w:tc>
        <w:tc>
          <w:tcPr>
            <w:tcW w:w="6044" w:type="dxa"/>
          </w:tcPr>
          <w:p w14:paraId="3A211B28" w14:textId="56104B5D" w:rsidR="00E24882" w:rsidRDefault="00E24882" w:rsidP="00FF669E">
            <w:pPr>
              <w:cnfStyle w:val="000000100000" w:firstRow="0" w:lastRow="0" w:firstColumn="0" w:lastColumn="0" w:oddVBand="0" w:evenVBand="0" w:oddHBand="1" w:evenHBand="0" w:firstRowFirstColumn="0" w:firstRowLastColumn="0" w:lastRowFirstColumn="0" w:lastRowLastColumn="0"/>
            </w:pPr>
            <w:r>
              <w:t xml:space="preserve">Process workers should have received sufficient manual handling training. Movements should utilise lifting equipment where possible with lifts occurring at </w:t>
            </w:r>
            <w:r w:rsidR="00955578">
              <w:t>minimal</w:t>
            </w:r>
            <w:r>
              <w:t xml:space="preserve"> height</w:t>
            </w:r>
            <w:r w:rsidR="00955578">
              <w:t>s</w:t>
            </w:r>
            <w:r>
              <w:t xml:space="preserve"> </w:t>
            </w:r>
            <w:r w:rsidR="00955578">
              <w:t>reducing</w:t>
            </w:r>
            <w:r>
              <w:t xml:space="preserve"> potential impact forces. Movements and lifts of articles should only be conducted when operationally necessary.</w:t>
            </w:r>
          </w:p>
        </w:tc>
      </w:tr>
      <w:tr w:rsidR="00E24882" w14:paraId="5442251A"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77A2F12A" w14:textId="77777777" w:rsidR="00E24882" w:rsidRDefault="00E24882" w:rsidP="00FF669E">
            <w:r>
              <w:t>Ballistic Impact</w:t>
            </w:r>
          </w:p>
        </w:tc>
        <w:tc>
          <w:tcPr>
            <w:tcW w:w="6044" w:type="dxa"/>
          </w:tcPr>
          <w:p w14:paraId="410ABEAF" w14:textId="44882129" w:rsidR="00E24882" w:rsidRDefault="00E24882" w:rsidP="00FF669E">
            <w:pPr>
              <w:cnfStyle w:val="000000000000" w:firstRow="0" w:lastRow="0" w:firstColumn="0" w:lastColumn="0" w:oddVBand="0" w:evenVBand="0" w:oddHBand="0" w:evenHBand="0" w:firstRowFirstColumn="0" w:firstRowLastColumn="0" w:lastRowFirstColumn="0" w:lastRowLastColumn="0"/>
            </w:pPr>
            <w:r>
              <w:t xml:space="preserve">Each of the three energetic components of the missile system should be segregated based on their compatibility group as given in </w:t>
            </w:r>
            <w:r w:rsidRPr="00E24882">
              <w:t>DSA 03.OME Part 2 (JSP 482)</w:t>
            </w:r>
            <w:r>
              <w:t xml:space="preserve"> Chapter 13 Annex 3 </w:t>
            </w:r>
            <w:sdt>
              <w:sdtPr>
                <w:id w:val="-425732779"/>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t>. This ensures energetic articles which may cause ballistic impact risk (e.g. rocket motors) can’t cause the initiation of mass explosive hazards.</w:t>
            </w:r>
          </w:p>
        </w:tc>
      </w:tr>
      <w:tr w:rsidR="00E24882" w14:paraId="0C316A4E"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08963502" w14:textId="77777777" w:rsidR="00E24882" w:rsidRDefault="00E24882" w:rsidP="00FF669E">
            <w:r>
              <w:t>Electrostatic Discharge (ESD)</w:t>
            </w:r>
          </w:p>
        </w:tc>
        <w:tc>
          <w:tcPr>
            <w:tcW w:w="6044" w:type="dxa"/>
          </w:tcPr>
          <w:p w14:paraId="057C4A0C" w14:textId="3B263C63" w:rsidR="00E24882" w:rsidRDefault="00E24882" w:rsidP="00FF669E">
            <w:pPr>
              <w:cnfStyle w:val="000000100000" w:firstRow="0" w:lastRow="0" w:firstColumn="0" w:lastColumn="0" w:oddVBand="0" w:evenVBand="0" w:oddHBand="1" w:evenHBand="0" w:firstRowFirstColumn="0" w:firstRowLastColumn="0" w:lastRowFirstColumn="0" w:lastRowLastColumn="0"/>
            </w:pPr>
            <w:r w:rsidRPr="00FD1844">
              <w:t>All electronic systems within the storage area should be intrinsically safe in compliance with DSA03 OME Part 2 Chapter 8</w:t>
            </w:r>
            <w:r>
              <w:t xml:space="preserve"> </w:t>
            </w:r>
            <w:sdt>
              <w:sdtPr>
                <w:id w:val="616186611"/>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rsidRPr="00FD1844">
              <w:t xml:space="preserve"> and comply to ATEX standards</w:t>
            </w:r>
            <w:r>
              <w:t xml:space="preserve"> to minimise the risk of ESD</w:t>
            </w:r>
            <w:r w:rsidRPr="00FD1844">
              <w:t xml:space="preserve">. Personnel operating with the facility should wear anti-static shoes and clothing. The storage area should have an adequate lightning protection system diverting a strike to earth. Explosives should be stored within this area in line with </w:t>
            </w:r>
            <w:r w:rsidRPr="00E24882">
              <w:t>DSA 03.OME Part 2 (JSP 482)</w:t>
            </w:r>
            <w:r>
              <w:t xml:space="preserve"> Chapter </w:t>
            </w:r>
            <w:r w:rsidRPr="00FD1844">
              <w:t>13 Part 7.5</w:t>
            </w:r>
            <w:r>
              <w:t xml:space="preserve"> </w:t>
            </w:r>
            <w:sdt>
              <w:sdtPr>
                <w:id w:val="-303004128"/>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rsidR="006B7617">
              <w:t xml:space="preserve">, </w:t>
            </w:r>
            <w:r>
              <w:t>obeying staking hights and separation distances form walls and electronic items.</w:t>
            </w:r>
          </w:p>
        </w:tc>
      </w:tr>
      <w:tr w:rsidR="00E24882" w14:paraId="47A4BBB1"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5EC7F1CC" w14:textId="77777777" w:rsidR="00E24882" w:rsidRDefault="00E24882" w:rsidP="00FF669E">
            <w:r>
              <w:t>Electromagnetic Radiation</w:t>
            </w:r>
          </w:p>
        </w:tc>
        <w:tc>
          <w:tcPr>
            <w:tcW w:w="6044" w:type="dxa"/>
          </w:tcPr>
          <w:p w14:paraId="3794198B" w14:textId="77CCBB9D" w:rsidR="00E24882" w:rsidRDefault="00E24882" w:rsidP="00FF669E">
            <w:pPr>
              <w:cnfStyle w:val="000000000000" w:firstRow="0" w:lastRow="0" w:firstColumn="0" w:lastColumn="0" w:oddVBand="0" w:evenVBand="0" w:oddHBand="0" w:evenHBand="0" w:firstRowFirstColumn="0" w:firstRowLastColumn="0" w:lastRowFirstColumn="0" w:lastRowLastColumn="0"/>
            </w:pPr>
            <w:r>
              <w:t xml:space="preserve">Articles should be stored following RADHAZ safety measures listed in </w:t>
            </w:r>
            <w:r w:rsidR="006B7617">
              <w:t>C</w:t>
            </w:r>
            <w:r w:rsidRPr="00FD1844">
              <w:t xml:space="preserve">hapter 24 of </w:t>
            </w:r>
            <w:r w:rsidRPr="00E24882">
              <w:t>DSA 03.OME Part 2 (JSP 482)</w:t>
            </w:r>
            <w:r>
              <w:t xml:space="preserve"> </w:t>
            </w:r>
            <w:sdt>
              <w:sdtPr>
                <w:id w:val="395625086"/>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rsidRPr="00FD1844">
              <w:t>. This includes safe distances of munitions from RF sources such that the induced current is minimised. Remove all contraband including RF sources when within explosive storage areas.</w:t>
            </w:r>
          </w:p>
        </w:tc>
      </w:tr>
      <w:tr w:rsidR="00E24882" w14:paraId="2C7A4799" w14:textId="77777777" w:rsidTr="00FF669E">
        <w:trPr>
          <w:cnfStyle w:val="000000100000" w:firstRow="0" w:lastRow="0" w:firstColumn="0" w:lastColumn="0" w:oddVBand="0" w:evenVBand="0" w:oddHBand="1" w:evenHBand="0" w:firstRowFirstColumn="0" w:firstRowLastColumn="0" w:lastRowFirstColumn="0" w:lastRowLastColumn="0"/>
          <w:trHeight w:val="994"/>
        </w:trPr>
        <w:tc>
          <w:tcPr>
            <w:cnfStyle w:val="001000000000" w:firstRow="0" w:lastRow="0" w:firstColumn="1" w:lastColumn="0" w:oddVBand="0" w:evenVBand="0" w:oddHBand="0" w:evenHBand="0" w:firstRowFirstColumn="0" w:firstRowLastColumn="0" w:lastRowFirstColumn="0" w:lastRowLastColumn="0"/>
            <w:tcW w:w="2972" w:type="dxa"/>
          </w:tcPr>
          <w:p w14:paraId="15C1591C" w14:textId="77777777" w:rsidR="00E24882" w:rsidRDefault="00E24882" w:rsidP="00FF669E">
            <w:r>
              <w:t>Slow Heating</w:t>
            </w:r>
          </w:p>
        </w:tc>
        <w:tc>
          <w:tcPr>
            <w:tcW w:w="6044" w:type="dxa"/>
            <w:vMerge w:val="restart"/>
          </w:tcPr>
          <w:p w14:paraId="3584388D" w14:textId="76C17727" w:rsidR="00E24882" w:rsidRDefault="00E24882" w:rsidP="00FF669E">
            <w:pPr>
              <w:cnfStyle w:val="000000100000" w:firstRow="0" w:lastRow="0" w:firstColumn="0" w:lastColumn="0" w:oddVBand="0" w:evenVBand="0" w:oddHBand="1" w:evenHBand="0" w:firstRowFirstColumn="0" w:firstRowLastColumn="0" w:lastRowFirstColumn="0" w:lastRowLastColumn="0"/>
            </w:pPr>
            <w:r>
              <w:t xml:space="preserve">Articles should be stored in licensed explosive facilities in line with </w:t>
            </w:r>
            <w:r w:rsidRPr="00FD1844">
              <w:t>DSA 03.OME Part 2 (JSP 482)</w:t>
            </w:r>
            <w:r>
              <w:t xml:space="preserve"> </w:t>
            </w:r>
            <w:sdt>
              <w:sdtPr>
                <w:id w:val="1660580528"/>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t xml:space="preserve">. These facilities have adequate ventilation to reduce the build-up of heat within the facility and are made of materials that actively reduce the spread of fire. Storage facilities should be kept clear of </w:t>
            </w:r>
            <w:r>
              <w:lastRenderedPageBreak/>
              <w:t>flammable materials. Adequate fire safety plans should be implemented.</w:t>
            </w:r>
          </w:p>
        </w:tc>
      </w:tr>
      <w:tr w:rsidR="00E24882" w14:paraId="03096BE5"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6A199245" w14:textId="77777777" w:rsidR="00E24882" w:rsidRDefault="00E24882" w:rsidP="00FF669E">
            <w:r>
              <w:t>Fast Heating</w:t>
            </w:r>
          </w:p>
        </w:tc>
        <w:tc>
          <w:tcPr>
            <w:tcW w:w="6044" w:type="dxa"/>
            <w:vMerge/>
          </w:tcPr>
          <w:p w14:paraId="720D4B2A" w14:textId="77777777" w:rsidR="00E24882" w:rsidRDefault="00E24882" w:rsidP="00FF669E">
            <w:pPr>
              <w:cnfStyle w:val="000000000000" w:firstRow="0" w:lastRow="0" w:firstColumn="0" w:lastColumn="0" w:oddVBand="0" w:evenVBand="0" w:oddHBand="0" w:evenHBand="0" w:firstRowFirstColumn="0" w:firstRowLastColumn="0" w:lastRowFirstColumn="0" w:lastRowLastColumn="0"/>
            </w:pPr>
          </w:p>
        </w:tc>
      </w:tr>
      <w:tr w:rsidR="00E24882" w14:paraId="2D71CE12"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B7CD762" w14:textId="77777777" w:rsidR="00E24882" w:rsidRDefault="00E24882" w:rsidP="00FF669E">
            <w:r>
              <w:t>Sympathetic Detonation</w:t>
            </w:r>
          </w:p>
        </w:tc>
        <w:tc>
          <w:tcPr>
            <w:tcW w:w="6044" w:type="dxa"/>
          </w:tcPr>
          <w:p w14:paraId="1F5F7E02" w14:textId="59B16770" w:rsidR="00E24882" w:rsidRDefault="00E24882" w:rsidP="00FF669E">
            <w:pPr>
              <w:cnfStyle w:val="000000100000" w:firstRow="0" w:lastRow="0" w:firstColumn="0" w:lastColumn="0" w:oddVBand="0" w:evenVBand="0" w:oddHBand="1" w:evenHBand="0" w:firstRowFirstColumn="0" w:firstRowLastColumn="0" w:lastRowFirstColumn="0" w:lastRowLastColumn="0"/>
            </w:pPr>
            <w:r>
              <w:t>The NEQ of articles stored within the magazine should remain below the maximum licenced capacity.  Articles should be segregated to maximise the distance between stores. The number of articles within any one Explosive Store House (ESH) should be minimised.</w:t>
            </w:r>
          </w:p>
        </w:tc>
      </w:tr>
    </w:tbl>
    <w:p w14:paraId="009EF569" w14:textId="77777777" w:rsidR="00E24882" w:rsidRDefault="00E24882" w:rsidP="00E24882"/>
    <w:p w14:paraId="512DC29C" w14:textId="39F48A6A" w:rsidR="006B7617" w:rsidRDefault="006B7617" w:rsidP="00E24882">
      <w:r w:rsidRPr="006B7617">
        <w:t xml:space="preserve">The primary mitigation measure should be the development and use of a licenced explosive storage facility designed in line with DSA 03.OME Part 2 (JSP 482) </w:t>
      </w:r>
      <w:sdt>
        <w:sdtPr>
          <w:id w:val="335659985"/>
          <w:citation/>
        </w:sdtPr>
        <w:sdtContent>
          <w:r>
            <w:fldChar w:fldCharType="begin"/>
          </w:r>
          <w:r>
            <w:instrText xml:space="preserve"> CITATION Def19 \l 2057 </w:instrText>
          </w:r>
          <w:r>
            <w:fldChar w:fldCharType="separate"/>
          </w:r>
          <w:r w:rsidRPr="006B7617">
            <w:rPr>
              <w:noProof/>
            </w:rPr>
            <w:t>[10]</w:t>
          </w:r>
          <w:r>
            <w:fldChar w:fldCharType="end"/>
          </w:r>
        </w:sdtContent>
      </w:sdt>
      <w:r w:rsidRPr="006B7617">
        <w:t xml:space="preserve"> as well as HSE </w:t>
      </w:r>
      <w:r w:rsidR="00955578">
        <w:t>Explosive Regulations 2014</w:t>
      </w:r>
      <w:r w:rsidRPr="006B7617">
        <w:t>. Such a facility is designed to mitigate the effects of explosions containing their effects to a reduced radius. These regulations also enforce Inhabited Building Distances (IBD’s) distancing the stores from non-energetic buildings and personnel</w:t>
      </w:r>
      <w:r w:rsidR="00955578">
        <w:t xml:space="preserve"> reducing the risks to non-energetic personnel</w:t>
      </w:r>
      <w:r w:rsidRPr="006B7617">
        <w:t>.</w:t>
      </w:r>
    </w:p>
    <w:p w14:paraId="183DAD31" w14:textId="093258B9" w:rsidR="00E24882" w:rsidRDefault="006B7617" w:rsidP="00E24882">
      <w:pPr>
        <w:pStyle w:val="Heading1"/>
      </w:pPr>
      <w:bookmarkStart w:id="21" w:name="_Toc175649228"/>
      <w:r>
        <w:t>6</w:t>
      </w:r>
      <w:r w:rsidR="00E24882">
        <w:t>.0 Residual Risk Rating</w:t>
      </w:r>
      <w:bookmarkEnd w:id="21"/>
    </w:p>
    <w:p w14:paraId="3A67C25F" w14:textId="77777777" w:rsidR="006B7617" w:rsidRDefault="006B7617" w:rsidP="006B7617">
      <w:r>
        <w:t>The determination of residual risk follows an identical process to the initial risk estimation. Here however, risk reduction measures are considered.</w:t>
      </w:r>
    </w:p>
    <w:p w14:paraId="399899DE" w14:textId="77777777" w:rsidR="006B7617" w:rsidRDefault="006B7617" w:rsidP="006B7617">
      <w:r>
        <w:t>The additional mitigations now mean the risk to wider MOD personnel and the public is eliminated, with only energetic workers exposed to the hazard. The use of ESH’s however, also reduced the severity of the hazard for these personnel leading to a Severe severity rating.</w:t>
      </w:r>
    </w:p>
    <w:p w14:paraId="2E53ADF2" w14:textId="77777777" w:rsidR="006B7617" w:rsidRDefault="006B7617" w:rsidP="006B7617">
      <w:r>
        <w:t>The additional control measures put in place also almost fully eliminate the accidence causes provided for the mass explosive hazard. As such a mass explosive incident is not likely to occur and the likelihood can be quoted as Very Unlikely.</w:t>
      </w:r>
    </w:p>
    <w:p w14:paraId="211F6990" w14:textId="21B7444A" w:rsidR="006B7617" w:rsidRPr="006B7617" w:rsidRDefault="006B7617" w:rsidP="006B7617">
      <w:r>
        <w:t xml:space="preserve">These combine on the risk matrix to give a new risk rating of </w:t>
      </w:r>
      <w:r w:rsidR="00955578">
        <w:t>M</w:t>
      </w:r>
      <w:r>
        <w:t>edium. This r</w:t>
      </w:r>
      <w:r w:rsidR="00955578">
        <w:t xml:space="preserve">ating </w:t>
      </w:r>
      <w:r>
        <w:t>still leaves significant room for further risk reduction</w:t>
      </w:r>
      <w:r w:rsidR="00955578">
        <w:t>. As such, the scenario must be analysed further before being deemed A</w:t>
      </w:r>
      <w:r>
        <w:t>LARP.</w:t>
      </w:r>
    </w:p>
    <w:p w14:paraId="0A17A120" w14:textId="4C02A114" w:rsidR="00E24882" w:rsidRDefault="006B7617" w:rsidP="003D7E6B">
      <w:pPr>
        <w:pStyle w:val="Heading1"/>
      </w:pPr>
      <w:bookmarkStart w:id="22" w:name="_Toc175649229"/>
      <w:r>
        <w:t>7</w:t>
      </w:r>
      <w:r w:rsidR="003D7E6B">
        <w:t>.0 Further Considered Measured</w:t>
      </w:r>
      <w:bookmarkEnd w:id="22"/>
    </w:p>
    <w:p w14:paraId="58A7B237" w14:textId="6345BB12" w:rsidR="006B7617" w:rsidRDefault="006B7617" w:rsidP="006B7617">
      <w:r>
        <w:t xml:space="preserve">As the hazard was not eliminated and the risk remained at </w:t>
      </w:r>
      <w:r w:rsidR="00955578">
        <w:t>M</w:t>
      </w:r>
      <w:r>
        <w:t xml:space="preserve">edium the HSE states the project must explore further risk reduction measures and prove </w:t>
      </w:r>
      <w:r w:rsidR="00955578">
        <w:t>the cost to implement these measures is grossly disproportionate to the safety benefits they provide.</w:t>
      </w:r>
      <w:r>
        <w:t xml:space="preserve"> Only then can the risk be considered ALARP. </w:t>
      </w:r>
    </w:p>
    <w:p w14:paraId="346CE004" w14:textId="3182FC76" w:rsidR="006B7617" w:rsidRDefault="006B7617" w:rsidP="006B7617">
      <w:r>
        <w:t xml:space="preserve">Many techniques exist to determine in a measure is practicable with the most robust being a full cost benefit analysis. Here the cost of the measure is compared to the cost of an accident. Only if the cost of implementation is grossly disproportionate can the measure be discarded. More information on such techniques </w:t>
      </w:r>
      <w:r w:rsidR="00955578">
        <w:t>i</w:t>
      </w:r>
      <w:r>
        <w:t xml:space="preserve">s provided in ASEMS SMP07 </w:t>
      </w:r>
      <w:sdt>
        <w:sdtPr>
          <w:id w:val="-692615937"/>
          <w:citation/>
        </w:sdtPr>
        <w:sdtContent>
          <w:r>
            <w:fldChar w:fldCharType="begin"/>
          </w:r>
          <w:r>
            <w:instrText xml:space="preserve"> CITATION MOD24 \l 2057 </w:instrText>
          </w:r>
          <w:r>
            <w:fldChar w:fldCharType="separate"/>
          </w:r>
          <w:r w:rsidRPr="006B7617">
            <w:rPr>
              <w:noProof/>
            </w:rPr>
            <w:t>[4]</w:t>
          </w:r>
          <w:r>
            <w:fldChar w:fldCharType="end"/>
          </w:r>
        </w:sdtContent>
      </w:sdt>
      <w:r>
        <w:t xml:space="preserve">. </w:t>
      </w:r>
    </w:p>
    <w:p w14:paraId="6988133C" w14:textId="4FDAD2D8" w:rsidR="003D7E6B" w:rsidRDefault="006B7617" w:rsidP="006B7617">
      <w:r>
        <w:t>Two examples, however, are provided in Table 4.</w:t>
      </w:r>
      <w:r w:rsidR="003D7E6B">
        <w:br w:type="page"/>
      </w:r>
    </w:p>
    <w:p w14:paraId="7877D307" w14:textId="6B4E9244" w:rsidR="003D7E6B" w:rsidRDefault="003D7E6B" w:rsidP="003D7E6B">
      <w:pPr>
        <w:pStyle w:val="Caption"/>
        <w:keepNext/>
      </w:pPr>
      <w:bookmarkStart w:id="23" w:name="_Ref174797748"/>
      <w:bookmarkStart w:id="24" w:name="_Toc175649240"/>
      <w:r>
        <w:lastRenderedPageBreak/>
        <w:t xml:space="preserve">Table </w:t>
      </w:r>
      <w:r>
        <w:fldChar w:fldCharType="begin"/>
      </w:r>
      <w:r>
        <w:instrText xml:space="preserve"> SEQ Table \* ARABIC </w:instrText>
      </w:r>
      <w:r>
        <w:fldChar w:fldCharType="separate"/>
      </w:r>
      <w:r>
        <w:rPr>
          <w:noProof/>
        </w:rPr>
        <w:t>4</w:t>
      </w:r>
      <w:r>
        <w:fldChar w:fldCharType="end"/>
      </w:r>
      <w:bookmarkEnd w:id="23"/>
      <w:r>
        <w:t xml:space="preserve"> - Examples of considered additional measures.</w:t>
      </w:r>
      <w:bookmarkEnd w:id="24"/>
    </w:p>
    <w:tbl>
      <w:tblPr>
        <w:tblStyle w:val="GridTable4-Accent1"/>
        <w:tblW w:w="0" w:type="auto"/>
        <w:tblLook w:val="04A0" w:firstRow="1" w:lastRow="0" w:firstColumn="1" w:lastColumn="0" w:noHBand="0" w:noVBand="1"/>
      </w:tblPr>
      <w:tblGrid>
        <w:gridCol w:w="3681"/>
        <w:gridCol w:w="5335"/>
      </w:tblGrid>
      <w:tr w:rsidR="003D7E6B" w14:paraId="1A9C2192" w14:textId="77777777" w:rsidTr="00FF66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0F02E55" w14:textId="77777777" w:rsidR="003D7E6B" w:rsidRDefault="003D7E6B" w:rsidP="00FF669E">
            <w:r>
              <w:t>Control / Mitigation:</w:t>
            </w:r>
          </w:p>
        </w:tc>
        <w:tc>
          <w:tcPr>
            <w:tcW w:w="5335" w:type="dxa"/>
          </w:tcPr>
          <w:p w14:paraId="192E2708" w14:textId="77777777" w:rsidR="003D7E6B" w:rsidRDefault="003D7E6B" w:rsidP="00FF669E">
            <w:pPr>
              <w:cnfStyle w:val="100000000000" w:firstRow="1" w:lastRow="0" w:firstColumn="0" w:lastColumn="0" w:oddVBand="0" w:evenVBand="0" w:oddHBand="0" w:evenHBand="0" w:firstRowFirstColumn="0" w:firstRowLastColumn="0" w:lastRowFirstColumn="0" w:lastRowLastColumn="0"/>
            </w:pPr>
            <w:r>
              <w:t>Feasibility</w:t>
            </w:r>
          </w:p>
        </w:tc>
      </w:tr>
      <w:tr w:rsidR="003D7E6B" w14:paraId="1C304CA5"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2C09DD6" w14:textId="77777777" w:rsidR="003D7E6B" w:rsidRDefault="003D7E6B" w:rsidP="00FF669E">
            <w:r>
              <w:t>Individual ESH for each energetic article to minimise the max NEQ of an explosive event.</w:t>
            </w:r>
          </w:p>
        </w:tc>
        <w:tc>
          <w:tcPr>
            <w:tcW w:w="5335" w:type="dxa"/>
          </w:tcPr>
          <w:p w14:paraId="62742159" w14:textId="0CA58781" w:rsidR="003D7E6B" w:rsidRDefault="003D7E6B" w:rsidP="00FF669E">
            <w:pPr>
              <w:cnfStyle w:val="000000100000" w:firstRow="0" w:lastRow="0" w:firstColumn="0" w:lastColumn="0" w:oddVBand="0" w:evenVBand="0" w:oddHBand="1" w:evenHBand="0" w:firstRowFirstColumn="0" w:firstRowLastColumn="0" w:lastRowFirstColumn="0" w:lastRowLastColumn="0"/>
            </w:pPr>
            <w:r>
              <w:t xml:space="preserve">If this measure was implemented the max NEQ of any explosive event would be greatly minimised, and the protection provided by the ESH would likely fully contain the event. This would massively reduce the severity of the incident reducing residual risk. Explosive storage facilities are very expensive however, and due to the number of articles (64 x 3) the </w:t>
            </w:r>
            <w:r w:rsidR="00955578">
              <w:t>cost of implementing such as mitigation would be extortionate</w:t>
            </w:r>
            <w:r>
              <w:t xml:space="preserve">. As such once a cost benefit analysis has been conducted on this mitigation it would be </w:t>
            </w:r>
            <w:r w:rsidR="00C20383">
              <w:t xml:space="preserve">deemed grossly disproportionate and not reasonably </w:t>
            </w:r>
            <w:proofErr w:type="gramStart"/>
            <w:r w:rsidR="00C20383">
              <w:t xml:space="preserve">practicable </w:t>
            </w:r>
            <w:r>
              <w:t>.</w:t>
            </w:r>
            <w:proofErr w:type="gramEnd"/>
          </w:p>
        </w:tc>
      </w:tr>
      <w:tr w:rsidR="003D7E6B" w14:paraId="3AE0129F" w14:textId="77777777" w:rsidTr="00FF669E">
        <w:tc>
          <w:tcPr>
            <w:cnfStyle w:val="001000000000" w:firstRow="0" w:lastRow="0" w:firstColumn="1" w:lastColumn="0" w:oddVBand="0" w:evenVBand="0" w:oddHBand="0" w:evenHBand="0" w:firstRowFirstColumn="0" w:firstRowLastColumn="0" w:lastRowFirstColumn="0" w:lastRowLastColumn="0"/>
            <w:tcW w:w="3681" w:type="dxa"/>
          </w:tcPr>
          <w:p w14:paraId="03F90C58" w14:textId="77777777" w:rsidR="003D7E6B" w:rsidRDefault="003D7E6B" w:rsidP="00FF669E">
            <w:r>
              <w:t>Storing the missile system without any energetic material present and adding this material immediately prior to use.</w:t>
            </w:r>
          </w:p>
        </w:tc>
        <w:tc>
          <w:tcPr>
            <w:tcW w:w="5335" w:type="dxa"/>
          </w:tcPr>
          <w:p w14:paraId="045B3A81" w14:textId="3BB22CC5" w:rsidR="003D7E6B" w:rsidRDefault="003D7E6B" w:rsidP="00FF669E">
            <w:pPr>
              <w:cnfStyle w:val="000000000000" w:firstRow="0" w:lastRow="0" w:firstColumn="0" w:lastColumn="0" w:oddVBand="0" w:evenVBand="0" w:oddHBand="0" w:evenHBand="0" w:firstRowFirstColumn="0" w:firstRowLastColumn="0" w:lastRowFirstColumn="0" w:lastRowLastColumn="0"/>
            </w:pPr>
            <w:r>
              <w:t xml:space="preserve">By implementing the following control measure all causes of mass explosion risk would be eliminated removing this hazard from the task. </w:t>
            </w:r>
            <w:r w:rsidR="00C20383">
              <w:t>This,</w:t>
            </w:r>
            <w:r>
              <w:t xml:space="preserve"> however</w:t>
            </w:r>
            <w:r w:rsidR="00C20383">
              <w:t>,</w:t>
            </w:r>
            <w:r>
              <w:t xml:space="preserve"> is not a practicable solution due to the high cost of reassembling the system and the major delays in operational readiness this would cause.</w:t>
            </w:r>
            <w:r w:rsidR="00C20383">
              <w:t xml:space="preserve"> Again, this makes the control grossly disproportionate.</w:t>
            </w:r>
          </w:p>
        </w:tc>
      </w:tr>
    </w:tbl>
    <w:p w14:paraId="4E8EBE99" w14:textId="77777777" w:rsidR="003D7E6B" w:rsidRDefault="003D7E6B" w:rsidP="003D7E6B"/>
    <w:p w14:paraId="46ECD693" w14:textId="20BC696A" w:rsidR="003D7E6B" w:rsidRDefault="006B7617" w:rsidP="003D7E6B">
      <w:pPr>
        <w:pStyle w:val="Heading1"/>
      </w:pPr>
      <w:bookmarkStart w:id="25" w:name="_Toc175649230"/>
      <w:r>
        <w:t>8</w:t>
      </w:r>
      <w:r w:rsidR="003D7E6B">
        <w:t xml:space="preserve">.0 </w:t>
      </w:r>
      <w:r>
        <w:t>Risk Acceptance</w:t>
      </w:r>
      <w:bookmarkEnd w:id="25"/>
    </w:p>
    <w:p w14:paraId="721DA827" w14:textId="7328C95F" w:rsidR="006B7617" w:rsidRDefault="006B7617" w:rsidP="006B7617">
      <w:r>
        <w:t xml:space="preserve">Risk Acceptance is defined by Def Stan 00-056 </w:t>
      </w:r>
      <w:sdt>
        <w:sdtPr>
          <w:id w:val="-767534090"/>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as “The systematic process by which relevant stakeholders agree that risk may be accepted.”. Guidance on this process can be found in ASEMS SMP09 </w:t>
      </w:r>
      <w:sdt>
        <w:sdtPr>
          <w:id w:val="-1050616252"/>
          <w:citation/>
        </w:sdtPr>
        <w:sdtContent>
          <w:r>
            <w:fldChar w:fldCharType="begin"/>
          </w:r>
          <w:r>
            <w:instrText xml:space="preserve"> CITATION MOD24 \l 2057 </w:instrText>
          </w:r>
          <w:r>
            <w:fldChar w:fldCharType="separate"/>
          </w:r>
          <w:r w:rsidRPr="006B7617">
            <w:rPr>
              <w:noProof/>
            </w:rPr>
            <w:t>[4]</w:t>
          </w:r>
          <w:r>
            <w:fldChar w:fldCharType="end"/>
          </w:r>
        </w:sdtContent>
      </w:sdt>
      <w:r>
        <w:t>.</w:t>
      </w:r>
    </w:p>
    <w:p w14:paraId="76C8E516" w14:textId="77777777" w:rsidR="006B7617" w:rsidRDefault="006B7617" w:rsidP="006B7617">
      <w:r>
        <w:t>This process ensures risk is reviewed at all appropriate management levels prior to approval being granted by the delegated safety authority. During the process two question are asked:</w:t>
      </w:r>
    </w:p>
    <w:p w14:paraId="14098630" w14:textId="1D27FBB3" w:rsidR="006B7617" w:rsidRDefault="006B7617" w:rsidP="006B7617">
      <w:pPr>
        <w:pStyle w:val="ListParagraph"/>
        <w:numPr>
          <w:ilvl w:val="0"/>
          <w:numId w:val="8"/>
        </w:numPr>
      </w:pPr>
      <w:r>
        <w:t>Has every reasonably practicable control and mitigation measure been implemented to reduce the risk rating of the task?</w:t>
      </w:r>
    </w:p>
    <w:p w14:paraId="4C6DA964" w14:textId="6C32A52E" w:rsidR="006B7617" w:rsidRDefault="006B7617" w:rsidP="006B7617">
      <w:pPr>
        <w:pStyle w:val="ListParagraph"/>
        <w:numPr>
          <w:ilvl w:val="0"/>
          <w:numId w:val="8"/>
        </w:numPr>
      </w:pPr>
      <w:r>
        <w:t>Is the residual risk rating broadly acceptable or if not deemed tolerable and ALARP?</w:t>
      </w:r>
    </w:p>
    <w:p w14:paraId="260845E2" w14:textId="530BA40F" w:rsidR="006B7617" w:rsidRDefault="006B7617" w:rsidP="006B7617">
      <w:r>
        <w:t xml:space="preserve">In the case of this report both these have been positively addresses with a full risk reduction process implemented and new risk estimation level of </w:t>
      </w:r>
      <w:r w:rsidR="00C20383">
        <w:t>M</w:t>
      </w:r>
      <w:r>
        <w:t>edium</w:t>
      </w:r>
      <w:r w:rsidR="00C20383">
        <w:t xml:space="preserve"> being determined</w:t>
      </w:r>
      <w:r>
        <w:t>. Although this leave</w:t>
      </w:r>
      <w:r w:rsidR="00C20383">
        <w:t>s</w:t>
      </w:r>
      <w:r>
        <w:t xml:space="preserve"> scope for further reduction the additional measured to achieve this can be deemed unpracticable.</w:t>
      </w:r>
    </w:p>
    <w:p w14:paraId="55E37D28" w14:textId="77777777" w:rsidR="00C20383" w:rsidRDefault="006B7617" w:rsidP="006B7617">
      <w:r>
        <w:t>This means the risk can be deemed tolerable and ALARP, within the context of the task and its operational requirements, and as such can be approved by the delegated safety authority for implementation.</w:t>
      </w:r>
    </w:p>
    <w:p w14:paraId="252831BD" w14:textId="2818D787" w:rsidR="003D7E6B" w:rsidRDefault="00C20383" w:rsidP="006B7617">
      <w:r>
        <w:t xml:space="preserve">It should be noted that the ALARP status of this assessment should be regularly reviewed by safety assessors and the </w:t>
      </w:r>
      <w:r>
        <w:t>delegated safety authority</w:t>
      </w:r>
      <w:r>
        <w:t>. This ensures that factors such as changing operating environments and novel technology can be considered and if applicable new mitigations and controls can be implemented. Through regular reviews the ALARP status of the task may be maintained and all legal requirements outlined by the HSE fulfilled.</w:t>
      </w:r>
    </w:p>
    <w:bookmarkStart w:id="26" w:name="_Toc175649231" w:displacedByCustomXml="next"/>
    <w:sdt>
      <w:sdtPr>
        <w:rPr>
          <w:rFonts w:asciiTheme="minorHAnsi" w:eastAsiaTheme="minorHAnsi" w:hAnsiTheme="minorHAnsi" w:cstheme="minorBidi"/>
          <w:color w:val="auto"/>
          <w:sz w:val="22"/>
          <w:szCs w:val="22"/>
        </w:rPr>
        <w:id w:val="-1129323444"/>
        <w:docPartObj>
          <w:docPartGallery w:val="Bibliographies"/>
          <w:docPartUnique/>
        </w:docPartObj>
      </w:sdtPr>
      <w:sdtContent>
        <w:p w14:paraId="1FA1B838" w14:textId="6DCFF788" w:rsidR="003D7E6B" w:rsidRDefault="003D7E6B">
          <w:pPr>
            <w:pStyle w:val="Heading1"/>
          </w:pPr>
          <w:r>
            <w:t>References</w:t>
          </w:r>
          <w:bookmarkEnd w:id="26"/>
        </w:p>
        <w:sdt>
          <w:sdtPr>
            <w:id w:val="-573587230"/>
            <w:bibliography/>
          </w:sdtPr>
          <w:sdtContent>
            <w:p w14:paraId="007CEC79" w14:textId="77777777" w:rsidR="006B7617" w:rsidRDefault="003D7E6B" w:rsidP="00D826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6B7617" w14:paraId="4B7FBF8C" w14:textId="77777777">
                <w:trPr>
                  <w:divId w:val="188180299"/>
                  <w:tblCellSpacing w:w="15" w:type="dxa"/>
                </w:trPr>
                <w:tc>
                  <w:tcPr>
                    <w:tcW w:w="50" w:type="pct"/>
                    <w:hideMark/>
                  </w:tcPr>
                  <w:p w14:paraId="5EC349DA" w14:textId="6976753F" w:rsidR="006B7617" w:rsidRDefault="006B7617">
                    <w:pPr>
                      <w:pStyle w:val="Bibliography"/>
                      <w:rPr>
                        <w:noProof/>
                        <w:kern w:val="0"/>
                        <w:sz w:val="24"/>
                        <w:szCs w:val="24"/>
                        <w14:ligatures w14:val="none"/>
                      </w:rPr>
                    </w:pPr>
                    <w:r>
                      <w:rPr>
                        <w:noProof/>
                      </w:rPr>
                      <w:t xml:space="preserve">[1] </w:t>
                    </w:r>
                  </w:p>
                </w:tc>
                <w:tc>
                  <w:tcPr>
                    <w:tcW w:w="0" w:type="auto"/>
                    <w:hideMark/>
                  </w:tcPr>
                  <w:p w14:paraId="04F52457" w14:textId="77777777" w:rsidR="006B7617" w:rsidRDefault="006B7617">
                    <w:pPr>
                      <w:pStyle w:val="Bibliography"/>
                      <w:rPr>
                        <w:noProof/>
                      </w:rPr>
                    </w:pPr>
                    <w:r>
                      <w:rPr>
                        <w:noProof/>
                      </w:rPr>
                      <w:t>Wikipedia, “Sea Wolf (missile),” 1 May 2024. [Online]. Available: https://en.wikipedia.org/wiki/Sea_Wolf_(missile). [Accessed 17 August 2024].</w:t>
                    </w:r>
                  </w:p>
                </w:tc>
              </w:tr>
              <w:tr w:rsidR="006B7617" w14:paraId="779269A3" w14:textId="77777777">
                <w:trPr>
                  <w:divId w:val="188180299"/>
                  <w:tblCellSpacing w:w="15" w:type="dxa"/>
                </w:trPr>
                <w:tc>
                  <w:tcPr>
                    <w:tcW w:w="50" w:type="pct"/>
                    <w:hideMark/>
                  </w:tcPr>
                  <w:p w14:paraId="7EE4428F" w14:textId="77777777" w:rsidR="006B7617" w:rsidRDefault="006B7617">
                    <w:pPr>
                      <w:pStyle w:val="Bibliography"/>
                      <w:rPr>
                        <w:noProof/>
                      </w:rPr>
                    </w:pPr>
                    <w:r>
                      <w:rPr>
                        <w:noProof/>
                      </w:rPr>
                      <w:t xml:space="preserve">[2] </w:t>
                    </w:r>
                  </w:p>
                </w:tc>
                <w:tc>
                  <w:tcPr>
                    <w:tcW w:w="0" w:type="auto"/>
                    <w:hideMark/>
                  </w:tcPr>
                  <w:p w14:paraId="15DA6CF3" w14:textId="77777777" w:rsidR="006B7617" w:rsidRDefault="006B7617">
                    <w:pPr>
                      <w:pStyle w:val="Bibliography"/>
                      <w:rPr>
                        <w:noProof/>
                      </w:rPr>
                    </w:pPr>
                    <w:r>
                      <w:rPr>
                        <w:noProof/>
                      </w:rPr>
                      <w:t>NavWeaps, “Sea Wolf GWS-25, GWS-26 and GWS-27,” 30 December 2013. [Online]. Available: http://www.navweaps.com/Weapons/WMBR_Sea_Wolf.php. [Accessed 17 August 2024].</w:t>
                    </w:r>
                  </w:p>
                </w:tc>
              </w:tr>
              <w:tr w:rsidR="006B7617" w14:paraId="4372EF19" w14:textId="77777777">
                <w:trPr>
                  <w:divId w:val="188180299"/>
                  <w:tblCellSpacing w:w="15" w:type="dxa"/>
                </w:trPr>
                <w:tc>
                  <w:tcPr>
                    <w:tcW w:w="50" w:type="pct"/>
                    <w:hideMark/>
                  </w:tcPr>
                  <w:p w14:paraId="46EB775E" w14:textId="77777777" w:rsidR="006B7617" w:rsidRDefault="006B7617">
                    <w:pPr>
                      <w:pStyle w:val="Bibliography"/>
                      <w:rPr>
                        <w:noProof/>
                      </w:rPr>
                    </w:pPr>
                    <w:r>
                      <w:rPr>
                        <w:noProof/>
                      </w:rPr>
                      <w:t xml:space="preserve">[3] </w:t>
                    </w:r>
                  </w:p>
                </w:tc>
                <w:tc>
                  <w:tcPr>
                    <w:tcW w:w="0" w:type="auto"/>
                    <w:hideMark/>
                  </w:tcPr>
                  <w:p w14:paraId="524F3361" w14:textId="77777777" w:rsidR="006B7617" w:rsidRDefault="006B7617">
                    <w:pPr>
                      <w:pStyle w:val="Bibliography"/>
                      <w:rPr>
                        <w:noProof/>
                      </w:rPr>
                    </w:pPr>
                    <w:r>
                      <w:rPr>
                        <w:noProof/>
                      </w:rPr>
                      <w:t>UK MOD , “Defence Standard 00-056 - Safety Management Requirements for Defence Systems,” 28 Febuary 2017. [Online]. Available: https://www.dstan.mod.uk/StanMIS. [Accessed 17 August 2024].</w:t>
                    </w:r>
                  </w:p>
                </w:tc>
              </w:tr>
              <w:tr w:rsidR="006B7617" w14:paraId="29C06B94" w14:textId="77777777">
                <w:trPr>
                  <w:divId w:val="188180299"/>
                  <w:tblCellSpacing w:w="15" w:type="dxa"/>
                </w:trPr>
                <w:tc>
                  <w:tcPr>
                    <w:tcW w:w="50" w:type="pct"/>
                    <w:hideMark/>
                  </w:tcPr>
                  <w:p w14:paraId="2B4B6A46" w14:textId="77777777" w:rsidR="006B7617" w:rsidRDefault="006B7617">
                    <w:pPr>
                      <w:pStyle w:val="Bibliography"/>
                      <w:rPr>
                        <w:noProof/>
                      </w:rPr>
                    </w:pPr>
                    <w:r>
                      <w:rPr>
                        <w:noProof/>
                      </w:rPr>
                      <w:t xml:space="preserve">[4] </w:t>
                    </w:r>
                  </w:p>
                </w:tc>
                <w:tc>
                  <w:tcPr>
                    <w:tcW w:w="0" w:type="auto"/>
                    <w:hideMark/>
                  </w:tcPr>
                  <w:p w14:paraId="0738D141" w14:textId="77777777" w:rsidR="006B7617" w:rsidRDefault="006B7617">
                    <w:pPr>
                      <w:pStyle w:val="Bibliography"/>
                      <w:rPr>
                        <w:noProof/>
                      </w:rPr>
                    </w:pPr>
                    <w:r>
                      <w:rPr>
                        <w:noProof/>
                      </w:rPr>
                      <w:t>MOD Defence Euipment and Support, “Acquisition Saftey &amp; Envirnmental Managment System,” [Online]. Available: https://www.asems.mod.uk/. [Accessed 17 August 2024].</w:t>
                    </w:r>
                  </w:p>
                </w:tc>
              </w:tr>
              <w:tr w:rsidR="006B7617" w14:paraId="630E6E8C" w14:textId="77777777">
                <w:trPr>
                  <w:divId w:val="188180299"/>
                  <w:tblCellSpacing w:w="15" w:type="dxa"/>
                </w:trPr>
                <w:tc>
                  <w:tcPr>
                    <w:tcW w:w="50" w:type="pct"/>
                    <w:hideMark/>
                  </w:tcPr>
                  <w:p w14:paraId="55EBD2BF" w14:textId="77777777" w:rsidR="006B7617" w:rsidRDefault="006B7617">
                    <w:pPr>
                      <w:pStyle w:val="Bibliography"/>
                      <w:rPr>
                        <w:noProof/>
                      </w:rPr>
                    </w:pPr>
                    <w:r>
                      <w:rPr>
                        <w:noProof/>
                      </w:rPr>
                      <w:t xml:space="preserve">[5] </w:t>
                    </w:r>
                  </w:p>
                </w:tc>
                <w:tc>
                  <w:tcPr>
                    <w:tcW w:w="0" w:type="auto"/>
                    <w:hideMark/>
                  </w:tcPr>
                  <w:p w14:paraId="5300DC40" w14:textId="77777777" w:rsidR="006B7617" w:rsidRDefault="006B7617">
                    <w:pPr>
                      <w:pStyle w:val="Bibliography"/>
                      <w:rPr>
                        <w:noProof/>
                      </w:rPr>
                    </w:pPr>
                    <w:r>
                      <w:rPr>
                        <w:noProof/>
                      </w:rPr>
                      <w:t>NATO International Staff - Defence Investment Devision, “AOP-15 Ed3 - GUIDANCE ON THE ASSESSMENT OF THE SAFETY AND SUITABILITY FOR SERVICE OF NON-NUCLEAR MUNITIONS FOR NATO ARMED FORCES,” NATO, 2008.</w:t>
                    </w:r>
                  </w:p>
                </w:tc>
              </w:tr>
              <w:tr w:rsidR="006B7617" w14:paraId="4C99044B" w14:textId="77777777">
                <w:trPr>
                  <w:divId w:val="188180299"/>
                  <w:tblCellSpacing w:w="15" w:type="dxa"/>
                </w:trPr>
                <w:tc>
                  <w:tcPr>
                    <w:tcW w:w="50" w:type="pct"/>
                    <w:hideMark/>
                  </w:tcPr>
                  <w:p w14:paraId="3BB3CEE5" w14:textId="77777777" w:rsidR="006B7617" w:rsidRDefault="006B7617">
                    <w:pPr>
                      <w:pStyle w:val="Bibliography"/>
                      <w:rPr>
                        <w:noProof/>
                      </w:rPr>
                    </w:pPr>
                    <w:r>
                      <w:rPr>
                        <w:noProof/>
                      </w:rPr>
                      <w:t xml:space="preserve">[6] </w:t>
                    </w:r>
                  </w:p>
                </w:tc>
                <w:tc>
                  <w:tcPr>
                    <w:tcW w:w="0" w:type="auto"/>
                    <w:hideMark/>
                  </w:tcPr>
                  <w:p w14:paraId="7C14FF74" w14:textId="77777777" w:rsidR="006B7617" w:rsidRDefault="006B7617">
                    <w:pPr>
                      <w:pStyle w:val="Bibliography"/>
                      <w:rPr>
                        <w:noProof/>
                      </w:rPr>
                    </w:pPr>
                    <w:r>
                      <w:rPr>
                        <w:noProof/>
                      </w:rPr>
                      <w:t>Health and Safety Executive, “Explosives Autherisation and Licensing - Hazard Type,” [Online]. Available: https://www.hse.gov.uk/explosives/licensing/hazard-classification.htm. [Accessed 17 August 2024].</w:t>
                    </w:r>
                  </w:p>
                </w:tc>
              </w:tr>
              <w:tr w:rsidR="006B7617" w14:paraId="28F91D5F" w14:textId="77777777">
                <w:trPr>
                  <w:divId w:val="188180299"/>
                  <w:tblCellSpacing w:w="15" w:type="dxa"/>
                </w:trPr>
                <w:tc>
                  <w:tcPr>
                    <w:tcW w:w="50" w:type="pct"/>
                    <w:hideMark/>
                  </w:tcPr>
                  <w:p w14:paraId="25469487" w14:textId="77777777" w:rsidR="006B7617" w:rsidRDefault="006B7617">
                    <w:pPr>
                      <w:pStyle w:val="Bibliography"/>
                      <w:rPr>
                        <w:noProof/>
                      </w:rPr>
                    </w:pPr>
                    <w:r>
                      <w:rPr>
                        <w:noProof/>
                      </w:rPr>
                      <w:t xml:space="preserve">[7] </w:t>
                    </w:r>
                  </w:p>
                </w:tc>
                <w:tc>
                  <w:tcPr>
                    <w:tcW w:w="0" w:type="auto"/>
                    <w:hideMark/>
                  </w:tcPr>
                  <w:p w14:paraId="1FBCCC5F" w14:textId="77777777" w:rsidR="006B7617" w:rsidRDefault="006B7617">
                    <w:pPr>
                      <w:pStyle w:val="Bibliography"/>
                      <w:rPr>
                        <w:noProof/>
                      </w:rPr>
                    </w:pPr>
                    <w:r>
                      <w:rPr>
                        <w:noProof/>
                      </w:rPr>
                      <w:t>Ministry of Defence, “Management of health and safety in defence: safety forms (JSP 375),” 7 May 2024. [Online]. Available: https://www.gov.uk/government/publications/jsp-375-health-and-safety-handbook-safety-forms. [Accessed 17 August 2024].</w:t>
                    </w:r>
                  </w:p>
                </w:tc>
              </w:tr>
              <w:tr w:rsidR="006B7617" w14:paraId="6F17CEA8" w14:textId="77777777">
                <w:trPr>
                  <w:divId w:val="188180299"/>
                  <w:tblCellSpacing w:w="15" w:type="dxa"/>
                </w:trPr>
                <w:tc>
                  <w:tcPr>
                    <w:tcW w:w="50" w:type="pct"/>
                    <w:hideMark/>
                  </w:tcPr>
                  <w:p w14:paraId="77E89C93" w14:textId="77777777" w:rsidR="006B7617" w:rsidRDefault="006B7617">
                    <w:pPr>
                      <w:pStyle w:val="Bibliography"/>
                      <w:rPr>
                        <w:noProof/>
                      </w:rPr>
                    </w:pPr>
                    <w:r>
                      <w:rPr>
                        <w:noProof/>
                      </w:rPr>
                      <w:t xml:space="preserve">[8] </w:t>
                    </w:r>
                  </w:p>
                </w:tc>
                <w:tc>
                  <w:tcPr>
                    <w:tcW w:w="0" w:type="auto"/>
                    <w:hideMark/>
                  </w:tcPr>
                  <w:p w14:paraId="31CBB627" w14:textId="77777777" w:rsidR="006B7617" w:rsidRDefault="006B7617">
                    <w:pPr>
                      <w:pStyle w:val="Bibliography"/>
                      <w:rPr>
                        <w:noProof/>
                      </w:rPr>
                    </w:pPr>
                    <w:r>
                      <w:rPr>
                        <w:noProof/>
                      </w:rPr>
                      <w:t>Ministry of Defence, “Management of health and safety in defence: arrangements (JSP 375 volume 1),” 24 July 2024. [Online]. Available: https://www.gov.uk/government/publications/jsp-375-health-and-safety-handbook-volume-2. [Accessed 17 August 2024].</w:t>
                    </w:r>
                  </w:p>
                </w:tc>
              </w:tr>
              <w:tr w:rsidR="006B7617" w14:paraId="6A6E3810" w14:textId="77777777">
                <w:trPr>
                  <w:divId w:val="188180299"/>
                  <w:tblCellSpacing w:w="15" w:type="dxa"/>
                </w:trPr>
                <w:tc>
                  <w:tcPr>
                    <w:tcW w:w="50" w:type="pct"/>
                    <w:hideMark/>
                  </w:tcPr>
                  <w:p w14:paraId="7F5FF0B9" w14:textId="77777777" w:rsidR="006B7617" w:rsidRDefault="006B7617">
                    <w:pPr>
                      <w:pStyle w:val="Bibliography"/>
                      <w:rPr>
                        <w:noProof/>
                      </w:rPr>
                    </w:pPr>
                    <w:r>
                      <w:rPr>
                        <w:noProof/>
                      </w:rPr>
                      <w:t xml:space="preserve">[9] </w:t>
                    </w:r>
                  </w:p>
                </w:tc>
                <w:tc>
                  <w:tcPr>
                    <w:tcW w:w="0" w:type="auto"/>
                    <w:hideMark/>
                  </w:tcPr>
                  <w:p w14:paraId="1EA2E66A" w14:textId="77777777" w:rsidR="006B7617" w:rsidRDefault="006B7617">
                    <w:pPr>
                      <w:pStyle w:val="Bibliography"/>
                      <w:rPr>
                        <w:noProof/>
                      </w:rPr>
                    </w:pPr>
                    <w:r>
                      <w:rPr>
                        <w:noProof/>
                      </w:rPr>
                      <w:t>Wikipedia, “RAF Fauld explosion,” 28 September 2023. [Online]. Available: https://en.wikipedia.org/wiki/RAF_Fauld_explosion. [Accessed 27 August 2024].</w:t>
                    </w:r>
                  </w:p>
                </w:tc>
              </w:tr>
              <w:tr w:rsidR="006B7617" w14:paraId="6308C5DD" w14:textId="77777777">
                <w:trPr>
                  <w:divId w:val="188180299"/>
                  <w:tblCellSpacing w:w="15" w:type="dxa"/>
                </w:trPr>
                <w:tc>
                  <w:tcPr>
                    <w:tcW w:w="50" w:type="pct"/>
                    <w:hideMark/>
                  </w:tcPr>
                  <w:p w14:paraId="2169A990" w14:textId="77777777" w:rsidR="006B7617" w:rsidRDefault="006B7617">
                    <w:pPr>
                      <w:pStyle w:val="Bibliography"/>
                      <w:rPr>
                        <w:noProof/>
                      </w:rPr>
                    </w:pPr>
                    <w:r>
                      <w:rPr>
                        <w:noProof/>
                      </w:rPr>
                      <w:t xml:space="preserve">[10] </w:t>
                    </w:r>
                  </w:p>
                </w:tc>
                <w:tc>
                  <w:tcPr>
                    <w:tcW w:w="0" w:type="auto"/>
                    <w:hideMark/>
                  </w:tcPr>
                  <w:p w14:paraId="6D9AB46E" w14:textId="77777777" w:rsidR="006B7617" w:rsidRDefault="006B7617">
                    <w:pPr>
                      <w:pStyle w:val="Bibliography"/>
                      <w:rPr>
                        <w:noProof/>
                      </w:rPr>
                    </w:pPr>
                    <w:r>
                      <w:rPr>
                        <w:noProof/>
                      </w:rPr>
                      <w:t>Defence OME Safety Regulator, “DSA 03.OME Part 2 (JSP 482) - Defence Code of Practice (DCOP) and Guidance Notes for In-Service and Operational Safety Management of OME,” MOD, 2019 .</w:t>
                    </w:r>
                  </w:p>
                </w:tc>
              </w:tr>
            </w:tbl>
            <w:p w14:paraId="629B8A52" w14:textId="77777777" w:rsidR="006B7617" w:rsidRDefault="006B7617">
              <w:pPr>
                <w:divId w:val="188180299"/>
                <w:rPr>
                  <w:rFonts w:eastAsia="Times New Roman"/>
                  <w:noProof/>
                </w:rPr>
              </w:pPr>
            </w:p>
            <w:p w14:paraId="3BC4F86F" w14:textId="32B21282" w:rsidR="00D82675" w:rsidRDefault="003D7E6B" w:rsidP="00D82675">
              <w:r>
                <w:rPr>
                  <w:b/>
                  <w:bCs/>
                  <w:noProof/>
                </w:rPr>
                <w:fldChar w:fldCharType="end"/>
              </w:r>
            </w:p>
          </w:sdtContent>
        </w:sdt>
      </w:sdtContent>
    </w:sdt>
    <w:p w14:paraId="39E4A23B" w14:textId="77777777" w:rsidR="00D82675" w:rsidRDefault="00D82675" w:rsidP="00D82675"/>
    <w:p w14:paraId="2179A274" w14:textId="747CC690" w:rsidR="00CB612C" w:rsidRDefault="00CB612C">
      <w:r>
        <w:br w:type="page"/>
      </w:r>
    </w:p>
    <w:p w14:paraId="71DA6B22" w14:textId="49A8A085" w:rsidR="00D82675" w:rsidRDefault="004D3FF4" w:rsidP="00CB612C">
      <w:pPr>
        <w:pStyle w:val="Heading1"/>
      </w:pPr>
      <w:bookmarkStart w:id="27" w:name="_Toc175649232"/>
      <w:r>
        <w:rPr>
          <w:noProof/>
        </w:rPr>
        <w:lastRenderedPageBreak/>
        <w:drawing>
          <wp:anchor distT="0" distB="0" distL="114300" distR="114300" simplePos="0" relativeHeight="251661312" behindDoc="1" locked="0" layoutInCell="1" allowOverlap="1" wp14:anchorId="34993832" wp14:editId="28B7A378">
            <wp:simplePos x="0" y="0"/>
            <wp:positionH relativeFrom="margin">
              <wp:align>center</wp:align>
            </wp:positionH>
            <wp:positionV relativeFrom="page">
              <wp:posOffset>2300605</wp:posOffset>
            </wp:positionV>
            <wp:extent cx="9182735" cy="7092950"/>
            <wp:effectExtent l="0" t="2857" r="0" b="0"/>
            <wp:wrapTight wrapText="bothSides">
              <wp:wrapPolygon edited="0">
                <wp:start x="21607" y="9"/>
                <wp:lineTo x="53" y="9"/>
                <wp:lineTo x="53" y="21531"/>
                <wp:lineTo x="21607" y="21531"/>
                <wp:lineTo x="21607" y="9"/>
              </wp:wrapPolygon>
            </wp:wrapTight>
            <wp:docPr id="331121002"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121002" name="Picture 5" descr="A close-up of a docum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rot="16200000">
                      <a:off x="0" y="0"/>
                      <a:ext cx="9182735" cy="7092950"/>
                    </a:xfrm>
                    <a:prstGeom prst="rect">
                      <a:avLst/>
                    </a:prstGeom>
                  </pic:spPr>
                </pic:pic>
              </a:graphicData>
            </a:graphic>
            <wp14:sizeRelH relativeFrom="margin">
              <wp14:pctWidth>0</wp14:pctWidth>
            </wp14:sizeRelH>
            <wp14:sizeRelV relativeFrom="margin">
              <wp14:pctHeight>0</wp14:pctHeight>
            </wp14:sizeRelV>
          </wp:anchor>
        </w:drawing>
      </w:r>
      <w:r w:rsidR="00CB612C">
        <w:t>Appendix A – Full Process Risk Assessment</w:t>
      </w:r>
      <w:bookmarkEnd w:id="27"/>
    </w:p>
    <w:p w14:paraId="740BBB28" w14:textId="307D9B1F" w:rsidR="009224AF" w:rsidRDefault="004D3FF4" w:rsidP="004D3FF4">
      <w:pPr>
        <w:jc w:val="both"/>
      </w:pPr>
      <w:r>
        <w:rPr>
          <w:noProof/>
        </w:rPr>
        <w:lastRenderedPageBreak/>
        <w:drawing>
          <wp:anchor distT="0" distB="0" distL="114300" distR="114300" simplePos="0" relativeHeight="251662336" behindDoc="0" locked="0" layoutInCell="1" allowOverlap="1" wp14:anchorId="52024625" wp14:editId="52296F58">
            <wp:simplePos x="0" y="0"/>
            <wp:positionH relativeFrom="margin">
              <wp:align>center</wp:align>
            </wp:positionH>
            <wp:positionV relativeFrom="margin">
              <wp:align>center</wp:align>
            </wp:positionV>
            <wp:extent cx="9211310" cy="7115175"/>
            <wp:effectExtent l="317" t="0" r="9208" b="9207"/>
            <wp:wrapSquare wrapText="bothSides"/>
            <wp:docPr id="40571031" name="Picture 6"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71031" name="Picture 6" descr="A close-up of a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rot="16200000">
                      <a:off x="0" y="0"/>
                      <a:ext cx="9211310" cy="7115175"/>
                    </a:xfrm>
                    <a:prstGeom prst="rect">
                      <a:avLst/>
                    </a:prstGeom>
                  </pic:spPr>
                </pic:pic>
              </a:graphicData>
            </a:graphic>
            <wp14:sizeRelH relativeFrom="margin">
              <wp14:pctWidth>0</wp14:pctWidth>
            </wp14:sizeRelH>
            <wp14:sizeRelV relativeFrom="margin">
              <wp14:pctHeight>0</wp14:pctHeight>
            </wp14:sizeRelV>
          </wp:anchor>
        </w:drawing>
      </w:r>
      <w:r>
        <w:t>##</w:t>
      </w:r>
    </w:p>
    <w:p w14:paraId="6A4A4607" w14:textId="0C48D2BF" w:rsidR="004D3FF4" w:rsidRDefault="004D3FF4" w:rsidP="004D3FF4">
      <w:pPr>
        <w:jc w:val="both"/>
      </w:pPr>
      <w:r>
        <w:rPr>
          <w:noProof/>
        </w:rPr>
        <w:lastRenderedPageBreak/>
        <w:drawing>
          <wp:anchor distT="0" distB="0" distL="114300" distR="114300" simplePos="0" relativeHeight="251663360" behindDoc="0" locked="0" layoutInCell="1" allowOverlap="1" wp14:anchorId="50631DBE" wp14:editId="31F74662">
            <wp:simplePos x="0" y="0"/>
            <wp:positionH relativeFrom="margin">
              <wp:align>center</wp:align>
            </wp:positionH>
            <wp:positionV relativeFrom="margin">
              <wp:align>center</wp:align>
            </wp:positionV>
            <wp:extent cx="9222105" cy="7123430"/>
            <wp:effectExtent l="1588" t="0" r="0" b="0"/>
            <wp:wrapSquare wrapText="bothSides"/>
            <wp:docPr id="1557236468" name="Picture 7"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236468" name="Picture 7" descr="A close-up of a for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rot="16200000">
                      <a:off x="0" y="0"/>
                      <a:ext cx="9222105" cy="7123430"/>
                    </a:xfrm>
                    <a:prstGeom prst="rect">
                      <a:avLst/>
                    </a:prstGeom>
                  </pic:spPr>
                </pic:pic>
              </a:graphicData>
            </a:graphic>
            <wp14:sizeRelH relativeFrom="margin">
              <wp14:pctWidth>0</wp14:pctWidth>
            </wp14:sizeRelH>
            <wp14:sizeRelV relativeFrom="margin">
              <wp14:pctHeight>0</wp14:pctHeight>
            </wp14:sizeRelV>
          </wp:anchor>
        </w:drawing>
      </w:r>
    </w:p>
    <w:p w14:paraId="1B827F46" w14:textId="34B50574" w:rsidR="004D3FF4" w:rsidRDefault="004D3FF4">
      <w:r>
        <w:rPr>
          <w:noProof/>
        </w:rPr>
        <w:lastRenderedPageBreak/>
        <w:drawing>
          <wp:anchor distT="0" distB="0" distL="114300" distR="114300" simplePos="0" relativeHeight="251664384" behindDoc="1" locked="0" layoutInCell="1" allowOverlap="1" wp14:anchorId="7FA1AAA1" wp14:editId="741F6248">
            <wp:simplePos x="0" y="0"/>
            <wp:positionH relativeFrom="margin">
              <wp:align>center</wp:align>
            </wp:positionH>
            <wp:positionV relativeFrom="margin">
              <wp:align>center</wp:align>
            </wp:positionV>
            <wp:extent cx="9234805" cy="7132955"/>
            <wp:effectExtent l="3175" t="0" r="7620" b="7620"/>
            <wp:wrapTight wrapText="bothSides">
              <wp:wrapPolygon edited="0">
                <wp:start x="21593" y="-10"/>
                <wp:lineTo x="27" y="-10"/>
                <wp:lineTo x="27" y="21565"/>
                <wp:lineTo x="21593" y="21565"/>
                <wp:lineTo x="21593" y="-10"/>
              </wp:wrapPolygon>
            </wp:wrapTight>
            <wp:docPr id="782121331" name="Picture 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121331" name="Picture 8" descr="A close-up of a docume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rot="16200000">
                      <a:off x="0" y="0"/>
                      <a:ext cx="9234805" cy="7132955"/>
                    </a:xfrm>
                    <a:prstGeom prst="rect">
                      <a:avLst/>
                    </a:prstGeom>
                  </pic:spPr>
                </pic:pic>
              </a:graphicData>
            </a:graphic>
            <wp14:sizeRelH relativeFrom="margin">
              <wp14:pctWidth>0</wp14:pctWidth>
            </wp14:sizeRelH>
            <wp14:sizeRelV relativeFrom="margin">
              <wp14:pctHeight>0</wp14:pctHeight>
            </wp14:sizeRelV>
          </wp:anchor>
        </w:drawing>
      </w:r>
    </w:p>
    <w:p w14:paraId="323494B7" w14:textId="4992391E" w:rsidR="004D3FF4" w:rsidRDefault="004D3FF4" w:rsidP="004D3FF4">
      <w:pPr>
        <w:jc w:val="both"/>
      </w:pPr>
      <w:r>
        <w:rPr>
          <w:noProof/>
        </w:rPr>
        <w:lastRenderedPageBreak/>
        <w:drawing>
          <wp:anchor distT="0" distB="0" distL="114300" distR="114300" simplePos="0" relativeHeight="251665408" behindDoc="1" locked="0" layoutInCell="1" allowOverlap="1" wp14:anchorId="3708047D" wp14:editId="05BAC0E0">
            <wp:simplePos x="0" y="0"/>
            <wp:positionH relativeFrom="margin">
              <wp:align>center</wp:align>
            </wp:positionH>
            <wp:positionV relativeFrom="margin">
              <wp:align>center</wp:align>
            </wp:positionV>
            <wp:extent cx="9222105" cy="7123430"/>
            <wp:effectExtent l="1588" t="0" r="0" b="0"/>
            <wp:wrapTight wrapText="bothSides">
              <wp:wrapPolygon edited="0">
                <wp:start x="21596" y="-5"/>
                <wp:lineTo x="45" y="-5"/>
                <wp:lineTo x="45" y="21541"/>
                <wp:lineTo x="21596" y="21541"/>
                <wp:lineTo x="21596" y="-5"/>
              </wp:wrapPolygon>
            </wp:wrapTight>
            <wp:docPr id="2085229510" name="Picture 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229510" name="Picture 9" descr="A close-up of a documen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rot="16200000">
                      <a:off x="0" y="0"/>
                      <a:ext cx="9222105" cy="7123430"/>
                    </a:xfrm>
                    <a:prstGeom prst="rect">
                      <a:avLst/>
                    </a:prstGeom>
                  </pic:spPr>
                </pic:pic>
              </a:graphicData>
            </a:graphic>
            <wp14:sizeRelH relativeFrom="margin">
              <wp14:pctWidth>0</wp14:pctWidth>
            </wp14:sizeRelH>
            <wp14:sizeRelV relativeFrom="margin">
              <wp14:pctHeight>0</wp14:pctHeight>
            </wp14:sizeRelV>
          </wp:anchor>
        </w:drawing>
      </w:r>
    </w:p>
    <w:p w14:paraId="40D5D1F8" w14:textId="792CE896" w:rsidR="004D3FF4" w:rsidRDefault="004D3FF4">
      <w:r>
        <w:rPr>
          <w:noProof/>
        </w:rPr>
        <w:lastRenderedPageBreak/>
        <w:drawing>
          <wp:anchor distT="0" distB="0" distL="114300" distR="114300" simplePos="0" relativeHeight="251666432" behindDoc="1" locked="0" layoutInCell="1" allowOverlap="1" wp14:anchorId="4AE3C70A" wp14:editId="24C8CE03">
            <wp:simplePos x="0" y="0"/>
            <wp:positionH relativeFrom="margin">
              <wp:align>center</wp:align>
            </wp:positionH>
            <wp:positionV relativeFrom="margin">
              <wp:align>center</wp:align>
            </wp:positionV>
            <wp:extent cx="9133205" cy="7054850"/>
            <wp:effectExtent l="0" t="8572" r="2222" b="2223"/>
            <wp:wrapTight wrapText="bothSides">
              <wp:wrapPolygon edited="0">
                <wp:start x="21620" y="26"/>
                <wp:lineTo x="40" y="26"/>
                <wp:lineTo x="40" y="21548"/>
                <wp:lineTo x="21620" y="21548"/>
                <wp:lineTo x="21620" y="26"/>
              </wp:wrapPolygon>
            </wp:wrapTight>
            <wp:docPr id="123472927" name="Picture 10" descr="A close-up of a whit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2927" name="Picture 10" descr="A close-up of a white pag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rot="16200000">
                      <a:off x="0" y="0"/>
                      <a:ext cx="9133205" cy="705485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1CA53F5C" w14:textId="0726C84A" w:rsidR="004D3FF4" w:rsidRPr="009224AF" w:rsidRDefault="004D3FF4" w:rsidP="004D3FF4">
      <w:r>
        <w:rPr>
          <w:noProof/>
        </w:rPr>
        <w:lastRenderedPageBreak/>
        <w:drawing>
          <wp:anchor distT="0" distB="0" distL="114300" distR="114300" simplePos="0" relativeHeight="251667456" behindDoc="1" locked="0" layoutInCell="1" allowOverlap="1" wp14:anchorId="29F3A72C" wp14:editId="317C4318">
            <wp:simplePos x="0" y="0"/>
            <wp:positionH relativeFrom="margin">
              <wp:align>center</wp:align>
            </wp:positionH>
            <wp:positionV relativeFrom="margin">
              <wp:align>center</wp:align>
            </wp:positionV>
            <wp:extent cx="9198610" cy="7105015"/>
            <wp:effectExtent l="0" t="953" r="1588" b="1587"/>
            <wp:wrapTight wrapText="bothSides">
              <wp:wrapPolygon edited="0">
                <wp:start x="21602" y="3"/>
                <wp:lineTo x="41" y="3"/>
                <wp:lineTo x="41" y="21547"/>
                <wp:lineTo x="21602" y="21547"/>
                <wp:lineTo x="21602" y="3"/>
              </wp:wrapPolygon>
            </wp:wrapTight>
            <wp:docPr id="1080853370"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853370" name="Picture 1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rot="16200000">
                      <a:off x="0" y="0"/>
                      <a:ext cx="9198610" cy="7105015"/>
                    </a:xfrm>
                    <a:prstGeom prst="rect">
                      <a:avLst/>
                    </a:prstGeom>
                  </pic:spPr>
                </pic:pic>
              </a:graphicData>
            </a:graphic>
            <wp14:sizeRelH relativeFrom="margin">
              <wp14:pctWidth>0</wp14:pctWidth>
            </wp14:sizeRelH>
            <wp14:sizeRelV relativeFrom="margin">
              <wp14:pctHeight>0</wp14:pctHeight>
            </wp14:sizeRelV>
          </wp:anchor>
        </w:drawing>
      </w:r>
    </w:p>
    <w:sectPr w:rsidR="004D3FF4" w:rsidRPr="009224AF" w:rsidSect="00F006D7">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AD2392" w14:textId="77777777" w:rsidR="00950FD0" w:rsidRDefault="00950FD0" w:rsidP="003D7E6B">
      <w:pPr>
        <w:spacing w:after="0" w:line="240" w:lineRule="auto"/>
      </w:pPr>
      <w:r>
        <w:separator/>
      </w:r>
    </w:p>
  </w:endnote>
  <w:endnote w:type="continuationSeparator" w:id="0">
    <w:p w14:paraId="0D75785C" w14:textId="77777777" w:rsidR="00950FD0" w:rsidRDefault="00950FD0" w:rsidP="003D7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F3548C" w14:textId="443315B6" w:rsidR="003D7E6B" w:rsidRDefault="003D7E6B">
    <w:pPr>
      <w:pStyle w:val="Footer"/>
    </w:pPr>
    <w:r>
      <w:rPr>
        <w:noProof/>
        <w:color w:val="156082" w:themeColor="accent1"/>
      </w:rPr>
      <mc:AlternateContent>
        <mc:Choice Requires="wps">
          <w:drawing>
            <wp:anchor distT="0" distB="0" distL="114300" distR="114300" simplePos="0" relativeHeight="251659264" behindDoc="0" locked="0" layoutInCell="1" allowOverlap="1" wp14:anchorId="76D4AD19" wp14:editId="58018AF2">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B0F7DD"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80C642" w14:textId="77777777" w:rsidR="00950FD0" w:rsidRDefault="00950FD0" w:rsidP="003D7E6B">
      <w:pPr>
        <w:spacing w:after="0" w:line="240" w:lineRule="auto"/>
      </w:pPr>
      <w:r>
        <w:separator/>
      </w:r>
    </w:p>
  </w:footnote>
  <w:footnote w:type="continuationSeparator" w:id="0">
    <w:p w14:paraId="7BEE5546" w14:textId="77777777" w:rsidR="00950FD0" w:rsidRDefault="00950FD0" w:rsidP="003D7E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01524" w14:textId="3D0907D1" w:rsidR="003D7E6B" w:rsidRDefault="00000000">
    <w:pPr>
      <w:pStyle w:val="Header"/>
      <w:jc w:val="right"/>
      <w:rPr>
        <w:color w:val="156082" w:themeColor="accent1"/>
      </w:rPr>
    </w:pPr>
    <w:sdt>
      <w:sdtPr>
        <w:rPr>
          <w:color w:val="156082" w:themeColor="accent1"/>
        </w:rPr>
        <w:alias w:val="Title"/>
        <w:tag w:val=""/>
        <w:id w:val="664756013"/>
        <w:placeholder>
          <w:docPart w:val="0FA1067540C34780A5FE1211943DFA28"/>
        </w:placeholder>
        <w:dataBinding w:prefixMappings="xmlns:ns0='http://purl.org/dc/elements/1.1/' xmlns:ns1='http://schemas.openxmlformats.org/package/2006/metadata/core-properties' " w:xpath="/ns1:coreProperties[1]/ns0:title[1]" w:storeItemID="{6C3C8BC8-F283-45AE-878A-BAB7291924A1}"/>
        <w:text/>
      </w:sdtPr>
      <w:sdtContent>
        <w:r w:rsidR="003D7E6B">
          <w:rPr>
            <w:color w:val="156082" w:themeColor="accent1"/>
          </w:rPr>
          <w:t>Storage of Sea Wolf Missiles:  Risk Assessment and ALARP Justification</w:t>
        </w:r>
      </w:sdtContent>
    </w:sdt>
    <w:r w:rsidR="003D7E6B">
      <w:rPr>
        <w:color w:val="156082" w:themeColor="accent1"/>
      </w:rPr>
      <w:t xml:space="preserve"> | </w:t>
    </w:r>
    <w:sdt>
      <w:sdtPr>
        <w:rPr>
          <w:color w:val="156082" w:themeColor="accent1"/>
        </w:rPr>
        <w:alias w:val="Author"/>
        <w:tag w:val=""/>
        <w:id w:val="-1677181147"/>
        <w:placeholder>
          <w:docPart w:val="8437ABE72B39474AA7AD6B3DD7D779D6"/>
        </w:placeholder>
        <w:dataBinding w:prefixMappings="xmlns:ns0='http://purl.org/dc/elements/1.1/' xmlns:ns1='http://schemas.openxmlformats.org/package/2006/metadata/core-properties' " w:xpath="/ns1:coreProperties[1]/ns0:creator[1]" w:storeItemID="{6C3C8BC8-F283-45AE-878A-BAB7291924A1}"/>
        <w:text/>
      </w:sdtPr>
      <w:sdtContent>
        <w:r w:rsidR="003D7E6B">
          <w:rPr>
            <w:color w:val="156082" w:themeColor="accent1"/>
          </w:rPr>
          <w:t>Leo Smith (2217998)</w:t>
        </w:r>
      </w:sdtContent>
    </w:sdt>
  </w:p>
  <w:p w14:paraId="2073F3F3" w14:textId="77777777" w:rsidR="003D7E6B" w:rsidRDefault="003D7E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74567A"/>
    <w:multiLevelType w:val="multilevel"/>
    <w:tmpl w:val="C2B2B53E"/>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92F64F5"/>
    <w:multiLevelType w:val="hybridMultilevel"/>
    <w:tmpl w:val="D00612D0"/>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2" w15:restartNumberingAfterBreak="0">
    <w:nsid w:val="21016B96"/>
    <w:multiLevelType w:val="hybridMultilevel"/>
    <w:tmpl w:val="49B88020"/>
    <w:lvl w:ilvl="0" w:tplc="ECFC1FAC">
      <w:start w:val="1"/>
      <w:numFmt w:val="bullet"/>
      <w:lvlText w:val="-"/>
      <w:lvlJc w:val="left"/>
      <w:pPr>
        <w:ind w:left="72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85A2F884">
      <w:start w:val="1"/>
      <w:numFmt w:val="bullet"/>
      <w:lvlText w:val="o"/>
      <w:lvlJc w:val="left"/>
      <w:pPr>
        <w:ind w:left="15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A6604850">
      <w:start w:val="1"/>
      <w:numFmt w:val="bullet"/>
      <w:lvlText w:val="▪"/>
      <w:lvlJc w:val="left"/>
      <w:pPr>
        <w:ind w:left="22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76F0366E">
      <w:start w:val="1"/>
      <w:numFmt w:val="bullet"/>
      <w:lvlText w:val="•"/>
      <w:lvlJc w:val="left"/>
      <w:pPr>
        <w:ind w:left="29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A4C0F0A0">
      <w:start w:val="1"/>
      <w:numFmt w:val="bullet"/>
      <w:lvlText w:val="o"/>
      <w:lvlJc w:val="left"/>
      <w:pPr>
        <w:ind w:left="370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E820DB9C">
      <w:start w:val="1"/>
      <w:numFmt w:val="bullet"/>
      <w:lvlText w:val="▪"/>
      <w:lvlJc w:val="left"/>
      <w:pPr>
        <w:ind w:left="44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9A30CB5C">
      <w:start w:val="1"/>
      <w:numFmt w:val="bullet"/>
      <w:lvlText w:val="•"/>
      <w:lvlJc w:val="left"/>
      <w:pPr>
        <w:ind w:left="51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315299F6">
      <w:start w:val="1"/>
      <w:numFmt w:val="bullet"/>
      <w:lvlText w:val="o"/>
      <w:lvlJc w:val="left"/>
      <w:pPr>
        <w:ind w:left="58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E0629EC8">
      <w:start w:val="1"/>
      <w:numFmt w:val="bullet"/>
      <w:lvlText w:val="▪"/>
      <w:lvlJc w:val="left"/>
      <w:pPr>
        <w:ind w:left="65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21D6698"/>
    <w:multiLevelType w:val="hybridMultilevel"/>
    <w:tmpl w:val="6612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146ADD"/>
    <w:multiLevelType w:val="hybridMultilevel"/>
    <w:tmpl w:val="FE244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C202BD"/>
    <w:multiLevelType w:val="hybridMultilevel"/>
    <w:tmpl w:val="690ED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A6377"/>
    <w:multiLevelType w:val="hybridMultilevel"/>
    <w:tmpl w:val="52AADAA0"/>
    <w:lvl w:ilvl="0" w:tplc="C858821C">
      <w:start w:val="1"/>
      <w:numFmt w:val="bullet"/>
      <w:lvlText w:val="-"/>
      <w:lvlJc w:val="left"/>
      <w:pPr>
        <w:ind w:left="83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F05CADEE">
      <w:start w:val="1"/>
      <w:numFmt w:val="bullet"/>
      <w:lvlText w:val="o"/>
      <w:lvlJc w:val="left"/>
      <w:pPr>
        <w:ind w:left="15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0BBA5A86">
      <w:start w:val="1"/>
      <w:numFmt w:val="bullet"/>
      <w:lvlText w:val="▪"/>
      <w:lvlJc w:val="left"/>
      <w:pPr>
        <w:ind w:left="22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49663544">
      <w:start w:val="1"/>
      <w:numFmt w:val="bullet"/>
      <w:lvlText w:val="•"/>
      <w:lvlJc w:val="left"/>
      <w:pPr>
        <w:ind w:left="29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DB5AB2B2">
      <w:start w:val="1"/>
      <w:numFmt w:val="bullet"/>
      <w:lvlText w:val="o"/>
      <w:lvlJc w:val="left"/>
      <w:pPr>
        <w:ind w:left="370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C2EC7A18">
      <w:start w:val="1"/>
      <w:numFmt w:val="bullet"/>
      <w:lvlText w:val="▪"/>
      <w:lvlJc w:val="left"/>
      <w:pPr>
        <w:ind w:left="44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7384FF62">
      <w:start w:val="1"/>
      <w:numFmt w:val="bullet"/>
      <w:lvlText w:val="•"/>
      <w:lvlJc w:val="left"/>
      <w:pPr>
        <w:ind w:left="51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19B6D9B0">
      <w:start w:val="1"/>
      <w:numFmt w:val="bullet"/>
      <w:lvlText w:val="o"/>
      <w:lvlJc w:val="left"/>
      <w:pPr>
        <w:ind w:left="58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F3E0910C">
      <w:start w:val="1"/>
      <w:numFmt w:val="bullet"/>
      <w:lvlText w:val="▪"/>
      <w:lvlJc w:val="left"/>
      <w:pPr>
        <w:ind w:left="65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67033109"/>
    <w:multiLevelType w:val="hybridMultilevel"/>
    <w:tmpl w:val="5D341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75587C"/>
    <w:multiLevelType w:val="hybridMultilevel"/>
    <w:tmpl w:val="C56AFB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6C71C6"/>
    <w:multiLevelType w:val="hybridMultilevel"/>
    <w:tmpl w:val="F48A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645746">
    <w:abstractNumId w:val="0"/>
  </w:num>
  <w:num w:numId="2" w16cid:durableId="351759973">
    <w:abstractNumId w:val="4"/>
  </w:num>
  <w:num w:numId="3" w16cid:durableId="1076516001">
    <w:abstractNumId w:val="5"/>
  </w:num>
  <w:num w:numId="4" w16cid:durableId="1530332373">
    <w:abstractNumId w:val="1"/>
  </w:num>
  <w:num w:numId="5" w16cid:durableId="974793783">
    <w:abstractNumId w:val="8"/>
  </w:num>
  <w:num w:numId="6" w16cid:durableId="2085179406">
    <w:abstractNumId w:val="9"/>
  </w:num>
  <w:num w:numId="7" w16cid:durableId="1519150801">
    <w:abstractNumId w:val="3"/>
  </w:num>
  <w:num w:numId="8" w16cid:durableId="1102410798">
    <w:abstractNumId w:val="7"/>
  </w:num>
  <w:num w:numId="9" w16cid:durableId="1194464131">
    <w:abstractNumId w:val="6"/>
  </w:num>
  <w:num w:numId="10" w16cid:durableId="2058623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6D7"/>
    <w:rsid w:val="000C7DD6"/>
    <w:rsid w:val="001E74A4"/>
    <w:rsid w:val="002925FC"/>
    <w:rsid w:val="0039003E"/>
    <w:rsid w:val="003D7E6B"/>
    <w:rsid w:val="004D3FF4"/>
    <w:rsid w:val="005A478F"/>
    <w:rsid w:val="00626A32"/>
    <w:rsid w:val="006B7617"/>
    <w:rsid w:val="008F7575"/>
    <w:rsid w:val="009224AF"/>
    <w:rsid w:val="00927526"/>
    <w:rsid w:val="00950FD0"/>
    <w:rsid w:val="00955578"/>
    <w:rsid w:val="0097014A"/>
    <w:rsid w:val="0098608A"/>
    <w:rsid w:val="009907E0"/>
    <w:rsid w:val="00B82179"/>
    <w:rsid w:val="00C20383"/>
    <w:rsid w:val="00C75467"/>
    <w:rsid w:val="00CB612C"/>
    <w:rsid w:val="00D82675"/>
    <w:rsid w:val="00E24882"/>
    <w:rsid w:val="00E57285"/>
    <w:rsid w:val="00E7773C"/>
    <w:rsid w:val="00F006D7"/>
    <w:rsid w:val="00FF6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C99C4"/>
  <w15:chartTrackingRefBased/>
  <w15:docId w15:val="{A54AFC4F-E60B-4075-B3D8-86C85F73D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6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06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06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06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06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06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6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6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6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6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06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06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06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06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06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06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06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06D7"/>
    <w:rPr>
      <w:rFonts w:eastAsiaTheme="majorEastAsia" w:cstheme="majorBidi"/>
      <w:color w:val="272727" w:themeColor="text1" w:themeTint="D8"/>
    </w:rPr>
  </w:style>
  <w:style w:type="paragraph" w:styleId="Title">
    <w:name w:val="Title"/>
    <w:basedOn w:val="Normal"/>
    <w:next w:val="Normal"/>
    <w:link w:val="TitleChar"/>
    <w:uiPriority w:val="10"/>
    <w:qFormat/>
    <w:rsid w:val="00F006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6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6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6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06D7"/>
    <w:pPr>
      <w:spacing w:before="160"/>
      <w:jc w:val="center"/>
    </w:pPr>
    <w:rPr>
      <w:i/>
      <w:iCs/>
      <w:color w:val="404040" w:themeColor="text1" w:themeTint="BF"/>
    </w:rPr>
  </w:style>
  <w:style w:type="character" w:customStyle="1" w:styleId="QuoteChar">
    <w:name w:val="Quote Char"/>
    <w:basedOn w:val="DefaultParagraphFont"/>
    <w:link w:val="Quote"/>
    <w:uiPriority w:val="29"/>
    <w:rsid w:val="00F006D7"/>
    <w:rPr>
      <w:i/>
      <w:iCs/>
      <w:color w:val="404040" w:themeColor="text1" w:themeTint="BF"/>
    </w:rPr>
  </w:style>
  <w:style w:type="paragraph" w:styleId="ListParagraph">
    <w:name w:val="List Paragraph"/>
    <w:basedOn w:val="Normal"/>
    <w:uiPriority w:val="34"/>
    <w:qFormat/>
    <w:rsid w:val="00F006D7"/>
    <w:pPr>
      <w:ind w:left="720"/>
      <w:contextualSpacing/>
    </w:pPr>
  </w:style>
  <w:style w:type="character" w:styleId="IntenseEmphasis">
    <w:name w:val="Intense Emphasis"/>
    <w:basedOn w:val="DefaultParagraphFont"/>
    <w:uiPriority w:val="21"/>
    <w:qFormat/>
    <w:rsid w:val="00F006D7"/>
    <w:rPr>
      <w:i/>
      <w:iCs/>
      <w:color w:val="0F4761" w:themeColor="accent1" w:themeShade="BF"/>
    </w:rPr>
  </w:style>
  <w:style w:type="paragraph" w:styleId="IntenseQuote">
    <w:name w:val="Intense Quote"/>
    <w:basedOn w:val="Normal"/>
    <w:next w:val="Normal"/>
    <w:link w:val="IntenseQuoteChar"/>
    <w:uiPriority w:val="30"/>
    <w:qFormat/>
    <w:rsid w:val="00F006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06D7"/>
    <w:rPr>
      <w:i/>
      <w:iCs/>
      <w:color w:val="0F4761" w:themeColor="accent1" w:themeShade="BF"/>
    </w:rPr>
  </w:style>
  <w:style w:type="character" w:styleId="IntenseReference">
    <w:name w:val="Intense Reference"/>
    <w:basedOn w:val="DefaultParagraphFont"/>
    <w:uiPriority w:val="32"/>
    <w:qFormat/>
    <w:rsid w:val="00F006D7"/>
    <w:rPr>
      <w:b/>
      <w:bCs/>
      <w:smallCaps/>
      <w:color w:val="0F4761" w:themeColor="accent1" w:themeShade="BF"/>
      <w:spacing w:val="5"/>
    </w:rPr>
  </w:style>
  <w:style w:type="paragraph" w:styleId="NoSpacing">
    <w:name w:val="No Spacing"/>
    <w:link w:val="NoSpacingChar"/>
    <w:uiPriority w:val="1"/>
    <w:qFormat/>
    <w:rsid w:val="00F006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006D7"/>
    <w:rPr>
      <w:rFonts w:eastAsiaTheme="minorEastAsia"/>
      <w:kern w:val="0"/>
      <w:lang w:val="en-US"/>
      <w14:ligatures w14:val="none"/>
    </w:rPr>
  </w:style>
  <w:style w:type="paragraph" w:styleId="TOCHeading">
    <w:name w:val="TOC Heading"/>
    <w:basedOn w:val="Heading1"/>
    <w:next w:val="Normal"/>
    <w:uiPriority w:val="39"/>
    <w:unhideWhenUsed/>
    <w:qFormat/>
    <w:rsid w:val="00B8217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82179"/>
    <w:pPr>
      <w:spacing w:after="100"/>
    </w:pPr>
  </w:style>
  <w:style w:type="character" w:styleId="Hyperlink">
    <w:name w:val="Hyperlink"/>
    <w:basedOn w:val="DefaultParagraphFont"/>
    <w:uiPriority w:val="99"/>
    <w:unhideWhenUsed/>
    <w:rsid w:val="00B82179"/>
    <w:rPr>
      <w:color w:val="467886" w:themeColor="hyperlink"/>
      <w:u w:val="single"/>
    </w:rPr>
  </w:style>
  <w:style w:type="paragraph" w:styleId="TOC2">
    <w:name w:val="toc 2"/>
    <w:basedOn w:val="Normal"/>
    <w:next w:val="Normal"/>
    <w:autoRedefine/>
    <w:uiPriority w:val="39"/>
    <w:unhideWhenUsed/>
    <w:rsid w:val="00B82179"/>
    <w:pPr>
      <w:spacing w:after="100"/>
      <w:ind w:left="220"/>
    </w:pPr>
  </w:style>
  <w:style w:type="table" w:styleId="ListTable4-Accent1">
    <w:name w:val="List Table 4 Accent 1"/>
    <w:basedOn w:val="TableNormal"/>
    <w:uiPriority w:val="49"/>
    <w:rsid w:val="00B8217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8F7575"/>
    <w:rPr>
      <w:color w:val="96607D" w:themeColor="followedHyperlink"/>
      <w:u w:val="single"/>
    </w:rPr>
  </w:style>
  <w:style w:type="paragraph" w:styleId="Caption">
    <w:name w:val="caption"/>
    <w:basedOn w:val="Normal"/>
    <w:next w:val="Normal"/>
    <w:uiPriority w:val="35"/>
    <w:unhideWhenUsed/>
    <w:qFormat/>
    <w:rsid w:val="008F7575"/>
    <w:pPr>
      <w:spacing w:after="200" w:line="240" w:lineRule="auto"/>
    </w:pPr>
    <w:rPr>
      <w:i/>
      <w:iCs/>
      <w:color w:val="0E2841" w:themeColor="text2"/>
      <w:sz w:val="18"/>
      <w:szCs w:val="18"/>
    </w:rPr>
  </w:style>
  <w:style w:type="table" w:styleId="GridTable4-Accent1">
    <w:name w:val="Grid Table 4 Accent 1"/>
    <w:basedOn w:val="TableNormal"/>
    <w:uiPriority w:val="49"/>
    <w:rsid w:val="00D82675"/>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Bibliography">
    <w:name w:val="Bibliography"/>
    <w:basedOn w:val="Normal"/>
    <w:next w:val="Normal"/>
    <w:uiPriority w:val="37"/>
    <w:unhideWhenUsed/>
    <w:rsid w:val="003D7E6B"/>
  </w:style>
  <w:style w:type="paragraph" w:styleId="TableofFigures">
    <w:name w:val="table of figures"/>
    <w:basedOn w:val="Normal"/>
    <w:next w:val="Normal"/>
    <w:uiPriority w:val="99"/>
    <w:unhideWhenUsed/>
    <w:rsid w:val="003D7E6B"/>
    <w:pPr>
      <w:spacing w:after="0"/>
    </w:pPr>
  </w:style>
  <w:style w:type="paragraph" w:styleId="Header">
    <w:name w:val="header"/>
    <w:basedOn w:val="Normal"/>
    <w:link w:val="HeaderChar"/>
    <w:uiPriority w:val="99"/>
    <w:unhideWhenUsed/>
    <w:rsid w:val="003D7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E6B"/>
  </w:style>
  <w:style w:type="paragraph" w:styleId="Footer">
    <w:name w:val="footer"/>
    <w:basedOn w:val="Normal"/>
    <w:link w:val="FooterChar"/>
    <w:uiPriority w:val="99"/>
    <w:unhideWhenUsed/>
    <w:rsid w:val="003D7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E6B"/>
  </w:style>
  <w:style w:type="table" w:customStyle="1" w:styleId="TableGrid">
    <w:name w:val="TableGrid"/>
    <w:rsid w:val="004D3FF4"/>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73859">
      <w:bodyDiv w:val="1"/>
      <w:marLeft w:val="0"/>
      <w:marRight w:val="0"/>
      <w:marTop w:val="0"/>
      <w:marBottom w:val="0"/>
      <w:divBdr>
        <w:top w:val="none" w:sz="0" w:space="0" w:color="auto"/>
        <w:left w:val="none" w:sz="0" w:space="0" w:color="auto"/>
        <w:bottom w:val="none" w:sz="0" w:space="0" w:color="auto"/>
        <w:right w:val="none" w:sz="0" w:space="0" w:color="auto"/>
      </w:divBdr>
    </w:div>
    <w:div w:id="24451931">
      <w:bodyDiv w:val="1"/>
      <w:marLeft w:val="0"/>
      <w:marRight w:val="0"/>
      <w:marTop w:val="0"/>
      <w:marBottom w:val="0"/>
      <w:divBdr>
        <w:top w:val="none" w:sz="0" w:space="0" w:color="auto"/>
        <w:left w:val="none" w:sz="0" w:space="0" w:color="auto"/>
        <w:bottom w:val="none" w:sz="0" w:space="0" w:color="auto"/>
        <w:right w:val="none" w:sz="0" w:space="0" w:color="auto"/>
      </w:divBdr>
    </w:div>
    <w:div w:id="24985777">
      <w:bodyDiv w:val="1"/>
      <w:marLeft w:val="0"/>
      <w:marRight w:val="0"/>
      <w:marTop w:val="0"/>
      <w:marBottom w:val="0"/>
      <w:divBdr>
        <w:top w:val="none" w:sz="0" w:space="0" w:color="auto"/>
        <w:left w:val="none" w:sz="0" w:space="0" w:color="auto"/>
        <w:bottom w:val="none" w:sz="0" w:space="0" w:color="auto"/>
        <w:right w:val="none" w:sz="0" w:space="0" w:color="auto"/>
      </w:divBdr>
    </w:div>
    <w:div w:id="37709047">
      <w:bodyDiv w:val="1"/>
      <w:marLeft w:val="0"/>
      <w:marRight w:val="0"/>
      <w:marTop w:val="0"/>
      <w:marBottom w:val="0"/>
      <w:divBdr>
        <w:top w:val="none" w:sz="0" w:space="0" w:color="auto"/>
        <w:left w:val="none" w:sz="0" w:space="0" w:color="auto"/>
        <w:bottom w:val="none" w:sz="0" w:space="0" w:color="auto"/>
        <w:right w:val="none" w:sz="0" w:space="0" w:color="auto"/>
      </w:divBdr>
    </w:div>
    <w:div w:id="42562173">
      <w:bodyDiv w:val="1"/>
      <w:marLeft w:val="0"/>
      <w:marRight w:val="0"/>
      <w:marTop w:val="0"/>
      <w:marBottom w:val="0"/>
      <w:divBdr>
        <w:top w:val="none" w:sz="0" w:space="0" w:color="auto"/>
        <w:left w:val="none" w:sz="0" w:space="0" w:color="auto"/>
        <w:bottom w:val="none" w:sz="0" w:space="0" w:color="auto"/>
        <w:right w:val="none" w:sz="0" w:space="0" w:color="auto"/>
      </w:divBdr>
    </w:div>
    <w:div w:id="42953102">
      <w:bodyDiv w:val="1"/>
      <w:marLeft w:val="0"/>
      <w:marRight w:val="0"/>
      <w:marTop w:val="0"/>
      <w:marBottom w:val="0"/>
      <w:divBdr>
        <w:top w:val="none" w:sz="0" w:space="0" w:color="auto"/>
        <w:left w:val="none" w:sz="0" w:space="0" w:color="auto"/>
        <w:bottom w:val="none" w:sz="0" w:space="0" w:color="auto"/>
        <w:right w:val="none" w:sz="0" w:space="0" w:color="auto"/>
      </w:divBdr>
    </w:div>
    <w:div w:id="70349458">
      <w:bodyDiv w:val="1"/>
      <w:marLeft w:val="0"/>
      <w:marRight w:val="0"/>
      <w:marTop w:val="0"/>
      <w:marBottom w:val="0"/>
      <w:divBdr>
        <w:top w:val="none" w:sz="0" w:space="0" w:color="auto"/>
        <w:left w:val="none" w:sz="0" w:space="0" w:color="auto"/>
        <w:bottom w:val="none" w:sz="0" w:space="0" w:color="auto"/>
        <w:right w:val="none" w:sz="0" w:space="0" w:color="auto"/>
      </w:divBdr>
    </w:div>
    <w:div w:id="88284554">
      <w:bodyDiv w:val="1"/>
      <w:marLeft w:val="0"/>
      <w:marRight w:val="0"/>
      <w:marTop w:val="0"/>
      <w:marBottom w:val="0"/>
      <w:divBdr>
        <w:top w:val="none" w:sz="0" w:space="0" w:color="auto"/>
        <w:left w:val="none" w:sz="0" w:space="0" w:color="auto"/>
        <w:bottom w:val="none" w:sz="0" w:space="0" w:color="auto"/>
        <w:right w:val="none" w:sz="0" w:space="0" w:color="auto"/>
      </w:divBdr>
    </w:div>
    <w:div w:id="94715642">
      <w:bodyDiv w:val="1"/>
      <w:marLeft w:val="0"/>
      <w:marRight w:val="0"/>
      <w:marTop w:val="0"/>
      <w:marBottom w:val="0"/>
      <w:divBdr>
        <w:top w:val="none" w:sz="0" w:space="0" w:color="auto"/>
        <w:left w:val="none" w:sz="0" w:space="0" w:color="auto"/>
        <w:bottom w:val="none" w:sz="0" w:space="0" w:color="auto"/>
        <w:right w:val="none" w:sz="0" w:space="0" w:color="auto"/>
      </w:divBdr>
    </w:div>
    <w:div w:id="113601523">
      <w:bodyDiv w:val="1"/>
      <w:marLeft w:val="0"/>
      <w:marRight w:val="0"/>
      <w:marTop w:val="0"/>
      <w:marBottom w:val="0"/>
      <w:divBdr>
        <w:top w:val="none" w:sz="0" w:space="0" w:color="auto"/>
        <w:left w:val="none" w:sz="0" w:space="0" w:color="auto"/>
        <w:bottom w:val="none" w:sz="0" w:space="0" w:color="auto"/>
        <w:right w:val="none" w:sz="0" w:space="0" w:color="auto"/>
      </w:divBdr>
    </w:div>
    <w:div w:id="188180299">
      <w:bodyDiv w:val="1"/>
      <w:marLeft w:val="0"/>
      <w:marRight w:val="0"/>
      <w:marTop w:val="0"/>
      <w:marBottom w:val="0"/>
      <w:divBdr>
        <w:top w:val="none" w:sz="0" w:space="0" w:color="auto"/>
        <w:left w:val="none" w:sz="0" w:space="0" w:color="auto"/>
        <w:bottom w:val="none" w:sz="0" w:space="0" w:color="auto"/>
        <w:right w:val="none" w:sz="0" w:space="0" w:color="auto"/>
      </w:divBdr>
    </w:div>
    <w:div w:id="208686754">
      <w:bodyDiv w:val="1"/>
      <w:marLeft w:val="0"/>
      <w:marRight w:val="0"/>
      <w:marTop w:val="0"/>
      <w:marBottom w:val="0"/>
      <w:divBdr>
        <w:top w:val="none" w:sz="0" w:space="0" w:color="auto"/>
        <w:left w:val="none" w:sz="0" w:space="0" w:color="auto"/>
        <w:bottom w:val="none" w:sz="0" w:space="0" w:color="auto"/>
        <w:right w:val="none" w:sz="0" w:space="0" w:color="auto"/>
      </w:divBdr>
    </w:div>
    <w:div w:id="219245261">
      <w:bodyDiv w:val="1"/>
      <w:marLeft w:val="0"/>
      <w:marRight w:val="0"/>
      <w:marTop w:val="0"/>
      <w:marBottom w:val="0"/>
      <w:divBdr>
        <w:top w:val="none" w:sz="0" w:space="0" w:color="auto"/>
        <w:left w:val="none" w:sz="0" w:space="0" w:color="auto"/>
        <w:bottom w:val="none" w:sz="0" w:space="0" w:color="auto"/>
        <w:right w:val="none" w:sz="0" w:space="0" w:color="auto"/>
      </w:divBdr>
    </w:div>
    <w:div w:id="226379724">
      <w:bodyDiv w:val="1"/>
      <w:marLeft w:val="0"/>
      <w:marRight w:val="0"/>
      <w:marTop w:val="0"/>
      <w:marBottom w:val="0"/>
      <w:divBdr>
        <w:top w:val="none" w:sz="0" w:space="0" w:color="auto"/>
        <w:left w:val="none" w:sz="0" w:space="0" w:color="auto"/>
        <w:bottom w:val="none" w:sz="0" w:space="0" w:color="auto"/>
        <w:right w:val="none" w:sz="0" w:space="0" w:color="auto"/>
      </w:divBdr>
    </w:div>
    <w:div w:id="234778551">
      <w:bodyDiv w:val="1"/>
      <w:marLeft w:val="0"/>
      <w:marRight w:val="0"/>
      <w:marTop w:val="0"/>
      <w:marBottom w:val="0"/>
      <w:divBdr>
        <w:top w:val="none" w:sz="0" w:space="0" w:color="auto"/>
        <w:left w:val="none" w:sz="0" w:space="0" w:color="auto"/>
        <w:bottom w:val="none" w:sz="0" w:space="0" w:color="auto"/>
        <w:right w:val="none" w:sz="0" w:space="0" w:color="auto"/>
      </w:divBdr>
    </w:div>
    <w:div w:id="236089880">
      <w:bodyDiv w:val="1"/>
      <w:marLeft w:val="0"/>
      <w:marRight w:val="0"/>
      <w:marTop w:val="0"/>
      <w:marBottom w:val="0"/>
      <w:divBdr>
        <w:top w:val="none" w:sz="0" w:space="0" w:color="auto"/>
        <w:left w:val="none" w:sz="0" w:space="0" w:color="auto"/>
        <w:bottom w:val="none" w:sz="0" w:space="0" w:color="auto"/>
        <w:right w:val="none" w:sz="0" w:space="0" w:color="auto"/>
      </w:divBdr>
    </w:div>
    <w:div w:id="238057226">
      <w:bodyDiv w:val="1"/>
      <w:marLeft w:val="0"/>
      <w:marRight w:val="0"/>
      <w:marTop w:val="0"/>
      <w:marBottom w:val="0"/>
      <w:divBdr>
        <w:top w:val="none" w:sz="0" w:space="0" w:color="auto"/>
        <w:left w:val="none" w:sz="0" w:space="0" w:color="auto"/>
        <w:bottom w:val="none" w:sz="0" w:space="0" w:color="auto"/>
        <w:right w:val="none" w:sz="0" w:space="0" w:color="auto"/>
      </w:divBdr>
    </w:div>
    <w:div w:id="238103932">
      <w:bodyDiv w:val="1"/>
      <w:marLeft w:val="0"/>
      <w:marRight w:val="0"/>
      <w:marTop w:val="0"/>
      <w:marBottom w:val="0"/>
      <w:divBdr>
        <w:top w:val="none" w:sz="0" w:space="0" w:color="auto"/>
        <w:left w:val="none" w:sz="0" w:space="0" w:color="auto"/>
        <w:bottom w:val="none" w:sz="0" w:space="0" w:color="auto"/>
        <w:right w:val="none" w:sz="0" w:space="0" w:color="auto"/>
      </w:divBdr>
    </w:div>
    <w:div w:id="304243605">
      <w:bodyDiv w:val="1"/>
      <w:marLeft w:val="0"/>
      <w:marRight w:val="0"/>
      <w:marTop w:val="0"/>
      <w:marBottom w:val="0"/>
      <w:divBdr>
        <w:top w:val="none" w:sz="0" w:space="0" w:color="auto"/>
        <w:left w:val="none" w:sz="0" w:space="0" w:color="auto"/>
        <w:bottom w:val="none" w:sz="0" w:space="0" w:color="auto"/>
        <w:right w:val="none" w:sz="0" w:space="0" w:color="auto"/>
      </w:divBdr>
    </w:div>
    <w:div w:id="453327752">
      <w:bodyDiv w:val="1"/>
      <w:marLeft w:val="0"/>
      <w:marRight w:val="0"/>
      <w:marTop w:val="0"/>
      <w:marBottom w:val="0"/>
      <w:divBdr>
        <w:top w:val="none" w:sz="0" w:space="0" w:color="auto"/>
        <w:left w:val="none" w:sz="0" w:space="0" w:color="auto"/>
        <w:bottom w:val="none" w:sz="0" w:space="0" w:color="auto"/>
        <w:right w:val="none" w:sz="0" w:space="0" w:color="auto"/>
      </w:divBdr>
    </w:div>
    <w:div w:id="454636033">
      <w:bodyDiv w:val="1"/>
      <w:marLeft w:val="0"/>
      <w:marRight w:val="0"/>
      <w:marTop w:val="0"/>
      <w:marBottom w:val="0"/>
      <w:divBdr>
        <w:top w:val="none" w:sz="0" w:space="0" w:color="auto"/>
        <w:left w:val="none" w:sz="0" w:space="0" w:color="auto"/>
        <w:bottom w:val="none" w:sz="0" w:space="0" w:color="auto"/>
        <w:right w:val="none" w:sz="0" w:space="0" w:color="auto"/>
      </w:divBdr>
    </w:div>
    <w:div w:id="458425782">
      <w:bodyDiv w:val="1"/>
      <w:marLeft w:val="0"/>
      <w:marRight w:val="0"/>
      <w:marTop w:val="0"/>
      <w:marBottom w:val="0"/>
      <w:divBdr>
        <w:top w:val="none" w:sz="0" w:space="0" w:color="auto"/>
        <w:left w:val="none" w:sz="0" w:space="0" w:color="auto"/>
        <w:bottom w:val="none" w:sz="0" w:space="0" w:color="auto"/>
        <w:right w:val="none" w:sz="0" w:space="0" w:color="auto"/>
      </w:divBdr>
    </w:div>
    <w:div w:id="527371290">
      <w:bodyDiv w:val="1"/>
      <w:marLeft w:val="0"/>
      <w:marRight w:val="0"/>
      <w:marTop w:val="0"/>
      <w:marBottom w:val="0"/>
      <w:divBdr>
        <w:top w:val="none" w:sz="0" w:space="0" w:color="auto"/>
        <w:left w:val="none" w:sz="0" w:space="0" w:color="auto"/>
        <w:bottom w:val="none" w:sz="0" w:space="0" w:color="auto"/>
        <w:right w:val="none" w:sz="0" w:space="0" w:color="auto"/>
      </w:divBdr>
    </w:div>
    <w:div w:id="527764435">
      <w:bodyDiv w:val="1"/>
      <w:marLeft w:val="0"/>
      <w:marRight w:val="0"/>
      <w:marTop w:val="0"/>
      <w:marBottom w:val="0"/>
      <w:divBdr>
        <w:top w:val="none" w:sz="0" w:space="0" w:color="auto"/>
        <w:left w:val="none" w:sz="0" w:space="0" w:color="auto"/>
        <w:bottom w:val="none" w:sz="0" w:space="0" w:color="auto"/>
        <w:right w:val="none" w:sz="0" w:space="0" w:color="auto"/>
      </w:divBdr>
    </w:div>
    <w:div w:id="529074723">
      <w:bodyDiv w:val="1"/>
      <w:marLeft w:val="0"/>
      <w:marRight w:val="0"/>
      <w:marTop w:val="0"/>
      <w:marBottom w:val="0"/>
      <w:divBdr>
        <w:top w:val="none" w:sz="0" w:space="0" w:color="auto"/>
        <w:left w:val="none" w:sz="0" w:space="0" w:color="auto"/>
        <w:bottom w:val="none" w:sz="0" w:space="0" w:color="auto"/>
        <w:right w:val="none" w:sz="0" w:space="0" w:color="auto"/>
      </w:divBdr>
    </w:div>
    <w:div w:id="572006453">
      <w:bodyDiv w:val="1"/>
      <w:marLeft w:val="0"/>
      <w:marRight w:val="0"/>
      <w:marTop w:val="0"/>
      <w:marBottom w:val="0"/>
      <w:divBdr>
        <w:top w:val="none" w:sz="0" w:space="0" w:color="auto"/>
        <w:left w:val="none" w:sz="0" w:space="0" w:color="auto"/>
        <w:bottom w:val="none" w:sz="0" w:space="0" w:color="auto"/>
        <w:right w:val="none" w:sz="0" w:space="0" w:color="auto"/>
      </w:divBdr>
    </w:div>
    <w:div w:id="572011785">
      <w:bodyDiv w:val="1"/>
      <w:marLeft w:val="0"/>
      <w:marRight w:val="0"/>
      <w:marTop w:val="0"/>
      <w:marBottom w:val="0"/>
      <w:divBdr>
        <w:top w:val="none" w:sz="0" w:space="0" w:color="auto"/>
        <w:left w:val="none" w:sz="0" w:space="0" w:color="auto"/>
        <w:bottom w:val="none" w:sz="0" w:space="0" w:color="auto"/>
        <w:right w:val="none" w:sz="0" w:space="0" w:color="auto"/>
      </w:divBdr>
    </w:div>
    <w:div w:id="572353204">
      <w:bodyDiv w:val="1"/>
      <w:marLeft w:val="0"/>
      <w:marRight w:val="0"/>
      <w:marTop w:val="0"/>
      <w:marBottom w:val="0"/>
      <w:divBdr>
        <w:top w:val="none" w:sz="0" w:space="0" w:color="auto"/>
        <w:left w:val="none" w:sz="0" w:space="0" w:color="auto"/>
        <w:bottom w:val="none" w:sz="0" w:space="0" w:color="auto"/>
        <w:right w:val="none" w:sz="0" w:space="0" w:color="auto"/>
      </w:divBdr>
    </w:div>
    <w:div w:id="596446597">
      <w:bodyDiv w:val="1"/>
      <w:marLeft w:val="0"/>
      <w:marRight w:val="0"/>
      <w:marTop w:val="0"/>
      <w:marBottom w:val="0"/>
      <w:divBdr>
        <w:top w:val="none" w:sz="0" w:space="0" w:color="auto"/>
        <w:left w:val="none" w:sz="0" w:space="0" w:color="auto"/>
        <w:bottom w:val="none" w:sz="0" w:space="0" w:color="auto"/>
        <w:right w:val="none" w:sz="0" w:space="0" w:color="auto"/>
      </w:divBdr>
    </w:div>
    <w:div w:id="605308813">
      <w:bodyDiv w:val="1"/>
      <w:marLeft w:val="0"/>
      <w:marRight w:val="0"/>
      <w:marTop w:val="0"/>
      <w:marBottom w:val="0"/>
      <w:divBdr>
        <w:top w:val="none" w:sz="0" w:space="0" w:color="auto"/>
        <w:left w:val="none" w:sz="0" w:space="0" w:color="auto"/>
        <w:bottom w:val="none" w:sz="0" w:space="0" w:color="auto"/>
        <w:right w:val="none" w:sz="0" w:space="0" w:color="auto"/>
      </w:divBdr>
    </w:div>
    <w:div w:id="610547635">
      <w:bodyDiv w:val="1"/>
      <w:marLeft w:val="0"/>
      <w:marRight w:val="0"/>
      <w:marTop w:val="0"/>
      <w:marBottom w:val="0"/>
      <w:divBdr>
        <w:top w:val="none" w:sz="0" w:space="0" w:color="auto"/>
        <w:left w:val="none" w:sz="0" w:space="0" w:color="auto"/>
        <w:bottom w:val="none" w:sz="0" w:space="0" w:color="auto"/>
        <w:right w:val="none" w:sz="0" w:space="0" w:color="auto"/>
      </w:divBdr>
    </w:div>
    <w:div w:id="614142263">
      <w:bodyDiv w:val="1"/>
      <w:marLeft w:val="0"/>
      <w:marRight w:val="0"/>
      <w:marTop w:val="0"/>
      <w:marBottom w:val="0"/>
      <w:divBdr>
        <w:top w:val="none" w:sz="0" w:space="0" w:color="auto"/>
        <w:left w:val="none" w:sz="0" w:space="0" w:color="auto"/>
        <w:bottom w:val="none" w:sz="0" w:space="0" w:color="auto"/>
        <w:right w:val="none" w:sz="0" w:space="0" w:color="auto"/>
      </w:divBdr>
    </w:div>
    <w:div w:id="682393284">
      <w:bodyDiv w:val="1"/>
      <w:marLeft w:val="0"/>
      <w:marRight w:val="0"/>
      <w:marTop w:val="0"/>
      <w:marBottom w:val="0"/>
      <w:divBdr>
        <w:top w:val="none" w:sz="0" w:space="0" w:color="auto"/>
        <w:left w:val="none" w:sz="0" w:space="0" w:color="auto"/>
        <w:bottom w:val="none" w:sz="0" w:space="0" w:color="auto"/>
        <w:right w:val="none" w:sz="0" w:space="0" w:color="auto"/>
      </w:divBdr>
    </w:div>
    <w:div w:id="710693225">
      <w:bodyDiv w:val="1"/>
      <w:marLeft w:val="0"/>
      <w:marRight w:val="0"/>
      <w:marTop w:val="0"/>
      <w:marBottom w:val="0"/>
      <w:divBdr>
        <w:top w:val="none" w:sz="0" w:space="0" w:color="auto"/>
        <w:left w:val="none" w:sz="0" w:space="0" w:color="auto"/>
        <w:bottom w:val="none" w:sz="0" w:space="0" w:color="auto"/>
        <w:right w:val="none" w:sz="0" w:space="0" w:color="auto"/>
      </w:divBdr>
    </w:div>
    <w:div w:id="720176754">
      <w:bodyDiv w:val="1"/>
      <w:marLeft w:val="0"/>
      <w:marRight w:val="0"/>
      <w:marTop w:val="0"/>
      <w:marBottom w:val="0"/>
      <w:divBdr>
        <w:top w:val="none" w:sz="0" w:space="0" w:color="auto"/>
        <w:left w:val="none" w:sz="0" w:space="0" w:color="auto"/>
        <w:bottom w:val="none" w:sz="0" w:space="0" w:color="auto"/>
        <w:right w:val="none" w:sz="0" w:space="0" w:color="auto"/>
      </w:divBdr>
    </w:div>
    <w:div w:id="755322656">
      <w:bodyDiv w:val="1"/>
      <w:marLeft w:val="0"/>
      <w:marRight w:val="0"/>
      <w:marTop w:val="0"/>
      <w:marBottom w:val="0"/>
      <w:divBdr>
        <w:top w:val="none" w:sz="0" w:space="0" w:color="auto"/>
        <w:left w:val="none" w:sz="0" w:space="0" w:color="auto"/>
        <w:bottom w:val="none" w:sz="0" w:space="0" w:color="auto"/>
        <w:right w:val="none" w:sz="0" w:space="0" w:color="auto"/>
      </w:divBdr>
    </w:div>
    <w:div w:id="760562027">
      <w:bodyDiv w:val="1"/>
      <w:marLeft w:val="0"/>
      <w:marRight w:val="0"/>
      <w:marTop w:val="0"/>
      <w:marBottom w:val="0"/>
      <w:divBdr>
        <w:top w:val="none" w:sz="0" w:space="0" w:color="auto"/>
        <w:left w:val="none" w:sz="0" w:space="0" w:color="auto"/>
        <w:bottom w:val="none" w:sz="0" w:space="0" w:color="auto"/>
        <w:right w:val="none" w:sz="0" w:space="0" w:color="auto"/>
      </w:divBdr>
    </w:div>
    <w:div w:id="823618882">
      <w:bodyDiv w:val="1"/>
      <w:marLeft w:val="0"/>
      <w:marRight w:val="0"/>
      <w:marTop w:val="0"/>
      <w:marBottom w:val="0"/>
      <w:divBdr>
        <w:top w:val="none" w:sz="0" w:space="0" w:color="auto"/>
        <w:left w:val="none" w:sz="0" w:space="0" w:color="auto"/>
        <w:bottom w:val="none" w:sz="0" w:space="0" w:color="auto"/>
        <w:right w:val="none" w:sz="0" w:space="0" w:color="auto"/>
      </w:divBdr>
    </w:div>
    <w:div w:id="832648402">
      <w:bodyDiv w:val="1"/>
      <w:marLeft w:val="0"/>
      <w:marRight w:val="0"/>
      <w:marTop w:val="0"/>
      <w:marBottom w:val="0"/>
      <w:divBdr>
        <w:top w:val="none" w:sz="0" w:space="0" w:color="auto"/>
        <w:left w:val="none" w:sz="0" w:space="0" w:color="auto"/>
        <w:bottom w:val="none" w:sz="0" w:space="0" w:color="auto"/>
        <w:right w:val="none" w:sz="0" w:space="0" w:color="auto"/>
      </w:divBdr>
    </w:div>
    <w:div w:id="841553790">
      <w:bodyDiv w:val="1"/>
      <w:marLeft w:val="0"/>
      <w:marRight w:val="0"/>
      <w:marTop w:val="0"/>
      <w:marBottom w:val="0"/>
      <w:divBdr>
        <w:top w:val="none" w:sz="0" w:space="0" w:color="auto"/>
        <w:left w:val="none" w:sz="0" w:space="0" w:color="auto"/>
        <w:bottom w:val="none" w:sz="0" w:space="0" w:color="auto"/>
        <w:right w:val="none" w:sz="0" w:space="0" w:color="auto"/>
      </w:divBdr>
    </w:div>
    <w:div w:id="867912378">
      <w:bodyDiv w:val="1"/>
      <w:marLeft w:val="0"/>
      <w:marRight w:val="0"/>
      <w:marTop w:val="0"/>
      <w:marBottom w:val="0"/>
      <w:divBdr>
        <w:top w:val="none" w:sz="0" w:space="0" w:color="auto"/>
        <w:left w:val="none" w:sz="0" w:space="0" w:color="auto"/>
        <w:bottom w:val="none" w:sz="0" w:space="0" w:color="auto"/>
        <w:right w:val="none" w:sz="0" w:space="0" w:color="auto"/>
      </w:divBdr>
    </w:div>
    <w:div w:id="893928157">
      <w:bodyDiv w:val="1"/>
      <w:marLeft w:val="0"/>
      <w:marRight w:val="0"/>
      <w:marTop w:val="0"/>
      <w:marBottom w:val="0"/>
      <w:divBdr>
        <w:top w:val="none" w:sz="0" w:space="0" w:color="auto"/>
        <w:left w:val="none" w:sz="0" w:space="0" w:color="auto"/>
        <w:bottom w:val="none" w:sz="0" w:space="0" w:color="auto"/>
        <w:right w:val="none" w:sz="0" w:space="0" w:color="auto"/>
      </w:divBdr>
    </w:div>
    <w:div w:id="970984592">
      <w:bodyDiv w:val="1"/>
      <w:marLeft w:val="0"/>
      <w:marRight w:val="0"/>
      <w:marTop w:val="0"/>
      <w:marBottom w:val="0"/>
      <w:divBdr>
        <w:top w:val="none" w:sz="0" w:space="0" w:color="auto"/>
        <w:left w:val="none" w:sz="0" w:space="0" w:color="auto"/>
        <w:bottom w:val="none" w:sz="0" w:space="0" w:color="auto"/>
        <w:right w:val="none" w:sz="0" w:space="0" w:color="auto"/>
      </w:divBdr>
    </w:div>
    <w:div w:id="972104779">
      <w:bodyDiv w:val="1"/>
      <w:marLeft w:val="0"/>
      <w:marRight w:val="0"/>
      <w:marTop w:val="0"/>
      <w:marBottom w:val="0"/>
      <w:divBdr>
        <w:top w:val="none" w:sz="0" w:space="0" w:color="auto"/>
        <w:left w:val="none" w:sz="0" w:space="0" w:color="auto"/>
        <w:bottom w:val="none" w:sz="0" w:space="0" w:color="auto"/>
        <w:right w:val="none" w:sz="0" w:space="0" w:color="auto"/>
      </w:divBdr>
    </w:div>
    <w:div w:id="992563661">
      <w:bodyDiv w:val="1"/>
      <w:marLeft w:val="0"/>
      <w:marRight w:val="0"/>
      <w:marTop w:val="0"/>
      <w:marBottom w:val="0"/>
      <w:divBdr>
        <w:top w:val="none" w:sz="0" w:space="0" w:color="auto"/>
        <w:left w:val="none" w:sz="0" w:space="0" w:color="auto"/>
        <w:bottom w:val="none" w:sz="0" w:space="0" w:color="auto"/>
        <w:right w:val="none" w:sz="0" w:space="0" w:color="auto"/>
      </w:divBdr>
    </w:div>
    <w:div w:id="1002899765">
      <w:bodyDiv w:val="1"/>
      <w:marLeft w:val="0"/>
      <w:marRight w:val="0"/>
      <w:marTop w:val="0"/>
      <w:marBottom w:val="0"/>
      <w:divBdr>
        <w:top w:val="none" w:sz="0" w:space="0" w:color="auto"/>
        <w:left w:val="none" w:sz="0" w:space="0" w:color="auto"/>
        <w:bottom w:val="none" w:sz="0" w:space="0" w:color="auto"/>
        <w:right w:val="none" w:sz="0" w:space="0" w:color="auto"/>
      </w:divBdr>
    </w:div>
    <w:div w:id="1015115741">
      <w:bodyDiv w:val="1"/>
      <w:marLeft w:val="0"/>
      <w:marRight w:val="0"/>
      <w:marTop w:val="0"/>
      <w:marBottom w:val="0"/>
      <w:divBdr>
        <w:top w:val="none" w:sz="0" w:space="0" w:color="auto"/>
        <w:left w:val="none" w:sz="0" w:space="0" w:color="auto"/>
        <w:bottom w:val="none" w:sz="0" w:space="0" w:color="auto"/>
        <w:right w:val="none" w:sz="0" w:space="0" w:color="auto"/>
      </w:divBdr>
    </w:div>
    <w:div w:id="1026250168">
      <w:bodyDiv w:val="1"/>
      <w:marLeft w:val="0"/>
      <w:marRight w:val="0"/>
      <w:marTop w:val="0"/>
      <w:marBottom w:val="0"/>
      <w:divBdr>
        <w:top w:val="none" w:sz="0" w:space="0" w:color="auto"/>
        <w:left w:val="none" w:sz="0" w:space="0" w:color="auto"/>
        <w:bottom w:val="none" w:sz="0" w:space="0" w:color="auto"/>
        <w:right w:val="none" w:sz="0" w:space="0" w:color="auto"/>
      </w:divBdr>
    </w:div>
    <w:div w:id="1036468253">
      <w:bodyDiv w:val="1"/>
      <w:marLeft w:val="0"/>
      <w:marRight w:val="0"/>
      <w:marTop w:val="0"/>
      <w:marBottom w:val="0"/>
      <w:divBdr>
        <w:top w:val="none" w:sz="0" w:space="0" w:color="auto"/>
        <w:left w:val="none" w:sz="0" w:space="0" w:color="auto"/>
        <w:bottom w:val="none" w:sz="0" w:space="0" w:color="auto"/>
        <w:right w:val="none" w:sz="0" w:space="0" w:color="auto"/>
      </w:divBdr>
    </w:div>
    <w:div w:id="1073770299">
      <w:bodyDiv w:val="1"/>
      <w:marLeft w:val="0"/>
      <w:marRight w:val="0"/>
      <w:marTop w:val="0"/>
      <w:marBottom w:val="0"/>
      <w:divBdr>
        <w:top w:val="none" w:sz="0" w:space="0" w:color="auto"/>
        <w:left w:val="none" w:sz="0" w:space="0" w:color="auto"/>
        <w:bottom w:val="none" w:sz="0" w:space="0" w:color="auto"/>
        <w:right w:val="none" w:sz="0" w:space="0" w:color="auto"/>
      </w:divBdr>
    </w:div>
    <w:div w:id="1127239109">
      <w:bodyDiv w:val="1"/>
      <w:marLeft w:val="0"/>
      <w:marRight w:val="0"/>
      <w:marTop w:val="0"/>
      <w:marBottom w:val="0"/>
      <w:divBdr>
        <w:top w:val="none" w:sz="0" w:space="0" w:color="auto"/>
        <w:left w:val="none" w:sz="0" w:space="0" w:color="auto"/>
        <w:bottom w:val="none" w:sz="0" w:space="0" w:color="auto"/>
        <w:right w:val="none" w:sz="0" w:space="0" w:color="auto"/>
      </w:divBdr>
    </w:div>
    <w:div w:id="1130125551">
      <w:bodyDiv w:val="1"/>
      <w:marLeft w:val="0"/>
      <w:marRight w:val="0"/>
      <w:marTop w:val="0"/>
      <w:marBottom w:val="0"/>
      <w:divBdr>
        <w:top w:val="none" w:sz="0" w:space="0" w:color="auto"/>
        <w:left w:val="none" w:sz="0" w:space="0" w:color="auto"/>
        <w:bottom w:val="none" w:sz="0" w:space="0" w:color="auto"/>
        <w:right w:val="none" w:sz="0" w:space="0" w:color="auto"/>
      </w:divBdr>
    </w:div>
    <w:div w:id="1133518853">
      <w:bodyDiv w:val="1"/>
      <w:marLeft w:val="0"/>
      <w:marRight w:val="0"/>
      <w:marTop w:val="0"/>
      <w:marBottom w:val="0"/>
      <w:divBdr>
        <w:top w:val="none" w:sz="0" w:space="0" w:color="auto"/>
        <w:left w:val="none" w:sz="0" w:space="0" w:color="auto"/>
        <w:bottom w:val="none" w:sz="0" w:space="0" w:color="auto"/>
        <w:right w:val="none" w:sz="0" w:space="0" w:color="auto"/>
      </w:divBdr>
    </w:div>
    <w:div w:id="1138843761">
      <w:bodyDiv w:val="1"/>
      <w:marLeft w:val="0"/>
      <w:marRight w:val="0"/>
      <w:marTop w:val="0"/>
      <w:marBottom w:val="0"/>
      <w:divBdr>
        <w:top w:val="none" w:sz="0" w:space="0" w:color="auto"/>
        <w:left w:val="none" w:sz="0" w:space="0" w:color="auto"/>
        <w:bottom w:val="none" w:sz="0" w:space="0" w:color="auto"/>
        <w:right w:val="none" w:sz="0" w:space="0" w:color="auto"/>
      </w:divBdr>
    </w:div>
    <w:div w:id="1167747664">
      <w:bodyDiv w:val="1"/>
      <w:marLeft w:val="0"/>
      <w:marRight w:val="0"/>
      <w:marTop w:val="0"/>
      <w:marBottom w:val="0"/>
      <w:divBdr>
        <w:top w:val="none" w:sz="0" w:space="0" w:color="auto"/>
        <w:left w:val="none" w:sz="0" w:space="0" w:color="auto"/>
        <w:bottom w:val="none" w:sz="0" w:space="0" w:color="auto"/>
        <w:right w:val="none" w:sz="0" w:space="0" w:color="auto"/>
      </w:divBdr>
    </w:div>
    <w:div w:id="1169173241">
      <w:bodyDiv w:val="1"/>
      <w:marLeft w:val="0"/>
      <w:marRight w:val="0"/>
      <w:marTop w:val="0"/>
      <w:marBottom w:val="0"/>
      <w:divBdr>
        <w:top w:val="none" w:sz="0" w:space="0" w:color="auto"/>
        <w:left w:val="none" w:sz="0" w:space="0" w:color="auto"/>
        <w:bottom w:val="none" w:sz="0" w:space="0" w:color="auto"/>
        <w:right w:val="none" w:sz="0" w:space="0" w:color="auto"/>
      </w:divBdr>
    </w:div>
    <w:div w:id="1187136848">
      <w:bodyDiv w:val="1"/>
      <w:marLeft w:val="0"/>
      <w:marRight w:val="0"/>
      <w:marTop w:val="0"/>
      <w:marBottom w:val="0"/>
      <w:divBdr>
        <w:top w:val="none" w:sz="0" w:space="0" w:color="auto"/>
        <w:left w:val="none" w:sz="0" w:space="0" w:color="auto"/>
        <w:bottom w:val="none" w:sz="0" w:space="0" w:color="auto"/>
        <w:right w:val="none" w:sz="0" w:space="0" w:color="auto"/>
      </w:divBdr>
    </w:div>
    <w:div w:id="1255940151">
      <w:bodyDiv w:val="1"/>
      <w:marLeft w:val="0"/>
      <w:marRight w:val="0"/>
      <w:marTop w:val="0"/>
      <w:marBottom w:val="0"/>
      <w:divBdr>
        <w:top w:val="none" w:sz="0" w:space="0" w:color="auto"/>
        <w:left w:val="none" w:sz="0" w:space="0" w:color="auto"/>
        <w:bottom w:val="none" w:sz="0" w:space="0" w:color="auto"/>
        <w:right w:val="none" w:sz="0" w:space="0" w:color="auto"/>
      </w:divBdr>
    </w:div>
    <w:div w:id="1299990491">
      <w:bodyDiv w:val="1"/>
      <w:marLeft w:val="0"/>
      <w:marRight w:val="0"/>
      <w:marTop w:val="0"/>
      <w:marBottom w:val="0"/>
      <w:divBdr>
        <w:top w:val="none" w:sz="0" w:space="0" w:color="auto"/>
        <w:left w:val="none" w:sz="0" w:space="0" w:color="auto"/>
        <w:bottom w:val="none" w:sz="0" w:space="0" w:color="auto"/>
        <w:right w:val="none" w:sz="0" w:space="0" w:color="auto"/>
      </w:divBdr>
    </w:div>
    <w:div w:id="1339430387">
      <w:bodyDiv w:val="1"/>
      <w:marLeft w:val="0"/>
      <w:marRight w:val="0"/>
      <w:marTop w:val="0"/>
      <w:marBottom w:val="0"/>
      <w:divBdr>
        <w:top w:val="none" w:sz="0" w:space="0" w:color="auto"/>
        <w:left w:val="none" w:sz="0" w:space="0" w:color="auto"/>
        <w:bottom w:val="none" w:sz="0" w:space="0" w:color="auto"/>
        <w:right w:val="none" w:sz="0" w:space="0" w:color="auto"/>
      </w:divBdr>
    </w:div>
    <w:div w:id="1423065005">
      <w:bodyDiv w:val="1"/>
      <w:marLeft w:val="0"/>
      <w:marRight w:val="0"/>
      <w:marTop w:val="0"/>
      <w:marBottom w:val="0"/>
      <w:divBdr>
        <w:top w:val="none" w:sz="0" w:space="0" w:color="auto"/>
        <w:left w:val="none" w:sz="0" w:space="0" w:color="auto"/>
        <w:bottom w:val="none" w:sz="0" w:space="0" w:color="auto"/>
        <w:right w:val="none" w:sz="0" w:space="0" w:color="auto"/>
      </w:divBdr>
    </w:div>
    <w:div w:id="1436558597">
      <w:bodyDiv w:val="1"/>
      <w:marLeft w:val="0"/>
      <w:marRight w:val="0"/>
      <w:marTop w:val="0"/>
      <w:marBottom w:val="0"/>
      <w:divBdr>
        <w:top w:val="none" w:sz="0" w:space="0" w:color="auto"/>
        <w:left w:val="none" w:sz="0" w:space="0" w:color="auto"/>
        <w:bottom w:val="none" w:sz="0" w:space="0" w:color="auto"/>
        <w:right w:val="none" w:sz="0" w:space="0" w:color="auto"/>
      </w:divBdr>
    </w:div>
    <w:div w:id="1436824071">
      <w:bodyDiv w:val="1"/>
      <w:marLeft w:val="0"/>
      <w:marRight w:val="0"/>
      <w:marTop w:val="0"/>
      <w:marBottom w:val="0"/>
      <w:divBdr>
        <w:top w:val="none" w:sz="0" w:space="0" w:color="auto"/>
        <w:left w:val="none" w:sz="0" w:space="0" w:color="auto"/>
        <w:bottom w:val="none" w:sz="0" w:space="0" w:color="auto"/>
        <w:right w:val="none" w:sz="0" w:space="0" w:color="auto"/>
      </w:divBdr>
    </w:div>
    <w:div w:id="1450004509">
      <w:bodyDiv w:val="1"/>
      <w:marLeft w:val="0"/>
      <w:marRight w:val="0"/>
      <w:marTop w:val="0"/>
      <w:marBottom w:val="0"/>
      <w:divBdr>
        <w:top w:val="none" w:sz="0" w:space="0" w:color="auto"/>
        <w:left w:val="none" w:sz="0" w:space="0" w:color="auto"/>
        <w:bottom w:val="none" w:sz="0" w:space="0" w:color="auto"/>
        <w:right w:val="none" w:sz="0" w:space="0" w:color="auto"/>
      </w:divBdr>
    </w:div>
    <w:div w:id="1453522964">
      <w:bodyDiv w:val="1"/>
      <w:marLeft w:val="0"/>
      <w:marRight w:val="0"/>
      <w:marTop w:val="0"/>
      <w:marBottom w:val="0"/>
      <w:divBdr>
        <w:top w:val="none" w:sz="0" w:space="0" w:color="auto"/>
        <w:left w:val="none" w:sz="0" w:space="0" w:color="auto"/>
        <w:bottom w:val="none" w:sz="0" w:space="0" w:color="auto"/>
        <w:right w:val="none" w:sz="0" w:space="0" w:color="auto"/>
      </w:divBdr>
    </w:div>
    <w:div w:id="1475635894">
      <w:bodyDiv w:val="1"/>
      <w:marLeft w:val="0"/>
      <w:marRight w:val="0"/>
      <w:marTop w:val="0"/>
      <w:marBottom w:val="0"/>
      <w:divBdr>
        <w:top w:val="none" w:sz="0" w:space="0" w:color="auto"/>
        <w:left w:val="none" w:sz="0" w:space="0" w:color="auto"/>
        <w:bottom w:val="none" w:sz="0" w:space="0" w:color="auto"/>
        <w:right w:val="none" w:sz="0" w:space="0" w:color="auto"/>
      </w:divBdr>
    </w:div>
    <w:div w:id="1476409097">
      <w:bodyDiv w:val="1"/>
      <w:marLeft w:val="0"/>
      <w:marRight w:val="0"/>
      <w:marTop w:val="0"/>
      <w:marBottom w:val="0"/>
      <w:divBdr>
        <w:top w:val="none" w:sz="0" w:space="0" w:color="auto"/>
        <w:left w:val="none" w:sz="0" w:space="0" w:color="auto"/>
        <w:bottom w:val="none" w:sz="0" w:space="0" w:color="auto"/>
        <w:right w:val="none" w:sz="0" w:space="0" w:color="auto"/>
      </w:divBdr>
    </w:div>
    <w:div w:id="1506745865">
      <w:bodyDiv w:val="1"/>
      <w:marLeft w:val="0"/>
      <w:marRight w:val="0"/>
      <w:marTop w:val="0"/>
      <w:marBottom w:val="0"/>
      <w:divBdr>
        <w:top w:val="none" w:sz="0" w:space="0" w:color="auto"/>
        <w:left w:val="none" w:sz="0" w:space="0" w:color="auto"/>
        <w:bottom w:val="none" w:sz="0" w:space="0" w:color="auto"/>
        <w:right w:val="none" w:sz="0" w:space="0" w:color="auto"/>
      </w:divBdr>
    </w:div>
    <w:div w:id="1524129428">
      <w:bodyDiv w:val="1"/>
      <w:marLeft w:val="0"/>
      <w:marRight w:val="0"/>
      <w:marTop w:val="0"/>
      <w:marBottom w:val="0"/>
      <w:divBdr>
        <w:top w:val="none" w:sz="0" w:space="0" w:color="auto"/>
        <w:left w:val="none" w:sz="0" w:space="0" w:color="auto"/>
        <w:bottom w:val="none" w:sz="0" w:space="0" w:color="auto"/>
        <w:right w:val="none" w:sz="0" w:space="0" w:color="auto"/>
      </w:divBdr>
    </w:div>
    <w:div w:id="1528526711">
      <w:bodyDiv w:val="1"/>
      <w:marLeft w:val="0"/>
      <w:marRight w:val="0"/>
      <w:marTop w:val="0"/>
      <w:marBottom w:val="0"/>
      <w:divBdr>
        <w:top w:val="none" w:sz="0" w:space="0" w:color="auto"/>
        <w:left w:val="none" w:sz="0" w:space="0" w:color="auto"/>
        <w:bottom w:val="none" w:sz="0" w:space="0" w:color="auto"/>
        <w:right w:val="none" w:sz="0" w:space="0" w:color="auto"/>
      </w:divBdr>
    </w:div>
    <w:div w:id="1528643806">
      <w:bodyDiv w:val="1"/>
      <w:marLeft w:val="0"/>
      <w:marRight w:val="0"/>
      <w:marTop w:val="0"/>
      <w:marBottom w:val="0"/>
      <w:divBdr>
        <w:top w:val="none" w:sz="0" w:space="0" w:color="auto"/>
        <w:left w:val="none" w:sz="0" w:space="0" w:color="auto"/>
        <w:bottom w:val="none" w:sz="0" w:space="0" w:color="auto"/>
        <w:right w:val="none" w:sz="0" w:space="0" w:color="auto"/>
      </w:divBdr>
    </w:div>
    <w:div w:id="1562406350">
      <w:bodyDiv w:val="1"/>
      <w:marLeft w:val="0"/>
      <w:marRight w:val="0"/>
      <w:marTop w:val="0"/>
      <w:marBottom w:val="0"/>
      <w:divBdr>
        <w:top w:val="none" w:sz="0" w:space="0" w:color="auto"/>
        <w:left w:val="none" w:sz="0" w:space="0" w:color="auto"/>
        <w:bottom w:val="none" w:sz="0" w:space="0" w:color="auto"/>
        <w:right w:val="none" w:sz="0" w:space="0" w:color="auto"/>
      </w:divBdr>
    </w:div>
    <w:div w:id="1569537752">
      <w:bodyDiv w:val="1"/>
      <w:marLeft w:val="0"/>
      <w:marRight w:val="0"/>
      <w:marTop w:val="0"/>
      <w:marBottom w:val="0"/>
      <w:divBdr>
        <w:top w:val="none" w:sz="0" w:space="0" w:color="auto"/>
        <w:left w:val="none" w:sz="0" w:space="0" w:color="auto"/>
        <w:bottom w:val="none" w:sz="0" w:space="0" w:color="auto"/>
        <w:right w:val="none" w:sz="0" w:space="0" w:color="auto"/>
      </w:divBdr>
    </w:div>
    <w:div w:id="1589120774">
      <w:bodyDiv w:val="1"/>
      <w:marLeft w:val="0"/>
      <w:marRight w:val="0"/>
      <w:marTop w:val="0"/>
      <w:marBottom w:val="0"/>
      <w:divBdr>
        <w:top w:val="none" w:sz="0" w:space="0" w:color="auto"/>
        <w:left w:val="none" w:sz="0" w:space="0" w:color="auto"/>
        <w:bottom w:val="none" w:sz="0" w:space="0" w:color="auto"/>
        <w:right w:val="none" w:sz="0" w:space="0" w:color="auto"/>
      </w:divBdr>
    </w:div>
    <w:div w:id="1619295804">
      <w:bodyDiv w:val="1"/>
      <w:marLeft w:val="0"/>
      <w:marRight w:val="0"/>
      <w:marTop w:val="0"/>
      <w:marBottom w:val="0"/>
      <w:divBdr>
        <w:top w:val="none" w:sz="0" w:space="0" w:color="auto"/>
        <w:left w:val="none" w:sz="0" w:space="0" w:color="auto"/>
        <w:bottom w:val="none" w:sz="0" w:space="0" w:color="auto"/>
        <w:right w:val="none" w:sz="0" w:space="0" w:color="auto"/>
      </w:divBdr>
    </w:div>
    <w:div w:id="1623921027">
      <w:bodyDiv w:val="1"/>
      <w:marLeft w:val="0"/>
      <w:marRight w:val="0"/>
      <w:marTop w:val="0"/>
      <w:marBottom w:val="0"/>
      <w:divBdr>
        <w:top w:val="none" w:sz="0" w:space="0" w:color="auto"/>
        <w:left w:val="none" w:sz="0" w:space="0" w:color="auto"/>
        <w:bottom w:val="none" w:sz="0" w:space="0" w:color="auto"/>
        <w:right w:val="none" w:sz="0" w:space="0" w:color="auto"/>
      </w:divBdr>
    </w:div>
    <w:div w:id="1659190300">
      <w:bodyDiv w:val="1"/>
      <w:marLeft w:val="0"/>
      <w:marRight w:val="0"/>
      <w:marTop w:val="0"/>
      <w:marBottom w:val="0"/>
      <w:divBdr>
        <w:top w:val="none" w:sz="0" w:space="0" w:color="auto"/>
        <w:left w:val="none" w:sz="0" w:space="0" w:color="auto"/>
        <w:bottom w:val="none" w:sz="0" w:space="0" w:color="auto"/>
        <w:right w:val="none" w:sz="0" w:space="0" w:color="auto"/>
      </w:divBdr>
    </w:div>
    <w:div w:id="1699425681">
      <w:bodyDiv w:val="1"/>
      <w:marLeft w:val="0"/>
      <w:marRight w:val="0"/>
      <w:marTop w:val="0"/>
      <w:marBottom w:val="0"/>
      <w:divBdr>
        <w:top w:val="none" w:sz="0" w:space="0" w:color="auto"/>
        <w:left w:val="none" w:sz="0" w:space="0" w:color="auto"/>
        <w:bottom w:val="none" w:sz="0" w:space="0" w:color="auto"/>
        <w:right w:val="none" w:sz="0" w:space="0" w:color="auto"/>
      </w:divBdr>
    </w:div>
    <w:div w:id="1716536621">
      <w:bodyDiv w:val="1"/>
      <w:marLeft w:val="0"/>
      <w:marRight w:val="0"/>
      <w:marTop w:val="0"/>
      <w:marBottom w:val="0"/>
      <w:divBdr>
        <w:top w:val="none" w:sz="0" w:space="0" w:color="auto"/>
        <w:left w:val="none" w:sz="0" w:space="0" w:color="auto"/>
        <w:bottom w:val="none" w:sz="0" w:space="0" w:color="auto"/>
        <w:right w:val="none" w:sz="0" w:space="0" w:color="auto"/>
      </w:divBdr>
    </w:div>
    <w:div w:id="1738940656">
      <w:bodyDiv w:val="1"/>
      <w:marLeft w:val="0"/>
      <w:marRight w:val="0"/>
      <w:marTop w:val="0"/>
      <w:marBottom w:val="0"/>
      <w:divBdr>
        <w:top w:val="none" w:sz="0" w:space="0" w:color="auto"/>
        <w:left w:val="none" w:sz="0" w:space="0" w:color="auto"/>
        <w:bottom w:val="none" w:sz="0" w:space="0" w:color="auto"/>
        <w:right w:val="none" w:sz="0" w:space="0" w:color="auto"/>
      </w:divBdr>
    </w:div>
    <w:div w:id="1739554205">
      <w:bodyDiv w:val="1"/>
      <w:marLeft w:val="0"/>
      <w:marRight w:val="0"/>
      <w:marTop w:val="0"/>
      <w:marBottom w:val="0"/>
      <w:divBdr>
        <w:top w:val="none" w:sz="0" w:space="0" w:color="auto"/>
        <w:left w:val="none" w:sz="0" w:space="0" w:color="auto"/>
        <w:bottom w:val="none" w:sz="0" w:space="0" w:color="auto"/>
        <w:right w:val="none" w:sz="0" w:space="0" w:color="auto"/>
      </w:divBdr>
    </w:div>
    <w:div w:id="1750540844">
      <w:bodyDiv w:val="1"/>
      <w:marLeft w:val="0"/>
      <w:marRight w:val="0"/>
      <w:marTop w:val="0"/>
      <w:marBottom w:val="0"/>
      <w:divBdr>
        <w:top w:val="none" w:sz="0" w:space="0" w:color="auto"/>
        <w:left w:val="none" w:sz="0" w:space="0" w:color="auto"/>
        <w:bottom w:val="none" w:sz="0" w:space="0" w:color="auto"/>
        <w:right w:val="none" w:sz="0" w:space="0" w:color="auto"/>
      </w:divBdr>
    </w:div>
    <w:div w:id="1758476105">
      <w:bodyDiv w:val="1"/>
      <w:marLeft w:val="0"/>
      <w:marRight w:val="0"/>
      <w:marTop w:val="0"/>
      <w:marBottom w:val="0"/>
      <w:divBdr>
        <w:top w:val="none" w:sz="0" w:space="0" w:color="auto"/>
        <w:left w:val="none" w:sz="0" w:space="0" w:color="auto"/>
        <w:bottom w:val="none" w:sz="0" w:space="0" w:color="auto"/>
        <w:right w:val="none" w:sz="0" w:space="0" w:color="auto"/>
      </w:divBdr>
    </w:div>
    <w:div w:id="1792018340">
      <w:bodyDiv w:val="1"/>
      <w:marLeft w:val="0"/>
      <w:marRight w:val="0"/>
      <w:marTop w:val="0"/>
      <w:marBottom w:val="0"/>
      <w:divBdr>
        <w:top w:val="none" w:sz="0" w:space="0" w:color="auto"/>
        <w:left w:val="none" w:sz="0" w:space="0" w:color="auto"/>
        <w:bottom w:val="none" w:sz="0" w:space="0" w:color="auto"/>
        <w:right w:val="none" w:sz="0" w:space="0" w:color="auto"/>
      </w:divBdr>
    </w:div>
    <w:div w:id="1792240420">
      <w:bodyDiv w:val="1"/>
      <w:marLeft w:val="0"/>
      <w:marRight w:val="0"/>
      <w:marTop w:val="0"/>
      <w:marBottom w:val="0"/>
      <w:divBdr>
        <w:top w:val="none" w:sz="0" w:space="0" w:color="auto"/>
        <w:left w:val="none" w:sz="0" w:space="0" w:color="auto"/>
        <w:bottom w:val="none" w:sz="0" w:space="0" w:color="auto"/>
        <w:right w:val="none" w:sz="0" w:space="0" w:color="auto"/>
      </w:divBdr>
    </w:div>
    <w:div w:id="1814911568">
      <w:bodyDiv w:val="1"/>
      <w:marLeft w:val="0"/>
      <w:marRight w:val="0"/>
      <w:marTop w:val="0"/>
      <w:marBottom w:val="0"/>
      <w:divBdr>
        <w:top w:val="none" w:sz="0" w:space="0" w:color="auto"/>
        <w:left w:val="none" w:sz="0" w:space="0" w:color="auto"/>
        <w:bottom w:val="none" w:sz="0" w:space="0" w:color="auto"/>
        <w:right w:val="none" w:sz="0" w:space="0" w:color="auto"/>
      </w:divBdr>
    </w:div>
    <w:div w:id="1866168861">
      <w:bodyDiv w:val="1"/>
      <w:marLeft w:val="0"/>
      <w:marRight w:val="0"/>
      <w:marTop w:val="0"/>
      <w:marBottom w:val="0"/>
      <w:divBdr>
        <w:top w:val="none" w:sz="0" w:space="0" w:color="auto"/>
        <w:left w:val="none" w:sz="0" w:space="0" w:color="auto"/>
        <w:bottom w:val="none" w:sz="0" w:space="0" w:color="auto"/>
        <w:right w:val="none" w:sz="0" w:space="0" w:color="auto"/>
      </w:divBdr>
    </w:div>
    <w:div w:id="1938056598">
      <w:bodyDiv w:val="1"/>
      <w:marLeft w:val="0"/>
      <w:marRight w:val="0"/>
      <w:marTop w:val="0"/>
      <w:marBottom w:val="0"/>
      <w:divBdr>
        <w:top w:val="none" w:sz="0" w:space="0" w:color="auto"/>
        <w:left w:val="none" w:sz="0" w:space="0" w:color="auto"/>
        <w:bottom w:val="none" w:sz="0" w:space="0" w:color="auto"/>
        <w:right w:val="none" w:sz="0" w:space="0" w:color="auto"/>
      </w:divBdr>
    </w:div>
    <w:div w:id="1946644337">
      <w:bodyDiv w:val="1"/>
      <w:marLeft w:val="0"/>
      <w:marRight w:val="0"/>
      <w:marTop w:val="0"/>
      <w:marBottom w:val="0"/>
      <w:divBdr>
        <w:top w:val="none" w:sz="0" w:space="0" w:color="auto"/>
        <w:left w:val="none" w:sz="0" w:space="0" w:color="auto"/>
        <w:bottom w:val="none" w:sz="0" w:space="0" w:color="auto"/>
        <w:right w:val="none" w:sz="0" w:space="0" w:color="auto"/>
      </w:divBdr>
    </w:div>
    <w:div w:id="1955746619">
      <w:bodyDiv w:val="1"/>
      <w:marLeft w:val="0"/>
      <w:marRight w:val="0"/>
      <w:marTop w:val="0"/>
      <w:marBottom w:val="0"/>
      <w:divBdr>
        <w:top w:val="none" w:sz="0" w:space="0" w:color="auto"/>
        <w:left w:val="none" w:sz="0" w:space="0" w:color="auto"/>
        <w:bottom w:val="none" w:sz="0" w:space="0" w:color="auto"/>
        <w:right w:val="none" w:sz="0" w:space="0" w:color="auto"/>
      </w:divBdr>
    </w:div>
    <w:div w:id="2034452861">
      <w:bodyDiv w:val="1"/>
      <w:marLeft w:val="0"/>
      <w:marRight w:val="0"/>
      <w:marTop w:val="0"/>
      <w:marBottom w:val="0"/>
      <w:divBdr>
        <w:top w:val="none" w:sz="0" w:space="0" w:color="auto"/>
        <w:left w:val="none" w:sz="0" w:space="0" w:color="auto"/>
        <w:bottom w:val="none" w:sz="0" w:space="0" w:color="auto"/>
        <w:right w:val="none" w:sz="0" w:space="0" w:color="auto"/>
      </w:divBdr>
    </w:div>
    <w:div w:id="2044944144">
      <w:bodyDiv w:val="1"/>
      <w:marLeft w:val="0"/>
      <w:marRight w:val="0"/>
      <w:marTop w:val="0"/>
      <w:marBottom w:val="0"/>
      <w:divBdr>
        <w:top w:val="none" w:sz="0" w:space="0" w:color="auto"/>
        <w:left w:val="none" w:sz="0" w:space="0" w:color="auto"/>
        <w:bottom w:val="none" w:sz="0" w:space="0" w:color="auto"/>
        <w:right w:val="none" w:sz="0" w:space="0" w:color="auto"/>
      </w:divBdr>
    </w:div>
    <w:div w:id="2050370092">
      <w:bodyDiv w:val="1"/>
      <w:marLeft w:val="0"/>
      <w:marRight w:val="0"/>
      <w:marTop w:val="0"/>
      <w:marBottom w:val="0"/>
      <w:divBdr>
        <w:top w:val="none" w:sz="0" w:space="0" w:color="auto"/>
        <w:left w:val="none" w:sz="0" w:space="0" w:color="auto"/>
        <w:bottom w:val="none" w:sz="0" w:space="0" w:color="auto"/>
        <w:right w:val="none" w:sz="0" w:space="0" w:color="auto"/>
      </w:divBdr>
    </w:div>
    <w:div w:id="2071152216">
      <w:bodyDiv w:val="1"/>
      <w:marLeft w:val="0"/>
      <w:marRight w:val="0"/>
      <w:marTop w:val="0"/>
      <w:marBottom w:val="0"/>
      <w:divBdr>
        <w:top w:val="none" w:sz="0" w:space="0" w:color="auto"/>
        <w:left w:val="none" w:sz="0" w:space="0" w:color="auto"/>
        <w:bottom w:val="none" w:sz="0" w:space="0" w:color="auto"/>
        <w:right w:val="none" w:sz="0" w:space="0" w:color="auto"/>
      </w:divBdr>
    </w:div>
    <w:div w:id="2072733380">
      <w:bodyDiv w:val="1"/>
      <w:marLeft w:val="0"/>
      <w:marRight w:val="0"/>
      <w:marTop w:val="0"/>
      <w:marBottom w:val="0"/>
      <w:divBdr>
        <w:top w:val="none" w:sz="0" w:space="0" w:color="auto"/>
        <w:left w:val="none" w:sz="0" w:space="0" w:color="auto"/>
        <w:bottom w:val="none" w:sz="0" w:space="0" w:color="auto"/>
        <w:right w:val="none" w:sz="0" w:space="0" w:color="auto"/>
      </w:divBdr>
    </w:div>
    <w:div w:id="2087259002">
      <w:bodyDiv w:val="1"/>
      <w:marLeft w:val="0"/>
      <w:marRight w:val="0"/>
      <w:marTop w:val="0"/>
      <w:marBottom w:val="0"/>
      <w:divBdr>
        <w:top w:val="none" w:sz="0" w:space="0" w:color="auto"/>
        <w:left w:val="none" w:sz="0" w:space="0" w:color="auto"/>
        <w:bottom w:val="none" w:sz="0" w:space="0" w:color="auto"/>
        <w:right w:val="none" w:sz="0" w:space="0" w:color="auto"/>
      </w:divBdr>
    </w:div>
    <w:div w:id="2095008639">
      <w:bodyDiv w:val="1"/>
      <w:marLeft w:val="0"/>
      <w:marRight w:val="0"/>
      <w:marTop w:val="0"/>
      <w:marBottom w:val="0"/>
      <w:divBdr>
        <w:top w:val="none" w:sz="0" w:space="0" w:color="auto"/>
        <w:left w:val="none" w:sz="0" w:space="0" w:color="auto"/>
        <w:bottom w:val="none" w:sz="0" w:space="0" w:color="auto"/>
        <w:right w:val="none" w:sz="0" w:space="0" w:color="auto"/>
      </w:divBdr>
    </w:div>
    <w:div w:id="2099905702">
      <w:bodyDiv w:val="1"/>
      <w:marLeft w:val="0"/>
      <w:marRight w:val="0"/>
      <w:marTop w:val="0"/>
      <w:marBottom w:val="0"/>
      <w:divBdr>
        <w:top w:val="none" w:sz="0" w:space="0" w:color="auto"/>
        <w:left w:val="none" w:sz="0" w:space="0" w:color="auto"/>
        <w:bottom w:val="none" w:sz="0" w:space="0" w:color="auto"/>
        <w:right w:val="none" w:sz="0" w:space="0" w:color="auto"/>
      </w:divBdr>
    </w:div>
    <w:div w:id="212850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jp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FA1067540C34780A5FE1211943DFA28"/>
        <w:category>
          <w:name w:val="General"/>
          <w:gallery w:val="placeholder"/>
        </w:category>
        <w:types>
          <w:type w:val="bbPlcHdr"/>
        </w:types>
        <w:behaviors>
          <w:behavior w:val="content"/>
        </w:behaviors>
        <w:guid w:val="{15F78625-8BA0-497D-BCD7-ABE42AFC902D}"/>
      </w:docPartPr>
      <w:docPartBody>
        <w:p w:rsidR="00201AC2" w:rsidRDefault="0019064D" w:rsidP="0019064D">
          <w:pPr>
            <w:pStyle w:val="0FA1067540C34780A5FE1211943DFA28"/>
          </w:pPr>
          <w:r>
            <w:rPr>
              <w:color w:val="156082" w:themeColor="accent1"/>
            </w:rPr>
            <w:t>[Document title]</w:t>
          </w:r>
        </w:p>
      </w:docPartBody>
    </w:docPart>
    <w:docPart>
      <w:docPartPr>
        <w:name w:val="8437ABE72B39474AA7AD6B3DD7D779D6"/>
        <w:category>
          <w:name w:val="General"/>
          <w:gallery w:val="placeholder"/>
        </w:category>
        <w:types>
          <w:type w:val="bbPlcHdr"/>
        </w:types>
        <w:behaviors>
          <w:behavior w:val="content"/>
        </w:behaviors>
        <w:guid w:val="{CB877B28-D02C-40BD-8012-93FABCA68841}"/>
      </w:docPartPr>
      <w:docPartBody>
        <w:p w:rsidR="00201AC2" w:rsidRDefault="0019064D" w:rsidP="0019064D">
          <w:pPr>
            <w:pStyle w:val="8437ABE72B39474AA7AD6B3DD7D779D6"/>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64D"/>
    <w:rsid w:val="0019064D"/>
    <w:rsid w:val="00201AC2"/>
    <w:rsid w:val="00483BE7"/>
    <w:rsid w:val="005A478F"/>
    <w:rsid w:val="005F76F3"/>
    <w:rsid w:val="006D79C9"/>
    <w:rsid w:val="009907E0"/>
    <w:rsid w:val="009A48D1"/>
    <w:rsid w:val="00C75467"/>
    <w:rsid w:val="00E57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A1067540C34780A5FE1211943DFA28">
    <w:name w:val="0FA1067540C34780A5FE1211943DFA28"/>
    <w:rsid w:val="0019064D"/>
  </w:style>
  <w:style w:type="paragraph" w:customStyle="1" w:styleId="8437ABE72B39474AA7AD6B3DD7D779D6">
    <w:name w:val="8437ABE72B39474AA7AD6B3DD7D779D6"/>
    <w:rsid w:val="001906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Produced For Module ACDB5013 - Safety &amp; Hazard Assessment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Wik24</b:Tag>
    <b:SourceType>InternetSite</b:SourceType>
    <b:Guid>{B899F7E4-6C69-4912-A332-429B44089534}</b:Guid>
    <b:Author>
      <b:Author>
        <b:Corporate>Wikipedia</b:Corporate>
      </b:Author>
    </b:Author>
    <b:Title>Sea Wolf (missile)</b:Title>
    <b:Year>2024</b:Year>
    <b:Month>May</b:Month>
    <b:Day>1</b:Day>
    <b:YearAccessed>2024</b:YearAccessed>
    <b:MonthAccessed>August</b:MonthAccessed>
    <b:DayAccessed>17</b:DayAccessed>
    <b:URL>https://en.wikipedia.org/wiki/Sea_Wolf_(missile)</b:URL>
    <b:RefOrder>1</b:RefOrder>
  </b:Source>
  <b:Source>
    <b:Tag>Nav13</b:Tag>
    <b:SourceType>InternetSite</b:SourceType>
    <b:Guid>{75EE3700-5F1E-4BE0-9A76-1F381B091A4D}</b:Guid>
    <b:Author>
      <b:Author>
        <b:Corporate>NavWeaps</b:Corporate>
      </b:Author>
    </b:Author>
    <b:Title>Sea Wolf GWS-25, GWS-26 and GWS-27</b:Title>
    <b:Year>2013</b:Year>
    <b:Month>December</b:Month>
    <b:Day>30</b:Day>
    <b:YearAccessed>2024</b:YearAccessed>
    <b:MonthAccessed>August</b:MonthAccessed>
    <b:DayAccessed>17</b:DayAccessed>
    <b:URL>http://www.navweaps.com/Weapons/WMBR_Sea_Wolf.php</b:URL>
    <b:RefOrder>2</b:RefOrder>
  </b:Source>
  <b:Source>
    <b:Tag>MOD24</b:Tag>
    <b:SourceType>InternetSite</b:SourceType>
    <b:Guid>{C75BFCA0-0AAB-4F92-B8D1-AFAF0A1EBCB4}</b:Guid>
    <b:Author>
      <b:Author>
        <b:Corporate>MOD Defence Euipment and Support</b:Corporate>
      </b:Author>
    </b:Author>
    <b:Title>Acquisition Saftey &amp; Envirnmental Managment System</b:Title>
    <b:YearAccessed>2024</b:YearAccessed>
    <b:MonthAccessed>August</b:MonthAccessed>
    <b:DayAccessed>17</b:DayAccessed>
    <b:URL>https://www.asems.mod.uk/</b:URL>
    <b:RefOrder>4</b:RefOrder>
  </b:Source>
  <b:Source>
    <b:Tag>UKM17</b:Tag>
    <b:SourceType>DocumentFromInternetSite</b:SourceType>
    <b:Guid>{A842D90E-77A4-40B5-BB35-BF0F7E91A1C9}</b:Guid>
    <b:Author>
      <b:Author>
        <b:Corporate>UK MOD </b:Corporate>
      </b:Author>
    </b:Author>
    <b:Title>Defence Standard 00-056 - Safety Management Requirements for Defence Systems</b:Title>
    <b:Year>2017</b:Year>
    <b:Month>Febuary</b:Month>
    <b:Day>28</b:Day>
    <b:YearAccessed>2024</b:YearAccessed>
    <b:MonthAccessed>August</b:MonthAccessed>
    <b:DayAccessed>17</b:DayAccessed>
    <b:URL>https://www.dstan.mod.uk/StanMIS</b:URL>
    <b:RefOrder>3</b:RefOrder>
  </b:Source>
  <b:Source>
    <b:Tag>NAT08</b:Tag>
    <b:SourceType>Report</b:SourceType>
    <b:Guid>{3B84C067-A199-4E54-BBF7-EB3F1EA4881B}</b:Guid>
    <b:Title>AOP-15 Ed3 - GUIDANCE ON THE ASSESSMENT OF THE SAFETY AND SUITABILITY FOR SERVICE OF NON-NUCLEAR MUNITIONS FOR NATO ARMED FORCES</b:Title>
    <b:Year>2008</b:Year>
    <b:Author>
      <b:Author>
        <b:Corporate>NATO International Staff - Defence Investment Devision</b:Corporate>
      </b:Author>
    </b:Author>
    <b:Publisher>NATO</b:Publisher>
    <b:RefOrder>5</b:RefOrder>
  </b:Source>
  <b:Source>
    <b:Tag>Hea24</b:Tag>
    <b:SourceType>InternetSite</b:SourceType>
    <b:Guid>{8E9FFB66-74BD-4103-9F14-80E2646BED07}</b:Guid>
    <b:Title>Explosives Autherisation and Licensing - Hazard Type</b:Title>
    <b:Author>
      <b:Author>
        <b:Corporate>Health and Safety Executive</b:Corporate>
      </b:Author>
    </b:Author>
    <b:YearAccessed>2024</b:YearAccessed>
    <b:MonthAccessed>August</b:MonthAccessed>
    <b:DayAccessed>17</b:DayAccessed>
    <b:URL>https://www.hse.gov.uk/explosives/licensing/hazard-classification.htm</b:URL>
    <b:RefOrder>6</b:RefOrder>
  </b:Source>
  <b:Source>
    <b:Tag>Min24</b:Tag>
    <b:SourceType>DocumentFromInternetSite</b:SourceType>
    <b:Guid>{190E7409-4153-45BC-A268-A46B8F12CC4D}</b:Guid>
    <b:Title>Management of health and safety in defence: safety forms (JSP 375)</b:Title>
    <b:Year>2024</b:Year>
    <b:Month>May</b:Month>
    <b:Day>7</b:Day>
    <b:YearAccessed>2024</b:YearAccessed>
    <b:MonthAccessed>August</b:MonthAccessed>
    <b:DayAccessed>17</b:DayAccessed>
    <b:URL>https://www.gov.uk/government/publications/jsp-375-health-and-safety-handbook-safety-forms</b:URL>
    <b:Author>
      <b:Author>
        <b:Corporate>Ministry of Defence</b:Corporate>
      </b:Author>
    </b:Author>
    <b:RefOrder>7</b:RefOrder>
  </b:Source>
  <b:Source>
    <b:Tag>Min241</b:Tag>
    <b:SourceType>DocumentFromInternetSite</b:SourceType>
    <b:Guid>{DEDD13DF-851B-47A6-90B5-046E51FDF36A}</b:Guid>
    <b:Author>
      <b:Author>
        <b:Corporate>Ministry of Defence</b:Corporate>
      </b:Author>
    </b:Author>
    <b:Title>Management of health and safety in defence: arrangements (JSP 375 volume 1)</b:Title>
    <b:Year>2024</b:Year>
    <b:Month>July</b:Month>
    <b:Day>24</b:Day>
    <b:YearAccessed>2024</b:YearAccessed>
    <b:MonthAccessed>August</b:MonthAccessed>
    <b:DayAccessed>17</b:DayAccessed>
    <b:URL>https://www.gov.uk/government/publications/jsp-375-health-and-safety-handbook-volume-2</b:URL>
    <b:RefOrder>8</b:RefOrder>
  </b:Source>
  <b:Source>
    <b:Tag>Def19</b:Tag>
    <b:SourceType>Report</b:SourceType>
    <b:Guid>{C2FFFA34-5FF2-405F-963F-A793A6EE1F67}</b:Guid>
    <b:Title>DSA 03.OME Part 2 (JSP 482) - Defence Code of Practice (DCOP) and Guidance Notes for In-Service and Operational Safety Management of OME</b:Title>
    <b:Year>2019 </b:Year>
    <b:Author>
      <b:Author>
        <b:Corporate>Defence OME Safety Regulator</b:Corporate>
      </b:Author>
    </b:Author>
    <b:Publisher>MOD</b:Publisher>
    <b:RefOrder>10</b:RefOrder>
  </b:Source>
  <b:Source>
    <b:Tag>Wik23</b:Tag>
    <b:SourceType>InternetSite</b:SourceType>
    <b:Guid>{183303DB-D98D-4492-AE88-ABF22DA3597B}</b:Guid>
    <b:Title>RAF Fauld explosion</b:Title>
    <b:Year>2023</b:Year>
    <b:Author>
      <b:Author>
        <b:Corporate>Wikipedia</b:Corporate>
      </b:Author>
    </b:Author>
    <b:Month>September</b:Month>
    <b:Day>28</b:Day>
    <b:YearAccessed>2024</b:YearAccessed>
    <b:MonthAccessed>August</b:MonthAccessed>
    <b:DayAccessed>27</b:DayAccessed>
    <b:URL>https://en.wikipedia.org/wiki/RAF_Fauld_explosion</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9E0854-6A46-4DB7-B627-6262CD1BC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18</Pages>
  <Words>3256</Words>
  <Characters>18563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Storage of Sea Wolf Missiles:  Risk Assessment and ALARP Justification</vt:lpstr>
    </vt:vector>
  </TitlesOfParts>
  <Company/>
  <LinksUpToDate>false</LinksUpToDate>
  <CharactersWithSpaces>21776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Storage of Sea Wolf Missiles:  Risk Assessment and ALARP Justification</dc:title>
  <dc:subject/>
  <dc:creator>Leo Smith (2217998)</dc:creator>
  <cp:keywords/>
  <dc:description/>
  <cp:lastModifiedBy>Leo Smith (2217998)</cp:lastModifiedBy>
  <cp:revision>3</cp:revision>
  <dcterms:created xsi:type="dcterms:W3CDTF">2024-08-17T12:40:00Z</dcterms:created>
  <dcterms:modified xsi:type="dcterms:W3CDTF">2024-09-10T18:30:00Z</dcterms:modified>
</cp:coreProperties>
</file>