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C05E54" w14:textId="77777777" w:rsidR="006727DA" w:rsidRPr="006727DA" w:rsidRDefault="006727DA" w:rsidP="006727DA">
      <w:pPr>
        <w:jc w:val="both"/>
        <w:rPr>
          <w:lang w:val="en-US"/>
        </w:rPr>
      </w:pPr>
      <w:r w:rsidRPr="006727DA">
        <w:rPr>
          <w:lang w:val="en-US"/>
        </w:rPr>
        <w:t xml:space="preserve">Analysis of </w:t>
      </w:r>
      <w:proofErr w:type="gramStart"/>
      <w:r w:rsidRPr="006727DA">
        <w:rPr>
          <w:lang w:val="en-US"/>
        </w:rPr>
        <w:t>the February</w:t>
      </w:r>
      <w:proofErr w:type="gramEnd"/>
      <w:r w:rsidRPr="006727DA">
        <w:rPr>
          <w:lang w:val="en-US"/>
        </w:rPr>
        <w:t xml:space="preserve"> 2024 ALPHV/</w:t>
      </w:r>
      <w:proofErr w:type="spellStart"/>
      <w:r w:rsidRPr="006727DA">
        <w:rPr>
          <w:lang w:val="en-US"/>
        </w:rPr>
        <w:t>BlackCat</w:t>
      </w:r>
      <w:proofErr w:type="spellEnd"/>
      <w:r w:rsidRPr="006727DA">
        <w:rPr>
          <w:lang w:val="en-US"/>
        </w:rPr>
        <w:t xml:space="preserve"> Ransomware Attack on Change Healthcare</w:t>
      </w:r>
    </w:p>
    <w:p w14:paraId="15EFA4BE" w14:textId="77777777" w:rsidR="006727DA" w:rsidRPr="006727DA" w:rsidRDefault="006727DA" w:rsidP="006727DA">
      <w:pPr>
        <w:jc w:val="both"/>
        <w:rPr>
          <w:lang w:val="en-US"/>
        </w:rPr>
      </w:pPr>
      <w:r w:rsidRPr="006727DA">
        <w:rPr>
          <w:lang w:val="en-US"/>
        </w:rPr>
        <w:t>Introduction</w:t>
      </w:r>
    </w:p>
    <w:p w14:paraId="258FD9E7" w14:textId="730DB3D3" w:rsidR="006727DA" w:rsidRPr="006727DA" w:rsidRDefault="006727DA" w:rsidP="006727DA">
      <w:pPr>
        <w:jc w:val="both"/>
        <w:rPr>
          <w:lang w:val="en-US"/>
        </w:rPr>
      </w:pPr>
      <w:r w:rsidRPr="006727DA">
        <w:rPr>
          <w:lang w:val="en-US"/>
        </w:rPr>
        <w:t>A significant ransomware incident hit Change Healthcare, a UnitedHealth Group subsidiary that handles approximately one-third of U.S. healthcare transactions, in February 2024, leading to nationwide effects. The attackers were reportedly part of the ALPHV/</w:t>
      </w:r>
      <w:proofErr w:type="spellStart"/>
      <w:r w:rsidRPr="006727DA">
        <w:rPr>
          <w:lang w:val="en-US"/>
        </w:rPr>
        <w:t>BlackCat</w:t>
      </w:r>
      <w:proofErr w:type="spellEnd"/>
      <w:r w:rsidRPr="006727DA">
        <w:rPr>
          <w:lang w:val="en-US"/>
        </w:rPr>
        <w:t xml:space="preserve"> ransomware group, a well-known ransomware-as-a-service (RaaS) gang. The attack is believed to be the most significant cyberattack on the U.S. healthcare system to date. The American Hospital Association Leadership had stated it as "the most significant and consequential incident of its kind against the U.S. healthcare system in history" [1]. In breaching the company, the attackers obtained a significant trove of sensitive data (reported to range as high as </w:t>
      </w:r>
      <w:r>
        <w:rPr>
          <w:lang w:val="en-US"/>
        </w:rPr>
        <w:t>six</w:t>
      </w:r>
      <w:r w:rsidRPr="006727DA">
        <w:rPr>
          <w:lang w:val="en-US"/>
        </w:rPr>
        <w:t xml:space="preserve"> terabytes of information, including patient records and Social Security numbers). They ultimately locked up </w:t>
      </w:r>
      <w:r>
        <w:rPr>
          <w:lang w:val="en-US"/>
        </w:rPr>
        <w:t>life-saving equipment</w:t>
      </w:r>
      <w:r w:rsidRPr="006727DA">
        <w:rPr>
          <w:lang w:val="en-US"/>
        </w:rPr>
        <w:t>, devastating healthcare services in all 50 states [1]. UnitedHealth</w:t>
      </w:r>
      <w:r w:rsidRPr="006727DA">
        <w:rPr>
          <w:lang w:val="en-US"/>
        </w:rPr>
        <w:t> </w:t>
      </w:r>
      <w:r w:rsidRPr="006727DA">
        <w:rPr>
          <w:lang w:val="en-US"/>
        </w:rPr>
        <w:t xml:space="preserve">Group </w:t>
      </w:r>
      <w:r>
        <w:rPr>
          <w:lang w:val="en-US"/>
        </w:rPr>
        <w:t>ultimately paid USD 22 million, although only a small portion</w:t>
      </w:r>
      <w:r w:rsidRPr="006727DA">
        <w:rPr>
          <w:lang w:val="en-US"/>
        </w:rPr>
        <w:t xml:space="preserve"> of the stolen information was returned [2]. In total, the breach compromised personal health information for approximately 190 million individuals, making it the most significant healthcare data breach ever recorded in the United States [3]. This article breaks down the timeline, TTPs of the attack as well as their features and how they can be countered, but </w:t>
      </w:r>
      <w:proofErr w:type="gramStart"/>
      <w:r w:rsidRPr="006727DA">
        <w:rPr>
          <w:lang w:val="en-US"/>
        </w:rPr>
        <w:t>also</w:t>
      </w:r>
      <w:proofErr w:type="gramEnd"/>
      <w:r w:rsidRPr="006727DA">
        <w:rPr>
          <w:lang w:val="en-US"/>
        </w:rPr>
        <w:t xml:space="preserve"> we will uncover the root causes </w:t>
      </w:r>
      <w:r>
        <w:rPr>
          <w:lang w:val="en-US"/>
        </w:rPr>
        <w:t>and strategic</w:t>
      </w:r>
      <w:r w:rsidRPr="006727DA">
        <w:rPr>
          <w:lang w:val="en-US"/>
        </w:rPr>
        <w:t xml:space="preserve"> mitigations to avoid similar situations in future.</w:t>
      </w:r>
    </w:p>
    <w:p w14:paraId="1AA73455" w14:textId="77777777" w:rsidR="006727DA" w:rsidRPr="006727DA" w:rsidRDefault="006727DA" w:rsidP="006727DA">
      <w:pPr>
        <w:jc w:val="both"/>
        <w:rPr>
          <w:lang w:val="en-US"/>
        </w:rPr>
      </w:pPr>
      <w:r w:rsidRPr="006727DA">
        <w:rPr>
          <w:lang w:val="en-US"/>
        </w:rPr>
        <w:t>Attack Timeline</w:t>
      </w:r>
    </w:p>
    <w:p w14:paraId="1B8F6A50" w14:textId="77777777" w:rsidR="006727DA" w:rsidRPr="006727DA" w:rsidRDefault="006727DA" w:rsidP="006727DA">
      <w:pPr>
        <w:numPr>
          <w:ilvl w:val="0"/>
          <w:numId w:val="7"/>
        </w:numPr>
        <w:jc w:val="both"/>
        <w:rPr>
          <w:lang w:val="en-US"/>
        </w:rPr>
      </w:pPr>
      <w:r w:rsidRPr="006727DA">
        <w:rPr>
          <w:b/>
          <w:bCs/>
          <w:lang w:val="en-US"/>
        </w:rPr>
        <w:t>Early to Mid-February 2024 – Initial Breach:</w:t>
      </w:r>
      <w:r w:rsidRPr="006727DA">
        <w:rPr>
          <w:lang w:val="en-US"/>
        </w:rPr>
        <w:t xml:space="preserve"> On 11–12 February 2024, attackers affiliated with </w:t>
      </w:r>
      <w:proofErr w:type="spellStart"/>
      <w:r w:rsidRPr="006727DA">
        <w:rPr>
          <w:lang w:val="en-US"/>
        </w:rPr>
        <w:t>BlackCat</w:t>
      </w:r>
      <w:proofErr w:type="spellEnd"/>
      <w:r w:rsidRPr="006727DA">
        <w:rPr>
          <w:lang w:val="en-US"/>
        </w:rPr>
        <w:t xml:space="preserve"> gained initial access to Change Healthcare's network. According to congressional testimony, the hackers used compromised user credentials to remotely log into a Citrix remote access portal that lacked multifactor Authentication (MFA) [2]. The intruders then spent the next nine days inside the network, moving laterally and stealing data, remaining undetected by the </w:t>
      </w:r>
      <w:proofErr w:type="spellStart"/>
      <w:r w:rsidRPr="006727DA">
        <w:rPr>
          <w:lang w:val="en-US"/>
        </w:rPr>
        <w:t>organisation's</w:t>
      </w:r>
      <w:proofErr w:type="spellEnd"/>
      <w:r w:rsidRPr="006727DA">
        <w:rPr>
          <w:lang w:val="en-US"/>
        </w:rPr>
        <w:t xml:space="preserve"> security monitoring [3].</w:t>
      </w:r>
    </w:p>
    <w:p w14:paraId="67EE32D6" w14:textId="77777777" w:rsidR="006727DA" w:rsidRPr="006727DA" w:rsidRDefault="006727DA" w:rsidP="006727DA">
      <w:pPr>
        <w:numPr>
          <w:ilvl w:val="0"/>
          <w:numId w:val="7"/>
        </w:numPr>
        <w:jc w:val="both"/>
        <w:rPr>
          <w:lang w:val="en-US"/>
        </w:rPr>
      </w:pPr>
      <w:r w:rsidRPr="006727DA">
        <w:rPr>
          <w:b/>
          <w:bCs/>
          <w:lang w:val="en-US"/>
        </w:rPr>
        <w:t>Feb. 21, 2024 – Ransomware Detected:</w:t>
      </w:r>
      <w:r w:rsidRPr="006727DA">
        <w:rPr>
          <w:lang w:val="en-US"/>
        </w:rPr>
        <w:t xml:space="preserve"> In early February, the </w:t>
      </w:r>
      <w:proofErr w:type="spellStart"/>
      <w:r w:rsidRPr="006727DA">
        <w:rPr>
          <w:lang w:val="en-US"/>
        </w:rPr>
        <w:t>BlackCat</w:t>
      </w:r>
      <w:proofErr w:type="spellEnd"/>
      <w:r w:rsidRPr="006727DA">
        <w:rPr>
          <w:lang w:val="en-US"/>
        </w:rPr>
        <w:t xml:space="preserve"> ransomware was executed on Change Healthcare's servers, encrypting files across the enterprise [2][3]. Change Healthcare's IT staff discovered the ongoing attack that day and began shutting down systems and taking equipment offline to halt the further spread of the malware [1]. Such a sudden closure of core platforms effectively suspended the majority of health service provision not only in the </w:t>
      </w:r>
      <w:proofErr w:type="spellStart"/>
      <w:r w:rsidRPr="006727DA">
        <w:rPr>
          <w:lang w:val="en-US"/>
        </w:rPr>
        <w:t>Hagaz</w:t>
      </w:r>
      <w:proofErr w:type="spellEnd"/>
      <w:r w:rsidRPr="006727DA">
        <w:rPr>
          <w:lang w:val="en-US"/>
        </w:rPr>
        <w:t xml:space="preserve"> sub-zone, but also nationwide.</w:t>
      </w:r>
    </w:p>
    <w:p w14:paraId="3821294A" w14:textId="77777777" w:rsidR="006727DA" w:rsidRPr="006727DA" w:rsidRDefault="006727DA" w:rsidP="006727DA">
      <w:pPr>
        <w:numPr>
          <w:ilvl w:val="0"/>
          <w:numId w:val="7"/>
        </w:numPr>
        <w:jc w:val="both"/>
        <w:rPr>
          <w:lang w:val="en-US"/>
        </w:rPr>
      </w:pPr>
      <w:r w:rsidRPr="006727DA">
        <w:rPr>
          <w:b/>
          <w:bCs/>
          <w:lang w:val="en-US"/>
        </w:rPr>
        <w:t>Late February 2024 – Public Disclosure and Threats:</w:t>
      </w:r>
      <w:r w:rsidRPr="006727DA">
        <w:rPr>
          <w:lang w:val="en-US"/>
        </w:rPr>
        <w:t xml:space="preserve"> By Feb. 26, the </w:t>
      </w:r>
      <w:proofErr w:type="spellStart"/>
      <w:r w:rsidRPr="006727DA">
        <w:rPr>
          <w:b/>
          <w:bCs/>
          <w:lang w:val="en-US"/>
        </w:rPr>
        <w:t>BlackCat</w:t>
      </w:r>
      <w:proofErr w:type="spellEnd"/>
      <w:r w:rsidRPr="006727DA">
        <w:rPr>
          <w:b/>
          <w:bCs/>
          <w:lang w:val="en-US"/>
        </w:rPr>
        <w:t xml:space="preserve"> gang claimed responsibility</w:t>
      </w:r>
      <w:r w:rsidRPr="006727DA">
        <w:rPr>
          <w:lang w:val="en-US"/>
        </w:rPr>
        <w:t xml:space="preserve"> for the attack via their leak site, threatening to publish stolen data if their demands were not met [1]. On Feb. 29, Change Healthcare officially confirmed </w:t>
      </w:r>
      <w:proofErr w:type="spellStart"/>
      <w:r w:rsidRPr="006727DA">
        <w:rPr>
          <w:lang w:val="en-US"/>
        </w:rPr>
        <w:t>BlackCat's</w:t>
      </w:r>
      <w:proofErr w:type="spellEnd"/>
      <w:r w:rsidRPr="006727DA">
        <w:rPr>
          <w:lang w:val="en-US"/>
        </w:rPr>
        <w:t xml:space="preserve"> responsibility. It revealed that approximately </w:t>
      </w:r>
      <w:r w:rsidRPr="006727DA">
        <w:rPr>
          <w:b/>
          <w:bCs/>
          <w:lang w:val="en-US"/>
        </w:rPr>
        <w:t>6 TB of data</w:t>
      </w:r>
      <w:r w:rsidRPr="006727DA">
        <w:rPr>
          <w:lang w:val="en-US"/>
        </w:rPr>
        <w:t xml:space="preserve"> had been stolen, including patient Social Security numbers, medical records, and even records involving military personnel [1].</w:t>
      </w:r>
    </w:p>
    <w:p w14:paraId="6B39C4C9" w14:textId="5BB07BC8" w:rsidR="006727DA" w:rsidRPr="006727DA" w:rsidRDefault="006727DA" w:rsidP="006727DA">
      <w:pPr>
        <w:numPr>
          <w:ilvl w:val="0"/>
          <w:numId w:val="7"/>
        </w:numPr>
        <w:jc w:val="both"/>
        <w:rPr>
          <w:lang w:val="en-US"/>
        </w:rPr>
      </w:pPr>
      <w:r w:rsidRPr="006727DA">
        <w:rPr>
          <w:b/>
          <w:bCs/>
          <w:lang w:val="en-US"/>
        </w:rPr>
        <w:lastRenderedPageBreak/>
        <w:t>Early March 2024 – Ransom Payment and Mitigation Efforts:</w:t>
      </w:r>
      <w:r w:rsidRPr="006727DA">
        <w:rPr>
          <w:lang w:val="en-US"/>
        </w:rPr>
        <w:t xml:space="preserve"> Facing mounting pressure, UnitedHealth Group (Change Healthcare's parent) </w:t>
      </w:r>
      <w:proofErr w:type="spellStart"/>
      <w:r w:rsidRPr="006727DA">
        <w:rPr>
          <w:lang w:val="en-US"/>
        </w:rPr>
        <w:t>authorised</w:t>
      </w:r>
      <w:proofErr w:type="spellEnd"/>
      <w:r w:rsidRPr="006727DA">
        <w:rPr>
          <w:lang w:val="en-US"/>
        </w:rPr>
        <w:t xml:space="preserve"> a ransom payment of 22 million in Bitcoin to </w:t>
      </w:r>
      <w:proofErr w:type="spellStart"/>
      <w:r w:rsidRPr="006727DA">
        <w:rPr>
          <w:lang w:val="en-US"/>
        </w:rPr>
        <w:t>BlackCat</w:t>
      </w:r>
      <w:proofErr w:type="spellEnd"/>
      <w:r w:rsidRPr="006727DA">
        <w:rPr>
          <w:lang w:val="en-US"/>
        </w:rPr>
        <w:t xml:space="preserve"> in early March 2024 [2]. Even though the ransom was paid, the hackers still did not return the data or decryption keys, a sobering reminder that paying a ransom is no guarantee of recovery. At the same time, UnitedHealth's Optum division quickly created an emergency financial assistance </w:t>
      </w:r>
      <w:proofErr w:type="spellStart"/>
      <w:r w:rsidRPr="006727DA">
        <w:rPr>
          <w:lang w:val="en-US"/>
        </w:rPr>
        <w:t>programme</w:t>
      </w:r>
      <w:proofErr w:type="spellEnd"/>
      <w:r w:rsidRPr="006727DA">
        <w:rPr>
          <w:lang w:val="en-US"/>
        </w:rPr>
        <w:t xml:space="preserve"> for hospitals and clinics that had been affected by the outage, providing them with zero-interest loans to ease cash-flow problems while their claims </w:t>
      </w:r>
      <w:r>
        <w:rPr>
          <w:lang w:val="en-US"/>
        </w:rPr>
        <w:t>systems were</w:t>
      </w:r>
      <w:r w:rsidRPr="006727DA">
        <w:rPr>
          <w:lang w:val="en-US"/>
        </w:rPr>
        <w:t xml:space="preserve"> inoperable.</w:t>
      </w:r>
    </w:p>
    <w:p w14:paraId="223F491C" w14:textId="216636C4" w:rsidR="006727DA" w:rsidRPr="006727DA" w:rsidRDefault="006727DA" w:rsidP="006727DA">
      <w:pPr>
        <w:numPr>
          <w:ilvl w:val="0"/>
          <w:numId w:val="7"/>
        </w:numPr>
        <w:jc w:val="both"/>
        <w:rPr>
          <w:lang w:val="en-US"/>
        </w:rPr>
      </w:pPr>
      <w:r w:rsidRPr="006727DA">
        <w:rPr>
          <w:b/>
          <w:bCs/>
          <w:lang w:val="en-US"/>
        </w:rPr>
        <w:t>April 2024 – Secondary Extortion Attempt:</w:t>
      </w:r>
      <w:r w:rsidRPr="006727DA">
        <w:rPr>
          <w:lang w:val="en-US"/>
        </w:rPr>
        <w:t xml:space="preserve"> In April 2024, a second ransomware group, known as "</w:t>
      </w:r>
      <w:proofErr w:type="spellStart"/>
      <w:r w:rsidRPr="006727DA">
        <w:rPr>
          <w:lang w:val="en-US"/>
        </w:rPr>
        <w:t>RansomHub</w:t>
      </w:r>
      <w:proofErr w:type="spellEnd"/>
      <w:r w:rsidRPr="006727DA">
        <w:rPr>
          <w:lang w:val="en-US"/>
        </w:rPr>
        <w:t xml:space="preserve">," emerged, claiming to have obtained a copy of Change Healthcare's stolen data (likely from a disgruntled </w:t>
      </w:r>
      <w:proofErr w:type="spellStart"/>
      <w:r w:rsidRPr="006727DA">
        <w:rPr>
          <w:lang w:val="en-US"/>
        </w:rPr>
        <w:t>BlackCat</w:t>
      </w:r>
      <w:proofErr w:type="spellEnd"/>
      <w:r w:rsidRPr="006727DA">
        <w:rPr>
          <w:lang w:val="en-US"/>
        </w:rPr>
        <w:t xml:space="preserve"> affiliate) and attempted further extortion [1]. </w:t>
      </w:r>
      <w:proofErr w:type="spellStart"/>
      <w:r w:rsidRPr="006727DA">
        <w:rPr>
          <w:lang w:val="en-US"/>
        </w:rPr>
        <w:t>RansomHub</w:t>
      </w:r>
      <w:proofErr w:type="spellEnd"/>
      <w:r w:rsidRPr="006727DA">
        <w:rPr>
          <w:lang w:val="en-US"/>
        </w:rPr>
        <w:t xml:space="preserve"> released sample data and threatened to auction the entire haul to the highest bidder, highlighting how data can remain </w:t>
      </w:r>
      <w:r>
        <w:rPr>
          <w:lang w:val="en-US"/>
        </w:rPr>
        <w:t>exposed even</w:t>
      </w:r>
      <w:r w:rsidRPr="006727DA">
        <w:rPr>
          <w:lang w:val="en-US"/>
        </w:rPr>
        <w:t xml:space="preserve"> after a ransomware attack has been contained.</w:t>
      </w:r>
    </w:p>
    <w:p w14:paraId="70E474D6" w14:textId="60B03CAE" w:rsidR="006727DA" w:rsidRPr="006727DA" w:rsidRDefault="006727DA" w:rsidP="006727DA">
      <w:pPr>
        <w:numPr>
          <w:ilvl w:val="0"/>
          <w:numId w:val="7"/>
        </w:numPr>
        <w:jc w:val="both"/>
        <w:rPr>
          <w:lang w:val="en-US"/>
        </w:rPr>
      </w:pPr>
      <w:r w:rsidRPr="006727DA">
        <w:rPr>
          <w:b/>
          <w:bCs/>
          <w:lang w:val="en-US"/>
        </w:rPr>
        <w:t>Mid–to–late 2024 – Recovery and Impact Assessment:</w:t>
      </w:r>
      <w:r w:rsidRPr="006727DA">
        <w:rPr>
          <w:lang w:val="en-US"/>
        </w:rPr>
        <w:t xml:space="preserve"> Recovery of services. At the end of May, Change Healthcare began recovering over a period of weeks and months; core clearinghouse operations were reported as fully operational by late 2024. However, the downstream effects persisted for months, with </w:t>
      </w:r>
      <w:r>
        <w:rPr>
          <w:lang w:val="en-US"/>
        </w:rPr>
        <w:t>many providers</w:t>
      </w:r>
      <w:r w:rsidRPr="006727DA">
        <w:rPr>
          <w:lang w:val="en-US"/>
        </w:rPr>
        <w:t xml:space="preserve"> still struggling to clear their billing backlogs and facing financial difficulties. By July 2024, Change Healthcare began issuing breach notifications, initially estimating that around 100 million individuals were affected, a number that continued to climb as data analysis progressed [3]. By early 2025, federal filings indicated that approximately </w:t>
      </w:r>
      <w:r w:rsidRPr="006727DA">
        <w:rPr>
          <w:b/>
          <w:bCs/>
          <w:lang w:val="en-US"/>
        </w:rPr>
        <w:t>190 million patients and consumers</w:t>
      </w:r>
      <w:r w:rsidRPr="006727DA">
        <w:rPr>
          <w:lang w:val="en-US"/>
        </w:rPr>
        <w:t xml:space="preserve"> had their data compromised – more than half the U.S. population – dwarfing any previous healthcare breach [3]. In the aftermath, the incident also led to numerous lawsuits and multiple state and federal investigations, reflecting the widespread fallout of this attack.</w:t>
      </w:r>
    </w:p>
    <w:p w14:paraId="07632264" w14:textId="77777777" w:rsidR="006727DA" w:rsidRPr="006727DA" w:rsidRDefault="006727DA" w:rsidP="006727DA">
      <w:pPr>
        <w:jc w:val="both"/>
        <w:rPr>
          <w:lang w:val="en-US"/>
        </w:rPr>
      </w:pPr>
      <w:r w:rsidRPr="006727DA">
        <w:rPr>
          <w:lang w:val="en-US"/>
        </w:rPr>
        <w:t>MITRE ATT&amp;CK TTPs</w:t>
      </w:r>
    </w:p>
    <w:p w14:paraId="012B187E" w14:textId="0CACCF55" w:rsidR="006727DA" w:rsidRPr="006727DA" w:rsidRDefault="006727DA" w:rsidP="006727DA">
      <w:pPr>
        <w:jc w:val="both"/>
        <w:rPr>
          <w:lang w:val="en-US"/>
        </w:rPr>
      </w:pPr>
      <w:r w:rsidRPr="006727DA">
        <w:rPr>
          <w:lang w:val="en-US"/>
        </w:rPr>
        <w:t>The ALPHV/</w:t>
      </w:r>
      <w:proofErr w:type="spellStart"/>
      <w:r w:rsidRPr="006727DA">
        <w:rPr>
          <w:lang w:val="en-US"/>
        </w:rPr>
        <w:t>BlackCat</w:t>
      </w:r>
      <w:proofErr w:type="spellEnd"/>
      <w:r w:rsidRPr="006727DA">
        <w:rPr>
          <w:lang w:val="en-US"/>
        </w:rPr>
        <w:t xml:space="preserve"> campaign against Change Healthcare, for example, illustrated </w:t>
      </w:r>
      <w:r>
        <w:rPr>
          <w:lang w:val="en-US"/>
        </w:rPr>
        <w:t>a variety</w:t>
      </w:r>
      <w:r w:rsidRPr="006727DA">
        <w:rPr>
          <w:lang w:val="en-US"/>
        </w:rPr>
        <w:t xml:space="preserve"> of TTPs mapped to the MITRE ATT&amp;CK framework. Ten, and possibly more separate TTPs from </w:t>
      </w:r>
      <w:r>
        <w:rPr>
          <w:lang w:val="en-US"/>
        </w:rPr>
        <w:t xml:space="preserve">the </w:t>
      </w:r>
      <w:r w:rsidRPr="006727DA">
        <w:rPr>
          <w:lang w:val="en-US"/>
        </w:rPr>
        <w:t xml:space="preserve">entry point to reach, that can be </w:t>
      </w:r>
      <w:r>
        <w:rPr>
          <w:lang w:val="en-US"/>
        </w:rPr>
        <w:t>observed or</w:t>
      </w:r>
      <w:r w:rsidRPr="006727DA">
        <w:rPr>
          <w:lang w:val="en-US"/>
        </w:rPr>
        <w:t xml:space="preserve"> derived from the attack:</w:t>
      </w:r>
    </w:p>
    <w:p w14:paraId="6D575C28" w14:textId="23BB8DB4" w:rsidR="006727DA" w:rsidRPr="006727DA" w:rsidRDefault="006727DA" w:rsidP="006727DA">
      <w:pPr>
        <w:numPr>
          <w:ilvl w:val="0"/>
          <w:numId w:val="8"/>
        </w:numPr>
        <w:jc w:val="both"/>
        <w:rPr>
          <w:lang w:val="en-US"/>
        </w:rPr>
      </w:pPr>
      <w:r w:rsidRPr="006727DA">
        <w:rPr>
          <w:b/>
          <w:bCs/>
          <w:lang w:val="en-US"/>
        </w:rPr>
        <w:t>Initial Access – Valid Accounts &amp; External Remote Services (T1078, T1133):</w:t>
      </w:r>
      <w:r w:rsidRPr="006727DA">
        <w:rPr>
          <w:lang w:val="en-US"/>
        </w:rPr>
        <w:t xml:space="preserve"> The attackers used compromised user credentials to log in to an unsecured Citrix remote desktop gateway that did not have multifactor authentication [2]. Leveraging an external service that was not protected by a valid account, the attackers gained access to our </w:t>
      </w:r>
      <w:proofErr w:type="spellStart"/>
      <w:r w:rsidRPr="006727DA">
        <w:rPr>
          <w:lang w:val="en-US"/>
        </w:rPr>
        <w:t>defences</w:t>
      </w:r>
      <w:proofErr w:type="spellEnd"/>
      <w:r w:rsidRPr="006727DA">
        <w:rPr>
          <w:lang w:val="en-US"/>
        </w:rPr>
        <w:t xml:space="preserve"> and established an initial foothold.</w:t>
      </w:r>
    </w:p>
    <w:p w14:paraId="4B776830" w14:textId="77777777" w:rsidR="006727DA" w:rsidRPr="006727DA" w:rsidRDefault="006727DA" w:rsidP="006727DA">
      <w:pPr>
        <w:numPr>
          <w:ilvl w:val="0"/>
          <w:numId w:val="8"/>
        </w:numPr>
        <w:jc w:val="both"/>
        <w:rPr>
          <w:lang w:val="en-US"/>
        </w:rPr>
      </w:pPr>
      <w:r w:rsidRPr="006727DA">
        <w:rPr>
          <w:b/>
          <w:bCs/>
          <w:lang w:val="en-US"/>
        </w:rPr>
        <w:t>Execution – Command and Scripting Interpreter (T1059.003):</w:t>
      </w:r>
      <w:r w:rsidRPr="006727DA">
        <w:rPr>
          <w:lang w:val="en-US"/>
        </w:rPr>
        <w:t xml:space="preserve"> Once inside, </w:t>
      </w:r>
      <w:proofErr w:type="spellStart"/>
      <w:r w:rsidRPr="006727DA">
        <w:rPr>
          <w:lang w:val="en-US"/>
        </w:rPr>
        <w:t>BlackCat</w:t>
      </w:r>
      <w:proofErr w:type="spellEnd"/>
      <w:r w:rsidRPr="006727DA">
        <w:rPr>
          <w:lang w:val="en-US"/>
        </w:rPr>
        <w:t xml:space="preserve"> likely executed commands and scripts to control systems and deploy malware. </w:t>
      </w:r>
      <w:proofErr w:type="spellStart"/>
      <w:r w:rsidRPr="006727DA">
        <w:rPr>
          <w:lang w:val="en-US"/>
        </w:rPr>
        <w:t>BlackCat</w:t>
      </w:r>
      <w:proofErr w:type="spellEnd"/>
      <w:r w:rsidRPr="006727DA">
        <w:rPr>
          <w:lang w:val="en-US"/>
        </w:rPr>
        <w:t xml:space="preserve"> ransomware is known to run via the Windows command shell </w:t>
      </w:r>
      <w:r w:rsidRPr="006727DA">
        <w:rPr>
          <w:lang w:val="en-US"/>
        </w:rPr>
        <w:lastRenderedPageBreak/>
        <w:t>(cmd.exe) with specific parameters to initiate encryption [4]. The use of built-in command-line tools helps attackers to blend into everyday operations.</w:t>
      </w:r>
    </w:p>
    <w:p w14:paraId="3EE4CFFB" w14:textId="77777777" w:rsidR="006727DA" w:rsidRPr="006727DA" w:rsidRDefault="006727DA" w:rsidP="006727DA">
      <w:pPr>
        <w:numPr>
          <w:ilvl w:val="0"/>
          <w:numId w:val="8"/>
        </w:numPr>
        <w:jc w:val="both"/>
        <w:rPr>
          <w:lang w:val="en-US"/>
        </w:rPr>
      </w:pPr>
      <w:r w:rsidRPr="006727DA">
        <w:rPr>
          <w:b/>
          <w:bCs/>
          <w:lang w:val="en-US"/>
        </w:rPr>
        <w:t>Persistence – Modify Registry (T1112):</w:t>
      </w:r>
      <w:r w:rsidRPr="006727DA">
        <w:rPr>
          <w:lang w:val="en-US"/>
        </w:rPr>
        <w:t xml:space="preserve"> </w:t>
      </w:r>
      <w:proofErr w:type="spellStart"/>
      <w:r w:rsidRPr="006727DA">
        <w:rPr>
          <w:lang w:val="en-US"/>
        </w:rPr>
        <w:t>BlackCat</w:t>
      </w:r>
      <w:proofErr w:type="spellEnd"/>
      <w:r w:rsidRPr="006727DA">
        <w:rPr>
          <w:lang w:val="en-US"/>
        </w:rPr>
        <w:t xml:space="preserve"> can establish persistence by modifying system registry settings. For instance, the malware has been observed adding or modifying registry keys related to network and file-sharing parameters to facilitate lateral movement and mass encryption across shared resources [4]. By persisting through registry changes, the attackers ensure their malware or backdoors restart even after reboots.</w:t>
      </w:r>
    </w:p>
    <w:p w14:paraId="6B0BA227" w14:textId="77777777" w:rsidR="006727DA" w:rsidRPr="006727DA" w:rsidRDefault="006727DA" w:rsidP="006727DA">
      <w:pPr>
        <w:numPr>
          <w:ilvl w:val="0"/>
          <w:numId w:val="8"/>
        </w:numPr>
        <w:jc w:val="both"/>
        <w:rPr>
          <w:lang w:val="en-US"/>
        </w:rPr>
      </w:pPr>
      <w:r w:rsidRPr="006727DA">
        <w:rPr>
          <w:b/>
          <w:bCs/>
          <w:lang w:val="en-US"/>
        </w:rPr>
        <w:t>Privilege Escalation – Abuse Elevation Control Mechanism (T1548.002):</w:t>
      </w:r>
      <w:r w:rsidRPr="006727DA">
        <w:rPr>
          <w:lang w:val="en-US"/>
        </w:rPr>
        <w:t xml:space="preserve"> To fully compromise high-value servers, the attackers likely escalated privileges. </w:t>
      </w:r>
      <w:proofErr w:type="spellStart"/>
      <w:r w:rsidRPr="006727DA">
        <w:rPr>
          <w:lang w:val="en-US"/>
        </w:rPr>
        <w:t>BlackCat</w:t>
      </w:r>
      <w:proofErr w:type="spellEnd"/>
      <w:r w:rsidRPr="006727DA">
        <w:rPr>
          <w:lang w:val="en-US"/>
        </w:rPr>
        <w:t xml:space="preserve"> ransomware can </w:t>
      </w:r>
      <w:r w:rsidRPr="006727DA">
        <w:rPr>
          <w:b/>
          <w:bCs/>
          <w:lang w:val="en-US"/>
        </w:rPr>
        <w:t>bypass User Account Control (UAC)</w:t>
      </w:r>
      <w:r w:rsidRPr="006727DA">
        <w:rPr>
          <w:lang w:val="en-US"/>
        </w:rPr>
        <w:t xml:space="preserve"> on Windows, allowing it to run with administrative rights [4]. With elevated privileges, </w:t>
      </w:r>
      <w:proofErr w:type="gramStart"/>
      <w:r w:rsidRPr="006727DA">
        <w:rPr>
          <w:lang w:val="en-US"/>
        </w:rPr>
        <w:t>the malware</w:t>
      </w:r>
      <w:proofErr w:type="gramEnd"/>
      <w:r w:rsidRPr="006727DA">
        <w:rPr>
          <w:lang w:val="en-US"/>
        </w:rPr>
        <w:t xml:space="preserve"> can turn off security tools and access more sensitive data.</w:t>
      </w:r>
    </w:p>
    <w:p w14:paraId="3858A76E" w14:textId="77777777" w:rsidR="006727DA" w:rsidRPr="006727DA" w:rsidRDefault="006727DA" w:rsidP="006727DA">
      <w:pPr>
        <w:numPr>
          <w:ilvl w:val="0"/>
          <w:numId w:val="8"/>
        </w:numPr>
        <w:jc w:val="both"/>
        <w:rPr>
          <w:lang w:val="en-US"/>
        </w:rPr>
      </w:pPr>
      <w:proofErr w:type="spellStart"/>
      <w:r w:rsidRPr="006727DA">
        <w:rPr>
          <w:b/>
          <w:bCs/>
          <w:lang w:val="en-US"/>
        </w:rPr>
        <w:t>Defence</w:t>
      </w:r>
      <w:proofErr w:type="spellEnd"/>
      <w:r w:rsidRPr="006727DA">
        <w:rPr>
          <w:b/>
          <w:bCs/>
          <w:lang w:val="en-US"/>
        </w:rPr>
        <w:t xml:space="preserve"> Evasion – Indicator Removal on Host (T1070.001):</w:t>
      </w:r>
      <w:r w:rsidRPr="006727DA">
        <w:rPr>
          <w:lang w:val="en-US"/>
        </w:rPr>
        <w:t xml:space="preserve"> Clearing logs and system traces is a technique employed by </w:t>
      </w:r>
      <w:proofErr w:type="spellStart"/>
      <w:r w:rsidRPr="006727DA">
        <w:rPr>
          <w:lang w:val="en-US"/>
        </w:rPr>
        <w:t>BlackCat</w:t>
      </w:r>
      <w:proofErr w:type="spellEnd"/>
      <w:r w:rsidRPr="006727DA">
        <w:rPr>
          <w:lang w:val="en-US"/>
        </w:rPr>
        <w:t xml:space="preserve"> to evade detection. The malware can wipe Windows event logs using utilities like wevtutil.exe, effectively erasing evidence of its activities on infected hosts [4]. This hinders incident responders' ability to reconstruct what happened.</w:t>
      </w:r>
    </w:p>
    <w:p w14:paraId="3C1C0B24" w14:textId="282863AB" w:rsidR="006727DA" w:rsidRPr="006727DA" w:rsidRDefault="006727DA" w:rsidP="006727DA">
      <w:pPr>
        <w:numPr>
          <w:ilvl w:val="0"/>
          <w:numId w:val="8"/>
        </w:numPr>
        <w:jc w:val="both"/>
        <w:rPr>
          <w:lang w:val="en-US"/>
        </w:rPr>
      </w:pPr>
      <w:r w:rsidRPr="006727DA">
        <w:rPr>
          <w:b/>
          <w:bCs/>
          <w:lang w:val="en-US"/>
        </w:rPr>
        <w:t>Discovery – Network Share and Account Discovery (T1135, T1087.002):</w:t>
      </w:r>
      <w:r w:rsidRPr="006727DA">
        <w:rPr>
          <w:lang w:val="en-US"/>
        </w:rPr>
        <w:t xml:space="preserve"> During the dwell time, the intruders performed internal reconnaissance. </w:t>
      </w:r>
      <w:proofErr w:type="spellStart"/>
      <w:r w:rsidRPr="006727DA">
        <w:rPr>
          <w:lang w:val="en-US"/>
        </w:rPr>
        <w:t>BlackCat</w:t>
      </w:r>
      <w:proofErr w:type="spellEnd"/>
      <w:r w:rsidRPr="006727DA">
        <w:rPr>
          <w:lang w:val="en-US"/>
        </w:rPr>
        <w:t xml:space="preserve"> is known to enumerate network shares and user accounts</w:t>
      </w:r>
      <w:r>
        <w:rPr>
          <w:lang w:val="en-US"/>
        </w:rPr>
        <w:t>,</w:t>
      </w:r>
      <w:r w:rsidRPr="006727DA">
        <w:rPr>
          <w:lang w:val="en-US"/>
        </w:rPr>
        <w:t xml:space="preserve"> for example, using net use commands to map out the domain environment [4]. In this attack, the affiliate likely identified key file servers, databases, and backups to </w:t>
      </w:r>
      <w:proofErr w:type="spellStart"/>
      <w:r w:rsidRPr="006727DA">
        <w:rPr>
          <w:lang w:val="en-US"/>
        </w:rPr>
        <w:t>maximise</w:t>
      </w:r>
      <w:proofErr w:type="spellEnd"/>
      <w:r w:rsidRPr="006727DA">
        <w:rPr>
          <w:lang w:val="en-US"/>
        </w:rPr>
        <w:t xml:space="preserve"> the damage from encryption.</w:t>
      </w:r>
    </w:p>
    <w:p w14:paraId="1AE4384D" w14:textId="77777777" w:rsidR="006727DA" w:rsidRPr="006727DA" w:rsidRDefault="006727DA" w:rsidP="006727DA">
      <w:pPr>
        <w:numPr>
          <w:ilvl w:val="0"/>
          <w:numId w:val="8"/>
        </w:numPr>
        <w:jc w:val="both"/>
        <w:rPr>
          <w:lang w:val="en-US"/>
        </w:rPr>
      </w:pPr>
      <w:r w:rsidRPr="006727DA">
        <w:rPr>
          <w:b/>
          <w:bCs/>
          <w:lang w:val="en-US"/>
        </w:rPr>
        <w:t>Lateral Movement – Lateral Tool Transfer (T1570):</w:t>
      </w:r>
      <w:r w:rsidRPr="006727DA">
        <w:rPr>
          <w:lang w:val="en-US"/>
        </w:rPr>
        <w:t xml:space="preserve"> To spread across the enterprise, the attackers employed lateral movement techniques. </w:t>
      </w:r>
      <w:proofErr w:type="spellStart"/>
      <w:r w:rsidRPr="006727DA">
        <w:rPr>
          <w:lang w:val="en-US"/>
        </w:rPr>
        <w:t>BlackCat</w:t>
      </w:r>
      <w:proofErr w:type="spellEnd"/>
      <w:r w:rsidRPr="006727DA">
        <w:rPr>
          <w:lang w:val="en-US"/>
        </w:rPr>
        <w:t xml:space="preserve"> affiliates commonly use tools like </w:t>
      </w:r>
      <w:proofErr w:type="spellStart"/>
      <w:r w:rsidRPr="006727DA">
        <w:rPr>
          <w:b/>
          <w:bCs/>
          <w:lang w:val="en-US"/>
        </w:rPr>
        <w:t>PsExec</w:t>
      </w:r>
      <w:proofErr w:type="spellEnd"/>
      <w:r w:rsidRPr="006727DA">
        <w:rPr>
          <w:b/>
          <w:bCs/>
          <w:lang w:val="en-US"/>
        </w:rPr>
        <w:t xml:space="preserve"> (a Windows remote execution utility)</w:t>
      </w:r>
      <w:r w:rsidRPr="006727DA">
        <w:rPr>
          <w:lang w:val="en-US"/>
        </w:rPr>
        <w:t xml:space="preserve"> to propagate ransomware to multiple servers in parallel [4]. Moving laterally ensured that almost all of Change Healthcare's systems, including databases and applications, were eventually infected and encrypted on Feb. 21.</w:t>
      </w:r>
    </w:p>
    <w:p w14:paraId="40509BBE" w14:textId="77777777" w:rsidR="006727DA" w:rsidRPr="006727DA" w:rsidRDefault="006727DA" w:rsidP="006727DA">
      <w:pPr>
        <w:numPr>
          <w:ilvl w:val="0"/>
          <w:numId w:val="8"/>
        </w:numPr>
        <w:jc w:val="both"/>
        <w:rPr>
          <w:lang w:val="en-US"/>
        </w:rPr>
      </w:pPr>
      <w:r w:rsidRPr="006727DA">
        <w:rPr>
          <w:b/>
          <w:bCs/>
          <w:lang w:val="en-US"/>
        </w:rPr>
        <w:t>Collection/Exfiltration – Data Staging and Theft:</w:t>
      </w:r>
      <w:r w:rsidRPr="006727DA">
        <w:rPr>
          <w:lang w:val="en-US"/>
        </w:rPr>
        <w:t xml:space="preserve"> Before triggering encryption, the threat actors </w:t>
      </w:r>
      <w:r w:rsidRPr="006727DA">
        <w:rPr>
          <w:b/>
          <w:bCs/>
          <w:lang w:val="en-US"/>
        </w:rPr>
        <w:t>stole a large volume of data</w:t>
      </w:r>
      <w:r w:rsidRPr="006727DA">
        <w:rPr>
          <w:lang w:val="en-US"/>
        </w:rPr>
        <w:t xml:space="preserve"> (personal and health records </w:t>
      </w:r>
      <w:proofErr w:type="spellStart"/>
      <w:r w:rsidRPr="006727DA">
        <w:rPr>
          <w:lang w:val="en-US"/>
        </w:rPr>
        <w:t>totalling</w:t>
      </w:r>
      <w:proofErr w:type="spellEnd"/>
      <w:r w:rsidRPr="006727DA">
        <w:rPr>
          <w:lang w:val="en-US"/>
        </w:rPr>
        <w:t xml:space="preserve"> several terabytes) as part of a double-extortion strategy [1]. They likely compressed and transmitted these files out of the network to servers under their control, thereby obtaining leverage for extortion.</w:t>
      </w:r>
    </w:p>
    <w:p w14:paraId="6F73A395" w14:textId="77777777" w:rsidR="006727DA" w:rsidRPr="006727DA" w:rsidRDefault="006727DA" w:rsidP="006727DA">
      <w:pPr>
        <w:numPr>
          <w:ilvl w:val="0"/>
          <w:numId w:val="8"/>
        </w:numPr>
        <w:jc w:val="both"/>
        <w:rPr>
          <w:lang w:val="en-US"/>
        </w:rPr>
      </w:pPr>
      <w:r w:rsidRPr="006727DA">
        <w:rPr>
          <w:b/>
          <w:bCs/>
          <w:lang w:val="en-US"/>
        </w:rPr>
        <w:t>Impact – Data Encrypted for Impact (T1486):</w:t>
      </w:r>
      <w:r w:rsidRPr="006727DA">
        <w:rPr>
          <w:lang w:val="en-US"/>
        </w:rPr>
        <w:t xml:space="preserve"> Finally, the attackers executed the ransomware payload to </w:t>
      </w:r>
      <w:r w:rsidRPr="006727DA">
        <w:rPr>
          <w:b/>
          <w:bCs/>
          <w:lang w:val="en-US"/>
        </w:rPr>
        <w:t>encrypt data on thousands of systems</w:t>
      </w:r>
      <w:r w:rsidRPr="006727DA">
        <w:rPr>
          <w:lang w:val="en-US"/>
        </w:rPr>
        <w:t xml:space="preserve"> nearly simultaneously [2]. By encrypting databases, application servers, and workstations, they effectively </w:t>
      </w:r>
      <w:proofErr w:type="spellStart"/>
      <w:r w:rsidRPr="006727DA">
        <w:rPr>
          <w:b/>
          <w:bCs/>
          <w:lang w:val="en-US"/>
        </w:rPr>
        <w:t>paralysed</w:t>
      </w:r>
      <w:proofErr w:type="spellEnd"/>
      <w:r w:rsidRPr="006727DA">
        <w:rPr>
          <w:b/>
          <w:bCs/>
          <w:lang w:val="en-US"/>
        </w:rPr>
        <w:t xml:space="preserve"> Change Healthcare's operations</w:t>
      </w:r>
      <w:r w:rsidRPr="006727DA">
        <w:rPr>
          <w:lang w:val="en-US"/>
        </w:rPr>
        <w:t xml:space="preserve">. </w:t>
      </w:r>
      <w:proofErr w:type="spellStart"/>
      <w:r w:rsidRPr="006727DA">
        <w:rPr>
          <w:lang w:val="en-US"/>
        </w:rPr>
        <w:t>BlackCat's</w:t>
      </w:r>
      <w:proofErr w:type="spellEnd"/>
      <w:r w:rsidRPr="006727DA">
        <w:rPr>
          <w:lang w:val="en-US"/>
        </w:rPr>
        <w:t xml:space="preserve"> malware </w:t>
      </w:r>
      <w:r w:rsidRPr="006727DA">
        <w:rPr>
          <w:lang w:val="en-US"/>
        </w:rPr>
        <w:lastRenderedPageBreak/>
        <w:t>uses robust encryption (combining RSA and AES) implemented with multi-threading for speed, making recovery without the decryption keys virtually impossible [4].</w:t>
      </w:r>
    </w:p>
    <w:p w14:paraId="425789FC" w14:textId="77777777" w:rsidR="006727DA" w:rsidRPr="006727DA" w:rsidRDefault="006727DA" w:rsidP="006727DA">
      <w:pPr>
        <w:numPr>
          <w:ilvl w:val="0"/>
          <w:numId w:val="8"/>
        </w:numPr>
        <w:jc w:val="both"/>
        <w:rPr>
          <w:lang w:val="en-US"/>
        </w:rPr>
      </w:pPr>
      <w:r w:rsidRPr="006727DA">
        <w:rPr>
          <w:b/>
          <w:bCs/>
          <w:lang w:val="en-US"/>
        </w:rPr>
        <w:t>Impact – Inhibit System Recovery (T1490):</w:t>
      </w:r>
      <w:r w:rsidRPr="006727DA">
        <w:rPr>
          <w:lang w:val="en-US"/>
        </w:rPr>
        <w:t xml:space="preserve"> In tandem with encryption, </w:t>
      </w:r>
      <w:proofErr w:type="spellStart"/>
      <w:r w:rsidRPr="006727DA">
        <w:rPr>
          <w:lang w:val="en-US"/>
        </w:rPr>
        <w:t>BlackCat</w:t>
      </w:r>
      <w:proofErr w:type="spellEnd"/>
      <w:r w:rsidRPr="006727DA">
        <w:rPr>
          <w:lang w:val="en-US"/>
        </w:rPr>
        <w:t xml:space="preserve"> attempts to </w:t>
      </w:r>
      <w:r w:rsidRPr="006727DA">
        <w:rPr>
          <w:b/>
          <w:bCs/>
          <w:lang w:val="en-US"/>
        </w:rPr>
        <w:t>inhibit recovery</w:t>
      </w:r>
      <w:r w:rsidRPr="006727DA">
        <w:rPr>
          <w:lang w:val="en-US"/>
        </w:rPr>
        <w:t xml:space="preserve"> by deleting backups and shadow copies on Windows systems [4]. The ransomware issues commands like vssadmin.exe delete shadows /all /quiet and may alter boot configurations to turn off restoration. This ensures that the victim cannot easily restore data from local backups, increasing pressure to pay the ransom.</w:t>
      </w:r>
    </w:p>
    <w:p w14:paraId="33554FF4" w14:textId="3CD15A34" w:rsidR="006727DA" w:rsidRPr="006727DA" w:rsidRDefault="006727DA" w:rsidP="006727DA">
      <w:pPr>
        <w:jc w:val="both"/>
        <w:rPr>
          <w:lang w:val="en-US"/>
        </w:rPr>
      </w:pPr>
      <w:r w:rsidRPr="006727DA">
        <w:rPr>
          <w:lang w:val="en-US"/>
        </w:rPr>
        <w:t xml:space="preserve">All in all, the Change Healthcare attack also represents a full-spectrum attack that combines advanced malware capabilities with basic misconfigurations (in this case, a lack of MFA). Credential theft, invisible lateral movement, data exfiltration, and destructive encryption all match </w:t>
      </w:r>
      <w:proofErr w:type="spellStart"/>
      <w:r w:rsidRPr="006727DA">
        <w:rPr>
          <w:lang w:val="en-US"/>
        </w:rPr>
        <w:t>BlackCat's</w:t>
      </w:r>
      <w:proofErr w:type="spellEnd"/>
      <w:r w:rsidRPr="006727DA">
        <w:rPr>
          <w:lang w:val="en-US"/>
        </w:rPr>
        <w:t xml:space="preserve"> reported tactics, according to the threat intelligence [4].</w:t>
      </w:r>
    </w:p>
    <w:p w14:paraId="6AE92173" w14:textId="77777777" w:rsidR="006727DA" w:rsidRPr="006727DA" w:rsidRDefault="006727DA" w:rsidP="006727DA">
      <w:pPr>
        <w:jc w:val="both"/>
        <w:rPr>
          <w:lang w:val="en-US"/>
        </w:rPr>
      </w:pPr>
      <w:r w:rsidRPr="006727DA">
        <w:rPr>
          <w:lang w:val="en-US"/>
        </w:rPr>
        <w:t>Root Cause Analysis</w:t>
      </w:r>
    </w:p>
    <w:p w14:paraId="0CB52281" w14:textId="588F0B72" w:rsidR="006727DA" w:rsidRPr="006727DA" w:rsidRDefault="006727DA" w:rsidP="006727DA">
      <w:pPr>
        <w:jc w:val="both"/>
        <w:rPr>
          <w:lang w:val="en-US"/>
        </w:rPr>
      </w:pPr>
      <w:r w:rsidRPr="006727DA">
        <w:rPr>
          <w:b/>
          <w:bCs/>
          <w:lang w:val="en-US"/>
        </w:rPr>
        <w:t>Primary Cause – Compromised Access Controls:</w:t>
      </w:r>
      <w:r w:rsidRPr="006727DA">
        <w:rPr>
          <w:lang w:val="en-US"/>
        </w:rPr>
        <w:t xml:space="preserve"> The root cause of this breach can be traced to a </w:t>
      </w:r>
      <w:r w:rsidRPr="006727DA">
        <w:rPr>
          <w:b/>
          <w:bCs/>
          <w:lang w:val="en-US"/>
        </w:rPr>
        <w:t>failure in identity and access management</w:t>
      </w:r>
      <w:r w:rsidRPr="006727DA">
        <w:rPr>
          <w:lang w:val="en-US"/>
        </w:rPr>
        <w:t xml:space="preserve">. Change Healthcare's Citrix remote access server allowed </w:t>
      </w:r>
      <w:proofErr w:type="gramStart"/>
      <w:r w:rsidRPr="006727DA">
        <w:rPr>
          <w:lang w:val="en-US"/>
        </w:rPr>
        <w:t>logins</w:t>
      </w:r>
      <w:proofErr w:type="gramEnd"/>
      <w:r w:rsidRPr="006727DA">
        <w:rPr>
          <w:lang w:val="en-US"/>
        </w:rPr>
        <w:t xml:space="preserve"> with only a username and password, without requiring multifactor authentication [2]. Attackers took advantage of this old configuration, using valid credentials (probably </w:t>
      </w:r>
      <w:r>
        <w:rPr>
          <w:lang w:val="en-US"/>
        </w:rPr>
        <w:t>obtained through phishing or purchased</w:t>
      </w:r>
      <w:r w:rsidRPr="006727DA">
        <w:rPr>
          <w:lang w:val="en-US"/>
        </w:rPr>
        <w:t xml:space="preserve"> from underground markets). By taking advantage of the absence of MFA – or two-factor authentication, a standard security feature – the attackers succeeded in entering as an authenticated user, bypassing any company perimeter </w:t>
      </w:r>
      <w:proofErr w:type="spellStart"/>
      <w:r w:rsidRPr="006727DA">
        <w:rPr>
          <w:lang w:val="en-US"/>
        </w:rPr>
        <w:t>defences</w:t>
      </w:r>
      <w:proofErr w:type="spellEnd"/>
      <w:r w:rsidRPr="006727DA">
        <w:rPr>
          <w:lang w:val="en-US"/>
        </w:rPr>
        <w:t xml:space="preserve">. In short, one pilfered password gave the </w:t>
      </w:r>
      <w:r>
        <w:rPr>
          <w:lang w:val="en-US"/>
        </w:rPr>
        <w:t>invaders the</w:t>
      </w:r>
      <w:r w:rsidRPr="006727DA">
        <w:rPr>
          <w:lang w:val="en-US"/>
        </w:rPr>
        <w:t xml:space="preserve"> keys to the entire network.</w:t>
      </w:r>
    </w:p>
    <w:p w14:paraId="1BF96DBB" w14:textId="77777777" w:rsidR="006727DA" w:rsidRPr="006727DA" w:rsidRDefault="006727DA" w:rsidP="006727DA">
      <w:pPr>
        <w:jc w:val="both"/>
        <w:rPr>
          <w:lang w:val="en-US"/>
        </w:rPr>
      </w:pPr>
      <w:r w:rsidRPr="006727DA">
        <w:rPr>
          <w:b/>
          <w:bCs/>
          <w:lang w:val="en-US"/>
        </w:rPr>
        <w:t>Network Security Gaps:</w:t>
      </w:r>
      <w:r w:rsidRPr="006727DA">
        <w:rPr>
          <w:lang w:val="en-US"/>
        </w:rPr>
        <w:t xml:space="preserve"> The attackers remained undetected for nine days, indicating </w:t>
      </w:r>
      <w:r w:rsidRPr="006727DA">
        <w:rPr>
          <w:b/>
          <w:bCs/>
          <w:lang w:val="en-US"/>
        </w:rPr>
        <w:t>insufficient monitoring and a flat network structure</w:t>
      </w:r>
      <w:r w:rsidRPr="006727DA">
        <w:rPr>
          <w:lang w:val="en-US"/>
        </w:rPr>
        <w:t>. Poor internal segmentation and weak anomaly detection allowed the intruders to move laterally into core systems without triggering alarms.</w:t>
      </w:r>
    </w:p>
    <w:p w14:paraId="4AF3619F" w14:textId="77777777" w:rsidR="006727DA" w:rsidRPr="006727DA" w:rsidRDefault="006727DA" w:rsidP="006727DA">
      <w:pPr>
        <w:jc w:val="both"/>
        <w:rPr>
          <w:lang w:val="en-US"/>
        </w:rPr>
      </w:pPr>
      <w:r w:rsidRPr="006727DA">
        <w:rPr>
          <w:b/>
          <w:bCs/>
          <w:lang w:val="en-US"/>
        </w:rPr>
        <w:t>Data Protection Failures:</w:t>
      </w:r>
      <w:r w:rsidRPr="006727DA">
        <w:rPr>
          <w:lang w:val="en-US"/>
        </w:rPr>
        <w:t xml:space="preserve"> Another underlying issue was the </w:t>
      </w:r>
      <w:r w:rsidRPr="006727DA">
        <w:rPr>
          <w:b/>
          <w:bCs/>
          <w:lang w:val="en-US"/>
        </w:rPr>
        <w:t xml:space="preserve">lack of adequate data-level </w:t>
      </w:r>
      <w:proofErr w:type="gramStart"/>
      <w:r w:rsidRPr="006727DA">
        <w:rPr>
          <w:b/>
          <w:bCs/>
          <w:lang w:val="en-US"/>
        </w:rPr>
        <w:t>protections</w:t>
      </w:r>
      <w:proofErr w:type="gramEnd"/>
      <w:r w:rsidRPr="006727DA">
        <w:rPr>
          <w:lang w:val="en-US"/>
        </w:rPr>
        <w:t>. The exfiltrated data was highly sensitive (including PHI, such as insurance IDs, diagnoses, and SSNs). However, much of it was stored in an unencrypted form within the network. Once the intruders gained access, they could collect vast troves of patient data. This points to inadequate encryption of data at rest and insufficient data loss prevention controls. Moreover, backup systems, if they existed, were not sufficiently protected (e.g. not segregated offline); the attackers were able to delete or encrypt backups, as evidenced by the prolonged outage. This indicates a lapse in disaster recovery preparedness.</w:t>
      </w:r>
    </w:p>
    <w:p w14:paraId="75F4DD8F" w14:textId="77777777" w:rsidR="006727DA" w:rsidRPr="006727DA" w:rsidRDefault="006727DA" w:rsidP="006727DA">
      <w:pPr>
        <w:jc w:val="both"/>
        <w:rPr>
          <w:lang w:val="en-US"/>
        </w:rPr>
      </w:pPr>
      <w:r w:rsidRPr="006727DA">
        <w:rPr>
          <w:b/>
          <w:bCs/>
          <w:lang w:val="en-US"/>
        </w:rPr>
        <w:t>Third-Party Risk Oversight:</w:t>
      </w:r>
      <w:r w:rsidRPr="006727DA">
        <w:rPr>
          <w:lang w:val="en-US"/>
        </w:rPr>
        <w:t xml:space="preserve"> The magnitude of this breach also reflects </w:t>
      </w:r>
      <w:r w:rsidRPr="006727DA">
        <w:rPr>
          <w:b/>
          <w:bCs/>
          <w:lang w:val="en-US"/>
        </w:rPr>
        <w:t>inadequate oversight of a critical vendor</w:t>
      </w:r>
      <w:r w:rsidRPr="006727DA">
        <w:rPr>
          <w:lang w:val="en-US"/>
        </w:rPr>
        <w:t xml:space="preserve">. Neither regulators nor client hospitals ensured that basic cybersecurity controls, such as multifactor Authentication (MFA) and network segmentation, were in place at Change Healthcare. In retrospect, risk assessments and compliance audits proved to be insufficient. A provider handling such a large share of </w:t>
      </w:r>
      <w:r w:rsidRPr="006727DA">
        <w:rPr>
          <w:lang w:val="en-US"/>
        </w:rPr>
        <w:lastRenderedPageBreak/>
        <w:t xml:space="preserve">healthcare transactions should have been held to higher security standards, given that its compromise had </w:t>
      </w:r>
      <w:r w:rsidRPr="006727DA">
        <w:rPr>
          <w:b/>
          <w:bCs/>
          <w:lang w:val="en-US"/>
        </w:rPr>
        <w:t>systemic consequences</w:t>
      </w:r>
      <w:r w:rsidRPr="006727DA">
        <w:rPr>
          <w:lang w:val="en-US"/>
        </w:rPr>
        <w:t>.</w:t>
      </w:r>
    </w:p>
    <w:p w14:paraId="4DE4BE1F" w14:textId="77777777" w:rsidR="006727DA" w:rsidRPr="006727DA" w:rsidRDefault="006727DA" w:rsidP="006727DA">
      <w:pPr>
        <w:jc w:val="both"/>
        <w:rPr>
          <w:lang w:val="en-US"/>
        </w:rPr>
      </w:pPr>
      <w:r w:rsidRPr="006727DA">
        <w:rPr>
          <w:lang w:val="en-US"/>
        </w:rPr>
        <w:t>Strategic Recommendations</w:t>
      </w:r>
    </w:p>
    <w:p w14:paraId="5B5E78D0" w14:textId="77777777" w:rsidR="006727DA" w:rsidRPr="006727DA" w:rsidRDefault="006727DA" w:rsidP="006727DA">
      <w:pPr>
        <w:jc w:val="both"/>
        <w:rPr>
          <w:lang w:val="en-US"/>
        </w:rPr>
      </w:pPr>
      <w:r w:rsidRPr="006727DA">
        <w:rPr>
          <w:lang w:val="en-US"/>
        </w:rPr>
        <w:t xml:space="preserve">To prevent </w:t>
      </w:r>
      <w:proofErr w:type="gramStart"/>
      <w:r w:rsidRPr="006727DA">
        <w:rPr>
          <w:lang w:val="en-US"/>
        </w:rPr>
        <w:t>a recurrence</w:t>
      </w:r>
      <w:proofErr w:type="gramEnd"/>
      <w:r w:rsidRPr="006727DA">
        <w:rPr>
          <w:lang w:val="en-US"/>
        </w:rPr>
        <w:t xml:space="preserve"> of an attack of this scale, Change Healthcare (and similar </w:t>
      </w:r>
      <w:proofErr w:type="spellStart"/>
      <w:r w:rsidRPr="006727DA">
        <w:rPr>
          <w:lang w:val="en-US"/>
        </w:rPr>
        <w:t>organisations</w:t>
      </w:r>
      <w:proofErr w:type="spellEnd"/>
      <w:r w:rsidRPr="006727DA">
        <w:rPr>
          <w:lang w:val="en-US"/>
        </w:rPr>
        <w:t>) must implement comprehensive improvements. The following strategic recommendations span architectural design, technical controls, and monitoring enhancements:</w:t>
      </w:r>
    </w:p>
    <w:p w14:paraId="524D9D53" w14:textId="77777777" w:rsidR="006727DA" w:rsidRPr="006727DA" w:rsidRDefault="006727DA" w:rsidP="006727DA">
      <w:pPr>
        <w:jc w:val="both"/>
        <w:rPr>
          <w:b/>
          <w:bCs/>
          <w:lang w:val="en-US"/>
        </w:rPr>
      </w:pPr>
      <w:r w:rsidRPr="006727DA">
        <w:rPr>
          <w:b/>
          <w:bCs/>
          <w:lang w:val="en-US"/>
        </w:rPr>
        <w:t>Architectural Improvements</w:t>
      </w:r>
    </w:p>
    <w:p w14:paraId="06996A39" w14:textId="77777777" w:rsidR="006727DA" w:rsidRPr="006727DA" w:rsidRDefault="006727DA" w:rsidP="006727DA">
      <w:pPr>
        <w:numPr>
          <w:ilvl w:val="0"/>
          <w:numId w:val="9"/>
        </w:numPr>
        <w:jc w:val="both"/>
        <w:rPr>
          <w:lang w:val="en-US"/>
        </w:rPr>
      </w:pPr>
      <w:r w:rsidRPr="006727DA">
        <w:rPr>
          <w:b/>
          <w:bCs/>
          <w:lang w:val="en-US"/>
        </w:rPr>
        <w:t>Zero Trust Networking:</w:t>
      </w:r>
      <w:r w:rsidRPr="006727DA">
        <w:rPr>
          <w:lang w:val="en-US"/>
        </w:rPr>
        <w:t xml:space="preserve"> Adopt a zero-trust architecture where no user or system is inherently trusted. This involves </w:t>
      </w:r>
      <w:r w:rsidRPr="006727DA">
        <w:rPr>
          <w:b/>
          <w:bCs/>
          <w:lang w:val="en-US"/>
        </w:rPr>
        <w:t>strict network segmentation</w:t>
      </w:r>
      <w:r w:rsidRPr="006727DA">
        <w:rPr>
          <w:lang w:val="en-US"/>
        </w:rPr>
        <w:t xml:space="preserve"> – isolating critical systems (e.g. claims processing and database servers) in protected enclaves – and requiring re-authentication and </w:t>
      </w:r>
      <w:proofErr w:type="spellStart"/>
      <w:r w:rsidRPr="006727DA">
        <w:rPr>
          <w:lang w:val="en-US"/>
        </w:rPr>
        <w:t>authorisation</w:t>
      </w:r>
      <w:proofErr w:type="spellEnd"/>
      <w:r w:rsidRPr="006727DA">
        <w:rPr>
          <w:lang w:val="en-US"/>
        </w:rPr>
        <w:t xml:space="preserve"> for lateral movements. By </w:t>
      </w:r>
      <w:proofErr w:type="spellStart"/>
      <w:r w:rsidRPr="006727DA">
        <w:rPr>
          <w:lang w:val="en-US"/>
        </w:rPr>
        <w:t>compartmentalising</w:t>
      </w:r>
      <w:proofErr w:type="spellEnd"/>
      <w:r w:rsidRPr="006727DA">
        <w:rPr>
          <w:lang w:val="en-US"/>
        </w:rPr>
        <w:t xml:space="preserve"> the network, even if one node is breached, the blast radius is </w:t>
      </w:r>
      <w:proofErr w:type="spellStart"/>
      <w:r w:rsidRPr="006727DA">
        <w:rPr>
          <w:lang w:val="en-US"/>
        </w:rPr>
        <w:t>minimised</w:t>
      </w:r>
      <w:proofErr w:type="spellEnd"/>
      <w:r w:rsidRPr="006727DA">
        <w:rPr>
          <w:lang w:val="en-US"/>
        </w:rPr>
        <w:t>.</w:t>
      </w:r>
    </w:p>
    <w:p w14:paraId="468CC3DB" w14:textId="77777777" w:rsidR="006727DA" w:rsidRPr="006727DA" w:rsidRDefault="006727DA" w:rsidP="006727DA">
      <w:pPr>
        <w:numPr>
          <w:ilvl w:val="0"/>
          <w:numId w:val="9"/>
        </w:numPr>
        <w:jc w:val="both"/>
        <w:rPr>
          <w:lang w:val="en-US"/>
        </w:rPr>
      </w:pPr>
      <w:r w:rsidRPr="006727DA">
        <w:rPr>
          <w:b/>
          <w:bCs/>
          <w:lang w:val="en-US"/>
        </w:rPr>
        <w:t>Resilient Infrastructure Design:</w:t>
      </w:r>
      <w:r w:rsidRPr="006727DA">
        <w:rPr>
          <w:lang w:val="en-US"/>
        </w:rPr>
        <w:t xml:space="preserve"> Build redundancy and fail-safes into core systems. For example, </w:t>
      </w:r>
      <w:proofErr w:type="gramStart"/>
      <w:r w:rsidRPr="006727DA">
        <w:rPr>
          <w:lang w:val="en-US"/>
        </w:rPr>
        <w:t>maintain</w:t>
      </w:r>
      <w:proofErr w:type="gramEnd"/>
      <w:r w:rsidRPr="006727DA">
        <w:rPr>
          <w:lang w:val="en-US"/>
        </w:rPr>
        <w:t xml:space="preserve"> </w:t>
      </w:r>
      <w:r w:rsidRPr="006727DA">
        <w:rPr>
          <w:b/>
          <w:bCs/>
          <w:lang w:val="en-US"/>
        </w:rPr>
        <w:t>offline, air-gapped backups</w:t>
      </w:r>
      <w:r w:rsidRPr="006727DA">
        <w:rPr>
          <w:lang w:val="en-US"/>
        </w:rPr>
        <w:t xml:space="preserve"> of critical databases and files, and regularly test restoration from these backups. Ensure that backup credentials and systems are segregated from the main network domain. Thus, even if production systems are encrypted by ransomware, operations can be restored from clean backups.</w:t>
      </w:r>
    </w:p>
    <w:p w14:paraId="21427669" w14:textId="77777777" w:rsidR="006727DA" w:rsidRPr="006727DA" w:rsidRDefault="006727DA" w:rsidP="006727DA">
      <w:pPr>
        <w:numPr>
          <w:ilvl w:val="0"/>
          <w:numId w:val="9"/>
        </w:numPr>
        <w:jc w:val="both"/>
        <w:rPr>
          <w:lang w:val="en-US"/>
        </w:rPr>
      </w:pPr>
      <w:r w:rsidRPr="006727DA">
        <w:rPr>
          <w:b/>
          <w:bCs/>
          <w:lang w:val="en-US"/>
        </w:rPr>
        <w:t>Secure or Decommission Legacy Systems:</w:t>
      </w:r>
      <w:r w:rsidRPr="006727DA">
        <w:rPr>
          <w:lang w:val="en-US"/>
        </w:rPr>
        <w:t xml:space="preserve"> Identify any legacy or unsupported systems (such as older servers or applications lacking modern security features) and either retire them or </w:t>
      </w:r>
      <w:proofErr w:type="gramStart"/>
      <w:r w:rsidRPr="006727DA">
        <w:rPr>
          <w:lang w:val="en-US"/>
        </w:rPr>
        <w:t>isolate</w:t>
      </w:r>
      <w:proofErr w:type="gramEnd"/>
      <w:r w:rsidRPr="006727DA">
        <w:rPr>
          <w:lang w:val="en-US"/>
        </w:rPr>
        <w:t xml:space="preserve"> and harden them. Any remote access portals that cannot enforce MFA or other controls must be upgraded or heavily restricted. Architectural decisions should </w:t>
      </w:r>
      <w:proofErr w:type="spellStart"/>
      <w:r w:rsidRPr="006727DA">
        <w:rPr>
          <w:lang w:val="en-US"/>
        </w:rPr>
        <w:t>prioritise</w:t>
      </w:r>
      <w:proofErr w:type="spellEnd"/>
      <w:r w:rsidRPr="006727DA">
        <w:rPr>
          <w:lang w:val="en-US"/>
        </w:rPr>
        <w:t xml:space="preserve"> up-to-date platforms that offer built-in security and easier patch management.</w:t>
      </w:r>
    </w:p>
    <w:p w14:paraId="0DC5696C" w14:textId="77777777" w:rsidR="006727DA" w:rsidRPr="006727DA" w:rsidRDefault="006727DA" w:rsidP="006727DA">
      <w:pPr>
        <w:jc w:val="both"/>
        <w:rPr>
          <w:b/>
          <w:bCs/>
          <w:lang w:val="en-US"/>
        </w:rPr>
      </w:pPr>
      <w:r w:rsidRPr="006727DA">
        <w:rPr>
          <w:b/>
          <w:bCs/>
          <w:lang w:val="en-US"/>
        </w:rPr>
        <w:t>Technical Controls</w:t>
      </w:r>
    </w:p>
    <w:p w14:paraId="696A0E74" w14:textId="77777777" w:rsidR="006727DA" w:rsidRPr="006727DA" w:rsidRDefault="006727DA" w:rsidP="006727DA">
      <w:pPr>
        <w:numPr>
          <w:ilvl w:val="0"/>
          <w:numId w:val="10"/>
        </w:numPr>
        <w:jc w:val="both"/>
        <w:rPr>
          <w:lang w:val="en-US"/>
        </w:rPr>
      </w:pPr>
      <w:r w:rsidRPr="006727DA">
        <w:rPr>
          <w:b/>
          <w:bCs/>
          <w:lang w:val="en-US"/>
        </w:rPr>
        <w:t>Strong authentication everywhere:</w:t>
      </w:r>
      <w:r w:rsidRPr="006727DA">
        <w:rPr>
          <w:lang w:val="en-US"/>
        </w:rPr>
        <w:t xml:space="preserve"> Enforce </w:t>
      </w:r>
      <w:r w:rsidRPr="006727DA">
        <w:rPr>
          <w:b/>
          <w:bCs/>
          <w:lang w:val="en-US"/>
        </w:rPr>
        <w:t>multifactor authentication</w:t>
      </w:r>
      <w:r w:rsidRPr="006727DA">
        <w:rPr>
          <w:lang w:val="en-US"/>
        </w:rPr>
        <w:t xml:space="preserve"> on all user accounts, especially for remote access and privileged logins. Had MFA been in place on the Citrix gateway, the initial breach likely would have been thwarted. This measure is strongly recommended by cybersecurity authorities [5].</w:t>
      </w:r>
    </w:p>
    <w:p w14:paraId="24B95727" w14:textId="77777777" w:rsidR="006727DA" w:rsidRPr="006727DA" w:rsidRDefault="006727DA" w:rsidP="006727DA">
      <w:pPr>
        <w:numPr>
          <w:ilvl w:val="0"/>
          <w:numId w:val="10"/>
        </w:numPr>
        <w:jc w:val="both"/>
        <w:rPr>
          <w:lang w:val="en-US"/>
        </w:rPr>
      </w:pPr>
      <w:r w:rsidRPr="006727DA">
        <w:rPr>
          <w:b/>
          <w:bCs/>
          <w:lang w:val="en-US"/>
        </w:rPr>
        <w:t>Endpoint and Network Security:</w:t>
      </w:r>
      <w:r w:rsidRPr="006727DA">
        <w:rPr>
          <w:lang w:val="en-US"/>
        </w:rPr>
        <w:t xml:space="preserve"> Deploy advanced </w:t>
      </w:r>
      <w:r w:rsidRPr="006727DA">
        <w:rPr>
          <w:b/>
          <w:bCs/>
          <w:lang w:val="en-US"/>
        </w:rPr>
        <w:t>Endpoint Detection and Response (EDR)</w:t>
      </w:r>
      <w:r w:rsidRPr="006727DA">
        <w:rPr>
          <w:lang w:val="en-US"/>
        </w:rPr>
        <w:t xml:space="preserve"> tools on servers and workstations to detect ransomware </w:t>
      </w:r>
      <w:proofErr w:type="spellStart"/>
      <w:r w:rsidRPr="006727DA">
        <w:rPr>
          <w:lang w:val="en-US"/>
        </w:rPr>
        <w:t>behaviours</w:t>
      </w:r>
      <w:proofErr w:type="spellEnd"/>
      <w:r w:rsidRPr="006727DA">
        <w:rPr>
          <w:lang w:val="en-US"/>
        </w:rPr>
        <w:t xml:space="preserve"> (such as rapid file encryption or mass deletion of shadow copies) and halt them in real time. Likewise, implement network-level </w:t>
      </w:r>
      <w:proofErr w:type="spellStart"/>
      <w:r w:rsidRPr="006727DA">
        <w:rPr>
          <w:lang w:val="en-US"/>
        </w:rPr>
        <w:t>defences</w:t>
      </w:r>
      <w:proofErr w:type="spellEnd"/>
      <w:r w:rsidRPr="006727DA">
        <w:rPr>
          <w:lang w:val="en-US"/>
        </w:rPr>
        <w:t xml:space="preserve">, including intrusion detection/prevention systems (IDS/IPS), to monitor lateral traffic. Consider using application allow-listing to prevent </w:t>
      </w:r>
      <w:proofErr w:type="spellStart"/>
      <w:r w:rsidRPr="006727DA">
        <w:rPr>
          <w:lang w:val="en-US"/>
        </w:rPr>
        <w:t>unauthorised</w:t>
      </w:r>
      <w:proofErr w:type="spellEnd"/>
      <w:r w:rsidRPr="006727DA">
        <w:rPr>
          <w:lang w:val="en-US"/>
        </w:rPr>
        <w:t xml:space="preserve"> programs (like unknown binaries) from executing on critical servers [5].</w:t>
      </w:r>
    </w:p>
    <w:p w14:paraId="755132EE" w14:textId="77777777" w:rsidR="006727DA" w:rsidRPr="006727DA" w:rsidRDefault="006727DA" w:rsidP="006727DA">
      <w:pPr>
        <w:numPr>
          <w:ilvl w:val="0"/>
          <w:numId w:val="10"/>
        </w:numPr>
        <w:jc w:val="both"/>
        <w:rPr>
          <w:lang w:val="en-US"/>
        </w:rPr>
      </w:pPr>
      <w:r w:rsidRPr="006727DA">
        <w:rPr>
          <w:b/>
          <w:bCs/>
          <w:lang w:val="en-US"/>
        </w:rPr>
        <w:lastRenderedPageBreak/>
        <w:t>Continuous Vulnerability Management:</w:t>
      </w:r>
      <w:r w:rsidRPr="006727DA">
        <w:rPr>
          <w:lang w:val="en-US"/>
        </w:rPr>
        <w:t xml:space="preserve"> Institute a rigorous patch management </w:t>
      </w:r>
      <w:proofErr w:type="spellStart"/>
      <w:r w:rsidRPr="006727DA">
        <w:rPr>
          <w:lang w:val="en-US"/>
        </w:rPr>
        <w:t>programme</w:t>
      </w:r>
      <w:proofErr w:type="spellEnd"/>
      <w:r w:rsidRPr="006727DA">
        <w:rPr>
          <w:lang w:val="en-US"/>
        </w:rPr>
        <w:t xml:space="preserve"> to promptly address known vulnerabilities in operating systems, remote access software, and other applications. Ransomware groups often exploit unpatched systems as entry points [5]. By staying current with security updates and using automated scanning, the </w:t>
      </w:r>
      <w:proofErr w:type="spellStart"/>
      <w:r w:rsidRPr="006727DA">
        <w:rPr>
          <w:lang w:val="en-US"/>
        </w:rPr>
        <w:t>organisation</w:t>
      </w:r>
      <w:proofErr w:type="spellEnd"/>
      <w:r w:rsidRPr="006727DA">
        <w:rPr>
          <w:lang w:val="en-US"/>
        </w:rPr>
        <w:t xml:space="preserve"> reduces its attack surface. Additionally, perform periodic penetration tests to identify and remediate any configuration weaknesses before attackers find them.</w:t>
      </w:r>
    </w:p>
    <w:p w14:paraId="471BC467" w14:textId="77777777" w:rsidR="006727DA" w:rsidRPr="006727DA" w:rsidRDefault="006727DA" w:rsidP="006727DA">
      <w:pPr>
        <w:numPr>
          <w:ilvl w:val="0"/>
          <w:numId w:val="10"/>
        </w:numPr>
        <w:jc w:val="both"/>
        <w:rPr>
          <w:lang w:val="en-US"/>
        </w:rPr>
      </w:pPr>
      <w:r w:rsidRPr="006727DA">
        <w:rPr>
          <w:b/>
          <w:bCs/>
          <w:lang w:val="en-US"/>
        </w:rPr>
        <w:t>Data Encryption and DLP:</w:t>
      </w:r>
      <w:r w:rsidRPr="006727DA">
        <w:rPr>
          <w:lang w:val="en-US"/>
        </w:rPr>
        <w:t xml:space="preserve"> Encrypt sensitive data at rest within databases and file storage, so that even if data is exfiltrated, it remains protected. Implement Data Loss Prevention (DLP) solutions to flag and block unusual bulk data transfers, especially involving protected health information. For instance, significant exports of patient records should trigger alerts or require approval. These measures can limit attackers' ability to steal massive datasets undetected.</w:t>
      </w:r>
    </w:p>
    <w:p w14:paraId="0F4A8BA6" w14:textId="77777777" w:rsidR="006727DA" w:rsidRPr="006727DA" w:rsidRDefault="006727DA" w:rsidP="006727DA">
      <w:pPr>
        <w:numPr>
          <w:ilvl w:val="0"/>
          <w:numId w:val="10"/>
        </w:numPr>
        <w:jc w:val="both"/>
        <w:rPr>
          <w:lang w:val="en-US"/>
        </w:rPr>
      </w:pPr>
      <w:r w:rsidRPr="006727DA">
        <w:rPr>
          <w:b/>
          <w:bCs/>
          <w:lang w:val="en-US"/>
        </w:rPr>
        <w:t>Incident Response Preparedness:</w:t>
      </w:r>
      <w:r w:rsidRPr="006727DA">
        <w:rPr>
          <w:lang w:val="en-US"/>
        </w:rPr>
        <w:t xml:space="preserve"> Develop and regularly practice an </w:t>
      </w:r>
      <w:r w:rsidRPr="006727DA">
        <w:rPr>
          <w:b/>
          <w:bCs/>
          <w:lang w:val="en-US"/>
        </w:rPr>
        <w:t>incident response and disaster recovery plan</w:t>
      </w:r>
      <w:r w:rsidRPr="006727DA">
        <w:rPr>
          <w:lang w:val="en-US"/>
        </w:rPr>
        <w:t xml:space="preserve"> tailored to ransomware scenarios. This plan should define clear roles, communication protocols (including those with law enforcement, regulators, partners, and media), and technical steps for isolation, containment, and recovery. Conduct regular tabletop exercises or simulations of a ransomware attack to ensure the team can respond swiftly and effectively to such an event.</w:t>
      </w:r>
    </w:p>
    <w:p w14:paraId="39DC05D2" w14:textId="77777777" w:rsidR="006727DA" w:rsidRPr="006727DA" w:rsidRDefault="006727DA" w:rsidP="006727DA">
      <w:pPr>
        <w:jc w:val="both"/>
        <w:rPr>
          <w:b/>
          <w:bCs/>
          <w:lang w:val="en-US"/>
        </w:rPr>
      </w:pPr>
      <w:r w:rsidRPr="006727DA">
        <w:rPr>
          <w:b/>
          <w:bCs/>
          <w:lang w:val="en-US"/>
        </w:rPr>
        <w:t>Monitoring and Detection</w:t>
      </w:r>
    </w:p>
    <w:p w14:paraId="48D80AB4" w14:textId="77777777" w:rsidR="006727DA" w:rsidRPr="006727DA" w:rsidRDefault="006727DA" w:rsidP="006727DA">
      <w:pPr>
        <w:numPr>
          <w:ilvl w:val="0"/>
          <w:numId w:val="11"/>
        </w:numPr>
        <w:jc w:val="both"/>
        <w:rPr>
          <w:lang w:val="en-US"/>
        </w:rPr>
      </w:pPr>
      <w:r w:rsidRPr="006727DA">
        <w:rPr>
          <w:b/>
          <w:bCs/>
          <w:lang w:val="en-US"/>
        </w:rPr>
        <w:t>24/7 Security Operations Centre:</w:t>
      </w:r>
      <w:r w:rsidRPr="006727DA">
        <w:rPr>
          <w:lang w:val="en-US"/>
        </w:rPr>
        <w:t xml:space="preserve"> Establish a dedicated Security Operations Centre (SOC) with around-the-clock monitoring of logs and alerts. Aggregate logs into a central SIEM (Security Information and Event Management) system to enable real-time analysis of suspicious patterns (e.g., an account logging into numerous machines or large volumes of data being transferred out). In this incident, earlier detection of the attackers' lateral movement or data exfiltration could have drastically limited the damage.</w:t>
      </w:r>
    </w:p>
    <w:p w14:paraId="231F64D3" w14:textId="77777777" w:rsidR="006727DA" w:rsidRPr="006727DA" w:rsidRDefault="006727DA" w:rsidP="006727DA">
      <w:pPr>
        <w:numPr>
          <w:ilvl w:val="0"/>
          <w:numId w:val="11"/>
        </w:numPr>
        <w:jc w:val="both"/>
        <w:rPr>
          <w:lang w:val="en-US"/>
        </w:rPr>
      </w:pPr>
      <w:r w:rsidRPr="006727DA">
        <w:rPr>
          <w:b/>
          <w:bCs/>
          <w:lang w:val="en-US"/>
        </w:rPr>
        <w:t xml:space="preserve">User and Entity </w:t>
      </w:r>
      <w:proofErr w:type="spellStart"/>
      <w:r w:rsidRPr="006727DA">
        <w:rPr>
          <w:b/>
          <w:bCs/>
          <w:lang w:val="en-US"/>
        </w:rPr>
        <w:t>Behaviour</w:t>
      </w:r>
      <w:proofErr w:type="spellEnd"/>
      <w:r w:rsidRPr="006727DA">
        <w:rPr>
          <w:b/>
          <w:bCs/>
          <w:lang w:val="en-US"/>
        </w:rPr>
        <w:t xml:space="preserve"> Analytics:</w:t>
      </w:r>
      <w:r w:rsidRPr="006727DA">
        <w:rPr>
          <w:lang w:val="en-US"/>
        </w:rPr>
        <w:t xml:space="preserve"> Implement </w:t>
      </w:r>
      <w:proofErr w:type="spellStart"/>
      <w:r w:rsidRPr="006727DA">
        <w:rPr>
          <w:b/>
          <w:bCs/>
          <w:lang w:val="en-US"/>
        </w:rPr>
        <w:t>behavioural</w:t>
      </w:r>
      <w:proofErr w:type="spellEnd"/>
      <w:r w:rsidRPr="006727DA">
        <w:rPr>
          <w:b/>
          <w:bCs/>
          <w:lang w:val="en-US"/>
        </w:rPr>
        <w:t xml:space="preserve"> analytics</w:t>
      </w:r>
      <w:r w:rsidRPr="006727DA">
        <w:rPr>
          <w:lang w:val="en-US"/>
        </w:rPr>
        <w:t xml:space="preserve"> to detect anomalies in user and system activity. For example, an employee account initiating an atypical remote session or accessing large data repositories at odd hours should raise immediate flags. Machine-learning-based tools can establish a baseline of normal </w:t>
      </w:r>
      <w:proofErr w:type="spellStart"/>
      <w:r w:rsidRPr="006727DA">
        <w:rPr>
          <w:lang w:val="en-US"/>
        </w:rPr>
        <w:t>behaviour</w:t>
      </w:r>
      <w:proofErr w:type="spellEnd"/>
      <w:r w:rsidRPr="006727DA">
        <w:rPr>
          <w:lang w:val="en-US"/>
        </w:rPr>
        <w:t xml:space="preserve"> and alert on deviations that may indicate an intruder using compromised credentials.</w:t>
      </w:r>
    </w:p>
    <w:p w14:paraId="066BA66E" w14:textId="77777777" w:rsidR="006727DA" w:rsidRPr="006727DA" w:rsidRDefault="006727DA" w:rsidP="006727DA">
      <w:pPr>
        <w:numPr>
          <w:ilvl w:val="0"/>
          <w:numId w:val="11"/>
        </w:numPr>
        <w:jc w:val="both"/>
        <w:rPr>
          <w:lang w:val="en-US"/>
        </w:rPr>
      </w:pPr>
      <w:r w:rsidRPr="006727DA">
        <w:rPr>
          <w:b/>
          <w:bCs/>
          <w:lang w:val="en-US"/>
        </w:rPr>
        <w:t>Threat Intelligence and Hunting:</w:t>
      </w:r>
      <w:r w:rsidRPr="006727DA">
        <w:rPr>
          <w:lang w:val="en-US"/>
        </w:rPr>
        <w:t xml:space="preserve"> Leverage threat intelligence feeds (including up-to-date indicators of compromise for </w:t>
      </w:r>
      <w:proofErr w:type="spellStart"/>
      <w:r w:rsidRPr="006727DA">
        <w:rPr>
          <w:lang w:val="en-US"/>
        </w:rPr>
        <w:t>BlackCat</w:t>
      </w:r>
      <w:proofErr w:type="spellEnd"/>
      <w:r w:rsidRPr="006727DA">
        <w:rPr>
          <w:lang w:val="en-US"/>
        </w:rPr>
        <w:t xml:space="preserve">/ALPHV) to update defensive systems. Security teams should proactively hunt for signs of known TTPs – such as creation of suspicious registry keys, use of </w:t>
      </w:r>
      <w:proofErr w:type="spellStart"/>
      <w:r w:rsidRPr="006727DA">
        <w:rPr>
          <w:lang w:val="en-US"/>
        </w:rPr>
        <w:t>PsExec</w:t>
      </w:r>
      <w:proofErr w:type="spellEnd"/>
      <w:r w:rsidRPr="006727DA">
        <w:rPr>
          <w:lang w:val="en-US"/>
        </w:rPr>
        <w:t xml:space="preserve">, or presence of </w:t>
      </w:r>
      <w:proofErr w:type="spellStart"/>
      <w:r w:rsidRPr="006727DA">
        <w:rPr>
          <w:lang w:val="en-US"/>
        </w:rPr>
        <w:t>BlackCat</w:t>
      </w:r>
      <w:proofErr w:type="spellEnd"/>
      <w:r w:rsidRPr="006727DA">
        <w:rPr>
          <w:lang w:val="en-US"/>
        </w:rPr>
        <w:t>-specific binaries – within the environment. Being threat-informed enables defenders to catch adversaries in the reconnaissance or early exploitation phase.</w:t>
      </w:r>
    </w:p>
    <w:p w14:paraId="6ADC9124" w14:textId="77777777" w:rsidR="006727DA" w:rsidRPr="006727DA" w:rsidRDefault="006727DA" w:rsidP="006727DA">
      <w:pPr>
        <w:numPr>
          <w:ilvl w:val="0"/>
          <w:numId w:val="11"/>
        </w:numPr>
        <w:jc w:val="both"/>
        <w:rPr>
          <w:lang w:val="en-US"/>
        </w:rPr>
      </w:pPr>
      <w:r w:rsidRPr="006727DA">
        <w:rPr>
          <w:b/>
          <w:bCs/>
          <w:lang w:val="en-US"/>
        </w:rPr>
        <w:lastRenderedPageBreak/>
        <w:t>Regular Security Audits:</w:t>
      </w:r>
      <w:r w:rsidRPr="006727DA">
        <w:rPr>
          <w:lang w:val="en-US"/>
        </w:rPr>
        <w:t xml:space="preserve"> Conduct periodic audits of security controls to ensure they </w:t>
      </w:r>
      <w:proofErr w:type="gramStart"/>
      <w:r w:rsidRPr="006727DA">
        <w:rPr>
          <w:lang w:val="en-US"/>
        </w:rPr>
        <w:t>are covering</w:t>
      </w:r>
      <w:proofErr w:type="gramEnd"/>
      <w:r w:rsidRPr="006727DA">
        <w:rPr>
          <w:lang w:val="en-US"/>
        </w:rPr>
        <w:t xml:space="preserve"> all critical systems and </w:t>
      </w:r>
      <w:proofErr w:type="gramStart"/>
      <w:r w:rsidRPr="006727DA">
        <w:rPr>
          <w:lang w:val="en-US"/>
        </w:rPr>
        <w:t>functioning</w:t>
      </w:r>
      <w:proofErr w:type="gramEnd"/>
      <w:r w:rsidRPr="006727DA">
        <w:rPr>
          <w:lang w:val="en-US"/>
        </w:rPr>
        <w:t xml:space="preserve"> as intended. Verify that all servers, cloud workloads, and endpoints are generating logs and that alert rules are tuned to </w:t>
      </w:r>
      <w:proofErr w:type="spellStart"/>
      <w:r w:rsidRPr="006727DA">
        <w:rPr>
          <w:lang w:val="en-US"/>
        </w:rPr>
        <w:t>minimise</w:t>
      </w:r>
      <w:proofErr w:type="spellEnd"/>
      <w:r w:rsidRPr="006727DA">
        <w:rPr>
          <w:lang w:val="en-US"/>
        </w:rPr>
        <w:t xml:space="preserve"> false negatives. Use findings from post-incident analyses to strengthen monitoring. Continuous improvement of detection capabilities will help catch sophisticated threats before they escalate and become more severe.</w:t>
      </w:r>
    </w:p>
    <w:p w14:paraId="2AB90159" w14:textId="77777777" w:rsidR="006727DA" w:rsidRPr="006727DA" w:rsidRDefault="006727DA" w:rsidP="006727DA">
      <w:pPr>
        <w:jc w:val="both"/>
        <w:rPr>
          <w:lang w:val="en-US"/>
        </w:rPr>
      </w:pPr>
      <w:r w:rsidRPr="006727DA">
        <w:rPr>
          <w:lang w:val="en-US"/>
        </w:rPr>
        <w:t xml:space="preserve">By implementing the above architectural, technical, and monitoring measures, Change Healthcare can significantly bolster its cybersecurity posture. These steps align with expert guidance from federal agencies for defending against ransomware groups, such as </w:t>
      </w:r>
      <w:proofErr w:type="spellStart"/>
      <w:r w:rsidRPr="006727DA">
        <w:rPr>
          <w:lang w:val="en-US"/>
        </w:rPr>
        <w:t>BlackCat</w:t>
      </w:r>
      <w:proofErr w:type="spellEnd"/>
      <w:r w:rsidRPr="006727DA">
        <w:rPr>
          <w:lang w:val="en-US"/>
        </w:rPr>
        <w:t xml:space="preserve"> [5]. Additionally, the </w:t>
      </w:r>
      <w:proofErr w:type="spellStart"/>
      <w:r w:rsidRPr="006727DA">
        <w:rPr>
          <w:lang w:val="en-US"/>
        </w:rPr>
        <w:t>organisation</w:t>
      </w:r>
      <w:proofErr w:type="spellEnd"/>
      <w:r w:rsidRPr="006727DA">
        <w:rPr>
          <w:lang w:val="en-US"/>
        </w:rPr>
        <w:t xml:space="preserve"> should foster a security-first culture through ongoing staff training (to resist phishing and social engineering) and executive oversight of cyber risk.</w:t>
      </w:r>
    </w:p>
    <w:p w14:paraId="16758322" w14:textId="77777777" w:rsidR="006727DA" w:rsidRPr="006727DA" w:rsidRDefault="006727DA" w:rsidP="006727DA">
      <w:pPr>
        <w:jc w:val="both"/>
        <w:rPr>
          <w:lang w:val="en-US"/>
        </w:rPr>
      </w:pPr>
      <w:r w:rsidRPr="006727DA">
        <w:rPr>
          <w:lang w:val="en-US"/>
        </w:rPr>
        <w:t>Conclusion</w:t>
      </w:r>
    </w:p>
    <w:p w14:paraId="353473FD" w14:textId="3ABA17A7" w:rsidR="006727DA" w:rsidRPr="006727DA" w:rsidRDefault="006727DA" w:rsidP="006727DA">
      <w:pPr>
        <w:jc w:val="both"/>
        <w:rPr>
          <w:lang w:val="en-US"/>
        </w:rPr>
      </w:pPr>
      <w:r w:rsidRPr="006727DA">
        <w:rPr>
          <w:lang w:val="en-US"/>
        </w:rPr>
        <w:t xml:space="preserve">The </w:t>
      </w:r>
      <w:proofErr w:type="spellStart"/>
      <w:r w:rsidRPr="006727DA">
        <w:rPr>
          <w:lang w:val="en-US"/>
        </w:rPr>
        <w:t>BlackCat</w:t>
      </w:r>
      <w:proofErr w:type="spellEnd"/>
      <w:r w:rsidRPr="006727DA">
        <w:rPr>
          <w:lang w:val="en-US"/>
        </w:rPr>
        <w:t xml:space="preserve"> ransomware attack on Change Healthcare in February 2024 was a wake-up call for the healthcare industry. The use of single-factor authentication, inadequate internal controls and layering of security </w:t>
      </w:r>
      <w:r>
        <w:rPr>
          <w:lang w:val="en-US"/>
        </w:rPr>
        <w:t>allowed a</w:t>
      </w:r>
      <w:r w:rsidRPr="006727DA">
        <w:rPr>
          <w:lang w:val="en-US"/>
        </w:rPr>
        <w:t xml:space="preserve"> cybercriminal collective to wreak havoc in an unprecedented manner, effectively taking a significant health care system hostage. The aftermath, which consisted of approximately $2.5 billion in response costs and </w:t>
      </w:r>
      <w:r>
        <w:rPr>
          <w:lang w:val="en-US"/>
        </w:rPr>
        <w:t>the compromise of 190 million health records</w:t>
      </w:r>
      <w:r w:rsidRPr="006727DA">
        <w:rPr>
          <w:lang w:val="en-US"/>
        </w:rPr>
        <w:t>, serves to reinforce the notion that cybersecurity is more than just an IT problem, but rather an issue of patient safety as well as national security.</w:t>
      </w:r>
    </w:p>
    <w:p w14:paraId="38527313" w14:textId="6E6D451A" w:rsidR="006727DA" w:rsidRPr="006727DA" w:rsidRDefault="006727DA" w:rsidP="006727DA">
      <w:pPr>
        <w:jc w:val="both"/>
        <w:rPr>
          <w:lang w:val="en-US"/>
        </w:rPr>
      </w:pPr>
      <w:r w:rsidRPr="006727DA">
        <w:rPr>
          <w:lang w:val="en-US"/>
        </w:rPr>
        <w:t xml:space="preserve">The incident has, in hindsight, shown that even the best-funded can succumb to basic security oversights, and the knock-on effect of such an attack could pose a threat to healthcare itself. However, it is helpful to learn the lessons. Through the rigorous adoption of practices such as zero-trust architecture, strong authentication, continuous monitoring, and well-rehearsed incident response protocols, </w:t>
      </w:r>
      <w:proofErr w:type="spellStart"/>
      <w:r w:rsidRPr="006727DA">
        <w:rPr>
          <w:lang w:val="en-US"/>
        </w:rPr>
        <w:t>organisations</w:t>
      </w:r>
      <w:proofErr w:type="spellEnd"/>
      <w:r w:rsidRPr="006727DA">
        <w:rPr>
          <w:lang w:val="en-US"/>
        </w:rPr>
        <w:t xml:space="preserve"> can significantly </w:t>
      </w:r>
      <w:proofErr w:type="spellStart"/>
      <w:r w:rsidRPr="006727DA">
        <w:rPr>
          <w:lang w:val="en-US"/>
        </w:rPr>
        <w:t>minimise</w:t>
      </w:r>
      <w:proofErr w:type="spellEnd"/>
      <w:r w:rsidRPr="006727DA">
        <w:rPr>
          <w:lang w:val="en-US"/>
        </w:rPr>
        <w:t xml:space="preserve"> the chances of suffering a ransomware attack. The Change Healthcare incident has </w:t>
      </w:r>
      <w:r>
        <w:rPr>
          <w:lang w:val="en-US"/>
        </w:rPr>
        <w:t>sparked industry-wide</w:t>
      </w:r>
      <w:r w:rsidRPr="006727DA">
        <w:rPr>
          <w:lang w:val="en-US"/>
        </w:rPr>
        <w:t xml:space="preserve"> demands for more accountability and stronger security standards among healthcare IT vendors. Proactively and comprehensively implementing an effective cybersecurity plan, while also conforming to frameworks such as MITRE ATT&amp;CK for threat mapping, will become imperative in protecting critical healthcare infrastructure from the growing spectrum of cyber threats. As shown, the </w:t>
      </w:r>
      <w:r>
        <w:rPr>
          <w:lang w:val="en-US"/>
        </w:rPr>
        <w:t>price of</w:t>
      </w:r>
      <w:r w:rsidRPr="006727DA">
        <w:rPr>
          <w:lang w:val="en-US"/>
        </w:rPr>
        <w:t xml:space="preserve"> doing nothing significantly outweighs the amount required to ensure the operational integrity of these critical systems.</w:t>
      </w:r>
    </w:p>
    <w:p w14:paraId="4E15624A" w14:textId="77777777" w:rsidR="006727DA" w:rsidRPr="006727DA" w:rsidRDefault="006727DA" w:rsidP="006727DA">
      <w:pPr>
        <w:jc w:val="both"/>
        <w:rPr>
          <w:lang w:val="en-US"/>
        </w:rPr>
      </w:pPr>
      <w:r w:rsidRPr="006727DA">
        <w:rPr>
          <w:lang w:val="en-US"/>
        </w:rPr>
        <w:t>References</w:t>
      </w:r>
    </w:p>
    <w:p w14:paraId="2568882D" w14:textId="77777777" w:rsidR="006727DA" w:rsidRPr="006727DA" w:rsidRDefault="006727DA" w:rsidP="006727DA">
      <w:pPr>
        <w:jc w:val="both"/>
        <w:rPr>
          <w:lang w:val="en-US"/>
        </w:rPr>
      </w:pPr>
      <w:r w:rsidRPr="006727DA">
        <w:rPr>
          <w:lang w:val="en-US"/>
        </w:rPr>
        <w:t xml:space="preserve">[1] </w:t>
      </w:r>
      <w:proofErr w:type="spellStart"/>
      <w:r w:rsidRPr="006727DA">
        <w:rPr>
          <w:lang w:val="en-US"/>
        </w:rPr>
        <w:t>Hyperproof</w:t>
      </w:r>
      <w:proofErr w:type="spellEnd"/>
      <w:r w:rsidRPr="006727DA">
        <w:rPr>
          <w:lang w:val="en-US"/>
        </w:rPr>
        <w:t xml:space="preserve"> Team, "Understanding the Change Healthcare Breach and Its Impact on Security Compliance," </w:t>
      </w:r>
      <w:proofErr w:type="spellStart"/>
      <w:r w:rsidRPr="006727DA">
        <w:rPr>
          <w:i/>
          <w:iCs/>
          <w:lang w:val="en-US"/>
        </w:rPr>
        <w:t>Hyperproof</w:t>
      </w:r>
      <w:proofErr w:type="spellEnd"/>
      <w:r w:rsidRPr="006727DA">
        <w:rPr>
          <w:i/>
          <w:iCs/>
          <w:lang w:val="en-US"/>
        </w:rPr>
        <w:t xml:space="preserve"> Blog</w:t>
      </w:r>
      <w:r w:rsidRPr="006727DA">
        <w:rPr>
          <w:lang w:val="en-US"/>
        </w:rPr>
        <w:t>, Dec. 7, 2025. [Online]. Available: https://hyperproof.io/resource/understanding-the-change-healthcare-breach/</w:t>
      </w:r>
    </w:p>
    <w:p w14:paraId="363CF147" w14:textId="77777777" w:rsidR="006727DA" w:rsidRPr="006727DA" w:rsidRDefault="006727DA" w:rsidP="006727DA">
      <w:pPr>
        <w:jc w:val="both"/>
        <w:rPr>
          <w:lang w:val="en-US"/>
        </w:rPr>
      </w:pPr>
      <w:r w:rsidRPr="006727DA">
        <w:rPr>
          <w:lang w:val="en-US"/>
        </w:rPr>
        <w:lastRenderedPageBreak/>
        <w:t xml:space="preserve">[2] J. Gregory, "Change Healthcare discloses USD 22M ransomware payment," </w:t>
      </w:r>
      <w:r w:rsidRPr="006727DA">
        <w:rPr>
          <w:i/>
          <w:iCs/>
          <w:lang w:val="en-US"/>
        </w:rPr>
        <w:t>IBM News</w:t>
      </w:r>
      <w:r w:rsidRPr="006727DA">
        <w:rPr>
          <w:lang w:val="en-US"/>
        </w:rPr>
        <w:t>, May 24</w:t>
      </w:r>
      <w:proofErr w:type="gramStart"/>
      <w:r w:rsidRPr="006727DA">
        <w:rPr>
          <w:lang w:val="en-US"/>
        </w:rPr>
        <w:t xml:space="preserve"> 2024</w:t>
      </w:r>
      <w:proofErr w:type="gramEnd"/>
      <w:r w:rsidRPr="006727DA">
        <w:rPr>
          <w:lang w:val="en-US"/>
        </w:rPr>
        <w:t>. [Online]. Available: https://www.ibm.com/think/news/change-healthcare-22-million-ransomware-payment</w:t>
      </w:r>
    </w:p>
    <w:p w14:paraId="5B00FCD8" w14:textId="77777777" w:rsidR="006727DA" w:rsidRPr="006727DA" w:rsidRDefault="006727DA" w:rsidP="006727DA">
      <w:pPr>
        <w:jc w:val="both"/>
        <w:rPr>
          <w:lang w:val="en-US"/>
        </w:rPr>
      </w:pPr>
      <w:r w:rsidRPr="006727DA">
        <w:rPr>
          <w:lang w:val="en-US"/>
        </w:rPr>
        <w:t xml:space="preserve">[3] S. Alder, "Nebraska AG's Lawsuit Against Change Healthcare Survives Motion to Dismiss," </w:t>
      </w:r>
      <w:r w:rsidRPr="006727DA">
        <w:rPr>
          <w:i/>
          <w:iCs/>
          <w:lang w:val="en-US"/>
        </w:rPr>
        <w:t>HIPAA Journal</w:t>
      </w:r>
      <w:r w:rsidRPr="006727DA">
        <w:rPr>
          <w:lang w:val="en-US"/>
        </w:rPr>
        <w:t>, Nov. 17</w:t>
      </w:r>
      <w:proofErr w:type="gramStart"/>
      <w:r w:rsidRPr="006727DA">
        <w:rPr>
          <w:lang w:val="en-US"/>
        </w:rPr>
        <w:t xml:space="preserve"> 2025</w:t>
      </w:r>
      <w:proofErr w:type="gramEnd"/>
      <w:r w:rsidRPr="006727DA">
        <w:rPr>
          <w:lang w:val="en-US"/>
        </w:rPr>
        <w:t>. [Online]. Available: https://www.hipaajournal.com/change-healthcare-responding-to-cyberattack/</w:t>
      </w:r>
    </w:p>
    <w:p w14:paraId="4FF0D252" w14:textId="77777777" w:rsidR="006727DA" w:rsidRPr="006727DA" w:rsidRDefault="006727DA" w:rsidP="006727DA">
      <w:pPr>
        <w:jc w:val="both"/>
        <w:rPr>
          <w:lang w:val="en-US"/>
        </w:rPr>
      </w:pPr>
      <w:r w:rsidRPr="006727DA">
        <w:rPr>
          <w:lang w:val="en-US"/>
        </w:rPr>
        <w:t>[4] MITRE ATT&amp;CK, "</w:t>
      </w:r>
      <w:proofErr w:type="spellStart"/>
      <w:r w:rsidRPr="006727DA">
        <w:rPr>
          <w:lang w:val="en-US"/>
        </w:rPr>
        <w:t>BlackCat</w:t>
      </w:r>
      <w:proofErr w:type="spellEnd"/>
      <w:r w:rsidRPr="006727DA">
        <w:rPr>
          <w:lang w:val="en-US"/>
        </w:rPr>
        <w:t xml:space="preserve"> Ransomware (S1068) – Enterprise Techniques," MITRE, Last modified Oct. 21, 2025. [Online]. Available: https://attack.mitre.org/software/S1068/</w:t>
      </w:r>
    </w:p>
    <w:p w14:paraId="64C1642F" w14:textId="77777777" w:rsidR="006727DA" w:rsidRPr="006727DA" w:rsidRDefault="006727DA" w:rsidP="006727DA">
      <w:pPr>
        <w:jc w:val="both"/>
        <w:rPr>
          <w:lang w:val="en-US"/>
        </w:rPr>
      </w:pPr>
      <w:r w:rsidRPr="006727DA">
        <w:rPr>
          <w:lang w:val="en-US"/>
        </w:rPr>
        <w:t>[5] FBI and CISA</w:t>
      </w:r>
      <w:proofErr w:type="gramStart"/>
      <w:r w:rsidRPr="006727DA">
        <w:rPr>
          <w:lang w:val="en-US"/>
        </w:rPr>
        <w:t>, "#</w:t>
      </w:r>
      <w:proofErr w:type="spellStart"/>
      <w:proofErr w:type="gramEnd"/>
      <w:r w:rsidRPr="006727DA">
        <w:rPr>
          <w:lang w:val="en-US"/>
        </w:rPr>
        <w:t>StopRansomware</w:t>
      </w:r>
      <w:proofErr w:type="spellEnd"/>
      <w:r w:rsidRPr="006727DA">
        <w:rPr>
          <w:lang w:val="en-US"/>
        </w:rPr>
        <w:t>: ALPHV/</w:t>
      </w:r>
      <w:proofErr w:type="spellStart"/>
      <w:r w:rsidRPr="006727DA">
        <w:rPr>
          <w:lang w:val="en-US"/>
        </w:rPr>
        <w:t>BlackCat</w:t>
      </w:r>
      <w:proofErr w:type="spellEnd"/>
      <w:r w:rsidRPr="006727DA">
        <w:rPr>
          <w:lang w:val="en-US"/>
        </w:rPr>
        <w:t xml:space="preserve"> Ransomware Advisory (AA23-353A)," Joint Cybersecurity Advisory, Dec. 19</w:t>
      </w:r>
      <w:proofErr w:type="gramStart"/>
      <w:r w:rsidRPr="006727DA">
        <w:rPr>
          <w:lang w:val="en-US"/>
        </w:rPr>
        <w:t xml:space="preserve"> 2023</w:t>
      </w:r>
      <w:proofErr w:type="gramEnd"/>
      <w:r w:rsidRPr="006727DA">
        <w:rPr>
          <w:lang w:val="en-US"/>
        </w:rPr>
        <w:t>.</w:t>
      </w:r>
    </w:p>
    <w:p w14:paraId="54F9A842" w14:textId="21168D72" w:rsidR="00954B97" w:rsidRDefault="00954B97" w:rsidP="00D94BFA">
      <w:pPr>
        <w:jc w:val="both"/>
      </w:pPr>
    </w:p>
    <w:sectPr w:rsidR="00954B97">
      <w:footnotePr>
        <w:numRestart w:val="eachSect"/>
      </w:footnotePr>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A990"/>
    <w:multiLevelType w:val="multilevel"/>
    <w:tmpl w:val="7F9AAFD6"/>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1" w15:restartNumberingAfterBreak="0">
    <w:nsid w:val="0000A991"/>
    <w:multiLevelType w:val="multilevel"/>
    <w:tmpl w:val="ED92B6F2"/>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2" w15:restartNumberingAfterBreak="0">
    <w:nsid w:val="1105202B"/>
    <w:multiLevelType w:val="multilevel"/>
    <w:tmpl w:val="A13E3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CEA2E5F"/>
    <w:multiLevelType w:val="multilevel"/>
    <w:tmpl w:val="80FE0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3E8560C"/>
    <w:multiLevelType w:val="multilevel"/>
    <w:tmpl w:val="805CD0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CED64BF"/>
    <w:multiLevelType w:val="multilevel"/>
    <w:tmpl w:val="A0EE31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E6D4220"/>
    <w:multiLevelType w:val="multilevel"/>
    <w:tmpl w:val="32E27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70737647">
    <w:abstractNumId w:val="0"/>
  </w:num>
  <w:num w:numId="2" w16cid:durableId="1756632552">
    <w:abstractNumId w:val="1"/>
  </w:num>
  <w:num w:numId="3" w16cid:durableId="148837638">
    <w:abstractNumId w:val="1"/>
  </w:num>
  <w:num w:numId="4" w16cid:durableId="1478299470">
    <w:abstractNumId w:val="1"/>
  </w:num>
  <w:num w:numId="5" w16cid:durableId="466631312">
    <w:abstractNumId w:val="1"/>
  </w:num>
  <w:num w:numId="6" w16cid:durableId="440347617">
    <w:abstractNumId w:val="1"/>
  </w:num>
  <w:num w:numId="7" w16cid:durableId="35862072">
    <w:abstractNumId w:val="4"/>
  </w:num>
  <w:num w:numId="8" w16cid:durableId="735516161">
    <w:abstractNumId w:val="3"/>
  </w:num>
  <w:num w:numId="9" w16cid:durableId="2109498783">
    <w:abstractNumId w:val="6"/>
  </w:num>
  <w:num w:numId="10" w16cid:durableId="1192457273">
    <w:abstractNumId w:val="5"/>
  </w:num>
  <w:num w:numId="11" w16cid:durableId="167773363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0004" w:allStyles="0" w:customStyles="0" w:latentStyles="1" w:stylesInUse="0" w:headingStyles="0" w:numberingStyles="0" w:tableStyles="0" w:directFormattingOnRuns="0" w:directFormattingOnParagraphs="0" w:directFormattingOnNumbering="0" w:directFormattingOnTables="0" w:clearFormatting="0" w:top3HeadingStyles="0" w:visibleStyles="0" w:alternateStyleNames="0"/>
  <w:defaultTabStop w:val="720"/>
  <w:drawingGridHorizontalSpacing w:val="360"/>
  <w:drawingGridVerticalSpacing w:val="360"/>
  <w:displayHorizontalDrawingGridEvery w:val="0"/>
  <w:displayVerticalDrawingGridEvery w:val="0"/>
  <w:characterSpacingControl w:val="doNotCompress"/>
  <w:footnotePr>
    <w:numRestart w:val="eachSect"/>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4B97"/>
    <w:rsid w:val="00140886"/>
    <w:rsid w:val="00167360"/>
    <w:rsid w:val="005F41D0"/>
    <w:rsid w:val="006727DA"/>
    <w:rsid w:val="00730695"/>
    <w:rsid w:val="00954B97"/>
    <w:rsid w:val="009665E1"/>
    <w:rsid w:val="00A931B0"/>
    <w:rsid w:val="00D94BFA"/>
    <w:rsid w:val="00FC3B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32FAC1"/>
  <w15:docId w15:val="{9A8AC41C-2DE9-4D54-ABA6-8E315C8368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 w:eastAsia="en-US" w:bidi="ar-SA"/>
      </w:rPr>
    </w:rPrDefault>
    <w:pPrDefault>
      <w:pPr>
        <w:spacing w:after="200"/>
      </w:pPr>
    </w:pPrDefault>
  </w:docDefaults>
  <w:latentStyles w:defLockedState="0" w:defUIPriority="0" w:defSemiHidden="0" w:defUnhideWhenUsed="0" w:defQFormat="0" w:count="376">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val="en-GB"/>
    </w:rPr>
  </w:style>
  <w:style w:type="paragraph" w:styleId="Heading1">
    <w:name w:val="heading 1"/>
    <w:basedOn w:val="Normal"/>
    <w:next w:val="BodyText"/>
    <w:link w:val="Heading1Char"/>
    <w:uiPriority w:val="9"/>
    <w:qFormat/>
    <w:rsid w:val="00A10F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BodyText"/>
    <w:link w:val="Heading2Char"/>
    <w:uiPriority w:val="9"/>
    <w:semiHidden/>
    <w:unhideWhenUsed/>
    <w:qFormat/>
    <w:rsid w:val="00A10F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BodyText"/>
    <w:link w:val="Heading3Char"/>
    <w:uiPriority w:val="9"/>
    <w:semiHidden/>
    <w:unhideWhenUsed/>
    <w:qFormat/>
    <w:rsid w:val="00A10F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BodyText"/>
    <w:link w:val="Heading4Char"/>
    <w:uiPriority w:val="9"/>
    <w:semiHidden/>
    <w:unhideWhenUsed/>
    <w:qFormat/>
    <w:rsid w:val="00A10F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BodyText"/>
    <w:link w:val="Heading5Char"/>
    <w:uiPriority w:val="9"/>
    <w:semiHidden/>
    <w:unhideWhenUsed/>
    <w:qFormat/>
    <w:rsid w:val="00A10F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BodyText"/>
    <w:link w:val="Heading6Char"/>
    <w:uiPriority w:val="9"/>
    <w:semiHidden/>
    <w:unhideWhenUsed/>
    <w:qFormat/>
    <w:rsid w:val="00A10F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BodyText"/>
    <w:link w:val="Heading7Char"/>
    <w:uiPriority w:val="9"/>
    <w:semiHidden/>
    <w:unhideWhenUsed/>
    <w:qFormat/>
    <w:rsid w:val="00A10F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BodyText"/>
    <w:link w:val="Heading8Char"/>
    <w:uiPriority w:val="9"/>
    <w:semiHidden/>
    <w:unhideWhenUsed/>
    <w:qFormat/>
    <w:rsid w:val="00A10F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BodyText"/>
    <w:link w:val="Heading9Char"/>
    <w:uiPriority w:val="9"/>
    <w:semiHidden/>
    <w:unhideWhenUsed/>
    <w:qFormat/>
    <w:rsid w:val="00A10F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qFormat/>
    <w:pPr>
      <w:spacing w:before="180" w:after="180"/>
    </w:pPr>
  </w:style>
  <w:style w:type="paragraph" w:customStyle="1" w:styleId="FirstParagraph">
    <w:name w:val="First Paragraph"/>
    <w:basedOn w:val="BodyText"/>
    <w:next w:val="BodyText"/>
    <w:qFormat/>
  </w:style>
  <w:style w:type="paragraph" w:customStyle="1" w:styleId="Compact">
    <w:name w:val="Compact"/>
    <w:basedOn w:val="BodyText"/>
    <w:qFormat/>
    <w:pPr>
      <w:spacing w:before="36" w:after="36"/>
    </w:pPr>
  </w:style>
  <w:style w:type="paragraph" w:styleId="Title">
    <w:name w:val="Title"/>
    <w:basedOn w:val="Normal"/>
    <w:next w:val="BodyText"/>
    <w:link w:val="TitleChar"/>
    <w:uiPriority w:val="10"/>
    <w:qFormat/>
    <w:rsid w:val="00A10FD9"/>
    <w:pPr>
      <w:spacing w:after="80"/>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0FD9"/>
    <w:rPr>
      <w:rFonts w:asciiTheme="majorHAnsi" w:eastAsiaTheme="majorEastAsia" w:hAnsiTheme="majorHAnsi" w:cstheme="majorBidi"/>
      <w:spacing w:val="-10"/>
      <w:kern w:val="28"/>
      <w:sz w:val="56"/>
      <w:szCs w:val="56"/>
    </w:rPr>
  </w:style>
  <w:style w:type="paragraph" w:styleId="Subtitle">
    <w:name w:val="Subtitle"/>
    <w:basedOn w:val="Title"/>
    <w:next w:val="BodyText"/>
    <w:link w:val="SubtitleChar"/>
    <w:uiPriority w:val="11"/>
    <w:qFormat/>
    <w:rsid w:val="00A10FD9"/>
    <w:pPr>
      <w:numPr>
        <w:ilvl w:val="1"/>
      </w:numPr>
    </w:pPr>
    <w:rPr>
      <w:spacing w:val="15"/>
      <w:sz w:val="28"/>
      <w:szCs w:val="28"/>
    </w:rPr>
  </w:style>
  <w:style w:type="character" w:customStyle="1" w:styleId="SubtitleChar">
    <w:name w:val="Subtitle Char"/>
    <w:basedOn w:val="DefaultParagraphFont"/>
    <w:link w:val="Subtitle"/>
    <w:uiPriority w:val="11"/>
    <w:rsid w:val="00A10FD9"/>
    <w:rPr>
      <w:rFonts w:eastAsiaTheme="majorEastAsia" w:cstheme="majorBidi"/>
      <w:color w:val="595959" w:themeColor="text1" w:themeTint="A6"/>
      <w:spacing w:val="15"/>
      <w:sz w:val="28"/>
      <w:szCs w:val="28"/>
    </w:rPr>
  </w:style>
  <w:style w:type="paragraph" w:customStyle="1" w:styleId="Author">
    <w:name w:val="Author"/>
    <w:next w:val="BodyText"/>
    <w:qFormat/>
    <w:pPr>
      <w:keepNext/>
      <w:keepLines/>
      <w:jc w:val="center"/>
    </w:pPr>
  </w:style>
  <w:style w:type="paragraph" w:styleId="Date">
    <w:name w:val="Date"/>
    <w:next w:val="BodyText"/>
    <w:qFormat/>
    <w:pPr>
      <w:keepNext/>
      <w:keepLines/>
      <w:jc w:val="center"/>
    </w:pPr>
  </w:style>
  <w:style w:type="paragraph" w:customStyle="1" w:styleId="AbstractTitle">
    <w:name w:val="Abstract Title"/>
    <w:basedOn w:val="Normal"/>
    <w:next w:val="Abstract"/>
    <w:qFormat/>
    <w:pPr>
      <w:keepNext/>
      <w:keepLines/>
      <w:spacing w:before="300" w:after="0"/>
      <w:jc w:val="center"/>
    </w:pPr>
    <w:rPr>
      <w:b/>
      <w:sz w:val="20"/>
      <w:szCs w:val="20"/>
    </w:rPr>
  </w:style>
  <w:style w:type="paragraph" w:customStyle="1" w:styleId="Abstract">
    <w:name w:val="Abstract"/>
    <w:basedOn w:val="Normal"/>
    <w:next w:val="BodyText"/>
    <w:qFormat/>
    <w:pPr>
      <w:keepNext/>
      <w:keepLines/>
      <w:spacing w:before="100" w:after="300"/>
    </w:pPr>
    <w:rPr>
      <w:sz w:val="20"/>
      <w:szCs w:val="20"/>
    </w:rPr>
  </w:style>
  <w:style w:type="paragraph" w:styleId="Bibliography">
    <w:name w:val="Bibliography"/>
    <w:basedOn w:val="Normal"/>
    <w:qFormat/>
  </w:style>
  <w:style w:type="character" w:customStyle="1" w:styleId="Heading1Char">
    <w:name w:val="Heading 1 Char"/>
    <w:basedOn w:val="DefaultParagraphFont"/>
    <w:link w:val="Heading1"/>
    <w:uiPriority w:val="9"/>
    <w:rsid w:val="00A10F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0F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0F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0F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0F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0F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0F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0F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0FD9"/>
    <w:rPr>
      <w:rFonts w:eastAsiaTheme="majorEastAsia" w:cstheme="majorBidi"/>
      <w:color w:val="272727" w:themeColor="text1" w:themeTint="D8"/>
    </w:rPr>
  </w:style>
  <w:style w:type="paragraph" w:styleId="BlockText">
    <w:name w:val="Block Text"/>
    <w:basedOn w:val="BodyText"/>
    <w:next w:val="BodyText"/>
    <w:uiPriority w:val="9"/>
    <w:unhideWhenUsed/>
    <w:qFormat/>
    <w:pPr>
      <w:spacing w:before="100" w:after="100"/>
      <w:ind w:left="480" w:right="480"/>
    </w:pPr>
  </w:style>
  <w:style w:type="paragraph" w:styleId="FootnoteText">
    <w:name w:val="footnote text"/>
    <w:basedOn w:val="Normal"/>
    <w:uiPriority w:val="9"/>
    <w:unhideWhenUsed/>
    <w:qFormat/>
  </w:style>
  <w:style w:type="paragraph" w:customStyle="1" w:styleId="FootnoteBlockText">
    <w:name w:val="Footnote Block Text"/>
    <w:basedOn w:val="FootnoteText"/>
    <w:next w:val="FootnoteText"/>
    <w:uiPriority w:val="9"/>
    <w:unhideWhenUsed/>
    <w:qFormat/>
    <w:pPr>
      <w:spacing w:before="100" w:after="100"/>
      <w:ind w:left="480" w:right="480"/>
    </w:pPr>
  </w:style>
  <w:style w:type="table" w:customStyle="1" w:styleId="Table">
    <w:name w:val="Table"/>
    <w:semiHidden/>
    <w:unhideWhenUsed/>
    <w:qFormat/>
    <w:tblPr>
      <w:tblInd w:w="0" w:type="dxa"/>
      <w:tblCellMar>
        <w:top w:w="0" w:type="dxa"/>
        <w:left w:w="108" w:type="dxa"/>
        <w:bottom w:w="0" w:type="dxa"/>
        <w:right w:w="108" w:type="dxa"/>
      </w:tblCellMar>
    </w:tblPr>
    <w:tblStylePr w:type="firstRow">
      <w:tblPr>
        <w:jc w:val="left"/>
      </w:tblPr>
      <w:trPr>
        <w:jc w:val="left"/>
      </w:trPr>
      <w:tcPr>
        <w:tcBorders>
          <w:bottom w:val="single" w:sz="0" w:space="0" w:color="auto"/>
        </w:tcBorders>
        <w:vAlign w:val="bottom"/>
      </w:tcPr>
    </w:tblStylePr>
  </w:style>
  <w:style w:type="paragraph" w:customStyle="1" w:styleId="DefinitionTerm">
    <w:name w:val="Definition Term"/>
    <w:basedOn w:val="Normal"/>
    <w:next w:val="Definition"/>
    <w:pPr>
      <w:keepNext/>
      <w:keepLines/>
      <w:spacing w:after="0"/>
    </w:pPr>
    <w:rPr>
      <w:b/>
    </w:rPr>
  </w:style>
  <w:style w:type="paragraph" w:customStyle="1" w:styleId="Definition">
    <w:name w:val="Definition"/>
    <w:basedOn w:val="Normal"/>
  </w:style>
  <w:style w:type="paragraph" w:styleId="Caption">
    <w:name w:val="caption"/>
    <w:basedOn w:val="Normal"/>
    <w:link w:val="CaptionChar"/>
    <w:pPr>
      <w:spacing w:after="120"/>
    </w:pPr>
    <w:rPr>
      <w:i/>
    </w:rPr>
  </w:style>
  <w:style w:type="paragraph" w:customStyle="1" w:styleId="TableCaption">
    <w:name w:val="Table Caption"/>
    <w:basedOn w:val="Caption"/>
    <w:pPr>
      <w:keepNext/>
    </w:pPr>
  </w:style>
  <w:style w:type="paragraph" w:customStyle="1" w:styleId="ImageCaption">
    <w:name w:val="Image Caption"/>
    <w:basedOn w:val="Caption"/>
  </w:style>
  <w:style w:type="paragraph" w:customStyle="1" w:styleId="Figure">
    <w:name w:val="Figure"/>
    <w:basedOn w:val="Normal"/>
  </w:style>
  <w:style w:type="paragraph" w:customStyle="1" w:styleId="CaptionedFigure">
    <w:name w:val="Captioned Figure"/>
    <w:basedOn w:val="Figure"/>
    <w:pPr>
      <w:keepNext/>
    </w:pPr>
  </w:style>
  <w:style w:type="character" w:customStyle="1" w:styleId="CaptionChar">
    <w:name w:val="Caption Char"/>
    <w:basedOn w:val="DefaultParagraphFont"/>
    <w:link w:val="Caption"/>
  </w:style>
  <w:style w:type="character" w:customStyle="1" w:styleId="VerbatimChar">
    <w:name w:val="Verbatim Char"/>
    <w:basedOn w:val="CaptionChar"/>
    <w:link w:val="SourceCode"/>
    <w:rPr>
      <w:rFonts w:ascii="Consolas" w:hAnsi="Consolas"/>
      <w:sz w:val="22"/>
    </w:rPr>
  </w:style>
  <w:style w:type="character" w:customStyle="1" w:styleId="SectionNumber">
    <w:name w:val="Section Number"/>
    <w:basedOn w:val="CaptionChar"/>
  </w:style>
  <w:style w:type="character" w:styleId="FootnoteReference">
    <w:name w:val="footnote reference"/>
    <w:basedOn w:val="CaptionChar"/>
    <w:rPr>
      <w:vertAlign w:val="superscript"/>
    </w:rPr>
  </w:style>
  <w:style w:type="character" w:styleId="Hyperlink">
    <w:name w:val="Hyperlink"/>
    <w:basedOn w:val="CaptionChar"/>
    <w:rPr>
      <w:color w:val="156082" w:themeColor="accent1"/>
    </w:rPr>
  </w:style>
  <w:style w:type="paragraph" w:styleId="TOCHeading">
    <w:name w:val="TOC Heading"/>
    <w:basedOn w:val="Heading1"/>
    <w:next w:val="BodyText"/>
    <w:uiPriority w:val="39"/>
    <w:unhideWhenUsed/>
    <w:qFormat/>
    <w:pPr>
      <w:spacing w:before="240" w:line="259" w:lineRule="auto"/>
      <w:outlineLvl w:val="9"/>
    </w:pPr>
  </w:style>
  <w:style w:type="paragraph" w:customStyle="1" w:styleId="SourceCode">
    <w:name w:val="Source Code"/>
    <w:basedOn w:val="Normal"/>
    <w:link w:val="VerbatimChar"/>
    <w:pPr>
      <w:wordWrap w:val="0"/>
    </w:pPr>
  </w:style>
  <w:style w:type="character" w:customStyle="1" w:styleId="KeywordTok">
    <w:name w:val="KeywordTok"/>
    <w:basedOn w:val="VerbatimChar"/>
    <w:rPr>
      <w:rFonts w:ascii="Consolas" w:hAnsi="Consolas"/>
      <w:b/>
      <w:color w:val="007020"/>
      <w:sz w:val="22"/>
    </w:rPr>
  </w:style>
  <w:style w:type="character" w:customStyle="1" w:styleId="DataTypeTok">
    <w:name w:val="DataTypeTok"/>
    <w:basedOn w:val="VerbatimChar"/>
    <w:rPr>
      <w:rFonts w:ascii="Consolas" w:hAnsi="Consolas"/>
      <w:color w:val="902000"/>
      <w:sz w:val="22"/>
    </w:rPr>
  </w:style>
  <w:style w:type="character" w:customStyle="1" w:styleId="DecValTok">
    <w:name w:val="DecValTok"/>
    <w:basedOn w:val="VerbatimChar"/>
    <w:rPr>
      <w:rFonts w:ascii="Consolas" w:hAnsi="Consolas"/>
      <w:color w:val="40A070"/>
      <w:sz w:val="22"/>
    </w:rPr>
  </w:style>
  <w:style w:type="character" w:customStyle="1" w:styleId="BaseNTok">
    <w:name w:val="BaseNTok"/>
    <w:basedOn w:val="VerbatimChar"/>
    <w:rPr>
      <w:rFonts w:ascii="Consolas" w:hAnsi="Consolas"/>
      <w:color w:val="40A070"/>
      <w:sz w:val="22"/>
    </w:rPr>
  </w:style>
  <w:style w:type="character" w:customStyle="1" w:styleId="FloatTok">
    <w:name w:val="FloatTok"/>
    <w:basedOn w:val="VerbatimChar"/>
    <w:rPr>
      <w:rFonts w:ascii="Consolas" w:hAnsi="Consolas"/>
      <w:color w:val="40A070"/>
      <w:sz w:val="22"/>
    </w:rPr>
  </w:style>
  <w:style w:type="character" w:customStyle="1" w:styleId="ConstantTok">
    <w:name w:val="ConstantTok"/>
    <w:basedOn w:val="VerbatimChar"/>
    <w:rPr>
      <w:rFonts w:ascii="Consolas" w:hAnsi="Consolas"/>
      <w:color w:val="880000"/>
      <w:sz w:val="22"/>
    </w:rPr>
  </w:style>
  <w:style w:type="character" w:customStyle="1" w:styleId="CharTok">
    <w:name w:val="CharTok"/>
    <w:basedOn w:val="VerbatimChar"/>
    <w:rPr>
      <w:rFonts w:ascii="Consolas" w:hAnsi="Consolas"/>
      <w:color w:val="4070A0"/>
      <w:sz w:val="22"/>
    </w:rPr>
  </w:style>
  <w:style w:type="character" w:customStyle="1" w:styleId="SpecialCharTok">
    <w:name w:val="SpecialCharTok"/>
    <w:basedOn w:val="VerbatimChar"/>
    <w:rPr>
      <w:rFonts w:ascii="Consolas" w:hAnsi="Consolas"/>
      <w:color w:val="4070A0"/>
      <w:sz w:val="22"/>
    </w:rPr>
  </w:style>
  <w:style w:type="character" w:customStyle="1" w:styleId="StringTok">
    <w:name w:val="StringTok"/>
    <w:basedOn w:val="VerbatimChar"/>
    <w:rPr>
      <w:rFonts w:ascii="Consolas" w:hAnsi="Consolas"/>
      <w:color w:val="4070A0"/>
      <w:sz w:val="22"/>
    </w:rPr>
  </w:style>
  <w:style w:type="character" w:customStyle="1" w:styleId="VerbatimStringTok">
    <w:name w:val="VerbatimStringTok"/>
    <w:basedOn w:val="VerbatimChar"/>
    <w:rPr>
      <w:rFonts w:ascii="Consolas" w:hAnsi="Consolas"/>
      <w:color w:val="4070A0"/>
      <w:sz w:val="22"/>
    </w:rPr>
  </w:style>
  <w:style w:type="character" w:customStyle="1" w:styleId="SpecialStringTok">
    <w:name w:val="SpecialStringTok"/>
    <w:basedOn w:val="VerbatimChar"/>
    <w:rPr>
      <w:rFonts w:ascii="Consolas" w:hAnsi="Consolas"/>
      <w:color w:val="BB6688"/>
      <w:sz w:val="22"/>
    </w:rPr>
  </w:style>
  <w:style w:type="character" w:customStyle="1" w:styleId="ImportTok">
    <w:name w:val="ImportTok"/>
    <w:basedOn w:val="VerbatimChar"/>
    <w:rPr>
      <w:rFonts w:ascii="Consolas" w:hAnsi="Consolas"/>
      <w:b/>
      <w:color w:val="008000"/>
      <w:sz w:val="22"/>
    </w:rPr>
  </w:style>
  <w:style w:type="character" w:customStyle="1" w:styleId="CommentTok">
    <w:name w:val="CommentTok"/>
    <w:basedOn w:val="VerbatimChar"/>
    <w:rPr>
      <w:rFonts w:ascii="Consolas" w:hAnsi="Consolas"/>
      <w:i/>
      <w:color w:val="60A0B0"/>
      <w:sz w:val="22"/>
    </w:rPr>
  </w:style>
  <w:style w:type="character" w:customStyle="1" w:styleId="DocumentationTok">
    <w:name w:val="DocumentationTok"/>
    <w:basedOn w:val="VerbatimChar"/>
    <w:rPr>
      <w:rFonts w:ascii="Consolas" w:hAnsi="Consolas"/>
      <w:i/>
      <w:color w:val="BA2121"/>
      <w:sz w:val="22"/>
    </w:rPr>
  </w:style>
  <w:style w:type="character" w:customStyle="1" w:styleId="AnnotationTok">
    <w:name w:val="AnnotationTok"/>
    <w:basedOn w:val="VerbatimChar"/>
    <w:rPr>
      <w:rFonts w:ascii="Consolas" w:hAnsi="Consolas"/>
      <w:b/>
      <w:i/>
      <w:color w:val="60A0B0"/>
      <w:sz w:val="22"/>
    </w:rPr>
  </w:style>
  <w:style w:type="character" w:customStyle="1" w:styleId="CommentVarTok">
    <w:name w:val="CommentVarTok"/>
    <w:basedOn w:val="VerbatimChar"/>
    <w:rPr>
      <w:rFonts w:ascii="Consolas" w:hAnsi="Consolas"/>
      <w:b/>
      <w:i/>
      <w:color w:val="60A0B0"/>
      <w:sz w:val="22"/>
    </w:rPr>
  </w:style>
  <w:style w:type="character" w:customStyle="1" w:styleId="OtherTok">
    <w:name w:val="OtherTok"/>
    <w:basedOn w:val="VerbatimChar"/>
    <w:rPr>
      <w:rFonts w:ascii="Consolas" w:hAnsi="Consolas"/>
      <w:color w:val="007020"/>
      <w:sz w:val="22"/>
    </w:rPr>
  </w:style>
  <w:style w:type="character" w:customStyle="1" w:styleId="FunctionTok">
    <w:name w:val="FunctionTok"/>
    <w:basedOn w:val="VerbatimChar"/>
    <w:rPr>
      <w:rFonts w:ascii="Consolas" w:hAnsi="Consolas"/>
      <w:color w:val="06287E"/>
      <w:sz w:val="22"/>
    </w:rPr>
  </w:style>
  <w:style w:type="character" w:customStyle="1" w:styleId="VariableTok">
    <w:name w:val="VariableTok"/>
    <w:basedOn w:val="VerbatimChar"/>
    <w:rPr>
      <w:rFonts w:ascii="Consolas" w:hAnsi="Consolas"/>
      <w:color w:val="19177C"/>
      <w:sz w:val="22"/>
    </w:rPr>
  </w:style>
  <w:style w:type="character" w:customStyle="1" w:styleId="ControlFlowTok">
    <w:name w:val="ControlFlowTok"/>
    <w:basedOn w:val="VerbatimChar"/>
    <w:rPr>
      <w:rFonts w:ascii="Consolas" w:hAnsi="Consolas"/>
      <w:b/>
      <w:color w:val="007020"/>
      <w:sz w:val="22"/>
    </w:rPr>
  </w:style>
  <w:style w:type="character" w:customStyle="1" w:styleId="OperatorTok">
    <w:name w:val="OperatorTok"/>
    <w:basedOn w:val="VerbatimChar"/>
    <w:rPr>
      <w:rFonts w:ascii="Consolas" w:hAnsi="Consolas"/>
      <w:color w:val="666666"/>
      <w:sz w:val="22"/>
    </w:rPr>
  </w:style>
  <w:style w:type="character" w:customStyle="1" w:styleId="BuiltInTok">
    <w:name w:val="BuiltInTok"/>
    <w:basedOn w:val="VerbatimChar"/>
    <w:rPr>
      <w:rFonts w:ascii="Consolas" w:hAnsi="Consolas"/>
      <w:color w:val="008000"/>
      <w:sz w:val="22"/>
    </w:rPr>
  </w:style>
  <w:style w:type="character" w:customStyle="1" w:styleId="ExtensionTok">
    <w:name w:val="ExtensionTok"/>
    <w:basedOn w:val="VerbatimChar"/>
    <w:rPr>
      <w:rFonts w:ascii="Consolas" w:hAnsi="Consolas"/>
      <w:sz w:val="22"/>
    </w:rPr>
  </w:style>
  <w:style w:type="character" w:customStyle="1" w:styleId="PreprocessorTok">
    <w:name w:val="PreprocessorTok"/>
    <w:basedOn w:val="VerbatimChar"/>
    <w:rPr>
      <w:rFonts w:ascii="Consolas" w:hAnsi="Consolas"/>
      <w:color w:val="BC7A00"/>
      <w:sz w:val="22"/>
    </w:rPr>
  </w:style>
  <w:style w:type="character" w:customStyle="1" w:styleId="AttributeTok">
    <w:name w:val="AttributeTok"/>
    <w:basedOn w:val="VerbatimChar"/>
    <w:rPr>
      <w:rFonts w:ascii="Consolas" w:hAnsi="Consolas"/>
      <w:color w:val="7D9029"/>
      <w:sz w:val="22"/>
    </w:rPr>
  </w:style>
  <w:style w:type="character" w:customStyle="1" w:styleId="RegionMarkerTok">
    <w:name w:val="RegionMarkerTok"/>
    <w:basedOn w:val="VerbatimChar"/>
    <w:rPr>
      <w:rFonts w:ascii="Consolas" w:hAnsi="Consolas"/>
      <w:sz w:val="22"/>
    </w:rPr>
  </w:style>
  <w:style w:type="character" w:customStyle="1" w:styleId="InformationTok">
    <w:name w:val="InformationTok"/>
    <w:basedOn w:val="VerbatimChar"/>
    <w:rPr>
      <w:rFonts w:ascii="Consolas" w:hAnsi="Consolas"/>
      <w:b/>
      <w:i/>
      <w:color w:val="60A0B0"/>
      <w:sz w:val="22"/>
    </w:rPr>
  </w:style>
  <w:style w:type="character" w:customStyle="1" w:styleId="WarningTok">
    <w:name w:val="WarningTok"/>
    <w:basedOn w:val="VerbatimChar"/>
    <w:rPr>
      <w:rFonts w:ascii="Consolas" w:hAnsi="Consolas"/>
      <w:b/>
      <w:i/>
      <w:color w:val="60A0B0"/>
      <w:sz w:val="22"/>
    </w:rPr>
  </w:style>
  <w:style w:type="character" w:customStyle="1" w:styleId="AlertTok">
    <w:name w:val="AlertTok"/>
    <w:basedOn w:val="VerbatimChar"/>
    <w:rPr>
      <w:rFonts w:ascii="Consolas" w:hAnsi="Consolas"/>
      <w:b/>
      <w:color w:val="FF0000"/>
      <w:sz w:val="22"/>
    </w:rPr>
  </w:style>
  <w:style w:type="character" w:customStyle="1" w:styleId="ErrorTok">
    <w:name w:val="ErrorTok"/>
    <w:basedOn w:val="VerbatimChar"/>
    <w:rPr>
      <w:rFonts w:ascii="Consolas" w:hAnsi="Consolas"/>
      <w:b/>
      <w:color w:val="FF0000"/>
      <w:sz w:val="22"/>
    </w:rPr>
  </w:style>
  <w:style w:type="character" w:customStyle="1" w:styleId="NormalTok">
    <w:name w:val="NormalTok"/>
    <w:basedOn w:val="VerbatimChar"/>
    <w:rPr>
      <w:rFonts w:ascii="Consolas" w:hAnsi="Consolas"/>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14</TotalTime>
  <Pages>8</Pages>
  <Words>3138</Words>
  <Characters>17890</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Shamsuddin Mahmud (2432880)</dc:creator>
  <cp:keywords/>
  <cp:lastModifiedBy>Shamsuddin Mahmud (2432880)</cp:lastModifiedBy>
  <cp:revision>3</cp:revision>
  <dcterms:created xsi:type="dcterms:W3CDTF">2025-12-17T00:20:00Z</dcterms:created>
  <dcterms:modified xsi:type="dcterms:W3CDTF">2025-12-17T02:05:00Z</dcterms:modified>
  <dc:language>en</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enerator">
    <vt:lpwstr>ChatGPT Deep Research</vt:lpwstr>
  </property>
  <property fmtid="{D5CDD505-2E9C-101B-9397-08002B2CF9AE}" pid="3" name="GrammarlyDocumentId">
    <vt:lpwstr>de37038a-d30c-49f9-99d4-f2f7d7f8cc80</vt:lpwstr>
  </property>
</Properties>
</file>