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numPr>
          <w:ilvl w:val="0"/>
          <w:numId w:val="0"/>
        </w:numPr>
        <w:jc w:val="both"/>
        <w:rPr>
          <w:rFonts w:hint="default"/>
          <w:b/>
          <w:bCs/>
          <w:sz w:val="36"/>
          <w:szCs w:val="44"/>
          <w:highlight w:val="yellow"/>
          <w:lang w:eastAsia="zh-Hans"/>
        </w:rPr>
      </w:pPr>
    </w:p>
    <w:p>
      <w:pPr>
        <w:numPr>
          <w:ilvl w:val="0"/>
          <w:numId w:val="0"/>
        </w:numPr>
        <w:jc w:val="center"/>
        <w:rPr>
          <w:rFonts w:hint="default"/>
          <w:b/>
          <w:bCs/>
          <w:sz w:val="32"/>
          <w:szCs w:val="40"/>
          <w:lang w:eastAsia="zh-CN"/>
        </w:rPr>
      </w:pPr>
      <w:bookmarkStart w:id="0" w:name="_GoBack"/>
      <w:r>
        <w:rPr>
          <w:rFonts w:hint="default"/>
          <w:b/>
          <w:bCs/>
          <w:sz w:val="32"/>
          <w:szCs w:val="40"/>
          <w:lang w:eastAsia="zh-CN"/>
        </w:rPr>
        <w:drawing>
          <wp:inline distT="0" distB="0" distL="114300" distR="114300">
            <wp:extent cx="2504440" cy="2782570"/>
            <wp:effectExtent l="0" t="0" r="10160" b="11430"/>
            <wp:docPr id="1" name="图片 1" descr="15351670903857_.pi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1" descr="15351670903857_.pic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504440" cy="2782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>
      <w:pPr>
        <w:numPr>
          <w:ilvl w:val="0"/>
          <w:numId w:val="0"/>
        </w:numPr>
        <w:rPr>
          <w:rFonts w:hint="default"/>
          <w:b/>
          <w:bCs/>
          <w:color w:val="auto"/>
          <w:sz w:val="32"/>
          <w:szCs w:val="40"/>
          <w:lang w:eastAsia="zh-CN"/>
        </w:rPr>
      </w:pPr>
    </w:p>
    <w:p>
      <w:pPr>
        <w:numPr>
          <w:ilvl w:val="0"/>
          <w:numId w:val="0"/>
        </w:numPr>
        <w:rPr>
          <w:rFonts w:hint="default"/>
          <w:b/>
          <w:bCs/>
          <w:color w:val="auto"/>
          <w:sz w:val="32"/>
          <w:szCs w:val="40"/>
          <w:lang w:eastAsia="zh-CN"/>
        </w:rPr>
      </w:pPr>
    </w:p>
    <w:p>
      <w:pPr>
        <w:numPr>
          <w:ilvl w:val="0"/>
          <w:numId w:val="0"/>
        </w:numPr>
        <w:rPr>
          <w:rFonts w:hint="default"/>
          <w:color w:val="auto"/>
          <w:sz w:val="32"/>
          <w:szCs w:val="40"/>
          <w:lang w:eastAsia="zh-CN"/>
        </w:rPr>
      </w:pPr>
      <w:r>
        <w:rPr>
          <w:rFonts w:hint="default"/>
          <w:b/>
          <w:bCs/>
          <w:color w:val="auto"/>
          <w:sz w:val="32"/>
          <w:szCs w:val="40"/>
          <w:lang w:eastAsia="zh-CN"/>
        </w:rPr>
        <w:t>MODULE</w:t>
      </w:r>
      <w:r>
        <w:rPr>
          <w:rFonts w:hint="eastAsia"/>
          <w:b/>
          <w:bCs/>
          <w:color w:val="auto"/>
          <w:sz w:val="32"/>
          <w:szCs w:val="40"/>
          <w:lang w:val="en-US" w:eastAsia="zh-CN"/>
        </w:rPr>
        <w:t>:</w:t>
      </w:r>
      <w:r>
        <w:rPr>
          <w:rFonts w:hint="default"/>
          <w:b/>
          <w:bCs/>
          <w:color w:val="auto"/>
          <w:sz w:val="32"/>
          <w:szCs w:val="40"/>
          <w:lang w:eastAsia="zh-CN"/>
        </w:rPr>
        <w:t xml:space="preserve"> </w:t>
      </w:r>
      <w:r>
        <w:rPr>
          <w:rFonts w:hint="eastAsia"/>
          <w:color w:val="auto"/>
          <w:sz w:val="32"/>
          <w:szCs w:val="40"/>
          <w:lang w:val="en-US" w:eastAsia="zh-CN"/>
        </w:rPr>
        <w:t>Human Resource Management</w:t>
      </w:r>
      <w:r>
        <w:rPr>
          <w:rFonts w:hint="default"/>
          <w:color w:val="auto"/>
          <w:sz w:val="32"/>
          <w:szCs w:val="40"/>
          <w:lang w:eastAsia="zh-CN"/>
        </w:rPr>
        <w:t>（</w:t>
      </w:r>
      <w:r>
        <w:rPr>
          <w:rFonts w:hint="eastAsia"/>
          <w:color w:val="auto"/>
          <w:sz w:val="32"/>
          <w:szCs w:val="40"/>
          <w:lang w:val="en-US" w:eastAsia="zh-CN"/>
        </w:rPr>
        <w:t>BMMB700</w:t>
      </w:r>
      <w:r>
        <w:rPr>
          <w:rFonts w:hint="default"/>
          <w:color w:val="auto"/>
          <w:sz w:val="32"/>
          <w:szCs w:val="40"/>
          <w:lang w:eastAsia="zh-CN"/>
        </w:rPr>
        <w:t>7）</w:t>
      </w:r>
    </w:p>
    <w:p>
      <w:pPr>
        <w:rPr>
          <w:rFonts w:hint="default"/>
          <w:color w:val="auto"/>
          <w:sz w:val="32"/>
          <w:szCs w:val="40"/>
          <w:lang w:eastAsia="zh-CN"/>
        </w:rPr>
      </w:pPr>
      <w:r>
        <w:rPr>
          <w:rFonts w:hint="eastAsia"/>
          <w:b/>
          <w:bCs/>
          <w:color w:val="auto"/>
          <w:sz w:val="32"/>
          <w:szCs w:val="40"/>
          <w:lang w:val="en-US" w:eastAsia="zh-CN"/>
        </w:rPr>
        <w:t>N</w:t>
      </w:r>
      <w:r>
        <w:rPr>
          <w:rFonts w:hint="default"/>
          <w:b/>
          <w:bCs/>
          <w:color w:val="auto"/>
          <w:sz w:val="32"/>
          <w:szCs w:val="40"/>
          <w:lang w:eastAsia="zh-CN"/>
        </w:rPr>
        <w:t>AME</w:t>
      </w:r>
      <w:r>
        <w:rPr>
          <w:rFonts w:hint="eastAsia"/>
          <w:b/>
          <w:bCs/>
          <w:color w:val="auto"/>
          <w:sz w:val="32"/>
          <w:szCs w:val="40"/>
          <w:lang w:val="en-US" w:eastAsia="zh-CN"/>
        </w:rPr>
        <w:t>:</w:t>
      </w:r>
      <w:r>
        <w:rPr>
          <w:rFonts w:hint="eastAsia"/>
          <w:color w:val="auto"/>
          <w:sz w:val="32"/>
          <w:szCs w:val="40"/>
          <w:lang w:val="en-US" w:eastAsia="zh-CN"/>
        </w:rPr>
        <w:t xml:space="preserve"> </w:t>
      </w:r>
      <w:r>
        <w:rPr>
          <w:rFonts w:hint="eastAsia"/>
          <w:color w:val="auto"/>
          <w:sz w:val="32"/>
          <w:szCs w:val="40"/>
          <w:lang w:val="en-US" w:eastAsia="zh-Hans"/>
        </w:rPr>
        <w:t>Jingran</w:t>
      </w:r>
      <w:r>
        <w:rPr>
          <w:rFonts w:hint="eastAsia"/>
          <w:color w:val="auto"/>
          <w:sz w:val="32"/>
          <w:szCs w:val="40"/>
          <w:lang w:val="en-US" w:eastAsia="zh-CN"/>
        </w:rPr>
        <w:t xml:space="preserve"> </w:t>
      </w:r>
      <w:r>
        <w:rPr>
          <w:rFonts w:hint="default"/>
          <w:color w:val="auto"/>
          <w:sz w:val="32"/>
          <w:szCs w:val="40"/>
          <w:lang w:eastAsia="zh-CN"/>
        </w:rPr>
        <w:t>Z</w:t>
      </w:r>
      <w:r>
        <w:rPr>
          <w:rFonts w:hint="eastAsia"/>
          <w:color w:val="auto"/>
          <w:sz w:val="32"/>
          <w:szCs w:val="40"/>
          <w:lang w:val="en-US" w:eastAsia="zh-Hans"/>
        </w:rPr>
        <w:t>hang</w:t>
      </w:r>
      <w:r>
        <w:rPr>
          <w:rFonts w:hint="eastAsia"/>
          <w:b/>
          <w:bCs/>
          <w:color w:val="auto"/>
          <w:sz w:val="40"/>
          <w:szCs w:val="48"/>
          <w:lang w:val="en-US" w:eastAsia="zh-CN"/>
        </w:rPr>
        <w:br w:type="textWrapping"/>
      </w:r>
      <w:r>
        <w:rPr>
          <w:rFonts w:hint="default"/>
          <w:b/>
          <w:bCs/>
          <w:color w:val="auto"/>
          <w:sz w:val="32"/>
          <w:szCs w:val="40"/>
          <w:lang w:eastAsia="zh-CN"/>
        </w:rPr>
        <w:t>STUDENT NUMBER</w:t>
      </w:r>
      <w:r>
        <w:rPr>
          <w:rFonts w:hint="eastAsia"/>
          <w:b/>
          <w:bCs/>
          <w:color w:val="auto"/>
          <w:sz w:val="32"/>
          <w:szCs w:val="40"/>
          <w:lang w:val="en-US" w:eastAsia="zh-CN"/>
        </w:rPr>
        <w:t>:</w:t>
      </w:r>
      <w:r>
        <w:rPr>
          <w:rFonts w:hint="default"/>
          <w:b/>
          <w:bCs/>
          <w:color w:val="auto"/>
          <w:sz w:val="32"/>
          <w:szCs w:val="40"/>
          <w:lang w:eastAsia="zh-CN"/>
        </w:rPr>
        <w:t xml:space="preserve"> </w:t>
      </w:r>
      <w:r>
        <w:rPr>
          <w:rFonts w:hint="eastAsia"/>
          <w:color w:val="auto"/>
          <w:sz w:val="32"/>
          <w:szCs w:val="40"/>
          <w:lang w:val="en-US" w:eastAsia="zh-CN"/>
        </w:rPr>
        <w:t>22033</w:t>
      </w:r>
      <w:r>
        <w:rPr>
          <w:rFonts w:hint="default"/>
          <w:color w:val="auto"/>
          <w:sz w:val="32"/>
          <w:szCs w:val="40"/>
          <w:lang w:eastAsia="zh-CN"/>
        </w:rPr>
        <w:t>91</w:t>
      </w:r>
    </w:p>
    <w:p>
      <w:pPr>
        <w:rPr>
          <w:rFonts w:hint="default"/>
          <w:b/>
          <w:bCs/>
          <w:color w:val="auto"/>
          <w:sz w:val="32"/>
          <w:szCs w:val="40"/>
          <w:lang w:eastAsia="zh-CN"/>
        </w:rPr>
      </w:pPr>
      <w:r>
        <w:rPr>
          <w:rFonts w:hint="default"/>
          <w:b/>
          <w:bCs/>
          <w:color w:val="auto"/>
          <w:sz w:val="32"/>
          <w:szCs w:val="40"/>
          <w:lang w:eastAsia="zh-CN"/>
        </w:rPr>
        <w:t>Link</w:t>
      </w:r>
      <w:r>
        <w:rPr>
          <w:rFonts w:hint="default"/>
          <w:b/>
          <w:bCs/>
          <w:color w:val="auto"/>
          <w:sz w:val="32"/>
          <w:szCs w:val="40"/>
          <w:lang w:eastAsia="zh-CN"/>
        </w:rPr>
        <w:t>：</w:t>
      </w:r>
    </w:p>
    <w:p>
      <w:pPr>
        <w:keepNext w:val="0"/>
        <w:keepLines w:val="0"/>
        <w:pageBreakBefore w:val="0"/>
        <w:widowControl/>
        <w:suppressLineNumbers w:val="0"/>
        <w:shd w:val="clear" w:fill="FFFFFF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/>
          <w:lang w:eastAsia="zh-CN"/>
        </w:rPr>
      </w:pPr>
      <w:r>
        <w:rPr>
          <w:rFonts w:hint="default"/>
          <w:lang w:eastAsia="zh-CN"/>
        </w:rPr>
        <w:t>https://uowtsd-my.sharepoint.com/:v:/g/personal/2203391_student_uwtsd_ac_uk/EcLzhyZ1PxFEnuU6BvYzmnQB5AyxqbcmLbgjQAlAFj88vA?e=kULw2P</w:t>
      </w:r>
    </w:p>
    <w:p>
      <w:pPr>
        <w:rPr>
          <w:rFonts w:hint="default"/>
          <w:b/>
          <w:bCs/>
          <w:color w:val="auto"/>
          <w:sz w:val="32"/>
          <w:szCs w:val="40"/>
          <w:lang w:eastAsia="zh-Hans"/>
        </w:rPr>
      </w:pPr>
      <w:r>
        <w:rPr>
          <w:rFonts w:hint="default"/>
          <w:b/>
          <w:bCs/>
          <w:color w:val="auto"/>
          <w:sz w:val="32"/>
          <w:szCs w:val="40"/>
          <w:lang w:eastAsia="zh-CN"/>
        </w:rPr>
        <w:t>Reference list</w:t>
      </w:r>
      <w:r>
        <w:rPr>
          <w:rFonts w:hint="default"/>
          <w:b/>
          <w:bCs/>
          <w:color w:val="auto"/>
          <w:sz w:val="32"/>
          <w:szCs w:val="40"/>
          <w:lang w:eastAsia="zh-CN"/>
        </w:rPr>
        <w:t>：</w:t>
      </w:r>
    </w:p>
    <w:p>
      <w:pPr>
        <w:keepNext w:val="0"/>
        <w:keepLines w:val="0"/>
        <w:pageBreakBefore w:val="0"/>
        <w:widowControl/>
        <w:suppressLineNumbers w:val="0"/>
        <w:shd w:val="clear" w:fill="FFFFFF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/>
        </w:rPr>
      </w:pPr>
      <w:r>
        <w:rPr>
          <w:rFonts w:hint="eastAsia"/>
        </w:rPr>
        <w:t xml:space="preserve">Dzunani A. Ngobeni, Musawenkosi D. Saurombe and Renjini M. Joseph (2022) ‘The influence of the psychological contract on employee engagement in a South African bank’, </w:t>
      </w:r>
      <w:r>
        <w:rPr>
          <w:rFonts w:hint="eastAsia"/>
          <w:i/>
          <w:iCs/>
        </w:rPr>
        <w:t>Frontiers in psychology</w:t>
      </w:r>
      <w:r>
        <w:rPr>
          <w:rFonts w:hint="eastAsia"/>
        </w:rPr>
        <w:t xml:space="preserve">, 13. </w:t>
      </w:r>
      <w:r>
        <w:rPr>
          <w:rFonts w:hint="default"/>
        </w:rPr>
        <w:t>DOI</w:t>
      </w:r>
      <w:r>
        <w:rPr>
          <w:rFonts w:hint="eastAsia"/>
        </w:rPr>
        <w:t>:</w:t>
      </w:r>
      <w:r>
        <w:rPr>
          <w:rFonts w:hint="eastAsia"/>
          <w:color w:val="auto"/>
          <w:highlight w:val="none"/>
          <w:u w:val="none"/>
        </w:rPr>
        <w:t>https://doi.org/10.3389/fpsyg.2022.958127.</w:t>
      </w:r>
    </w:p>
    <w:p>
      <w:pPr>
        <w:keepNext w:val="0"/>
        <w:keepLines w:val="0"/>
        <w:pageBreakBefore w:val="0"/>
        <w:widowControl/>
        <w:suppressLineNumbers w:val="0"/>
        <w:shd w:val="clear" w:fill="FFFFFF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/>
        </w:rPr>
      </w:pPr>
      <w:r>
        <w:rPr>
          <w:rFonts w:hint="eastAsia"/>
        </w:rPr>
        <w:t xml:space="preserve">Dankó, D. and Molnár, M.P. (2017). </w:t>
      </w:r>
      <w:r>
        <w:rPr>
          <w:rFonts w:hint="default"/>
        </w:rPr>
        <w:t>‘</w:t>
      </w:r>
      <w:r>
        <w:rPr>
          <w:rFonts w:hint="eastAsia"/>
        </w:rPr>
        <w:t>Balanced Assessment Systems Revisited</w:t>
      </w:r>
      <w:r>
        <w:rPr>
          <w:rFonts w:hint="default"/>
        </w:rPr>
        <w:t>’</w:t>
      </w:r>
      <w:r>
        <w:rPr>
          <w:rFonts w:hint="eastAsia"/>
        </w:rPr>
        <w:t xml:space="preserve">, </w:t>
      </w:r>
      <w:r>
        <w:rPr>
          <w:rFonts w:hint="eastAsia"/>
          <w:i/>
          <w:iCs/>
        </w:rPr>
        <w:t>Journal of Market Access &amp; Health Policy,</w:t>
      </w:r>
      <w:r>
        <w:rPr>
          <w:rFonts w:hint="eastAsia"/>
        </w:rPr>
        <w:t xml:space="preserve"> 5(1), p.1355190. </w:t>
      </w:r>
      <w:r>
        <w:rPr>
          <w:rFonts w:hint="default"/>
        </w:rPr>
        <w:t>DOI</w:t>
      </w:r>
      <w:r>
        <w:rPr>
          <w:rFonts w:hint="eastAsia"/>
        </w:rPr>
        <w:t>:https://doi.org/10.1080/20016689.2017.1355190.</w:t>
      </w:r>
    </w:p>
    <w:p>
      <w:pPr>
        <w:keepNext w:val="0"/>
        <w:keepLines w:val="0"/>
        <w:pageBreakBefore w:val="0"/>
        <w:widowControl/>
        <w:suppressLineNumbers w:val="0"/>
        <w:shd w:val="clear" w:fill="FFFFFF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/>
        </w:rPr>
      </w:pPr>
      <w:r>
        <w:rPr>
          <w:rFonts w:hint="eastAsia"/>
        </w:rPr>
        <w:t xml:space="preserve">docin (2022). </w:t>
      </w:r>
      <w:r>
        <w:rPr>
          <w:rFonts w:hint="eastAsia"/>
          <w:i/>
          <w:iCs/>
        </w:rPr>
        <w:t>How Can Human Resource Managers Improve Their Effective Communication Skills.</w:t>
      </w:r>
      <w:r>
        <w:rPr>
          <w:rFonts w:hint="eastAsia"/>
        </w:rPr>
        <w:t xml:space="preserve"> Available at: https://www.docin.com/p-1122872786.html （Accessed 25 Apr 2023).</w:t>
      </w:r>
    </w:p>
    <w:p>
      <w:pPr>
        <w:keepNext w:val="0"/>
        <w:keepLines w:val="0"/>
        <w:pageBreakBefore w:val="0"/>
        <w:widowControl/>
        <w:suppressLineNumbers w:val="0"/>
        <w:shd w:val="clear" w:fill="FFFFFF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/>
        </w:rPr>
      </w:pPr>
      <w:r>
        <w:rPr>
          <w:rFonts w:hint="eastAsia"/>
        </w:rPr>
        <w:t xml:space="preserve">Elif Baykal and Osman Bayraktar (2022) ‘Green human resources management: A novel tool to boost work engagement’, </w:t>
      </w:r>
      <w:r>
        <w:rPr>
          <w:rFonts w:hint="eastAsia"/>
          <w:i/>
          <w:iCs/>
        </w:rPr>
        <w:t>Frontiers in psychology</w:t>
      </w:r>
      <w:r>
        <w:rPr>
          <w:rFonts w:hint="eastAsia"/>
        </w:rPr>
        <w:t xml:space="preserve">, 13. </w:t>
      </w:r>
      <w:r>
        <w:rPr>
          <w:rFonts w:hint="default"/>
        </w:rPr>
        <w:t>DOI</w:t>
      </w:r>
      <w:r>
        <w:rPr>
          <w:rFonts w:hint="eastAsia"/>
        </w:rPr>
        <w:t>:</w:t>
      </w:r>
    </w:p>
    <w:p>
      <w:pPr>
        <w:keepNext w:val="0"/>
        <w:keepLines w:val="0"/>
        <w:pageBreakBefore w:val="0"/>
        <w:widowControl/>
        <w:suppressLineNumbers w:val="0"/>
        <w:shd w:val="clear" w:fill="FFFFFF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/>
        </w:rPr>
      </w:pPr>
      <w:r>
        <w:rPr>
          <w:rFonts w:hint="eastAsia"/>
          <w:color w:val="auto"/>
          <w:u w:val="none"/>
        </w:rPr>
        <w:t>https://doi.org/10.3389/fpsyg.2022.951963.</w:t>
      </w:r>
    </w:p>
    <w:p>
      <w:pPr>
        <w:keepNext w:val="0"/>
        <w:keepLines w:val="0"/>
        <w:pageBreakBefore w:val="0"/>
        <w:widowControl/>
        <w:suppressLineNumbers w:val="0"/>
        <w:shd w:val="clear" w:fill="FFFFFF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/>
        </w:rPr>
      </w:pPr>
      <w:r>
        <w:rPr>
          <w:rFonts w:hint="eastAsia"/>
        </w:rPr>
        <w:t xml:space="preserve">haiwainet (2021). </w:t>
      </w:r>
      <w:r>
        <w:rPr>
          <w:rFonts w:hint="eastAsia"/>
          <w:i/>
          <w:iCs/>
        </w:rPr>
        <w:t>The Report Shows That Digitization Runs through the Whole Cycle of Human Resource Management.</w:t>
      </w:r>
      <w:r>
        <w:rPr>
          <w:rFonts w:hint="eastAsia"/>
        </w:rPr>
        <w:t xml:space="preserve"> Available at: https://baijiahao.baidu.com/s?id=1700622128982578785&amp;wfr=spider&amp;for=pc （Accessed 26 Apr. 2023）.</w:t>
      </w:r>
    </w:p>
    <w:p>
      <w:pPr>
        <w:keepNext w:val="0"/>
        <w:keepLines w:val="0"/>
        <w:pageBreakBefore w:val="0"/>
        <w:widowControl/>
        <w:suppressLineNumbers w:val="0"/>
        <w:shd w:val="clear" w:fill="FFFFFF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/>
        </w:rPr>
      </w:pPr>
      <w:r>
        <w:rPr>
          <w:rFonts w:hint="eastAsia"/>
        </w:rPr>
        <w:t xml:space="preserve">Martins, J.M., Aftab, H., Mata, M.N., Majeed, M.U., Aslam, S., Correia, A.B. and Mata, P.N. (2021). </w:t>
      </w:r>
      <w:r>
        <w:rPr>
          <w:rFonts w:hint="default"/>
        </w:rPr>
        <w:t>‘</w:t>
      </w:r>
      <w:r>
        <w:rPr>
          <w:rFonts w:hint="eastAsia"/>
        </w:rPr>
        <w:t>Assessing the Impact of Green Hiring on Sustainable Performance: Mediating Role of Green Performance Management and Compensation</w:t>
      </w:r>
      <w:r>
        <w:rPr>
          <w:rFonts w:hint="default"/>
        </w:rPr>
        <w:t>’,</w:t>
      </w:r>
      <w:r>
        <w:rPr>
          <w:rFonts w:hint="eastAsia"/>
        </w:rPr>
        <w:t xml:space="preserve"> </w:t>
      </w:r>
      <w:r>
        <w:rPr>
          <w:rFonts w:hint="eastAsia"/>
          <w:i/>
          <w:iCs/>
        </w:rPr>
        <w:t>International Journal of Environmental Research and Public Health</w:t>
      </w:r>
      <w:r>
        <w:rPr>
          <w:rFonts w:hint="eastAsia"/>
        </w:rPr>
        <w:t>, 18(11), p.5654. doi:https://doi.org/10.3390/ijerph18115654.</w:t>
      </w:r>
    </w:p>
    <w:p>
      <w:pPr>
        <w:keepNext w:val="0"/>
        <w:keepLines w:val="0"/>
        <w:pageBreakBefore w:val="0"/>
        <w:widowControl/>
        <w:suppressLineNumbers w:val="0"/>
        <w:shd w:val="clear" w:fill="FFFFFF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/>
        </w:rPr>
      </w:pPr>
      <w:r>
        <w:rPr>
          <w:rFonts w:hint="eastAsia"/>
        </w:rPr>
        <w:t xml:space="preserve">Sun, T. (2022). ‘Problems of Performance Appraisal Management in Urban Commercial Banks and Suggestions for Improvement’, </w:t>
      </w:r>
      <w:r>
        <w:rPr>
          <w:rFonts w:hint="eastAsia"/>
          <w:i/>
          <w:iCs/>
        </w:rPr>
        <w:t>Chinese Market</w:t>
      </w:r>
      <w:r>
        <w:rPr>
          <w:rFonts w:hint="eastAsia"/>
        </w:rPr>
        <w:t xml:space="preserve">, 11(9), pp.35–40. </w:t>
      </w:r>
    </w:p>
    <w:p>
      <w:pPr>
        <w:keepNext w:val="0"/>
        <w:keepLines w:val="0"/>
        <w:pageBreakBefore w:val="0"/>
        <w:widowControl/>
        <w:suppressLineNumbers w:val="0"/>
        <w:shd w:val="clear" w:fill="FFFFFF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/>
        </w:rPr>
      </w:pPr>
      <w:r>
        <w:rPr>
          <w:rFonts w:hint="eastAsia"/>
        </w:rPr>
        <w:t>DOI：10.13939/j.cnki.zgsc.2022.09.040‌</w:t>
      </w:r>
    </w:p>
    <w:p>
      <w:pPr>
        <w:keepNext w:val="0"/>
        <w:keepLines w:val="0"/>
        <w:pageBreakBefore w:val="0"/>
        <w:widowControl/>
        <w:suppressLineNumbers w:val="0"/>
        <w:shd w:val="clear" w:fill="FFFFFF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/>
        </w:rPr>
      </w:pPr>
      <w:r>
        <w:rPr>
          <w:rFonts w:hint="eastAsia"/>
        </w:rPr>
        <w:t xml:space="preserve">Wang, H.-Y. and Chen, Z.-X. (2022). </w:t>
      </w:r>
      <w:r>
        <w:rPr>
          <w:rFonts w:hint="default"/>
        </w:rPr>
        <w:t>‘</w:t>
      </w:r>
      <w:r>
        <w:rPr>
          <w:rFonts w:hint="eastAsia"/>
        </w:rPr>
        <w:t>A moderated-mediation Analysis of Performance Appraisal Politics Perception and Counterproductive Work Behavior</w:t>
      </w:r>
      <w:r>
        <w:rPr>
          <w:rFonts w:hint="default"/>
        </w:rPr>
        <w:t>’,</w:t>
      </w:r>
      <w:r>
        <w:rPr>
          <w:rFonts w:hint="eastAsia"/>
        </w:rPr>
        <w:t xml:space="preserve"> </w:t>
      </w:r>
      <w:r>
        <w:rPr>
          <w:rFonts w:hint="eastAsia"/>
          <w:i/>
          <w:iCs/>
        </w:rPr>
        <w:t>Frontiers in Psychology</w:t>
      </w:r>
      <w:r>
        <w:rPr>
          <w:rFonts w:hint="eastAsia"/>
        </w:rPr>
        <w:t>, 13. doi:https://doi.org/10.3389/fpsyg.2022.928923.</w:t>
      </w:r>
    </w:p>
    <w:p>
      <w:pPr>
        <w:keepNext w:val="0"/>
        <w:keepLines w:val="0"/>
        <w:pageBreakBefore w:val="0"/>
        <w:widowControl/>
        <w:suppressLineNumbers w:val="0"/>
        <w:shd w:val="clear" w:fill="FFFFFF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/>
        </w:rPr>
      </w:pPr>
      <w:r>
        <w:rPr>
          <w:rFonts w:hint="eastAsia"/>
        </w:rPr>
        <w:t xml:space="preserve">Wang, J. (2011). ‘Performance communication: the Lubricant of Performance Management’, </w:t>
      </w:r>
      <w:r>
        <w:rPr>
          <w:rFonts w:hint="eastAsia"/>
          <w:i/>
          <w:iCs/>
        </w:rPr>
        <w:t>Leadership Science</w:t>
      </w:r>
      <w:r>
        <w:rPr>
          <w:rFonts w:hint="eastAsia"/>
        </w:rPr>
        <w:t xml:space="preserve">, 20(19), pp.51–53. </w:t>
      </w:r>
    </w:p>
    <w:p>
      <w:pPr>
        <w:keepNext w:val="0"/>
        <w:keepLines w:val="0"/>
        <w:pageBreakBefore w:val="0"/>
        <w:widowControl/>
        <w:suppressLineNumbers w:val="0"/>
        <w:shd w:val="clear" w:fill="FFFFFF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/>
        </w:rPr>
      </w:pPr>
      <w:r>
        <w:rPr>
          <w:rFonts w:hint="eastAsia"/>
        </w:rPr>
        <w:t>DOI：10.19572/j.cnki.ldkx.2011.19.023</w:t>
      </w:r>
    </w:p>
    <w:p>
      <w:pPr>
        <w:keepNext w:val="0"/>
        <w:keepLines w:val="0"/>
        <w:pageBreakBefore w:val="0"/>
        <w:widowControl/>
        <w:suppressLineNumbers w:val="0"/>
        <w:shd w:val="clear" w:fill="FFFFFF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/>
        </w:rPr>
      </w:pPr>
      <w:r>
        <w:rPr>
          <w:rFonts w:hint="eastAsia"/>
        </w:rPr>
        <w:t xml:space="preserve">Xiong, L. (2021). </w:t>
      </w:r>
      <w:r>
        <w:rPr>
          <w:rFonts w:hint="eastAsia"/>
          <w:i/>
          <w:iCs/>
        </w:rPr>
        <w:t xml:space="preserve">Directions and Principles for the Application of Performance Appraisal Results. </w:t>
      </w:r>
      <w:r>
        <w:rPr>
          <w:rFonts w:hint="eastAsia"/>
        </w:rPr>
        <w:t>Available at: https://baijiahao.baidu.com/s?id=1669736898886780931&amp;wfr=spider&amp;for=pc (Accessed 24 Apr 2023).‌</w:t>
      </w:r>
    </w:p>
    <w:p>
      <w:pPr>
        <w:keepNext w:val="0"/>
        <w:keepLines w:val="0"/>
        <w:pageBreakBefore w:val="0"/>
        <w:widowControl/>
        <w:suppressLineNumbers w:val="0"/>
        <w:shd w:val="clear" w:fill="FFFFFF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/>
        </w:rPr>
      </w:pPr>
      <w:r>
        <w:rPr>
          <w:rFonts w:hint="eastAsia"/>
        </w:rPr>
        <w:t xml:space="preserve">yan, xi (2022). </w:t>
      </w:r>
      <w:r>
        <w:rPr>
          <w:rFonts w:hint="eastAsia"/>
          <w:i/>
          <w:iCs/>
        </w:rPr>
        <w:t>Commonly Used Performance Management Methods.</w:t>
      </w:r>
      <w:r>
        <w:rPr>
          <w:rFonts w:hint="eastAsia"/>
        </w:rPr>
        <w:t xml:space="preserve"> Available at: https://www.xiaohongshu.com/explore/628f769b000000000102a470 （Accessed 25 Apr. 2023）.‌</w:t>
      </w:r>
    </w:p>
    <w:p>
      <w:pPr>
        <w:keepNext w:val="0"/>
        <w:keepLines w:val="0"/>
        <w:pageBreakBefore w:val="0"/>
        <w:widowControl/>
        <w:suppressLineNumbers w:val="0"/>
        <w:shd w:val="clear" w:fill="FFFFFF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/>
        </w:rPr>
      </w:pPr>
      <w:r>
        <w:rPr>
          <w:rFonts w:hint="eastAsia"/>
        </w:rPr>
        <w:t xml:space="preserve">Zhang, L. (2022). </w:t>
      </w:r>
      <w:r>
        <w:rPr>
          <w:rFonts w:hint="eastAsia"/>
          <w:i/>
          <w:iCs/>
        </w:rPr>
        <w:t>Management of Staff Performance Appraisal Results and Performance Feedback and Improvement.</w:t>
      </w:r>
      <w:r>
        <w:rPr>
          <w:rFonts w:hint="eastAsia"/>
        </w:rPr>
        <w:t xml:space="preserve"> Available at: https://baijiahao.baidu.com/s?id=1660503135154637189&amp;wfr=spider&amp;for=pc </w:t>
      </w:r>
    </w:p>
    <w:p>
      <w:pPr>
        <w:keepNext w:val="0"/>
        <w:keepLines w:val="0"/>
        <w:pageBreakBefore w:val="0"/>
        <w:widowControl/>
        <w:suppressLineNumbers w:val="0"/>
        <w:shd w:val="clear" w:fill="FFFFFF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/>
          <w:b/>
          <w:bCs/>
          <w:color w:val="auto"/>
          <w:sz w:val="32"/>
          <w:szCs w:val="40"/>
          <w:lang w:eastAsia="zh-Hans"/>
        </w:rPr>
        <w:sectPr>
          <w:pgSz w:w="11906" w:h="16838"/>
          <w:pgMar w:top="1440" w:right="1800" w:bottom="1440" w:left="1800" w:header="851" w:footer="992" w:gutter="0"/>
          <w:pgNumType w:fmt="decimal" w:start="1"/>
          <w:cols w:space="425" w:num="1"/>
          <w:docGrid w:type="lines" w:linePitch="312" w:charSpace="0"/>
        </w:sectPr>
      </w:pPr>
      <w:r>
        <w:rPr>
          <w:rFonts w:hint="eastAsia"/>
        </w:rPr>
        <w:t>(Accessed 21 Apr 2023)</w:t>
      </w:r>
    </w:p>
    <w:p>
      <w:pPr>
        <w:rPr>
          <w:rFonts w:hint="eastAsia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auto"/>
    <w:pitch w:val="default"/>
    <w:sig w:usb0="00000000" w:usb1="00000000" w:usb2="00000000" w:usb3="00000000" w:csb0="00000000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00000000" w:csb1="00000000"/>
  </w:font>
  <w:font w:name="Arial">
    <w:panose1 w:val="020B0604020202020204"/>
    <w:charset w:val="01"/>
    <w:family w:val="swiss"/>
    <w:pitch w:val="default"/>
    <w:sig w:usb0="00000000" w:usb1="00000000" w:usb2="00000000" w:usb3="00000000" w:csb0="00000000" w:csb1="0000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00000000" w:usb1="00000000" w:usb2="00000000" w:usb3="00000000" w:csb0="00000000" w:csb1="0000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Helvetica Neue">
    <w:panose1 w:val="02000503000000020004"/>
    <w:charset w:val="00"/>
    <w:family w:val="auto"/>
    <w:pitch w:val="default"/>
    <w:sig w:usb0="00000000" w:usb1="00000000" w:usb2="00000000" w:usb3="00000000" w:csb0="00000000" w:csb1="00000000"/>
  </w:font>
  <w:font w:name="汉仪书宋二KW">
    <w:panose1 w:val="00020600040101010101"/>
    <w:charset w:val="86"/>
    <w:family w:val="auto"/>
    <w:pitch w:val="default"/>
    <w:sig w:usb0="00000000" w:usb1="00000000" w:usb2="00000000" w:usb3="00000000" w:csb0="00160000" w:csb1="00000000"/>
  </w:font>
  <w:font w:name="Symbol">
    <w:altName w:val="Kingsoft Sign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Courier New">
    <w:panose1 w:val="02070309020205020404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0"/>
    <w:family w:val="auto"/>
    <w:pitch w:val="default"/>
    <w:sig w:usb0="00000000" w:usb1="00000000" w:usb2="00000000" w:usb3="00000000" w:csb0="00000000" w:csb1="00000000"/>
  </w:font>
  <w:font w:name="Kingsoft Sign">
    <w:panose1 w:val="05050102010706020507"/>
    <w:charset w:val="00"/>
    <w:family w:val="auto"/>
    <w:pitch w:val="default"/>
    <w:sig w:usb0="00000000" w:usb1="00000000" w:usb2="00000000" w:usb3="00000000" w:csb0="00000000" w:csb1="00000000"/>
  </w:font>
  <w:font w:name="汉仪中黑KW">
    <w:panose1 w:val="00020600040101010101"/>
    <w:charset w:val="86"/>
    <w:family w:val="auto"/>
    <w:pitch w:val="default"/>
    <w:sig w:usb0="00000000" w:usb1="00000000" w:usb2="00000000" w:usb3="00000000" w:csb0="0016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77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F6BF0636"/>
    <w:rsid w:val="3EB7620C"/>
    <w:rsid w:val="77DF683C"/>
    <w:rsid w:val="7CEDA174"/>
    <w:rsid w:val="7FCFC04A"/>
    <w:rsid w:val="CBFBE919"/>
    <w:rsid w:val="F6BF06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4">
    <w:name w:val="Default Paragraph Font"/>
    <w:semiHidden/>
    <w:qFormat/>
    <w:uiPriority w:val="0"/>
  </w:style>
  <w:style w:type="table" w:default="1" w:styleId="3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Normal (Web)"/>
    <w:basedOn w:val="1"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lang w:val="en-US" w:eastAsia="zh-CN" w:bidi="ar"/>
    </w:rPr>
  </w:style>
  <w:style w:type="character" w:styleId="5">
    <w:name w:val="Strong"/>
    <w:basedOn w:val="4"/>
    <w:qFormat/>
    <w:uiPriority w:val="0"/>
    <w:rPr>
      <w:b/>
    </w:r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10</TotalTime>
  <ScaleCrop>false</ScaleCrop>
  <LinksUpToDate>false</LinksUpToDate>
  <CharactersWithSpaces>0</CharactersWithSpaces>
  <Application>WPS Office_4.6.1.7467_F1E327BC-269C-435d-A152-05C5408002CA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2023-04-28T15:35:00Z</dcterms:created>
  <dc:creator>WPS_1634387776</dc:creator>
  <cp:lastModifiedBy>WPS_1634387776</cp:lastModifiedBy>
  <dcterms:modified xsi:type="dcterms:W3CDTF">2023-04-28T16:20:32Z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2052-4.6.1.7467</vt:lpwstr>
  </property>
  <property fmtid="{D5CDD505-2E9C-101B-9397-08002B2CF9AE}" pid="3" name="ICV">
    <vt:lpwstr>CFE0801E7939603653774B6467573D55</vt:lpwstr>
  </property>
</Properties>
</file>