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1ABF3" w14:textId="77777777" w:rsidR="00D72E8E" w:rsidRDefault="00D72E8E" w:rsidP="00D72E8E">
      <w:r>
        <w:t>1.1</w:t>
      </w:r>
    </w:p>
    <w:p w14:paraId="306F5815" w14:textId="7BC92F1F" w:rsidR="00D72E8E" w:rsidRPr="00D72E8E" w:rsidRDefault="00D72E8E" w:rsidP="00D72E8E">
      <w:r w:rsidRPr="00D72E8E">
        <w:t>To [</w:t>
      </w:r>
      <w:r>
        <w:t>name</w:t>
      </w:r>
      <w:r w:rsidRPr="00D72E8E">
        <w:t>], </w:t>
      </w:r>
    </w:p>
    <w:p w14:paraId="3A92E423" w14:textId="77777777" w:rsidR="00D72E8E" w:rsidRPr="00D72E8E" w:rsidRDefault="00D72E8E" w:rsidP="00D72E8E">
      <w:r w:rsidRPr="00D72E8E">
        <w:t>I understand the frustration of spending a large part of your working day occupied by legal and regulatory issues when you’d much rather work on something more hands-on that adds a tangible value to the business or employee experience. However, what you describe is not abnormal. The CIPD found that two-thirds of HRMs spend around 20% of their day dealing with employment law issues, with some spending 40% of their time this way (Torrington ,2020). </w:t>
      </w:r>
    </w:p>
    <w:p w14:paraId="3046E9A2" w14:textId="77777777" w:rsidR="00D72E8E" w:rsidRPr="00D72E8E" w:rsidRDefault="00D72E8E" w:rsidP="00D72E8E">
      <w:r w:rsidRPr="00D72E8E">
        <w:t>Employment law is one of the fastest-changing areas of law in the UK, (Daniels, 2022), so it is understandable to feel overwhelmed occasionally. Aside from the consequences of non-compliance with the law, which can range from tribunals, fines, or even criminal charges, there are several positive reasons why spending a little time every day on legal matters is highly beneficial for everybody involved. Employment law is a branch of legislation that has been developed over the last few decades, and continues to grow, to raise employment standards (Torrington, 2020; Daniels 2022). </w:t>
      </w:r>
    </w:p>
    <w:p w14:paraId="2B7DBA4E" w14:textId="77777777" w:rsidR="00D72E8E" w:rsidRPr="00D72E8E" w:rsidRDefault="00D72E8E" w:rsidP="00D72E8E">
      <w:r w:rsidRPr="00D72E8E">
        <w:t>Employment regulations protect employees by rebalancing the power between managers and their subordinate employees, preventing them from permitting negligence, exploitation and bullying. However, some would argue that this benefits not only the employee but the organisation as a whole and the greater economy, as fairly and effectively managed workplaces are often the most productive (Torrington, 2020). </w:t>
      </w:r>
    </w:p>
    <w:p w14:paraId="1160FCA2" w14:textId="77777777" w:rsidR="00D72E8E" w:rsidRPr="00D72E8E" w:rsidRDefault="00D72E8E" w:rsidP="00D72E8E">
      <w:r w:rsidRPr="00D72E8E">
        <w:t>Regards,</w:t>
      </w:r>
    </w:p>
    <w:p w14:paraId="50C89277" w14:textId="77777777" w:rsidR="00D72E8E" w:rsidRPr="00D72E8E" w:rsidRDefault="00D72E8E" w:rsidP="00D72E8E">
      <w:r w:rsidRPr="00D72E8E">
        <w:t>Lowri</w:t>
      </w:r>
    </w:p>
    <w:p w14:paraId="7010C98E" w14:textId="5083CA00" w:rsidR="00D72E8E" w:rsidRDefault="00D72E8E" w:rsidP="00D72E8E">
      <w:r>
        <w:t>1.2</w:t>
      </w:r>
    </w:p>
    <w:p w14:paraId="3FCBAB3E" w14:textId="77777777" w:rsidR="00D72E8E" w:rsidRPr="00D72E8E" w:rsidRDefault="00D72E8E" w:rsidP="00D72E8E">
      <w:r w:rsidRPr="00D72E8E">
        <w:t>To [name],</w:t>
      </w:r>
    </w:p>
    <w:p w14:paraId="037541A5" w14:textId="77777777" w:rsidR="00D72E8E" w:rsidRPr="00D72E8E" w:rsidRDefault="00D72E8E" w:rsidP="00D72E8E"/>
    <w:p w14:paraId="4463FB6E" w14:textId="77777777" w:rsidR="00D72E8E" w:rsidRPr="00D72E8E" w:rsidRDefault="00D72E8E" w:rsidP="00D72E8E">
      <w:r w:rsidRPr="00D72E8E">
        <w:t> </w:t>
      </w:r>
    </w:p>
    <w:p w14:paraId="4AB19668" w14:textId="77777777" w:rsidR="00D72E8E" w:rsidRPr="00D72E8E" w:rsidRDefault="00D72E8E" w:rsidP="00D72E8E">
      <w:r w:rsidRPr="00D72E8E">
        <w:t>Here is a quick debrief: When the UK was a part of the EU, the European Court of Justice (ECJ) held supreme status, meaning it could overrule the UK Supreme Court (UKSC) on questions of European law, amd ECJ laws applied in the UK.</w:t>
      </w:r>
      <w:r w:rsidRPr="00D72E8E">
        <w:br/>
      </w:r>
      <w:r w:rsidRPr="00D72E8E">
        <w:br/>
        <w:t xml:space="preserve">Under the Trade and Cooperation Agreement, which came into effect a day after the UK left the EU on January 1, 2021, the UK is now supreme and no longer required to incorporate new EU regulations into its statute, apart from some areas of discrimination law in Northern Ireland. The UK can now make changes to previous ECJ rulings; however, any major deregulation, particularly in areas concerning fair trade will likely be </w:t>
      </w:r>
      <w:r w:rsidRPr="00D72E8E">
        <w:lastRenderedPageBreak/>
        <w:t>contested by the EU and potentially result in punitive tariffs (Trade and Cooperation Agreement 2021).</w:t>
      </w:r>
    </w:p>
    <w:p w14:paraId="19E3FFC1" w14:textId="77777777" w:rsidR="00D72E8E" w:rsidRPr="00D72E8E" w:rsidRDefault="00D72E8E" w:rsidP="00D72E8E"/>
    <w:p w14:paraId="5AD75F23" w14:textId="77777777" w:rsidR="00D72E8E" w:rsidRPr="00D72E8E" w:rsidRDefault="00D72E8E" w:rsidP="00D72E8E">
      <w:r w:rsidRPr="00D72E8E">
        <w:t>Whether the ECJ rulings remain good law is debatable. Since then, three laws specifically related to employment have been repealed; The Posted Workers (Enforcement of Employment Rights) Regulations 2016, The Posted Workers (Agency Workers) Regulations 2020 and The European Cooperative Society (Involvement of Employees) Regulations 2006. The UK has actively chosen to discard these laws. </w:t>
      </w:r>
    </w:p>
    <w:p w14:paraId="13699B42" w14:textId="77777777" w:rsidR="00D72E8E" w:rsidRPr="00D72E8E" w:rsidRDefault="00D72E8E" w:rsidP="00D72E8E">
      <w:r w:rsidRPr="00D72E8E">
        <w:t>Some have been consciously retained; such as some definitions and interpretations surrounding discrimination, equal pay and disability. These remain to be seen as good law (CIPD, 2024c). </w:t>
      </w:r>
    </w:p>
    <w:p w14:paraId="5575E8C6" w14:textId="77777777" w:rsidR="00D72E8E" w:rsidRPr="00D72E8E" w:rsidRDefault="00D72E8E" w:rsidP="00D72E8E"/>
    <w:p w14:paraId="276FDDCE" w14:textId="77777777" w:rsidR="00D72E8E" w:rsidRPr="00D72E8E" w:rsidRDefault="00D72E8E" w:rsidP="00D72E8E">
      <w:r w:rsidRPr="00D72E8E">
        <w:t>Retained EU Law (Revocation and Reform) Act 2023 (Revocation and Sunset Disapplication) Regulationns 2023 (RUEL) came into affect on 1 January 2024 to state that all remaining EU law would remain in the UK statue book until they are repealed or amended through the process of appeal in the UKSC. Some notable employment legislation changed under RUEL include Group TUPE consultation and rolled-up holiday pay. If you're wondering which EU laws might be repealed or amended next, reviewing those previously overturned or challenged by the ECJ could offer valuable clues about future changes (CIPD, 2024c; REUL, 2023). </w:t>
      </w:r>
    </w:p>
    <w:p w14:paraId="099CF491" w14:textId="77777777" w:rsidR="00D72E8E" w:rsidRPr="00D72E8E" w:rsidRDefault="00D72E8E" w:rsidP="00D72E8E"/>
    <w:p w14:paraId="104D7CEB" w14:textId="655F1226" w:rsidR="00D72E8E" w:rsidRDefault="00D72E8E" w:rsidP="00D72E8E">
      <w:r w:rsidRPr="00D72E8E">
        <w:t xml:space="preserve">Regards, </w:t>
      </w:r>
      <w:r w:rsidRPr="00D72E8E">
        <w:br/>
        <w:t>Lowri</w:t>
      </w:r>
    </w:p>
    <w:p w14:paraId="0C327329" w14:textId="12F109B7" w:rsidR="00D72E8E" w:rsidRDefault="00D72E8E" w:rsidP="00D72E8E">
      <w:r>
        <w:t>2.1</w:t>
      </w:r>
    </w:p>
    <w:p w14:paraId="488144DD" w14:textId="77777777" w:rsidR="00D72E8E" w:rsidRPr="00D72E8E" w:rsidRDefault="00D72E8E" w:rsidP="00D72E8E">
      <w:r w:rsidRPr="00D72E8E">
        <w:t>To [name],</w:t>
      </w:r>
    </w:p>
    <w:p w14:paraId="223BA0D0" w14:textId="77777777" w:rsidR="00D72E8E" w:rsidRPr="00D72E8E" w:rsidRDefault="00D72E8E" w:rsidP="00D72E8E">
      <w:r w:rsidRPr="00D72E8E">
        <w:t>The Equality Act 2010 sets out several Occupational Requirements (OR), which are, instances where being of a particular protected characteristic is a requirement due to the nature or context of the work and is a “proportionate means of achieving a legitimate aim” (The Equality Act 2010, Sch 9).</w:t>
      </w:r>
    </w:p>
    <w:p w14:paraId="64950CD3" w14:textId="77777777" w:rsidR="00D72E8E" w:rsidRPr="00D72E8E" w:rsidRDefault="00D72E8E" w:rsidP="00D72E8E">
      <w:r w:rsidRPr="00D72E8E">
        <w:t>One instance of OR written into The Equality Act is the requirement to be a man for some roles in the armed forces for reasons of efficiency, however, in 2018, the UK Ministry of Defence announced the lifting of the exemption on women serving in ground close combat roles, allowing them to apply for all roles in the Armed Forces, apart from the Gurkhas (Parliament.uk, 2021; The Equality Act 2010).</w:t>
      </w:r>
    </w:p>
    <w:p w14:paraId="4519DC82" w14:textId="77777777" w:rsidR="00D72E8E" w:rsidRPr="00D72E8E" w:rsidRDefault="00D72E8E" w:rsidP="00D72E8E">
      <w:r w:rsidRPr="00D72E8E">
        <w:lastRenderedPageBreak/>
        <w:t>Another is employment within organised religion. Some positions within this profession may not be suitable for women (and some sexualities and gender identities too) because of the requirements set out within the doctrines of the religion, or to avoid conflict with a significant number of the religions followers’ beliefs (The Equality Act 2010).</w:t>
      </w:r>
    </w:p>
    <w:p w14:paraId="0C2D499C" w14:textId="77777777" w:rsidR="00D72E8E" w:rsidRPr="00D72E8E" w:rsidRDefault="00D72E8E" w:rsidP="00D72E8E">
      <w:r w:rsidRPr="00D72E8E">
        <w:t>OR could furthermore apply to the sexes when hiring intimate care assistants for vulnerable people or changing room/public rest room attendants. For the reason of privacy and decency, the occupiers of these roles would preferably be of the same sex as the dependant or the facilities (The Equality Act 2010). </w:t>
      </w:r>
    </w:p>
    <w:p w14:paraId="406DAC1B" w14:textId="77777777" w:rsidR="00D72E8E" w:rsidRPr="00D72E8E" w:rsidRDefault="00D72E8E" w:rsidP="00D72E8E">
      <w:r w:rsidRPr="00D72E8E">
        <w:t>There are many more instances where this could apply, here are a few. Hope this helps!</w:t>
      </w:r>
    </w:p>
    <w:p w14:paraId="4A7057C2" w14:textId="77777777" w:rsidR="00D72E8E" w:rsidRPr="00D72E8E" w:rsidRDefault="00D72E8E" w:rsidP="00D72E8E">
      <w:r w:rsidRPr="00D72E8E">
        <w:br/>
        <w:t>Regards,</w:t>
      </w:r>
    </w:p>
    <w:p w14:paraId="52E3800C" w14:textId="77777777" w:rsidR="00D72E8E" w:rsidRPr="00D72E8E" w:rsidRDefault="00D72E8E" w:rsidP="00D72E8E">
      <w:r w:rsidRPr="00D72E8E">
        <w:t>Lowri</w:t>
      </w:r>
    </w:p>
    <w:p w14:paraId="30F09A2A" w14:textId="4086FE31" w:rsidR="00D72E8E" w:rsidRDefault="00D72E8E" w:rsidP="00D72E8E">
      <w:r>
        <w:t>2.2</w:t>
      </w:r>
    </w:p>
    <w:p w14:paraId="09414029" w14:textId="77777777" w:rsidR="00D72E8E" w:rsidRPr="00D72E8E" w:rsidRDefault="00D72E8E" w:rsidP="00D72E8E">
      <w:r w:rsidRPr="00D72E8E">
        <w:t>To [name],</w:t>
      </w:r>
    </w:p>
    <w:p w14:paraId="274712D4" w14:textId="77777777" w:rsidR="00D72E8E" w:rsidRPr="00D72E8E" w:rsidRDefault="00D72E8E" w:rsidP="00D72E8E">
      <w:r w:rsidRPr="00D72E8E">
        <w:t>I’m happy to hear that you want to upgrade two employees to the B grade; I presume they must be performing well to deserve this. However, I have some concerns regarding the legal considerations of this upgrade. </w:t>
      </w:r>
    </w:p>
    <w:p w14:paraId="6CAA0FC0" w14:textId="77777777" w:rsidR="00D72E8E" w:rsidRPr="00D72E8E" w:rsidRDefault="00D72E8E" w:rsidP="00D72E8E">
      <w:r w:rsidRPr="00D72E8E">
        <w:t>As the majority of the remaining HCAs are employed under the A grade, some conflict may arise if they were to find out about this upgrade, especially considering the fact that 80% of the HCA’s in the trust are women. Historically, women were paid less than men in similar roles, such was the case with Ford, leading to the foundation of the National Joint Action Campaign Committee for Women’s Equal Rights who protested for equal pay and ultimately led to the creation of the Equal Pay Act in 1970 which stated that men and women in equivalent roles were to be paid equally (Equal Pay Act 1970; TUC, 2024). </w:t>
      </w:r>
    </w:p>
    <w:p w14:paraId="532B368E" w14:textId="77777777" w:rsidR="00D72E8E" w:rsidRPr="00D72E8E" w:rsidRDefault="00D72E8E" w:rsidP="00D72E8E">
      <w:r w:rsidRPr="00D72E8E">
        <w:t>Since then, the Equal Pay Act has been replicated by the Equality Act 2010 (Equality Act 2010, s65). Failing to provide equal pay to men and women who work in similar roles may qualify as indirect discrimination and can be considered a breach of Section 131 (Equality Act 2010, s131). The Act implies an invisible “sex equality clause” in every employee’s contract, and there is no minimum duration of service required for an employee to bring a complaint (CIPD, 2025). </w:t>
      </w:r>
    </w:p>
    <w:p w14:paraId="3BD8BE87" w14:textId="77777777" w:rsidR="00D72E8E" w:rsidRPr="00D72E8E" w:rsidRDefault="00D72E8E" w:rsidP="00D72E8E">
      <w:r w:rsidRPr="00D72E8E">
        <w:t xml:space="preserve">Upgrading two male employees pay in a majority female role is puts us at risk of a discrimination tribunal if there isn’t a clear and justified business reason that has nothing to do with their sex. In order for me to approve these upgrades, I will need to know why they are being upgraded. Such reasons might include that they’re better </w:t>
      </w:r>
      <w:r w:rsidRPr="00D72E8E">
        <w:lastRenderedPageBreak/>
        <w:t>qualified or they work different shifts that have a good reason to be paid more, such as a night shift (ACAS, 2024f). Let me know!</w:t>
      </w:r>
    </w:p>
    <w:p w14:paraId="05120BD3" w14:textId="77777777" w:rsidR="00D72E8E" w:rsidRPr="00D72E8E" w:rsidRDefault="00D72E8E" w:rsidP="00D72E8E">
      <w:r w:rsidRPr="00D72E8E">
        <w:t>Regards,</w:t>
      </w:r>
    </w:p>
    <w:p w14:paraId="205C5BC5" w14:textId="77777777" w:rsidR="00D72E8E" w:rsidRPr="00D72E8E" w:rsidRDefault="00D72E8E" w:rsidP="00D72E8E">
      <w:r w:rsidRPr="00D72E8E">
        <w:t>Lowri</w:t>
      </w:r>
    </w:p>
    <w:p w14:paraId="462DA149" w14:textId="334F1207" w:rsidR="00D72E8E" w:rsidRDefault="00D72E8E" w:rsidP="00D72E8E">
      <w:r>
        <w:t>3.1</w:t>
      </w:r>
    </w:p>
    <w:p w14:paraId="54F06621" w14:textId="77777777" w:rsidR="00D72E8E" w:rsidRPr="00D72E8E" w:rsidRDefault="00D72E8E" w:rsidP="00D72E8E">
      <w:r w:rsidRPr="00D72E8E">
        <w:t>To [name],</w:t>
      </w:r>
    </w:p>
    <w:p w14:paraId="258AE72B" w14:textId="77777777" w:rsidR="00D72E8E" w:rsidRPr="00D72E8E" w:rsidRDefault="00D72E8E" w:rsidP="00D72E8E">
      <w:r w:rsidRPr="00D72E8E">
        <w:t>For a constructive dismissal claim to be legitimate it must be under the circumstances that the employee has resigned following conduct issues or a breach of contract from their employer following at least two years of employment. They have 3 months minus one day starting from the last day of their notice period, or the day of their resignation in lieu of giving notice, for their claim to be accepted by the Employment Tribunal Service (Acas, 2024b). In a tribunal, they must be able prove that the employer has breached the contract in a significant or fundamental way, and that the employee reigned in response to the breach. The reason can be because of one incident, or a clear series of incidents with a “final straw” causing them to resign, but the resignation must be made with very little delay following the incident or they may be deemed to have ‘elected to affirm’ the breach (Brodie, 2022; CIPD, 2024a; Acas, 2024c).</w:t>
      </w:r>
    </w:p>
    <w:p w14:paraId="5CD314AB" w14:textId="77777777" w:rsidR="00D72E8E" w:rsidRPr="00D72E8E" w:rsidRDefault="00D72E8E" w:rsidP="00D72E8E">
      <w:r w:rsidRPr="00D72E8E">
        <w:t>Circumstances leading to a successful constructive dismissal can include a change to working hours, if the new hours were not mentioned in the original contract and no addendum was signed prior to the change. However, this could be defensible in a tribunal if it was proven that there was a clear business reason for making this change, and every effort was made to consult with the employee about the changes prior to their implementation (CIPD, 2024a; Acas, 2024c; Brodie, 2022; Daniels, 2022).</w:t>
      </w:r>
    </w:p>
    <w:p w14:paraId="28CCB8DE" w14:textId="77777777" w:rsidR="00D72E8E" w:rsidRPr="00D72E8E" w:rsidRDefault="00D72E8E" w:rsidP="00D72E8E"/>
    <w:p w14:paraId="50DCE0D5" w14:textId="77777777" w:rsidR="00D72E8E" w:rsidRPr="00D72E8E" w:rsidRDefault="00D72E8E" w:rsidP="00D72E8E">
      <w:r w:rsidRPr="00D72E8E">
        <w:t>Regards, </w:t>
      </w:r>
    </w:p>
    <w:p w14:paraId="44AA3075" w14:textId="77777777" w:rsidR="00D72E8E" w:rsidRPr="00D72E8E" w:rsidRDefault="00D72E8E" w:rsidP="00D72E8E">
      <w:r w:rsidRPr="00D72E8E">
        <w:t>Lowri</w:t>
      </w:r>
    </w:p>
    <w:p w14:paraId="151E8320" w14:textId="0545020A" w:rsidR="00D72E8E" w:rsidRDefault="00D72E8E" w:rsidP="00D72E8E">
      <w:r>
        <w:t>3.2</w:t>
      </w:r>
    </w:p>
    <w:p w14:paraId="32E02BAC" w14:textId="77777777" w:rsidR="00D72E8E" w:rsidRPr="00D72E8E" w:rsidRDefault="00D72E8E" w:rsidP="00D72E8E">
      <w:r w:rsidRPr="00D72E8E">
        <w:t>To [name],</w:t>
      </w:r>
    </w:p>
    <w:p w14:paraId="5CF8270C" w14:textId="77777777" w:rsidR="00D72E8E" w:rsidRPr="00D72E8E" w:rsidRDefault="00D72E8E" w:rsidP="00D72E8E">
      <w:r w:rsidRPr="00D72E8E">
        <w:t> </w:t>
      </w:r>
    </w:p>
    <w:p w14:paraId="36FECEBA" w14:textId="77777777" w:rsidR="00D72E8E" w:rsidRPr="00D72E8E" w:rsidRDefault="00D72E8E" w:rsidP="00D72E8E">
      <w:r w:rsidRPr="00D72E8E">
        <w:t>When reorganisng the directorate, I would recommend offering alternative options such as moving employees into other roles, changing hours, limiting overtime and offering voluntary redundancies where possible, as compulsory redundancies can be complicated (ACAS, 2024d).</w:t>
      </w:r>
    </w:p>
    <w:p w14:paraId="684D8777" w14:textId="77777777" w:rsidR="00D72E8E" w:rsidRPr="00D72E8E" w:rsidRDefault="00D72E8E" w:rsidP="00D72E8E"/>
    <w:p w14:paraId="0152CE87" w14:textId="77777777" w:rsidR="00D72E8E" w:rsidRPr="00D72E8E" w:rsidRDefault="00D72E8E" w:rsidP="00D72E8E">
      <w:r w:rsidRPr="00D72E8E">
        <w:lastRenderedPageBreak/>
        <w:t>There are only three valid reasons for a business to make employees redundant, in this case, some redundancies can be justified under Section 139(1b) of the Employment Rights Act 1996; “the fact that the requirements of that business for employees to carry out work of a particular kind have ceased or diminished or are expected to cease or diminish” (Employment Rights Act 1996; Daniels, 2022; ACAS, 2024d). </w:t>
      </w:r>
    </w:p>
    <w:p w14:paraId="60C9D2E7" w14:textId="77777777" w:rsidR="00D72E8E" w:rsidRPr="00D72E8E" w:rsidRDefault="00D72E8E" w:rsidP="00D72E8E"/>
    <w:p w14:paraId="39ACDB29" w14:textId="77777777" w:rsidR="00D72E8E" w:rsidRPr="00D72E8E" w:rsidRDefault="00D72E8E" w:rsidP="00D72E8E">
      <w:r w:rsidRPr="00D72E8E">
        <w:t>I understand that you wish to avoid time-consuming consultation, however, as you are potentially making more than 22 employees redundant, failure to give 30 day consultation will result in prosecution and a fine. Without proper consultation, we may also be subject to unfair dismissal claims (ACAS, 2024d; Daniels, 2022). You will also need to complete the HR1 form to notify the Secretary of State of your plans for redundancy. Failure to do so is a criminal offence under Section 193 of the Trade Union and Labour Relations Act 1992 (Daniels, 2022; Trade Union and Labour Relations (Consolidation) Act 1992). </w:t>
      </w:r>
    </w:p>
    <w:p w14:paraId="376080C6" w14:textId="77777777" w:rsidR="00D72E8E" w:rsidRPr="00D72E8E" w:rsidRDefault="00D72E8E" w:rsidP="00D72E8E"/>
    <w:p w14:paraId="0C38ED58" w14:textId="77777777" w:rsidR="00D72E8E" w:rsidRPr="00D72E8E" w:rsidRDefault="00D72E8E" w:rsidP="00D72E8E">
      <w:r w:rsidRPr="00D72E8E">
        <w:t>During consultation you must provide in writing the reason for the proposed redundancies, the number and description of the redundant employees, the total number of employees at the establishment who will be affected, the proposed method of selection, the procedure to be followed in dealing with the redundancies and the method of calculating the redundancy payment if it differs from the statutory payment. (Trade Union and Labour Relations (Consolidation) Act 1992, S188; Daniels, 2022). </w:t>
      </w:r>
    </w:p>
    <w:p w14:paraId="7EF61265" w14:textId="77777777" w:rsidR="00D72E8E" w:rsidRPr="00D72E8E" w:rsidRDefault="00D72E8E" w:rsidP="00D72E8E"/>
    <w:p w14:paraId="412CAD32" w14:textId="77777777" w:rsidR="00D72E8E" w:rsidRPr="00D72E8E" w:rsidRDefault="00D72E8E" w:rsidP="00D72E8E">
      <w:r w:rsidRPr="00D72E8E">
        <w:t>Reasons for dismissal under redundancy must be carefully selected to avoid discrimination. Some reasons that are typically safe include standard of work or performance, skills, qualifications, expertise, absence record (not including absences related to disability, pregnancy and maternity), and disciplinary record (ACAS, 2024d; Daniels, 2022). </w:t>
      </w:r>
    </w:p>
    <w:p w14:paraId="69FD1E6B" w14:textId="77777777" w:rsidR="00D72E8E" w:rsidRPr="00D72E8E" w:rsidRDefault="00D72E8E" w:rsidP="00D72E8E"/>
    <w:p w14:paraId="2E84E51C" w14:textId="77777777" w:rsidR="00D72E8E" w:rsidRPr="00D72E8E" w:rsidRDefault="00D72E8E" w:rsidP="00D72E8E">
      <w:r w:rsidRPr="00D72E8E">
        <w:t>Redundancy pay is calculated based on age of employment and length of service. Employees that have worked for under 2 years are not entitled to redundancy pay. For each year of employment between the ages of 41 and 64, employees will get 1.5 weeks pay, 1 week of pay for each year of employment between the ages of 22 and 40 and 0.5 weeks pay for each year aged under 21 (Daniels, 2022).</w:t>
      </w:r>
    </w:p>
    <w:p w14:paraId="3B562EC6" w14:textId="77777777" w:rsidR="00D72E8E" w:rsidRPr="00D72E8E" w:rsidRDefault="00D72E8E" w:rsidP="00D72E8E"/>
    <w:p w14:paraId="744D4655" w14:textId="77777777" w:rsidR="00D72E8E" w:rsidRPr="00D72E8E" w:rsidRDefault="00D72E8E" w:rsidP="00D72E8E">
      <w:r w:rsidRPr="00D72E8E">
        <w:t>Regards,</w:t>
      </w:r>
    </w:p>
    <w:p w14:paraId="53901401" w14:textId="77777777" w:rsidR="00D72E8E" w:rsidRPr="00D72E8E" w:rsidRDefault="00D72E8E" w:rsidP="00D72E8E">
      <w:r w:rsidRPr="00D72E8E">
        <w:t>Lowri</w:t>
      </w:r>
    </w:p>
    <w:p w14:paraId="595C3E35" w14:textId="77777777" w:rsidR="00D72E8E" w:rsidRPr="00D72E8E" w:rsidRDefault="00D72E8E" w:rsidP="00D72E8E"/>
    <w:p w14:paraId="1DC1E4DD" w14:textId="74A93023" w:rsidR="00D72E8E" w:rsidRDefault="00D72E8E" w:rsidP="00D72E8E">
      <w:r>
        <w:t>3.3</w:t>
      </w:r>
    </w:p>
    <w:p w14:paraId="2EAAF5C1" w14:textId="77777777" w:rsidR="00D72E8E" w:rsidRPr="00D72E8E" w:rsidRDefault="00D72E8E" w:rsidP="00D72E8E">
      <w:r w:rsidRPr="00D72E8E">
        <w:t>To [name],</w:t>
      </w:r>
    </w:p>
    <w:p w14:paraId="6FA2BAE3" w14:textId="77777777" w:rsidR="00D72E8E" w:rsidRPr="00D72E8E" w:rsidRDefault="00D72E8E" w:rsidP="00D72E8E">
      <w:r w:rsidRPr="00D72E8E">
        <w:t> </w:t>
      </w:r>
    </w:p>
    <w:p w14:paraId="50E88522" w14:textId="77777777" w:rsidR="00D72E8E" w:rsidRPr="00D72E8E" w:rsidRDefault="00D72E8E" w:rsidP="00D72E8E">
      <w:r w:rsidRPr="00D72E8E">
        <w:t>Handling a TUPE situation can be a delicate process, below is a summary of a few of the rights of employees as set out in TUPE Regulations (Transfer of Undertakings (Protection of Employment) Regulations 2006).</w:t>
      </w:r>
    </w:p>
    <w:p w14:paraId="03484E22" w14:textId="77777777" w:rsidR="00D72E8E" w:rsidRPr="00D72E8E" w:rsidRDefault="00D72E8E" w:rsidP="00D72E8E"/>
    <w:p w14:paraId="07EA2D98" w14:textId="77777777" w:rsidR="00D72E8E" w:rsidRPr="00D72E8E" w:rsidRDefault="00D72E8E" w:rsidP="00D72E8E">
      <w:r w:rsidRPr="00D72E8E">
        <w:t>Firstly, you must ensure that the neighbouring hospital trust consults their employees about the transfer and gives them all the information regarding when the transfer will take place, implications for the employees and measures to be taken by the employers in due time before the transfer takes place. By law, there is no specified consultation period, but they are entitled to a meaningful consultation at the earliest possible opportunity. If there is a failure to adequately consult the employees, they will be entitled to 13 weeks’ pay as compensation, for which both we and the other hospital trust will be liable to pay. The consultation must take place with a trade union or an elected employee representative. If we take on less than 10 employees, we can instead consult with them directly (TUPE Regulations, 2006; CIPD, 2024b; ACAS, 2024e; CIPD and Suff, 2023)</w:t>
      </w:r>
    </w:p>
    <w:p w14:paraId="3DE3DF63" w14:textId="77777777" w:rsidR="00D72E8E" w:rsidRPr="00D72E8E" w:rsidRDefault="00D72E8E" w:rsidP="00D72E8E">
      <w:r w:rsidRPr="00D72E8E">
        <w:t> </w:t>
      </w:r>
    </w:p>
    <w:p w14:paraId="69FDA827" w14:textId="77777777" w:rsidR="00D72E8E" w:rsidRPr="00D72E8E" w:rsidRDefault="00D72E8E" w:rsidP="00D72E8E">
      <w:r w:rsidRPr="00D72E8E">
        <w:t>All employees involved in the transfer will have a right to continued employment – any dismissal will be deemed unfair without an economic, technical, or organisational (ETO) reason for refusing to take on part of the workforce. The same tribunal procedures will still apply if we choose to dismiss any employees under the justification of ETO (CIPD, 2024b). Employees will have a right to object to the transfer if they do not wish to work under the new trust, in which case their employment will terminate with no redundancy pay (CIPD, 2024b; ACAS, 2024e). </w:t>
      </w:r>
    </w:p>
    <w:p w14:paraId="4328D0DC" w14:textId="77777777" w:rsidR="00D72E8E" w:rsidRPr="00D72E8E" w:rsidRDefault="00D72E8E" w:rsidP="00D72E8E">
      <w:r w:rsidRPr="00D72E8E">
        <w:t> </w:t>
      </w:r>
    </w:p>
    <w:p w14:paraId="0FE168F5" w14:textId="77777777" w:rsidR="00D72E8E" w:rsidRPr="00D72E8E" w:rsidRDefault="00D72E8E" w:rsidP="00D72E8E">
      <w:r w:rsidRPr="00D72E8E">
        <w:t>If you are to proceed with the merger, under Transfer of Undertakings law, all employees from the neighbouring pharmacy will be entitled to maintain the same terms and conditions of their previous contract after commencing employment under out trust. Their contracts will automatically carry over and we will not be able to change their contracts or have them sign a new one (Daniels, 2022; TUPE 2006; CIPD 2024; ACAS 2024b). Once the transfer is over, we may wish to ‘harmonise’ the contracts of the old and new employees, but we may only make changes to their contract if it is an improvement (CIPD, 2024b). </w:t>
      </w:r>
    </w:p>
    <w:p w14:paraId="55843B18" w14:textId="77777777" w:rsidR="00D72E8E" w:rsidRPr="00D72E8E" w:rsidRDefault="00D72E8E" w:rsidP="00D72E8E"/>
    <w:p w14:paraId="4CDBFB7C" w14:textId="77777777" w:rsidR="00D72E8E" w:rsidRPr="00D72E8E" w:rsidRDefault="00D72E8E" w:rsidP="00D72E8E">
      <w:r w:rsidRPr="00D72E8E">
        <w:t>Any pension accrued by the employee up to date will be protected, and if the other trust contractually contributed to personal pensions, we must continue to do so. Workplace pensions will not be transferred, but we must set up an alternative scheme in its place (ACAS, 2024e; Daniels, 2022). </w:t>
      </w:r>
    </w:p>
    <w:p w14:paraId="2E4B8FE0" w14:textId="77777777" w:rsidR="00D72E8E" w:rsidRPr="00D72E8E" w:rsidRDefault="00D72E8E" w:rsidP="00D72E8E"/>
    <w:p w14:paraId="23DB5753" w14:textId="77777777" w:rsidR="00D72E8E" w:rsidRPr="00D72E8E" w:rsidRDefault="00D72E8E" w:rsidP="00D72E8E">
      <w:r w:rsidRPr="00D72E8E">
        <w:t>There is more that I have not covered, let me know if you would like a follow up.</w:t>
      </w:r>
    </w:p>
    <w:p w14:paraId="30B1C18D" w14:textId="77777777" w:rsidR="00D72E8E" w:rsidRPr="00D72E8E" w:rsidRDefault="00D72E8E" w:rsidP="00D72E8E"/>
    <w:p w14:paraId="73A22946" w14:textId="4A848E12" w:rsidR="00D72E8E" w:rsidRDefault="00D72E8E" w:rsidP="00D72E8E">
      <w:r w:rsidRPr="00D72E8E">
        <w:t>Regards,</w:t>
      </w:r>
    </w:p>
    <w:p w14:paraId="0D30EEE8" w14:textId="03177E9C" w:rsidR="00D72E8E" w:rsidRDefault="00D72E8E" w:rsidP="00D72E8E">
      <w:r>
        <w:t>Lowri</w:t>
      </w:r>
    </w:p>
    <w:p w14:paraId="1850447C" w14:textId="543BAF49" w:rsidR="00D72E8E" w:rsidRDefault="00D72E8E" w:rsidP="00D72E8E">
      <w:r>
        <w:t xml:space="preserve">4.1 </w:t>
      </w:r>
    </w:p>
    <w:p w14:paraId="34EF67DC" w14:textId="77777777" w:rsidR="00D72E8E" w:rsidRPr="00D72E8E" w:rsidRDefault="00D72E8E" w:rsidP="00D72E8E">
      <w:r w:rsidRPr="00D72E8E">
        <w:t>To [name],</w:t>
      </w:r>
    </w:p>
    <w:p w14:paraId="5F704261" w14:textId="77777777" w:rsidR="00D72E8E" w:rsidRPr="00D72E8E" w:rsidRDefault="00D72E8E" w:rsidP="00D72E8E">
      <w:r w:rsidRPr="00D72E8E">
        <w:t> </w:t>
      </w:r>
    </w:p>
    <w:p w14:paraId="70AF6CCF" w14:textId="77777777" w:rsidR="00D72E8E" w:rsidRPr="00D72E8E" w:rsidRDefault="00D72E8E" w:rsidP="00D72E8E">
      <w:r w:rsidRPr="00D72E8E">
        <w:t>All employees are entitled to 28 days or 5.6 weeks holiday pay a year, and typically this is accrued on a pro rata basis depending on the time they’ve worked that year. A typical, regular hour worker would be paid their weekly pay for each week of holiday leave, or given rolled-up holiday pay, which involves paying an additional 12.07% of their monthly wage at the end of each pay period as opposed to paying the holiday pay when the employee takes leave (Acas, 2025b).</w:t>
      </w:r>
    </w:p>
    <w:p w14:paraId="14EE3EC8" w14:textId="77777777" w:rsidR="00D72E8E" w:rsidRPr="00D72E8E" w:rsidRDefault="00D72E8E" w:rsidP="00D72E8E">
      <w:r w:rsidRPr="00D72E8E">
        <w:t>As the employees in question work irregular hours, their holiday pay will be calculated based on the average pay over the previous 52 weeks. Their holiday pay entitlement for a week should be equal to their average weekly pay based on this period. If they haven’t worked for 52 weeks yet, look at the total weeks they’ve been employed. If there are weeks where the employees received no pay, paid leave or statutory sick pay, you may go back and count the average starting from a previous week, and you may do this as many times as needed no further than 104 weeks. It’s best to use weeks rather than months as months vary in length, and the weeks should start on Sunday and end on Saturday (Acas, 2025a; Harries, 2020). </w:t>
      </w:r>
    </w:p>
    <w:p w14:paraId="12EB429F" w14:textId="77777777" w:rsidR="00D72E8E" w:rsidRPr="00D72E8E" w:rsidRDefault="00D72E8E" w:rsidP="00D72E8E">
      <w:r w:rsidRPr="00D72E8E">
        <w:t>If the employees remunerate any additional payments they must be included in their holiday too. This could include commission, overtime, or any payments related to length of service, seniority or professional qualifications (Acas, 2025a). Don’t forget to include these if they apply. </w:t>
      </w:r>
    </w:p>
    <w:p w14:paraId="66677792" w14:textId="77777777" w:rsidR="00D72E8E" w:rsidRPr="00D72E8E" w:rsidRDefault="00D72E8E" w:rsidP="00D72E8E"/>
    <w:p w14:paraId="2A630384" w14:textId="77777777" w:rsidR="00D72E8E" w:rsidRPr="00D72E8E" w:rsidRDefault="00D72E8E" w:rsidP="00D72E8E">
      <w:r w:rsidRPr="00D72E8E">
        <w:t>Regards,</w:t>
      </w:r>
    </w:p>
    <w:p w14:paraId="338AB2E0" w14:textId="77777777" w:rsidR="00D72E8E" w:rsidRPr="00D72E8E" w:rsidRDefault="00D72E8E" w:rsidP="00D72E8E">
      <w:r w:rsidRPr="00D72E8E">
        <w:lastRenderedPageBreak/>
        <w:t>Lowri</w:t>
      </w:r>
    </w:p>
    <w:p w14:paraId="40BE8D97" w14:textId="07815687" w:rsidR="00D72E8E" w:rsidRDefault="00D72E8E" w:rsidP="00D72E8E">
      <w:r>
        <w:t xml:space="preserve">4.2 </w:t>
      </w:r>
    </w:p>
    <w:p w14:paraId="1B21F4FD" w14:textId="77777777" w:rsidR="00D72E8E" w:rsidRPr="00D72E8E" w:rsidRDefault="00D72E8E" w:rsidP="00D72E8E">
      <w:r w:rsidRPr="00D72E8E">
        <w:t>To [name], </w:t>
      </w:r>
    </w:p>
    <w:p w14:paraId="00C03C85" w14:textId="77777777" w:rsidR="00D72E8E" w:rsidRPr="00D72E8E" w:rsidRDefault="00D72E8E" w:rsidP="00D72E8E">
      <w:r w:rsidRPr="00D72E8E">
        <w:t>Congratulations on your pregnancy! I see you want to explore the options of Maternity Leave (ML) and Shared Parental Leave (SPL), here is a summary of how they differ to help you come to a decision.</w:t>
      </w:r>
    </w:p>
    <w:p w14:paraId="69DE6D0A" w14:textId="77777777" w:rsidR="00D72E8E" w:rsidRPr="00D72E8E" w:rsidRDefault="00D72E8E" w:rsidP="00D72E8E">
      <w:r w:rsidRPr="00D72E8E">
        <w:t>First and foremost, single parents do not qualify for SPL, this option is suitable for couples. For both ML and SPL, you (and your partner in the case of SPL) must be of employed status. You have a statutory right to ML from day one of your employment, however, for SPL you both must have been employed by your respective employers for at least 26 weeks before the qualifying week, which is, 15 weeks before the Expected Week of Childbirth (EWC) (Maternity Action, 2025b; Maternity Action, 2025c).</w:t>
      </w:r>
    </w:p>
    <w:p w14:paraId="150A17B7" w14:textId="77777777" w:rsidR="00D72E8E" w:rsidRPr="00D72E8E" w:rsidRDefault="00D72E8E" w:rsidP="00D72E8E">
      <w:r w:rsidRPr="00D72E8E">
        <w:t>If you choose to take ML, you have the right to 26 weeks of both Ordinary ML (OML) and Additional ML (AML), which is a total of 52 weeks (Maternity Action 2025b). You may not begin your OML earlier than 11 weeks before your EWC, and taking leave is compulsory for the two weeks following the birth (Daniels, 2022; Maternity Action, 2025b; Maternity Action, 2025c). </w:t>
      </w:r>
    </w:p>
    <w:p w14:paraId="3F3C88D1" w14:textId="77777777" w:rsidR="00D72E8E" w:rsidRPr="00D72E8E" w:rsidRDefault="00D72E8E" w:rsidP="00D72E8E">
      <w:r w:rsidRPr="00D72E8E">
        <w:t>If you choose to take SPL, you and your partner are entitled to share up to 50 weeks of leave, which is slightly shorter but can be taken together or separately, and in flexible staggered blocks up at any point up to one year after the birth, whereas ML must be taken consecutively (Maternity Action, 2025b; Maternity Action, 2025c). </w:t>
      </w:r>
    </w:p>
    <w:p w14:paraId="1059A2C1" w14:textId="77777777" w:rsidR="00D72E8E" w:rsidRPr="00D72E8E" w:rsidRDefault="00D72E8E" w:rsidP="00D72E8E">
      <w:r w:rsidRPr="00D72E8E">
        <w:t>Under both ML and SPL, you are entitled to all of your current contractual Terms and Conditions, including paid holiday leave and bonuses accrued, however, you will not be entitled to your normal salary remuneration. Rather, you can claim Statutory Maternity Pay (SMP) or Maternity Allowance (MA) when on ML, or Statutory Shared Parental Pay (ShPP) when on SPL. SMP is paid for a total of 39 weeks; for the first six weeks you will be paid 90% of your average gross pay in the eight week period before the qualifying week. For the remaining 33 weeks you will get £187.18 a week, unless your average earnings are less than this, in which case you will continue to get 90%. If you qualify, we will apply for SMP after you provide us with a copy of your MAT B1 form. ShPP is paid for 37 up to weeks, and will either be £187.18 or 90% of your weekly earnings if they are lower (Maternity Action, 2025a; Maternity Action, 2025c; Morgan La Roche, 2025). Hope this helps!</w:t>
      </w:r>
    </w:p>
    <w:p w14:paraId="59C57E02" w14:textId="77777777" w:rsidR="00D72E8E" w:rsidRPr="00D72E8E" w:rsidRDefault="00D72E8E" w:rsidP="00D72E8E">
      <w:r w:rsidRPr="00D72E8E">
        <w:t>Regards,</w:t>
      </w:r>
    </w:p>
    <w:p w14:paraId="087FFFE7" w14:textId="77777777" w:rsidR="00D72E8E" w:rsidRPr="00D72E8E" w:rsidRDefault="00D72E8E" w:rsidP="00D72E8E">
      <w:r w:rsidRPr="00D72E8E">
        <w:t>Lowri </w:t>
      </w:r>
    </w:p>
    <w:p w14:paraId="3188E6FC" w14:textId="77777777" w:rsidR="00D72E8E" w:rsidRPr="00D72E8E" w:rsidRDefault="00D72E8E" w:rsidP="00D72E8E">
      <w:r w:rsidRPr="00D72E8E">
        <w:t> </w:t>
      </w:r>
    </w:p>
    <w:p w14:paraId="6C120F83" w14:textId="77777777" w:rsidR="00D72E8E" w:rsidRPr="00D72E8E" w:rsidRDefault="00D72E8E" w:rsidP="00D72E8E">
      <w:r w:rsidRPr="00D72E8E">
        <w:lastRenderedPageBreak/>
        <w:t> </w:t>
      </w:r>
    </w:p>
    <w:p w14:paraId="0BE9F6C0" w14:textId="77777777" w:rsidR="00D72E8E" w:rsidRPr="00D72E8E" w:rsidRDefault="00D72E8E" w:rsidP="00D72E8E">
      <w:r w:rsidRPr="00D72E8E">
        <w:t> </w:t>
      </w:r>
    </w:p>
    <w:p w14:paraId="29ABD56E" w14:textId="77777777" w:rsidR="00D72E8E" w:rsidRPr="00D72E8E" w:rsidRDefault="00D72E8E" w:rsidP="00D72E8E">
      <w:r w:rsidRPr="00D72E8E">
        <w:t> </w:t>
      </w:r>
    </w:p>
    <w:p w14:paraId="6510F501" w14:textId="1536CC0B" w:rsidR="00D72E8E" w:rsidRDefault="00D72E8E" w:rsidP="00D72E8E">
      <w:r>
        <w:t>4.3</w:t>
      </w:r>
    </w:p>
    <w:p w14:paraId="169D5701" w14:textId="77777777" w:rsidR="00D72E8E" w:rsidRPr="00D72E8E" w:rsidRDefault="00D72E8E" w:rsidP="00D72E8E">
      <w:r w:rsidRPr="00D72E8E">
        <w:t>To [name], </w:t>
      </w:r>
    </w:p>
    <w:p w14:paraId="2D1F8540" w14:textId="77777777" w:rsidR="00D72E8E" w:rsidRPr="00D72E8E" w:rsidRDefault="00D72E8E" w:rsidP="00D72E8E"/>
    <w:p w14:paraId="2D47B175" w14:textId="77777777" w:rsidR="00D72E8E" w:rsidRPr="00D72E8E" w:rsidRDefault="00D72E8E" w:rsidP="00D72E8E">
      <w:r w:rsidRPr="00D72E8E">
        <w:t>By law, all employees are entitled to request flexible working from day one of employment as set out in the Flexible Working (Amendment) Regulations, 2023 and have a right to be consulted meaningfully before their request is refused (The Flexible Working (Amendment) Regulations 2023). I suggest you invite her to a meeting at the earliest possible opportunity to discuss and collect all of the relevant information regarding the request as starting from the date that the request is first received, there is a limit of two-months in which the outcome must be decided and communicated to the employee, this also includes appeals. If the process exceeds two-months, an extension could be implemented under the mutual agreement of both you and the employee (ACAS, 2024a; Flexible Working Regulations 2014).</w:t>
      </w:r>
    </w:p>
    <w:p w14:paraId="326F9ABD" w14:textId="77777777" w:rsidR="00D72E8E" w:rsidRPr="00D72E8E" w:rsidRDefault="00D72E8E" w:rsidP="00D72E8E">
      <w:r w:rsidRPr="00D72E8E">
        <w:t> </w:t>
      </w:r>
    </w:p>
    <w:p w14:paraId="7E901834" w14:textId="77777777" w:rsidR="00D72E8E" w:rsidRPr="00D72E8E" w:rsidRDefault="00D72E8E" w:rsidP="00D72E8E">
      <w:r w:rsidRPr="00D72E8E">
        <w:t>You must take her request into reasonable consideration and explore if there is any way we can partially grant her the request. If mentioned in the letter or during the consultation that this request for flexible working is a reasonable adjustment for a disability, it must be considered due to our legal obligation to remove disadvantages to disabled employees under Section 20 and 21 of the Equality Act 2010, applied to employers in Section 39 and Schedule 8 (The Equality Act 2010).</w:t>
      </w:r>
    </w:p>
    <w:p w14:paraId="78FD7108" w14:textId="77777777" w:rsidR="00D72E8E" w:rsidRPr="00D72E8E" w:rsidRDefault="00D72E8E" w:rsidP="00D72E8E"/>
    <w:p w14:paraId="2DE640B6" w14:textId="77777777" w:rsidR="00D72E8E" w:rsidRPr="00D72E8E" w:rsidRDefault="00D72E8E" w:rsidP="00D72E8E">
      <w:r w:rsidRPr="00D72E8E">
        <w:t>Fear of a knock on effect casuing other administrative staff to request flexible working is not one of the valid legal reasons for denying a request, however, detrimental impacts on quality, performance or ability to meet customer demand, an inability to reorganise work among existing staff or recruit additional staff, insufficiency of work during the periods the employee proposes to work, planned structural changes, or the burden of additional costs are some of the legitimate business grounds on which you can deny the request (Daniels, 2022; ACAS, 2024a). If you do proceed to deny her request, you must ensure that you are able to justify it through one of these reasons mentioned. </w:t>
      </w:r>
    </w:p>
    <w:p w14:paraId="754D42E2" w14:textId="77777777" w:rsidR="00D72E8E" w:rsidRPr="00D72E8E" w:rsidRDefault="00D72E8E" w:rsidP="00D72E8E"/>
    <w:p w14:paraId="300BBDDB" w14:textId="77777777" w:rsidR="00D72E8E" w:rsidRPr="00D72E8E" w:rsidRDefault="00D72E8E" w:rsidP="00D72E8E">
      <w:r w:rsidRPr="00D72E8E">
        <w:t xml:space="preserve">The potential consequences for denying a request and appeal is escalation to a tribunal. In that case, if it is found that the employer has not given the request serious </w:t>
      </w:r>
      <w:r w:rsidRPr="00D72E8E">
        <w:lastRenderedPageBreak/>
        <w:t>consideration, that the reason for refusal was not permitted by legislation, the facts used were incorrect or the employer acted unreasonably, either an order will be made for the request to be reconsidered, or a maximum of eight weeks pay will be awared compensation (Daniels, 2022). As of April 2025, a maximum week’s pay is defined as £719 (Morgan La Roche, 2025). This should be considered before you proceed. </w:t>
      </w:r>
    </w:p>
    <w:p w14:paraId="4D7F47CF" w14:textId="77777777" w:rsidR="00D72E8E" w:rsidRPr="00D72E8E" w:rsidRDefault="00D72E8E" w:rsidP="00D72E8E"/>
    <w:p w14:paraId="26F2B475" w14:textId="77777777" w:rsidR="00D72E8E" w:rsidRPr="00D72E8E" w:rsidRDefault="00D72E8E" w:rsidP="00D72E8E">
      <w:r w:rsidRPr="00D72E8E">
        <w:t>Regards, </w:t>
      </w:r>
    </w:p>
    <w:p w14:paraId="4801A154" w14:textId="77777777" w:rsidR="00D72E8E" w:rsidRPr="00D72E8E" w:rsidRDefault="00D72E8E" w:rsidP="00D72E8E">
      <w:r w:rsidRPr="00D72E8E">
        <w:t>Lowri</w:t>
      </w:r>
    </w:p>
    <w:p w14:paraId="61CB8D84" w14:textId="77777777" w:rsidR="00D72E8E" w:rsidRDefault="00D72E8E" w:rsidP="00D72E8E"/>
    <w:p w14:paraId="1D65E1FD" w14:textId="047FDF7D" w:rsidR="00D72E8E" w:rsidRDefault="00D72E8E" w:rsidP="00D72E8E">
      <w:r>
        <w:t>Bibliography</w:t>
      </w:r>
    </w:p>
    <w:p w14:paraId="797743C4" w14:textId="77777777" w:rsidR="00D72E8E" w:rsidRPr="00D72E8E" w:rsidRDefault="00D72E8E" w:rsidP="00D72E8E">
      <w:pPr>
        <w:numPr>
          <w:ilvl w:val="0"/>
          <w:numId w:val="1"/>
        </w:numPr>
      </w:pPr>
      <w:r w:rsidRPr="00D72E8E">
        <w:t xml:space="preserve">ACAS (2024a). </w:t>
      </w:r>
      <w:r w:rsidRPr="00D72E8E">
        <w:rPr>
          <w:i/>
          <w:iCs/>
        </w:rPr>
        <w:t>Code of Practice on Handling in a Reasonable Manner Requests to Work Flexibly | Acas</w:t>
      </w:r>
      <w:r w:rsidRPr="00D72E8E">
        <w:t>. [online] ACAS. Available at: https://www.acas.org.uk/acas-code-of-practice-on-flexible-working-requests/html (Accessed: 8 June 2025)</w:t>
      </w:r>
    </w:p>
    <w:p w14:paraId="6F6FBB6C" w14:textId="77777777" w:rsidR="00D72E8E" w:rsidRPr="00D72E8E" w:rsidRDefault="00D72E8E" w:rsidP="00D72E8E">
      <w:pPr>
        <w:numPr>
          <w:ilvl w:val="0"/>
          <w:numId w:val="1"/>
        </w:numPr>
      </w:pPr>
      <w:r w:rsidRPr="00D72E8E">
        <w:t xml:space="preserve">Acas (2024b). </w:t>
      </w:r>
      <w:r w:rsidRPr="00D72E8E">
        <w:rPr>
          <w:i/>
          <w:iCs/>
        </w:rPr>
        <w:t>Changing a contract after TUPE - TUPE - Acas</w:t>
      </w:r>
      <w:r w:rsidRPr="00D72E8E">
        <w:t xml:space="preserve">. [online] Acas. Available at: </w:t>
      </w:r>
      <w:hyperlink r:id="rId5" w:history="1">
        <w:r w:rsidRPr="00D72E8E">
          <w:rPr>
            <w:rStyle w:val="Hyperlink"/>
          </w:rPr>
          <w:t>https://www.acas.org.uk/tupe/advice-for-employers-and-employees/changing-your-employment-contract-after-a-tupe-transfer</w:t>
        </w:r>
      </w:hyperlink>
      <w:r w:rsidRPr="00D72E8E">
        <w:t>. (Accessed: 8 June 2025).</w:t>
      </w:r>
    </w:p>
    <w:p w14:paraId="2C761CF1" w14:textId="77777777" w:rsidR="00D72E8E" w:rsidRPr="00D72E8E" w:rsidRDefault="00D72E8E" w:rsidP="00D72E8E">
      <w:r w:rsidRPr="00D72E8E">
        <w:br/>
      </w:r>
    </w:p>
    <w:p w14:paraId="4A410305" w14:textId="77777777" w:rsidR="00D72E8E" w:rsidRPr="00D72E8E" w:rsidRDefault="00D72E8E" w:rsidP="00D72E8E">
      <w:pPr>
        <w:numPr>
          <w:ilvl w:val="0"/>
          <w:numId w:val="2"/>
        </w:numPr>
      </w:pPr>
      <w:r w:rsidRPr="00D72E8E">
        <w:t xml:space="preserve">ACAS (2024c). </w:t>
      </w:r>
      <w:r w:rsidRPr="00D72E8E">
        <w:rPr>
          <w:i/>
          <w:iCs/>
        </w:rPr>
        <w:t>Constructive dismissal</w:t>
      </w:r>
      <w:r w:rsidRPr="00D72E8E">
        <w:t xml:space="preserve">. [online] </w:t>
      </w:r>
      <w:hyperlink r:id="rId6" w:history="1">
        <w:r w:rsidRPr="00D72E8E">
          <w:rPr>
            <w:rStyle w:val="Hyperlink"/>
          </w:rPr>
          <w:t>www.acas.org.uk</w:t>
        </w:r>
      </w:hyperlink>
      <w:r w:rsidRPr="00D72E8E">
        <w:t xml:space="preserve">. Available at: </w:t>
      </w:r>
      <w:hyperlink r:id="rId7" w:history="1">
        <w:r w:rsidRPr="00D72E8E">
          <w:rPr>
            <w:rStyle w:val="Hyperlink"/>
          </w:rPr>
          <w:t>https://www.acas.org.uk/dismissals/constructive-dismissal</w:t>
        </w:r>
      </w:hyperlink>
      <w:r w:rsidRPr="00D72E8E">
        <w:t>. (Accessed: 8 June 2025)</w:t>
      </w:r>
      <w:r w:rsidRPr="00D72E8E">
        <w:br/>
      </w:r>
      <w:r w:rsidRPr="00D72E8E">
        <w:br/>
      </w:r>
    </w:p>
    <w:p w14:paraId="3B1DBCDF" w14:textId="77777777" w:rsidR="00D72E8E" w:rsidRPr="00D72E8E" w:rsidRDefault="00D72E8E" w:rsidP="00D72E8E">
      <w:pPr>
        <w:numPr>
          <w:ilvl w:val="0"/>
          <w:numId w:val="3"/>
        </w:numPr>
      </w:pPr>
      <w:r w:rsidRPr="00D72E8E">
        <w:t xml:space="preserve">ACAS (2025d). </w:t>
      </w:r>
      <w:r w:rsidRPr="00D72E8E">
        <w:rPr>
          <w:i/>
          <w:iCs/>
        </w:rPr>
        <w:t>Manage Staff Redundancies</w:t>
      </w:r>
      <w:r w:rsidRPr="00D72E8E">
        <w:t xml:space="preserve">. [online] Acas.org.uk. Available at: </w:t>
      </w:r>
      <w:hyperlink r:id="rId8" w:history="1">
        <w:r w:rsidRPr="00D72E8E">
          <w:rPr>
            <w:rStyle w:val="Hyperlink"/>
          </w:rPr>
          <w:t>https://www.acas.org.uk/manage-staff-redundancies</w:t>
        </w:r>
      </w:hyperlink>
      <w:r w:rsidRPr="00D72E8E">
        <w:t>.</w:t>
      </w:r>
    </w:p>
    <w:p w14:paraId="7EE3799F" w14:textId="77777777" w:rsidR="00D72E8E" w:rsidRPr="00D72E8E" w:rsidRDefault="00D72E8E" w:rsidP="00D72E8E">
      <w:pPr>
        <w:numPr>
          <w:ilvl w:val="0"/>
          <w:numId w:val="4"/>
        </w:numPr>
      </w:pPr>
      <w:r w:rsidRPr="00D72E8E">
        <w:t xml:space="preserve">ACAS (2024e). </w:t>
      </w:r>
      <w:r w:rsidRPr="00D72E8E">
        <w:rPr>
          <w:i/>
          <w:iCs/>
        </w:rPr>
        <w:t>What a TUPE Transfer Is - TUPE - Acas</w:t>
      </w:r>
      <w:r w:rsidRPr="00D72E8E">
        <w:t xml:space="preserve">. [online] Acas. Available at: </w:t>
      </w:r>
      <w:hyperlink r:id="rId9" w:history="1">
        <w:r w:rsidRPr="00D72E8E">
          <w:rPr>
            <w:rStyle w:val="Hyperlink"/>
          </w:rPr>
          <w:t>https://www.acas.org.uk/tupe/advice-for-employers-and-employees</w:t>
        </w:r>
      </w:hyperlink>
      <w:r w:rsidRPr="00D72E8E">
        <w:t>. (Accessed: 8 June 2025).</w:t>
      </w:r>
    </w:p>
    <w:p w14:paraId="77BDB4F5" w14:textId="77777777" w:rsidR="00D72E8E" w:rsidRPr="00D72E8E" w:rsidRDefault="00D72E8E" w:rsidP="00D72E8E">
      <w:pPr>
        <w:numPr>
          <w:ilvl w:val="0"/>
          <w:numId w:val="5"/>
        </w:numPr>
      </w:pPr>
      <w:r w:rsidRPr="00D72E8E">
        <w:t xml:space="preserve">ACAS (2025d). </w:t>
      </w:r>
      <w:r w:rsidRPr="00D72E8E">
        <w:rPr>
          <w:i/>
          <w:iCs/>
        </w:rPr>
        <w:t>Manage Staff Redundancies</w:t>
      </w:r>
      <w:r w:rsidRPr="00D72E8E">
        <w:t>. [online] Acas.org.uk. Available at: https://www.acas.org.uk/manage-staff-redundancies.</w:t>
      </w:r>
    </w:p>
    <w:p w14:paraId="43D3FFEF" w14:textId="77777777" w:rsidR="00D72E8E" w:rsidRPr="00D72E8E" w:rsidRDefault="00D72E8E" w:rsidP="00D72E8E">
      <w:pPr>
        <w:numPr>
          <w:ilvl w:val="0"/>
          <w:numId w:val="6"/>
        </w:numPr>
      </w:pPr>
      <w:r w:rsidRPr="00D72E8E">
        <w:t xml:space="preserve">ACAS (2025a). </w:t>
      </w:r>
      <w:r w:rsidRPr="00D72E8E">
        <w:rPr>
          <w:i/>
          <w:iCs/>
        </w:rPr>
        <w:t>Holiday pay - Irregular hours and part-year workers</w:t>
      </w:r>
      <w:r w:rsidRPr="00D72E8E">
        <w:t>. [online] Acas. Available at: https://www.acas.org.uk/irregular-hours-and-part-year-workers/calculating-holiday-pay (Accessed: 8 June 2025).</w:t>
      </w:r>
    </w:p>
    <w:p w14:paraId="370E4113" w14:textId="77777777" w:rsidR="00D72E8E" w:rsidRPr="00D72E8E" w:rsidRDefault="00D72E8E" w:rsidP="00D72E8E">
      <w:pPr>
        <w:numPr>
          <w:ilvl w:val="0"/>
          <w:numId w:val="7"/>
        </w:numPr>
      </w:pPr>
      <w:r w:rsidRPr="00D72E8E">
        <w:lastRenderedPageBreak/>
        <w:t xml:space="preserve">ACAS (2025b). </w:t>
      </w:r>
      <w:r w:rsidRPr="00D72E8E">
        <w:rPr>
          <w:i/>
          <w:iCs/>
        </w:rPr>
        <w:t>Rolled-up holiday pay - Irregular hours and part-year workers</w:t>
      </w:r>
      <w:r w:rsidRPr="00D72E8E">
        <w:t xml:space="preserve">. [online] Acas. Available at: </w:t>
      </w:r>
      <w:hyperlink r:id="rId10" w:history="1">
        <w:r w:rsidRPr="00D72E8E">
          <w:rPr>
            <w:rStyle w:val="Hyperlink"/>
          </w:rPr>
          <w:t>https://www.acas.org.uk/irregular-hours-and-part-year-workers/rolled-up-holiday-pay</w:t>
        </w:r>
      </w:hyperlink>
      <w:r w:rsidRPr="00D72E8E">
        <w:t>. (Accessed: 8 June 2025).</w:t>
      </w:r>
    </w:p>
    <w:p w14:paraId="38E35A28" w14:textId="77777777" w:rsidR="00D72E8E" w:rsidRPr="00D72E8E" w:rsidRDefault="00D72E8E" w:rsidP="00D72E8E">
      <w:pPr>
        <w:numPr>
          <w:ilvl w:val="0"/>
          <w:numId w:val="8"/>
        </w:numPr>
      </w:pPr>
      <w:r w:rsidRPr="00D72E8E">
        <w:t xml:space="preserve">Brodie, D. (2022). Constructive Dismissal: The Contractual Maze. </w:t>
      </w:r>
      <w:r w:rsidRPr="00D72E8E">
        <w:rPr>
          <w:i/>
          <w:iCs/>
        </w:rPr>
        <w:t>King’s Law Journal</w:t>
      </w:r>
      <w:r w:rsidRPr="00D72E8E">
        <w:t>, 33(2), pp.1–18. doi:</w:t>
      </w:r>
      <w:hyperlink r:id="rId11" w:history="1">
        <w:r w:rsidRPr="00D72E8E">
          <w:rPr>
            <w:rStyle w:val="Hyperlink"/>
          </w:rPr>
          <w:t>https://doi.org/10.1080/09615768.2022.2093620</w:t>
        </w:r>
      </w:hyperlink>
      <w:r w:rsidRPr="00D72E8E">
        <w:t>. (Accessed: 8 June 2025). </w:t>
      </w:r>
    </w:p>
    <w:p w14:paraId="05068BB9" w14:textId="77777777" w:rsidR="00D72E8E" w:rsidRPr="00D72E8E" w:rsidRDefault="00D72E8E" w:rsidP="00D72E8E">
      <w:pPr>
        <w:numPr>
          <w:ilvl w:val="0"/>
          <w:numId w:val="9"/>
        </w:numPr>
      </w:pPr>
      <w:r w:rsidRPr="00D72E8E">
        <w:t xml:space="preserve">CIPD (2024a). </w:t>
      </w:r>
      <w:r w:rsidRPr="00D72E8E">
        <w:rPr>
          <w:i/>
          <w:iCs/>
        </w:rPr>
        <w:t>Dismissal: UK employment law</w:t>
      </w:r>
      <w:r w:rsidRPr="00D72E8E">
        <w:t xml:space="preserve">. [online] CIPD. Available at: </w:t>
      </w:r>
      <w:hyperlink r:id="rId12" w:history="1">
        <w:r w:rsidRPr="00D72E8E">
          <w:rPr>
            <w:rStyle w:val="Hyperlink"/>
          </w:rPr>
          <w:t>https://www.cipd.org/uk/knowledge/employment-law/dismissal/</w:t>
        </w:r>
      </w:hyperlink>
      <w:r w:rsidRPr="00D72E8E">
        <w:t>. (Accessed: 8 June 2025). </w:t>
      </w:r>
    </w:p>
    <w:p w14:paraId="672AEDDB" w14:textId="77777777" w:rsidR="00D72E8E" w:rsidRPr="00D72E8E" w:rsidRDefault="00D72E8E" w:rsidP="00D72E8E">
      <w:pPr>
        <w:numPr>
          <w:ilvl w:val="0"/>
          <w:numId w:val="10"/>
        </w:numPr>
      </w:pPr>
      <w:r w:rsidRPr="00D72E8E">
        <w:t xml:space="preserve">CIPD (2024b). </w:t>
      </w:r>
      <w:r w:rsidRPr="00D72E8E">
        <w:rPr>
          <w:i/>
          <w:iCs/>
        </w:rPr>
        <w:t>CIPD | TUPE: UK Employment Law</w:t>
      </w:r>
      <w:r w:rsidRPr="00D72E8E">
        <w:t xml:space="preserve">. [online] CIPD. Available at: </w:t>
      </w:r>
      <w:hyperlink r:id="rId13" w:history="1">
        <w:r w:rsidRPr="00D72E8E">
          <w:rPr>
            <w:rStyle w:val="Hyperlink"/>
          </w:rPr>
          <w:t>https://www.cipd.org/uk/knowledge/employment-law/tupe/</w:t>
        </w:r>
      </w:hyperlink>
      <w:r w:rsidRPr="00D72E8E">
        <w:t>. (Accessed: 8 June 2025).</w:t>
      </w:r>
    </w:p>
    <w:p w14:paraId="74F3C67E" w14:textId="77777777" w:rsidR="00D72E8E" w:rsidRPr="00D72E8E" w:rsidRDefault="00D72E8E" w:rsidP="00D72E8E">
      <w:pPr>
        <w:numPr>
          <w:ilvl w:val="0"/>
          <w:numId w:val="11"/>
        </w:numPr>
      </w:pPr>
      <w:r w:rsidRPr="00D72E8E">
        <w:t xml:space="preserve">CIPD (2024c). </w:t>
      </w:r>
      <w:r w:rsidRPr="00D72E8E">
        <w:rPr>
          <w:i/>
          <w:iCs/>
        </w:rPr>
        <w:t>CIPD | The UK’s relationship with EU employment law post-Brexit</w:t>
      </w:r>
      <w:r w:rsidRPr="00D72E8E">
        <w:t>. [online] CIPD. Available at: https://www.cipd.org/uk/knowledge/employment-law/uk-employment-law-eu/.</w:t>
      </w:r>
    </w:p>
    <w:p w14:paraId="4712CB1B" w14:textId="77777777" w:rsidR="00D72E8E" w:rsidRPr="00D72E8E" w:rsidRDefault="00D72E8E" w:rsidP="00D72E8E">
      <w:pPr>
        <w:numPr>
          <w:ilvl w:val="0"/>
          <w:numId w:val="12"/>
        </w:numPr>
      </w:pPr>
      <w:r w:rsidRPr="00D72E8E">
        <w:t xml:space="preserve">CIPD and Suff, R. (2023). </w:t>
      </w:r>
      <w:r w:rsidRPr="00D72E8E">
        <w:rPr>
          <w:i/>
          <w:iCs/>
        </w:rPr>
        <w:t>CIPD | TUPE (Transfer of Undertakings) | Factsheets</w:t>
      </w:r>
      <w:r w:rsidRPr="00D72E8E">
        <w:t>. [online] CIPD. Available at: https://www.cipd.org/uk/knowledge/factsheets/tupe-factsheet/.</w:t>
      </w:r>
    </w:p>
    <w:p w14:paraId="3706A40D" w14:textId="77777777" w:rsidR="00D72E8E" w:rsidRPr="00D72E8E" w:rsidRDefault="00D72E8E" w:rsidP="00D72E8E">
      <w:pPr>
        <w:numPr>
          <w:ilvl w:val="0"/>
          <w:numId w:val="13"/>
        </w:numPr>
      </w:pPr>
      <w:r w:rsidRPr="00D72E8E">
        <w:t xml:space="preserve">Daniels, K. (2022) </w:t>
      </w:r>
      <w:r w:rsidRPr="00D72E8E">
        <w:rPr>
          <w:i/>
          <w:iCs/>
        </w:rPr>
        <w:t>Employee relations in an organisational context</w:t>
      </w:r>
      <w:r w:rsidRPr="00D72E8E">
        <w:t>. 4th edn. London: CIPD.</w:t>
      </w:r>
      <w:r w:rsidRPr="00D72E8E">
        <w:br/>
      </w:r>
      <w:r w:rsidRPr="00D72E8E">
        <w:br/>
      </w:r>
    </w:p>
    <w:p w14:paraId="14D04704" w14:textId="77777777" w:rsidR="00D72E8E" w:rsidRPr="00D72E8E" w:rsidRDefault="00D72E8E" w:rsidP="00D72E8E">
      <w:pPr>
        <w:numPr>
          <w:ilvl w:val="0"/>
          <w:numId w:val="14"/>
        </w:numPr>
      </w:pPr>
      <w:r w:rsidRPr="00D72E8E">
        <w:t>The Equality Act 2010, c.15. Available at: https://www.legislation.gov.uk/ukpga/2010/15/contents (Accessed: 8 June 2025).</w:t>
      </w:r>
      <w:r w:rsidRPr="00D72E8E">
        <w:br/>
      </w:r>
      <w:r w:rsidRPr="00D72E8E">
        <w:br/>
      </w:r>
    </w:p>
    <w:p w14:paraId="15411216" w14:textId="77777777" w:rsidR="00D72E8E" w:rsidRPr="00D72E8E" w:rsidRDefault="00D72E8E" w:rsidP="00D72E8E">
      <w:pPr>
        <w:numPr>
          <w:ilvl w:val="0"/>
          <w:numId w:val="15"/>
        </w:numPr>
      </w:pPr>
      <w:r w:rsidRPr="00D72E8E">
        <w:t>The Flexible Working Regulations 2014 (SI 2014/1398). Available at: https://www.legislation.gov.uk/uksi/2014/1398/contents/made (Accessed: 8 June 2025).</w:t>
      </w:r>
      <w:r w:rsidRPr="00D72E8E">
        <w:br/>
      </w:r>
      <w:r w:rsidRPr="00D72E8E">
        <w:br/>
      </w:r>
    </w:p>
    <w:p w14:paraId="7C5FA138" w14:textId="77777777" w:rsidR="00D72E8E" w:rsidRPr="00D72E8E" w:rsidRDefault="00D72E8E" w:rsidP="00D72E8E">
      <w:pPr>
        <w:numPr>
          <w:ilvl w:val="0"/>
          <w:numId w:val="16"/>
        </w:numPr>
      </w:pPr>
      <w:r w:rsidRPr="00D72E8E">
        <w:t>The Flexible Working (Amendment) Regulations 2023 (SI 2023/1328). Available at: https://www.legislation.gov.uk/uksi/2023/1328/contents/made (Accessed: 8 June 2025).</w:t>
      </w:r>
      <w:r w:rsidRPr="00D72E8E">
        <w:br/>
      </w:r>
      <w:r w:rsidRPr="00D72E8E">
        <w:br/>
      </w:r>
    </w:p>
    <w:p w14:paraId="7BB8C944" w14:textId="77777777" w:rsidR="00D72E8E" w:rsidRPr="00D72E8E" w:rsidRDefault="00D72E8E" w:rsidP="00D72E8E">
      <w:pPr>
        <w:numPr>
          <w:ilvl w:val="0"/>
          <w:numId w:val="17"/>
        </w:numPr>
      </w:pPr>
      <w:r w:rsidRPr="00D72E8E">
        <w:lastRenderedPageBreak/>
        <w:t>Employment Relations (Flexible Working) Act 2023, c. 33. Available at: https://www.legislation.gov.uk/ukpga/2023/33/contents/enacted (Accessed: 8 June 2025).</w:t>
      </w:r>
    </w:p>
    <w:p w14:paraId="7B0E3381" w14:textId="77777777" w:rsidR="00D72E8E" w:rsidRPr="00D72E8E" w:rsidRDefault="00D72E8E" w:rsidP="00D72E8E">
      <w:r w:rsidRPr="00D72E8E">
        <w:br/>
      </w:r>
    </w:p>
    <w:p w14:paraId="6ADADB2A" w14:textId="77777777" w:rsidR="00D72E8E" w:rsidRPr="00D72E8E" w:rsidRDefault="00D72E8E" w:rsidP="00D72E8E">
      <w:pPr>
        <w:numPr>
          <w:ilvl w:val="0"/>
          <w:numId w:val="18"/>
        </w:numPr>
      </w:pPr>
      <w:r w:rsidRPr="00D72E8E">
        <w:t xml:space="preserve">Employment Rights Act 1996, c.18. Available at: </w:t>
      </w:r>
      <w:hyperlink r:id="rId14" w:history="1">
        <w:r w:rsidRPr="00D72E8E">
          <w:rPr>
            <w:rStyle w:val="Hyperlink"/>
          </w:rPr>
          <w:t>https://www.legislation.gov.uk/ukpga/1996/18/section/141</w:t>
        </w:r>
      </w:hyperlink>
      <w:r w:rsidRPr="00D72E8E">
        <w:t xml:space="preserve"> (Accessed: 8 June 2025). </w:t>
      </w:r>
    </w:p>
    <w:p w14:paraId="6916CB79" w14:textId="77777777" w:rsidR="00D72E8E" w:rsidRPr="00D72E8E" w:rsidRDefault="00D72E8E" w:rsidP="00D72E8E">
      <w:r w:rsidRPr="00D72E8E">
        <w:br/>
      </w:r>
    </w:p>
    <w:p w14:paraId="2A88CC7B" w14:textId="77777777" w:rsidR="00D72E8E" w:rsidRPr="00D72E8E" w:rsidRDefault="00D72E8E" w:rsidP="00D72E8E">
      <w:pPr>
        <w:numPr>
          <w:ilvl w:val="0"/>
          <w:numId w:val="19"/>
        </w:numPr>
      </w:pPr>
      <w:r w:rsidRPr="00D72E8E">
        <w:t xml:space="preserve">gov.uk (2025). </w:t>
      </w:r>
      <w:r w:rsidRPr="00D72E8E">
        <w:rPr>
          <w:i/>
          <w:iCs/>
        </w:rPr>
        <w:t>Rates and allowances: National Insurance contributions</w:t>
      </w:r>
      <w:r w:rsidRPr="00D72E8E">
        <w:t>. [online] GOV.UK. Available at: https://www.gov.uk/government/publications/rates-and-allowances-national-insurance-contributions/rates-and-allowances-national-insurance-contributions (Accessed: 8 Jun. 2025).</w:t>
      </w:r>
    </w:p>
    <w:p w14:paraId="5D195742" w14:textId="77777777" w:rsidR="00D72E8E" w:rsidRPr="00D72E8E" w:rsidRDefault="00D72E8E" w:rsidP="00D72E8E">
      <w:pPr>
        <w:numPr>
          <w:ilvl w:val="0"/>
          <w:numId w:val="20"/>
        </w:numPr>
      </w:pPr>
      <w:r w:rsidRPr="00D72E8E">
        <w:t xml:space="preserve">Harris, D. (2020). Working out holiday pay for staff with variable work hours. </w:t>
      </w:r>
      <w:r w:rsidRPr="00D72E8E">
        <w:rPr>
          <w:i/>
          <w:iCs/>
        </w:rPr>
        <w:t>BDJ In Practice</w:t>
      </w:r>
      <w:r w:rsidRPr="00D72E8E">
        <w:t>, 33(3), pp.35–35. doi:</w:t>
      </w:r>
      <w:hyperlink r:id="rId15" w:history="1">
        <w:r w:rsidRPr="00D72E8E">
          <w:rPr>
            <w:rStyle w:val="Hyperlink"/>
          </w:rPr>
          <w:t>https://doi.org/10.1038/s41404-020-0352-5</w:t>
        </w:r>
      </w:hyperlink>
      <w:r w:rsidRPr="00D72E8E">
        <w:t>. (Accessed: 8 June 2025)</w:t>
      </w:r>
    </w:p>
    <w:p w14:paraId="3035713E" w14:textId="77777777" w:rsidR="00D72E8E" w:rsidRPr="00D72E8E" w:rsidRDefault="00D72E8E" w:rsidP="00D72E8E">
      <w:pPr>
        <w:numPr>
          <w:ilvl w:val="0"/>
          <w:numId w:val="21"/>
        </w:numPr>
      </w:pPr>
      <w:r w:rsidRPr="00D72E8E">
        <w:t xml:space="preserve">Transfer of Undertakings (Protection of Employment) Regulations 2006. Available at: </w:t>
      </w:r>
      <w:hyperlink r:id="rId16" w:history="1">
        <w:r w:rsidRPr="00D72E8E">
          <w:rPr>
            <w:rStyle w:val="Hyperlink"/>
          </w:rPr>
          <w:t>https://www.legislation.gov.uk/uksi/2006/246/contents/made</w:t>
        </w:r>
      </w:hyperlink>
      <w:r w:rsidRPr="00D72E8E">
        <w:t>. (Acessed: 8 June 2025).</w:t>
      </w:r>
    </w:p>
    <w:p w14:paraId="0D463171" w14:textId="77777777" w:rsidR="00D72E8E" w:rsidRPr="00D72E8E" w:rsidRDefault="00D72E8E" w:rsidP="00D72E8E">
      <w:pPr>
        <w:numPr>
          <w:ilvl w:val="0"/>
          <w:numId w:val="22"/>
        </w:numPr>
      </w:pPr>
      <w:r w:rsidRPr="00D72E8E">
        <w:t xml:space="preserve">Maternity Action. (2025a). </w:t>
      </w:r>
      <w:r w:rsidRPr="00D72E8E">
        <w:rPr>
          <w:i/>
          <w:iCs/>
        </w:rPr>
        <w:t>Maternity pay questions</w:t>
      </w:r>
      <w:r w:rsidRPr="00D72E8E">
        <w:t xml:space="preserve">. [online] Available at: </w:t>
      </w:r>
      <w:hyperlink r:id="rId17" w:history="1">
        <w:r w:rsidRPr="00D72E8E">
          <w:rPr>
            <w:rStyle w:val="Hyperlink"/>
          </w:rPr>
          <w:t>https://maternityaction.org.uk/advice/maternity-pay-questions/</w:t>
        </w:r>
      </w:hyperlink>
      <w:r w:rsidRPr="00D72E8E">
        <w:t>. (Accessed: 8 June 2025).</w:t>
      </w:r>
    </w:p>
    <w:p w14:paraId="58E36E54" w14:textId="77777777" w:rsidR="00D72E8E" w:rsidRPr="00D72E8E" w:rsidRDefault="00D72E8E" w:rsidP="00D72E8E">
      <w:pPr>
        <w:numPr>
          <w:ilvl w:val="0"/>
          <w:numId w:val="23"/>
        </w:numPr>
      </w:pPr>
      <w:r w:rsidRPr="00D72E8E">
        <w:t xml:space="preserve">Maternity Action (2025b). </w:t>
      </w:r>
      <w:r w:rsidRPr="00D72E8E">
        <w:rPr>
          <w:i/>
          <w:iCs/>
        </w:rPr>
        <w:t>Rights during maternity leave and return to work - Maternity Action</w:t>
      </w:r>
      <w:r w:rsidRPr="00D72E8E">
        <w:t xml:space="preserve">. [online] Maternity Action. Available at: </w:t>
      </w:r>
      <w:hyperlink r:id="rId18" w:history="1">
        <w:r w:rsidRPr="00D72E8E">
          <w:rPr>
            <w:rStyle w:val="Hyperlink"/>
          </w:rPr>
          <w:t>https://maternityaction.org.uk/advice/discrimination-during-maternity-leave-and-on-return-to-work/</w:t>
        </w:r>
      </w:hyperlink>
      <w:r w:rsidRPr="00D72E8E">
        <w:t>. (Accessed: 8 June 2025). </w:t>
      </w:r>
    </w:p>
    <w:p w14:paraId="280C61C9" w14:textId="77777777" w:rsidR="00D72E8E" w:rsidRPr="00D72E8E" w:rsidRDefault="00D72E8E" w:rsidP="00D72E8E">
      <w:pPr>
        <w:numPr>
          <w:ilvl w:val="0"/>
          <w:numId w:val="24"/>
        </w:numPr>
      </w:pPr>
      <w:r w:rsidRPr="00D72E8E">
        <w:t xml:space="preserve">Maternity Action (2025c). </w:t>
      </w:r>
      <w:r w:rsidRPr="00D72E8E">
        <w:rPr>
          <w:i/>
          <w:iCs/>
        </w:rPr>
        <w:t>Shared parental leave and pay</w:t>
      </w:r>
      <w:r w:rsidRPr="00D72E8E">
        <w:t xml:space="preserve">. [online] Maternity Action. Available at: </w:t>
      </w:r>
      <w:hyperlink r:id="rId19" w:history="1">
        <w:r w:rsidRPr="00D72E8E">
          <w:rPr>
            <w:rStyle w:val="Hyperlink"/>
          </w:rPr>
          <w:t>https://maternityaction.org.uk/advice/shared-parental-leave-and-pay/</w:t>
        </w:r>
      </w:hyperlink>
      <w:r w:rsidRPr="00D72E8E">
        <w:t>. (Accessed: 8 June 2025).</w:t>
      </w:r>
    </w:p>
    <w:p w14:paraId="7E102A9E" w14:textId="77777777" w:rsidR="00D72E8E" w:rsidRPr="00D72E8E" w:rsidRDefault="00D72E8E" w:rsidP="00D72E8E">
      <w:pPr>
        <w:numPr>
          <w:ilvl w:val="0"/>
          <w:numId w:val="25"/>
        </w:numPr>
      </w:pPr>
      <w:r w:rsidRPr="00D72E8E">
        <w:t xml:space="preserve">Morgan La Roche (2025) </w:t>
      </w:r>
      <w:r w:rsidRPr="00D72E8E">
        <w:rPr>
          <w:i/>
          <w:iCs/>
        </w:rPr>
        <w:t>Employment figures April 2025</w:t>
      </w:r>
      <w:r w:rsidRPr="00D72E8E">
        <w:t>. Available at:</w:t>
      </w:r>
      <w:hyperlink r:id="rId20" w:history="1">
        <w:r w:rsidRPr="00D72E8E">
          <w:rPr>
            <w:rStyle w:val="Hyperlink"/>
          </w:rPr>
          <w:t xml:space="preserve"> https://www.morganlaroche.com/wp-content/uploads/2025/03/Employment-Law-statutory-figures-2025.pdf</w:t>
        </w:r>
      </w:hyperlink>
      <w:r w:rsidRPr="00D72E8E">
        <w:t xml:space="preserve"> (Accessed: 8 June 2025).</w:t>
      </w:r>
    </w:p>
    <w:p w14:paraId="4D3FDDFE" w14:textId="77777777" w:rsidR="00D72E8E" w:rsidRPr="00D72E8E" w:rsidRDefault="00D72E8E" w:rsidP="00D72E8E">
      <w:r w:rsidRPr="00D72E8E">
        <w:br/>
      </w:r>
    </w:p>
    <w:p w14:paraId="26343703" w14:textId="77777777" w:rsidR="00D72E8E" w:rsidRPr="00D72E8E" w:rsidRDefault="00D72E8E" w:rsidP="00D72E8E">
      <w:pPr>
        <w:numPr>
          <w:ilvl w:val="0"/>
          <w:numId w:val="26"/>
        </w:numPr>
      </w:pPr>
      <w:r w:rsidRPr="00D72E8E">
        <w:lastRenderedPageBreak/>
        <w:t xml:space="preserve">Parliament.uk. (2021). </w:t>
      </w:r>
      <w:r w:rsidRPr="00D72E8E">
        <w:rPr>
          <w:i/>
          <w:iCs/>
        </w:rPr>
        <w:t>Protecting those who protect us: Women in the Armed Forces from Recruitment to Civilian Life - Defence Committee - House of Commons</w:t>
      </w:r>
      <w:r w:rsidRPr="00D72E8E">
        <w:t xml:space="preserve">. [online] Available at: </w:t>
      </w:r>
      <w:hyperlink r:id="rId21" w:history="1">
        <w:r w:rsidRPr="00D72E8E">
          <w:rPr>
            <w:rStyle w:val="Hyperlink"/>
          </w:rPr>
          <w:t>https://publications.parliament.uk/pa/cm5802/cmselect/cmdfence/154/15405.htm</w:t>
        </w:r>
      </w:hyperlink>
      <w:r w:rsidRPr="00D72E8E">
        <w:t>. (Accessed: 8 June 2025). </w:t>
      </w:r>
    </w:p>
    <w:p w14:paraId="3C2F2A7C" w14:textId="77777777" w:rsidR="00D72E8E" w:rsidRPr="00D72E8E" w:rsidRDefault="00D72E8E" w:rsidP="00D72E8E">
      <w:r w:rsidRPr="00D72E8E">
        <w:br/>
      </w:r>
    </w:p>
    <w:p w14:paraId="787D99F4" w14:textId="77777777" w:rsidR="00D72E8E" w:rsidRPr="00D72E8E" w:rsidRDefault="00D72E8E" w:rsidP="00D72E8E">
      <w:pPr>
        <w:numPr>
          <w:ilvl w:val="0"/>
          <w:numId w:val="27"/>
        </w:numPr>
      </w:pPr>
      <w:r w:rsidRPr="00D72E8E">
        <w:t xml:space="preserve">Retained EU Law (Revocation and Reform) Act 2023 (Revocation and Sunset Disapplication) Regulationns 2023 (RUEL). Available at: </w:t>
      </w:r>
      <w:hyperlink r:id="rId22" w:history="1">
        <w:r w:rsidRPr="00D72E8E">
          <w:rPr>
            <w:rStyle w:val="Hyperlink"/>
          </w:rPr>
          <w:t>https://www.legislation.gov.uk/ukpga/2023/28/contents/enacted</w:t>
        </w:r>
      </w:hyperlink>
      <w:r w:rsidRPr="00D72E8E">
        <w:t>. (Accessed on 8 June 2025). </w:t>
      </w:r>
    </w:p>
    <w:p w14:paraId="05882DB7" w14:textId="77777777" w:rsidR="00D72E8E" w:rsidRPr="00D72E8E" w:rsidRDefault="00D72E8E" w:rsidP="00D72E8E">
      <w:pPr>
        <w:numPr>
          <w:ilvl w:val="0"/>
          <w:numId w:val="28"/>
        </w:numPr>
      </w:pPr>
      <w:r w:rsidRPr="00D72E8E">
        <w:t xml:space="preserve">Spencer, S., Zelenyanszki, C., Strudwick, R. and Mizzi, D. (2023). Is it still a genuine occupational requirement to have a female only mammographic workforce in breast screening? </w:t>
      </w:r>
      <w:r w:rsidRPr="00D72E8E">
        <w:rPr>
          <w:i/>
          <w:iCs/>
        </w:rPr>
        <w:t>Radiography</w:t>
      </w:r>
      <w:r w:rsidRPr="00D72E8E">
        <w:t>, 29(6), pp.1121–1122. doi:</w:t>
      </w:r>
      <w:hyperlink r:id="rId23" w:history="1">
        <w:r w:rsidRPr="00D72E8E">
          <w:rPr>
            <w:rStyle w:val="Hyperlink"/>
          </w:rPr>
          <w:t>https://doi.org/10.1016/j.radi.2023.09.009</w:t>
        </w:r>
      </w:hyperlink>
      <w:r w:rsidRPr="00D72E8E">
        <w:t>. (Accessed on 8 June 2025)</w:t>
      </w:r>
    </w:p>
    <w:p w14:paraId="544E738F" w14:textId="77777777" w:rsidR="00D72E8E" w:rsidRPr="00D72E8E" w:rsidRDefault="00D72E8E" w:rsidP="00D72E8E">
      <w:r w:rsidRPr="00D72E8E">
        <w:br/>
      </w:r>
    </w:p>
    <w:p w14:paraId="60B429FC" w14:textId="77777777" w:rsidR="00D72E8E" w:rsidRPr="00D72E8E" w:rsidRDefault="00D72E8E" w:rsidP="00D72E8E">
      <w:pPr>
        <w:numPr>
          <w:ilvl w:val="0"/>
          <w:numId w:val="29"/>
        </w:numPr>
      </w:pPr>
      <w:r w:rsidRPr="00D72E8E">
        <w:t xml:space="preserve">Trade and Cooperation Agreement 2021. Available at: </w:t>
      </w:r>
      <w:hyperlink r:id="rId24" w:history="1">
        <w:r w:rsidRPr="00D72E8E">
          <w:rPr>
            <w:rStyle w:val="Hyperlink"/>
          </w:rPr>
          <w:t>https://assets.publishing.service.gov.uk/government/uploads/system/uploads/attachment_data/file/982648/TS_8.2021_UK_EU_EAEC_Trade_and_Cooperation_Agreement.pdf</w:t>
        </w:r>
      </w:hyperlink>
      <w:r w:rsidRPr="00D72E8E">
        <w:t xml:space="preserve"> (Accessed on 8 June 2025). </w:t>
      </w:r>
    </w:p>
    <w:p w14:paraId="7ABB9E1B" w14:textId="77777777" w:rsidR="00D72E8E" w:rsidRPr="00D72E8E" w:rsidRDefault="00D72E8E" w:rsidP="00D72E8E">
      <w:r w:rsidRPr="00D72E8E">
        <w:br/>
      </w:r>
    </w:p>
    <w:p w14:paraId="0AAD71CA" w14:textId="77777777" w:rsidR="00D72E8E" w:rsidRPr="00D72E8E" w:rsidRDefault="00D72E8E" w:rsidP="00D72E8E">
      <w:pPr>
        <w:numPr>
          <w:ilvl w:val="0"/>
          <w:numId w:val="30"/>
        </w:numPr>
      </w:pPr>
      <w:r w:rsidRPr="00D72E8E">
        <w:t xml:space="preserve">Trade Union and Labour Relations (Consolidation) Act 1992, c.52. Available at: </w:t>
      </w:r>
      <w:hyperlink r:id="rId25" w:history="1">
        <w:r w:rsidRPr="00D72E8E">
          <w:rPr>
            <w:rStyle w:val="Hyperlink"/>
          </w:rPr>
          <w:t>https://www.legislation.gov.uk/ukpga/1992/52/section/193</w:t>
        </w:r>
      </w:hyperlink>
      <w:r w:rsidRPr="00D72E8E">
        <w:t>. (Accessed on 8 June 2025).</w:t>
      </w:r>
    </w:p>
    <w:p w14:paraId="3AF30F26" w14:textId="77777777" w:rsidR="00D72E8E" w:rsidRPr="00D72E8E" w:rsidRDefault="00D72E8E" w:rsidP="00D72E8E">
      <w:r w:rsidRPr="00D72E8E">
        <w:br/>
      </w:r>
    </w:p>
    <w:p w14:paraId="19990A8F" w14:textId="77777777" w:rsidR="00D72E8E" w:rsidRPr="00D72E8E" w:rsidRDefault="00D72E8E" w:rsidP="00D72E8E">
      <w:pPr>
        <w:numPr>
          <w:ilvl w:val="0"/>
          <w:numId w:val="31"/>
        </w:numPr>
      </w:pPr>
      <w:r w:rsidRPr="00D72E8E">
        <w:t xml:space="preserve">Torrington, D., Hall, L., Taylor, S. and Atkinson, C. (2020). </w:t>
      </w:r>
      <w:r w:rsidRPr="00D72E8E">
        <w:rPr>
          <w:i/>
          <w:iCs/>
        </w:rPr>
        <w:t>Human Resource Management.</w:t>
      </w:r>
      <w:r w:rsidRPr="00D72E8E">
        <w:t xml:space="preserve"> 11th ed. New Jersey: Pearson. (Accessed on 8 June 2025). </w:t>
      </w:r>
    </w:p>
    <w:p w14:paraId="6E114480" w14:textId="1F36DD0E" w:rsidR="00D72E8E" w:rsidRPr="00D72E8E" w:rsidRDefault="00D72E8E" w:rsidP="00D72E8E">
      <w:r w:rsidRPr="00D72E8E">
        <w:t xml:space="preserve">TUC (2024). </w:t>
      </w:r>
      <w:r w:rsidRPr="00D72E8E">
        <w:rPr>
          <w:i/>
          <w:iCs/>
        </w:rPr>
        <w:t>How Ford’s striking women drove the Equal Pay Act</w:t>
      </w:r>
      <w:r w:rsidRPr="00D72E8E">
        <w:t xml:space="preserve">. [online] www.tuc.org.uk. Available at: </w:t>
      </w:r>
      <w:hyperlink r:id="rId26" w:history="1">
        <w:r w:rsidRPr="00D72E8E">
          <w:rPr>
            <w:rStyle w:val="Hyperlink"/>
          </w:rPr>
          <w:t>https://www.tuc.org.uk/workplace-guidance/case-studies/how-fords-striking-women-drove-equal-pay-act</w:t>
        </w:r>
      </w:hyperlink>
      <w:r w:rsidRPr="00D72E8E">
        <w:t>. (Accessed on 8 June 2025).</w:t>
      </w:r>
    </w:p>
    <w:sectPr w:rsidR="00D72E8E" w:rsidRPr="00D72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B49B0"/>
    <w:multiLevelType w:val="multilevel"/>
    <w:tmpl w:val="55CC0F2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015ED5"/>
    <w:multiLevelType w:val="multilevel"/>
    <w:tmpl w:val="A4944D8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FF6FB5"/>
    <w:multiLevelType w:val="multilevel"/>
    <w:tmpl w:val="A3D82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4218DD"/>
    <w:multiLevelType w:val="multilevel"/>
    <w:tmpl w:val="F5FA1E1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CD6A4D"/>
    <w:multiLevelType w:val="multilevel"/>
    <w:tmpl w:val="C19C320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08275C"/>
    <w:multiLevelType w:val="multilevel"/>
    <w:tmpl w:val="5CA0F1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0420E0"/>
    <w:multiLevelType w:val="multilevel"/>
    <w:tmpl w:val="F5D205C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A46B83"/>
    <w:multiLevelType w:val="multilevel"/>
    <w:tmpl w:val="A95A8C4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0839EE"/>
    <w:multiLevelType w:val="multilevel"/>
    <w:tmpl w:val="5D7010E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697607">
    <w:abstractNumId w:val="2"/>
  </w:num>
  <w:num w:numId="2" w16cid:durableId="1538161167">
    <w:abstractNumId w:val="5"/>
    <w:lvlOverride w:ilvl="0">
      <w:lvl w:ilvl="0">
        <w:numFmt w:val="decimal"/>
        <w:lvlText w:val="%1."/>
        <w:lvlJc w:val="left"/>
      </w:lvl>
    </w:lvlOverride>
  </w:num>
  <w:num w:numId="3" w16cid:durableId="2000888080">
    <w:abstractNumId w:val="5"/>
    <w:lvlOverride w:ilvl="0">
      <w:lvl w:ilvl="0">
        <w:numFmt w:val="decimal"/>
        <w:lvlText w:val="%1."/>
        <w:lvlJc w:val="left"/>
      </w:lvl>
    </w:lvlOverride>
  </w:num>
  <w:num w:numId="4" w16cid:durableId="1533768328">
    <w:abstractNumId w:val="5"/>
    <w:lvlOverride w:ilvl="0">
      <w:lvl w:ilvl="0">
        <w:numFmt w:val="decimal"/>
        <w:lvlText w:val="%1."/>
        <w:lvlJc w:val="left"/>
      </w:lvl>
    </w:lvlOverride>
  </w:num>
  <w:num w:numId="5" w16cid:durableId="1266882001">
    <w:abstractNumId w:val="5"/>
    <w:lvlOverride w:ilvl="0">
      <w:lvl w:ilvl="0">
        <w:numFmt w:val="decimal"/>
        <w:lvlText w:val="%1."/>
        <w:lvlJc w:val="left"/>
      </w:lvl>
    </w:lvlOverride>
  </w:num>
  <w:num w:numId="6" w16cid:durableId="243027153">
    <w:abstractNumId w:val="5"/>
    <w:lvlOverride w:ilvl="0">
      <w:lvl w:ilvl="0">
        <w:numFmt w:val="decimal"/>
        <w:lvlText w:val="%1."/>
        <w:lvlJc w:val="left"/>
      </w:lvl>
    </w:lvlOverride>
  </w:num>
  <w:num w:numId="7" w16cid:durableId="399787944">
    <w:abstractNumId w:val="5"/>
    <w:lvlOverride w:ilvl="0">
      <w:lvl w:ilvl="0">
        <w:numFmt w:val="decimal"/>
        <w:lvlText w:val="%1."/>
        <w:lvlJc w:val="left"/>
      </w:lvl>
    </w:lvlOverride>
  </w:num>
  <w:num w:numId="8" w16cid:durableId="826364941">
    <w:abstractNumId w:val="5"/>
    <w:lvlOverride w:ilvl="0">
      <w:lvl w:ilvl="0">
        <w:numFmt w:val="decimal"/>
        <w:lvlText w:val="%1."/>
        <w:lvlJc w:val="left"/>
      </w:lvl>
    </w:lvlOverride>
  </w:num>
  <w:num w:numId="9" w16cid:durableId="1147891883">
    <w:abstractNumId w:val="5"/>
    <w:lvlOverride w:ilvl="0">
      <w:lvl w:ilvl="0">
        <w:numFmt w:val="decimal"/>
        <w:lvlText w:val="%1."/>
        <w:lvlJc w:val="left"/>
      </w:lvl>
    </w:lvlOverride>
  </w:num>
  <w:num w:numId="10" w16cid:durableId="1786652975">
    <w:abstractNumId w:val="5"/>
    <w:lvlOverride w:ilvl="0">
      <w:lvl w:ilvl="0">
        <w:numFmt w:val="decimal"/>
        <w:lvlText w:val="%1."/>
        <w:lvlJc w:val="left"/>
      </w:lvl>
    </w:lvlOverride>
  </w:num>
  <w:num w:numId="11" w16cid:durableId="1719936981">
    <w:abstractNumId w:val="5"/>
    <w:lvlOverride w:ilvl="0">
      <w:lvl w:ilvl="0">
        <w:numFmt w:val="decimal"/>
        <w:lvlText w:val="%1."/>
        <w:lvlJc w:val="left"/>
      </w:lvl>
    </w:lvlOverride>
  </w:num>
  <w:num w:numId="12" w16cid:durableId="664405276">
    <w:abstractNumId w:val="5"/>
    <w:lvlOverride w:ilvl="0">
      <w:lvl w:ilvl="0">
        <w:numFmt w:val="decimal"/>
        <w:lvlText w:val="%1."/>
        <w:lvlJc w:val="left"/>
      </w:lvl>
    </w:lvlOverride>
  </w:num>
  <w:num w:numId="13" w16cid:durableId="1813794038">
    <w:abstractNumId w:val="5"/>
    <w:lvlOverride w:ilvl="0">
      <w:lvl w:ilvl="0">
        <w:numFmt w:val="decimal"/>
        <w:lvlText w:val="%1."/>
        <w:lvlJc w:val="left"/>
      </w:lvl>
    </w:lvlOverride>
  </w:num>
  <w:num w:numId="14" w16cid:durableId="1630091448">
    <w:abstractNumId w:val="5"/>
    <w:lvlOverride w:ilvl="0">
      <w:lvl w:ilvl="0">
        <w:numFmt w:val="decimal"/>
        <w:lvlText w:val="%1."/>
        <w:lvlJc w:val="left"/>
      </w:lvl>
    </w:lvlOverride>
  </w:num>
  <w:num w:numId="15" w16cid:durableId="933561977">
    <w:abstractNumId w:val="5"/>
    <w:lvlOverride w:ilvl="0">
      <w:lvl w:ilvl="0">
        <w:numFmt w:val="decimal"/>
        <w:lvlText w:val="%1."/>
        <w:lvlJc w:val="left"/>
      </w:lvl>
    </w:lvlOverride>
  </w:num>
  <w:num w:numId="16" w16cid:durableId="1204488716">
    <w:abstractNumId w:val="5"/>
    <w:lvlOverride w:ilvl="0">
      <w:lvl w:ilvl="0">
        <w:numFmt w:val="decimal"/>
        <w:lvlText w:val="%1."/>
        <w:lvlJc w:val="left"/>
      </w:lvl>
    </w:lvlOverride>
  </w:num>
  <w:num w:numId="17" w16cid:durableId="1957129388">
    <w:abstractNumId w:val="5"/>
    <w:lvlOverride w:ilvl="0">
      <w:lvl w:ilvl="0">
        <w:numFmt w:val="decimal"/>
        <w:lvlText w:val="%1."/>
        <w:lvlJc w:val="left"/>
      </w:lvl>
    </w:lvlOverride>
  </w:num>
  <w:num w:numId="18" w16cid:durableId="514226842">
    <w:abstractNumId w:val="4"/>
    <w:lvlOverride w:ilvl="0">
      <w:lvl w:ilvl="0">
        <w:numFmt w:val="decimal"/>
        <w:lvlText w:val="%1."/>
        <w:lvlJc w:val="left"/>
      </w:lvl>
    </w:lvlOverride>
  </w:num>
  <w:num w:numId="19" w16cid:durableId="727730606">
    <w:abstractNumId w:val="1"/>
    <w:lvlOverride w:ilvl="0">
      <w:lvl w:ilvl="0">
        <w:numFmt w:val="decimal"/>
        <w:lvlText w:val="%1."/>
        <w:lvlJc w:val="left"/>
      </w:lvl>
    </w:lvlOverride>
  </w:num>
  <w:num w:numId="20" w16cid:durableId="1570267493">
    <w:abstractNumId w:val="1"/>
    <w:lvlOverride w:ilvl="0">
      <w:lvl w:ilvl="0">
        <w:numFmt w:val="decimal"/>
        <w:lvlText w:val="%1."/>
        <w:lvlJc w:val="left"/>
      </w:lvl>
    </w:lvlOverride>
  </w:num>
  <w:num w:numId="21" w16cid:durableId="225605501">
    <w:abstractNumId w:val="1"/>
    <w:lvlOverride w:ilvl="0">
      <w:lvl w:ilvl="0">
        <w:numFmt w:val="decimal"/>
        <w:lvlText w:val="%1."/>
        <w:lvlJc w:val="left"/>
      </w:lvl>
    </w:lvlOverride>
  </w:num>
  <w:num w:numId="22" w16cid:durableId="1413969070">
    <w:abstractNumId w:val="1"/>
    <w:lvlOverride w:ilvl="0">
      <w:lvl w:ilvl="0">
        <w:numFmt w:val="decimal"/>
        <w:lvlText w:val="%1."/>
        <w:lvlJc w:val="left"/>
      </w:lvl>
    </w:lvlOverride>
  </w:num>
  <w:num w:numId="23" w16cid:durableId="774978758">
    <w:abstractNumId w:val="1"/>
    <w:lvlOverride w:ilvl="0">
      <w:lvl w:ilvl="0">
        <w:numFmt w:val="decimal"/>
        <w:lvlText w:val="%1."/>
        <w:lvlJc w:val="left"/>
      </w:lvl>
    </w:lvlOverride>
  </w:num>
  <w:num w:numId="24" w16cid:durableId="1587300930">
    <w:abstractNumId w:val="1"/>
    <w:lvlOverride w:ilvl="0">
      <w:lvl w:ilvl="0">
        <w:numFmt w:val="decimal"/>
        <w:lvlText w:val="%1."/>
        <w:lvlJc w:val="left"/>
      </w:lvl>
    </w:lvlOverride>
  </w:num>
  <w:num w:numId="25" w16cid:durableId="967318571">
    <w:abstractNumId w:val="1"/>
    <w:lvlOverride w:ilvl="0">
      <w:lvl w:ilvl="0">
        <w:numFmt w:val="decimal"/>
        <w:lvlText w:val="%1."/>
        <w:lvlJc w:val="left"/>
      </w:lvl>
    </w:lvlOverride>
  </w:num>
  <w:num w:numId="26" w16cid:durableId="1603027757">
    <w:abstractNumId w:val="0"/>
    <w:lvlOverride w:ilvl="0">
      <w:lvl w:ilvl="0">
        <w:numFmt w:val="decimal"/>
        <w:lvlText w:val="%1."/>
        <w:lvlJc w:val="left"/>
      </w:lvl>
    </w:lvlOverride>
  </w:num>
  <w:num w:numId="27" w16cid:durableId="1647468097">
    <w:abstractNumId w:val="3"/>
    <w:lvlOverride w:ilvl="0">
      <w:lvl w:ilvl="0">
        <w:numFmt w:val="decimal"/>
        <w:lvlText w:val="%1."/>
        <w:lvlJc w:val="left"/>
      </w:lvl>
    </w:lvlOverride>
  </w:num>
  <w:num w:numId="28" w16cid:durableId="1301879230">
    <w:abstractNumId w:val="3"/>
    <w:lvlOverride w:ilvl="0">
      <w:lvl w:ilvl="0">
        <w:numFmt w:val="decimal"/>
        <w:lvlText w:val="%1."/>
        <w:lvlJc w:val="left"/>
      </w:lvl>
    </w:lvlOverride>
  </w:num>
  <w:num w:numId="29" w16cid:durableId="1626305991">
    <w:abstractNumId w:val="7"/>
    <w:lvlOverride w:ilvl="0">
      <w:lvl w:ilvl="0">
        <w:numFmt w:val="decimal"/>
        <w:lvlText w:val="%1."/>
        <w:lvlJc w:val="left"/>
      </w:lvl>
    </w:lvlOverride>
  </w:num>
  <w:num w:numId="30" w16cid:durableId="1438284836">
    <w:abstractNumId w:val="6"/>
    <w:lvlOverride w:ilvl="0">
      <w:lvl w:ilvl="0">
        <w:numFmt w:val="decimal"/>
        <w:lvlText w:val="%1."/>
        <w:lvlJc w:val="left"/>
      </w:lvl>
    </w:lvlOverride>
  </w:num>
  <w:num w:numId="31" w16cid:durableId="2019039062">
    <w:abstractNumId w:val="8"/>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E8E"/>
    <w:rsid w:val="009263C4"/>
    <w:rsid w:val="00D72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F18DC"/>
  <w15:chartTrackingRefBased/>
  <w15:docId w15:val="{6CDF8135-815A-4BFE-A29A-50855E86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E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E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E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E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E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E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E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E8E"/>
    <w:rPr>
      <w:rFonts w:eastAsiaTheme="majorEastAsia" w:cstheme="majorBidi"/>
      <w:color w:val="272727" w:themeColor="text1" w:themeTint="D8"/>
    </w:rPr>
  </w:style>
  <w:style w:type="paragraph" w:styleId="Title">
    <w:name w:val="Title"/>
    <w:basedOn w:val="Normal"/>
    <w:next w:val="Normal"/>
    <w:link w:val="TitleChar"/>
    <w:uiPriority w:val="10"/>
    <w:qFormat/>
    <w:rsid w:val="00D72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E8E"/>
    <w:pPr>
      <w:spacing w:before="160"/>
      <w:jc w:val="center"/>
    </w:pPr>
    <w:rPr>
      <w:i/>
      <w:iCs/>
      <w:color w:val="404040" w:themeColor="text1" w:themeTint="BF"/>
    </w:rPr>
  </w:style>
  <w:style w:type="character" w:customStyle="1" w:styleId="QuoteChar">
    <w:name w:val="Quote Char"/>
    <w:basedOn w:val="DefaultParagraphFont"/>
    <w:link w:val="Quote"/>
    <w:uiPriority w:val="29"/>
    <w:rsid w:val="00D72E8E"/>
    <w:rPr>
      <w:i/>
      <w:iCs/>
      <w:color w:val="404040" w:themeColor="text1" w:themeTint="BF"/>
    </w:rPr>
  </w:style>
  <w:style w:type="paragraph" w:styleId="ListParagraph">
    <w:name w:val="List Paragraph"/>
    <w:basedOn w:val="Normal"/>
    <w:uiPriority w:val="34"/>
    <w:qFormat/>
    <w:rsid w:val="00D72E8E"/>
    <w:pPr>
      <w:ind w:left="720"/>
      <w:contextualSpacing/>
    </w:pPr>
  </w:style>
  <w:style w:type="character" w:styleId="IntenseEmphasis">
    <w:name w:val="Intense Emphasis"/>
    <w:basedOn w:val="DefaultParagraphFont"/>
    <w:uiPriority w:val="21"/>
    <w:qFormat/>
    <w:rsid w:val="00D72E8E"/>
    <w:rPr>
      <w:i/>
      <w:iCs/>
      <w:color w:val="0F4761" w:themeColor="accent1" w:themeShade="BF"/>
    </w:rPr>
  </w:style>
  <w:style w:type="paragraph" w:styleId="IntenseQuote">
    <w:name w:val="Intense Quote"/>
    <w:basedOn w:val="Normal"/>
    <w:next w:val="Normal"/>
    <w:link w:val="IntenseQuoteChar"/>
    <w:uiPriority w:val="30"/>
    <w:qFormat/>
    <w:rsid w:val="00D72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E8E"/>
    <w:rPr>
      <w:i/>
      <w:iCs/>
      <w:color w:val="0F4761" w:themeColor="accent1" w:themeShade="BF"/>
    </w:rPr>
  </w:style>
  <w:style w:type="character" w:styleId="IntenseReference">
    <w:name w:val="Intense Reference"/>
    <w:basedOn w:val="DefaultParagraphFont"/>
    <w:uiPriority w:val="32"/>
    <w:qFormat/>
    <w:rsid w:val="00D72E8E"/>
    <w:rPr>
      <w:b/>
      <w:bCs/>
      <w:smallCaps/>
      <w:color w:val="0F4761" w:themeColor="accent1" w:themeShade="BF"/>
      <w:spacing w:val="5"/>
    </w:rPr>
  </w:style>
  <w:style w:type="character" w:styleId="Hyperlink">
    <w:name w:val="Hyperlink"/>
    <w:basedOn w:val="DefaultParagraphFont"/>
    <w:uiPriority w:val="99"/>
    <w:unhideWhenUsed/>
    <w:rsid w:val="00D72E8E"/>
    <w:rPr>
      <w:color w:val="467886" w:themeColor="hyperlink"/>
      <w:u w:val="single"/>
    </w:rPr>
  </w:style>
  <w:style w:type="character" w:styleId="UnresolvedMention">
    <w:name w:val="Unresolved Mention"/>
    <w:basedOn w:val="DefaultParagraphFont"/>
    <w:uiPriority w:val="99"/>
    <w:semiHidden/>
    <w:unhideWhenUsed/>
    <w:rsid w:val="00D72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161109">
      <w:bodyDiv w:val="1"/>
      <w:marLeft w:val="0"/>
      <w:marRight w:val="0"/>
      <w:marTop w:val="0"/>
      <w:marBottom w:val="0"/>
      <w:divBdr>
        <w:top w:val="none" w:sz="0" w:space="0" w:color="auto"/>
        <w:left w:val="none" w:sz="0" w:space="0" w:color="auto"/>
        <w:bottom w:val="none" w:sz="0" w:space="0" w:color="auto"/>
        <w:right w:val="none" w:sz="0" w:space="0" w:color="auto"/>
      </w:divBdr>
    </w:div>
    <w:div w:id="281301847">
      <w:bodyDiv w:val="1"/>
      <w:marLeft w:val="0"/>
      <w:marRight w:val="0"/>
      <w:marTop w:val="0"/>
      <w:marBottom w:val="0"/>
      <w:divBdr>
        <w:top w:val="none" w:sz="0" w:space="0" w:color="auto"/>
        <w:left w:val="none" w:sz="0" w:space="0" w:color="auto"/>
        <w:bottom w:val="none" w:sz="0" w:space="0" w:color="auto"/>
        <w:right w:val="none" w:sz="0" w:space="0" w:color="auto"/>
      </w:divBdr>
    </w:div>
    <w:div w:id="363406908">
      <w:bodyDiv w:val="1"/>
      <w:marLeft w:val="0"/>
      <w:marRight w:val="0"/>
      <w:marTop w:val="0"/>
      <w:marBottom w:val="0"/>
      <w:divBdr>
        <w:top w:val="none" w:sz="0" w:space="0" w:color="auto"/>
        <w:left w:val="none" w:sz="0" w:space="0" w:color="auto"/>
        <w:bottom w:val="none" w:sz="0" w:space="0" w:color="auto"/>
        <w:right w:val="none" w:sz="0" w:space="0" w:color="auto"/>
      </w:divBdr>
    </w:div>
    <w:div w:id="486170550">
      <w:bodyDiv w:val="1"/>
      <w:marLeft w:val="0"/>
      <w:marRight w:val="0"/>
      <w:marTop w:val="0"/>
      <w:marBottom w:val="0"/>
      <w:divBdr>
        <w:top w:val="none" w:sz="0" w:space="0" w:color="auto"/>
        <w:left w:val="none" w:sz="0" w:space="0" w:color="auto"/>
        <w:bottom w:val="none" w:sz="0" w:space="0" w:color="auto"/>
        <w:right w:val="none" w:sz="0" w:space="0" w:color="auto"/>
      </w:divBdr>
    </w:div>
    <w:div w:id="521822457">
      <w:bodyDiv w:val="1"/>
      <w:marLeft w:val="0"/>
      <w:marRight w:val="0"/>
      <w:marTop w:val="0"/>
      <w:marBottom w:val="0"/>
      <w:divBdr>
        <w:top w:val="none" w:sz="0" w:space="0" w:color="auto"/>
        <w:left w:val="none" w:sz="0" w:space="0" w:color="auto"/>
        <w:bottom w:val="none" w:sz="0" w:space="0" w:color="auto"/>
        <w:right w:val="none" w:sz="0" w:space="0" w:color="auto"/>
      </w:divBdr>
    </w:div>
    <w:div w:id="606156987">
      <w:bodyDiv w:val="1"/>
      <w:marLeft w:val="0"/>
      <w:marRight w:val="0"/>
      <w:marTop w:val="0"/>
      <w:marBottom w:val="0"/>
      <w:divBdr>
        <w:top w:val="none" w:sz="0" w:space="0" w:color="auto"/>
        <w:left w:val="none" w:sz="0" w:space="0" w:color="auto"/>
        <w:bottom w:val="none" w:sz="0" w:space="0" w:color="auto"/>
        <w:right w:val="none" w:sz="0" w:space="0" w:color="auto"/>
      </w:divBdr>
    </w:div>
    <w:div w:id="621421046">
      <w:bodyDiv w:val="1"/>
      <w:marLeft w:val="0"/>
      <w:marRight w:val="0"/>
      <w:marTop w:val="0"/>
      <w:marBottom w:val="0"/>
      <w:divBdr>
        <w:top w:val="none" w:sz="0" w:space="0" w:color="auto"/>
        <w:left w:val="none" w:sz="0" w:space="0" w:color="auto"/>
        <w:bottom w:val="none" w:sz="0" w:space="0" w:color="auto"/>
        <w:right w:val="none" w:sz="0" w:space="0" w:color="auto"/>
      </w:divBdr>
    </w:div>
    <w:div w:id="639308282">
      <w:bodyDiv w:val="1"/>
      <w:marLeft w:val="0"/>
      <w:marRight w:val="0"/>
      <w:marTop w:val="0"/>
      <w:marBottom w:val="0"/>
      <w:divBdr>
        <w:top w:val="none" w:sz="0" w:space="0" w:color="auto"/>
        <w:left w:val="none" w:sz="0" w:space="0" w:color="auto"/>
        <w:bottom w:val="none" w:sz="0" w:space="0" w:color="auto"/>
        <w:right w:val="none" w:sz="0" w:space="0" w:color="auto"/>
      </w:divBdr>
    </w:div>
    <w:div w:id="683630906">
      <w:bodyDiv w:val="1"/>
      <w:marLeft w:val="0"/>
      <w:marRight w:val="0"/>
      <w:marTop w:val="0"/>
      <w:marBottom w:val="0"/>
      <w:divBdr>
        <w:top w:val="none" w:sz="0" w:space="0" w:color="auto"/>
        <w:left w:val="none" w:sz="0" w:space="0" w:color="auto"/>
        <w:bottom w:val="none" w:sz="0" w:space="0" w:color="auto"/>
        <w:right w:val="none" w:sz="0" w:space="0" w:color="auto"/>
      </w:divBdr>
    </w:div>
    <w:div w:id="767699468">
      <w:bodyDiv w:val="1"/>
      <w:marLeft w:val="0"/>
      <w:marRight w:val="0"/>
      <w:marTop w:val="0"/>
      <w:marBottom w:val="0"/>
      <w:divBdr>
        <w:top w:val="none" w:sz="0" w:space="0" w:color="auto"/>
        <w:left w:val="none" w:sz="0" w:space="0" w:color="auto"/>
        <w:bottom w:val="none" w:sz="0" w:space="0" w:color="auto"/>
        <w:right w:val="none" w:sz="0" w:space="0" w:color="auto"/>
      </w:divBdr>
    </w:div>
    <w:div w:id="911551295">
      <w:bodyDiv w:val="1"/>
      <w:marLeft w:val="0"/>
      <w:marRight w:val="0"/>
      <w:marTop w:val="0"/>
      <w:marBottom w:val="0"/>
      <w:divBdr>
        <w:top w:val="none" w:sz="0" w:space="0" w:color="auto"/>
        <w:left w:val="none" w:sz="0" w:space="0" w:color="auto"/>
        <w:bottom w:val="none" w:sz="0" w:space="0" w:color="auto"/>
        <w:right w:val="none" w:sz="0" w:space="0" w:color="auto"/>
      </w:divBdr>
    </w:div>
    <w:div w:id="932972976">
      <w:bodyDiv w:val="1"/>
      <w:marLeft w:val="0"/>
      <w:marRight w:val="0"/>
      <w:marTop w:val="0"/>
      <w:marBottom w:val="0"/>
      <w:divBdr>
        <w:top w:val="none" w:sz="0" w:space="0" w:color="auto"/>
        <w:left w:val="none" w:sz="0" w:space="0" w:color="auto"/>
        <w:bottom w:val="none" w:sz="0" w:space="0" w:color="auto"/>
        <w:right w:val="none" w:sz="0" w:space="0" w:color="auto"/>
      </w:divBdr>
    </w:div>
    <w:div w:id="969749639">
      <w:bodyDiv w:val="1"/>
      <w:marLeft w:val="0"/>
      <w:marRight w:val="0"/>
      <w:marTop w:val="0"/>
      <w:marBottom w:val="0"/>
      <w:divBdr>
        <w:top w:val="none" w:sz="0" w:space="0" w:color="auto"/>
        <w:left w:val="none" w:sz="0" w:space="0" w:color="auto"/>
        <w:bottom w:val="none" w:sz="0" w:space="0" w:color="auto"/>
        <w:right w:val="none" w:sz="0" w:space="0" w:color="auto"/>
      </w:divBdr>
    </w:div>
    <w:div w:id="1041979577">
      <w:bodyDiv w:val="1"/>
      <w:marLeft w:val="0"/>
      <w:marRight w:val="0"/>
      <w:marTop w:val="0"/>
      <w:marBottom w:val="0"/>
      <w:divBdr>
        <w:top w:val="none" w:sz="0" w:space="0" w:color="auto"/>
        <w:left w:val="none" w:sz="0" w:space="0" w:color="auto"/>
        <w:bottom w:val="none" w:sz="0" w:space="0" w:color="auto"/>
        <w:right w:val="none" w:sz="0" w:space="0" w:color="auto"/>
      </w:divBdr>
    </w:div>
    <w:div w:id="1118840636">
      <w:bodyDiv w:val="1"/>
      <w:marLeft w:val="0"/>
      <w:marRight w:val="0"/>
      <w:marTop w:val="0"/>
      <w:marBottom w:val="0"/>
      <w:divBdr>
        <w:top w:val="none" w:sz="0" w:space="0" w:color="auto"/>
        <w:left w:val="none" w:sz="0" w:space="0" w:color="auto"/>
        <w:bottom w:val="none" w:sz="0" w:space="0" w:color="auto"/>
        <w:right w:val="none" w:sz="0" w:space="0" w:color="auto"/>
      </w:divBdr>
    </w:div>
    <w:div w:id="1268855649">
      <w:bodyDiv w:val="1"/>
      <w:marLeft w:val="0"/>
      <w:marRight w:val="0"/>
      <w:marTop w:val="0"/>
      <w:marBottom w:val="0"/>
      <w:divBdr>
        <w:top w:val="none" w:sz="0" w:space="0" w:color="auto"/>
        <w:left w:val="none" w:sz="0" w:space="0" w:color="auto"/>
        <w:bottom w:val="none" w:sz="0" w:space="0" w:color="auto"/>
        <w:right w:val="none" w:sz="0" w:space="0" w:color="auto"/>
      </w:divBdr>
    </w:div>
    <w:div w:id="1315063467">
      <w:bodyDiv w:val="1"/>
      <w:marLeft w:val="0"/>
      <w:marRight w:val="0"/>
      <w:marTop w:val="0"/>
      <w:marBottom w:val="0"/>
      <w:divBdr>
        <w:top w:val="none" w:sz="0" w:space="0" w:color="auto"/>
        <w:left w:val="none" w:sz="0" w:space="0" w:color="auto"/>
        <w:bottom w:val="none" w:sz="0" w:space="0" w:color="auto"/>
        <w:right w:val="none" w:sz="0" w:space="0" w:color="auto"/>
      </w:divBdr>
    </w:div>
    <w:div w:id="1447313945">
      <w:bodyDiv w:val="1"/>
      <w:marLeft w:val="0"/>
      <w:marRight w:val="0"/>
      <w:marTop w:val="0"/>
      <w:marBottom w:val="0"/>
      <w:divBdr>
        <w:top w:val="none" w:sz="0" w:space="0" w:color="auto"/>
        <w:left w:val="none" w:sz="0" w:space="0" w:color="auto"/>
        <w:bottom w:val="none" w:sz="0" w:space="0" w:color="auto"/>
        <w:right w:val="none" w:sz="0" w:space="0" w:color="auto"/>
      </w:divBdr>
    </w:div>
    <w:div w:id="1453481004">
      <w:bodyDiv w:val="1"/>
      <w:marLeft w:val="0"/>
      <w:marRight w:val="0"/>
      <w:marTop w:val="0"/>
      <w:marBottom w:val="0"/>
      <w:divBdr>
        <w:top w:val="none" w:sz="0" w:space="0" w:color="auto"/>
        <w:left w:val="none" w:sz="0" w:space="0" w:color="auto"/>
        <w:bottom w:val="none" w:sz="0" w:space="0" w:color="auto"/>
        <w:right w:val="none" w:sz="0" w:space="0" w:color="auto"/>
      </w:divBdr>
    </w:div>
    <w:div w:id="1495224956">
      <w:bodyDiv w:val="1"/>
      <w:marLeft w:val="0"/>
      <w:marRight w:val="0"/>
      <w:marTop w:val="0"/>
      <w:marBottom w:val="0"/>
      <w:divBdr>
        <w:top w:val="none" w:sz="0" w:space="0" w:color="auto"/>
        <w:left w:val="none" w:sz="0" w:space="0" w:color="auto"/>
        <w:bottom w:val="none" w:sz="0" w:space="0" w:color="auto"/>
        <w:right w:val="none" w:sz="0" w:space="0" w:color="auto"/>
      </w:divBdr>
    </w:div>
    <w:div w:id="1589928476">
      <w:bodyDiv w:val="1"/>
      <w:marLeft w:val="0"/>
      <w:marRight w:val="0"/>
      <w:marTop w:val="0"/>
      <w:marBottom w:val="0"/>
      <w:divBdr>
        <w:top w:val="none" w:sz="0" w:space="0" w:color="auto"/>
        <w:left w:val="none" w:sz="0" w:space="0" w:color="auto"/>
        <w:bottom w:val="none" w:sz="0" w:space="0" w:color="auto"/>
        <w:right w:val="none" w:sz="0" w:space="0" w:color="auto"/>
      </w:divBdr>
    </w:div>
    <w:div w:id="207993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manage-staff-redundancies" TargetMode="External"/><Relationship Id="rId13" Type="http://schemas.openxmlformats.org/officeDocument/2006/relationships/hyperlink" Target="https://www.cipd.org/uk/knowledge/employment-law/tupe/" TargetMode="External"/><Relationship Id="rId18" Type="http://schemas.openxmlformats.org/officeDocument/2006/relationships/hyperlink" Target="https://maternityaction.org.uk/advice/discrimination-during-maternity-leave-and-on-return-to-work/" TargetMode="External"/><Relationship Id="rId26" Type="http://schemas.openxmlformats.org/officeDocument/2006/relationships/hyperlink" Target="https://www.tuc.org.uk/workplace-guidance/case-studies/how-fords-striking-women-drove-equal-pay-act" TargetMode="External"/><Relationship Id="rId3" Type="http://schemas.openxmlformats.org/officeDocument/2006/relationships/settings" Target="settings.xml"/><Relationship Id="rId21" Type="http://schemas.openxmlformats.org/officeDocument/2006/relationships/hyperlink" Target="https://publications.parliament.uk/pa/cm5802/cmselect/cmdfence/154/15405.htm" TargetMode="External"/><Relationship Id="rId7" Type="http://schemas.openxmlformats.org/officeDocument/2006/relationships/hyperlink" Target="https://www.acas.org.uk/dismissals/constructive-dismissal" TargetMode="External"/><Relationship Id="rId12" Type="http://schemas.openxmlformats.org/officeDocument/2006/relationships/hyperlink" Target="https://www.cipd.org/uk/knowledge/employment-law/dismissal/" TargetMode="External"/><Relationship Id="rId17" Type="http://schemas.openxmlformats.org/officeDocument/2006/relationships/hyperlink" Target="https://maternityaction.org.uk/advice/maternity-pay-questions/" TargetMode="External"/><Relationship Id="rId25" Type="http://schemas.openxmlformats.org/officeDocument/2006/relationships/hyperlink" Target="https://www.legislation.gov.uk/ukpga/1992/52/section/193" TargetMode="External"/><Relationship Id="rId2" Type="http://schemas.openxmlformats.org/officeDocument/2006/relationships/styles" Target="styles.xml"/><Relationship Id="rId16" Type="http://schemas.openxmlformats.org/officeDocument/2006/relationships/hyperlink" Target="https://www.legislation.gov.uk/uksi/2006/246/contents/made" TargetMode="External"/><Relationship Id="rId20" Type="http://schemas.openxmlformats.org/officeDocument/2006/relationships/hyperlink" Target="https://www.morganlaroche.com/wp-content/uploads/2025/03/Employment-Law-statutory-figures-2025.pdf" TargetMode="External"/><Relationship Id="rId1" Type="http://schemas.openxmlformats.org/officeDocument/2006/relationships/numbering" Target="numbering.xml"/><Relationship Id="rId6" Type="http://schemas.openxmlformats.org/officeDocument/2006/relationships/hyperlink" Target="http://www.acas.org.uk/" TargetMode="External"/><Relationship Id="rId11" Type="http://schemas.openxmlformats.org/officeDocument/2006/relationships/hyperlink" Target="https://doi.org/10.1080/09615768.2022.2093620" TargetMode="External"/><Relationship Id="rId24" Type="http://schemas.openxmlformats.org/officeDocument/2006/relationships/hyperlink" Target="https://assets.publishing.service.gov.uk/government/uploads/system/uploads/attachment_data/file/982648/TS_8.2021_UK_EU_EAEC_Trade_and_Cooperation_Agreement.pdf" TargetMode="External"/><Relationship Id="rId5" Type="http://schemas.openxmlformats.org/officeDocument/2006/relationships/hyperlink" Target="https://www.acas.org.uk/tupe/advice-for-employers-and-employees/changing-your-employment-contract-after-a-tupe-transfer" TargetMode="External"/><Relationship Id="rId15" Type="http://schemas.openxmlformats.org/officeDocument/2006/relationships/hyperlink" Target="https://doi.org/10.1038/s41404-020-0352-5" TargetMode="External"/><Relationship Id="rId23" Type="http://schemas.openxmlformats.org/officeDocument/2006/relationships/hyperlink" Target="https://doi.org/10.1016/j.radi.2023.09.009" TargetMode="External"/><Relationship Id="rId28" Type="http://schemas.openxmlformats.org/officeDocument/2006/relationships/theme" Target="theme/theme1.xml"/><Relationship Id="rId10" Type="http://schemas.openxmlformats.org/officeDocument/2006/relationships/hyperlink" Target="https://www.acas.org.uk/irregular-hours-and-part-year-workers/rolled-up-holiday-pay" TargetMode="External"/><Relationship Id="rId19" Type="http://schemas.openxmlformats.org/officeDocument/2006/relationships/hyperlink" Target="https://maternityaction.org.uk/advice/shared-parental-leave-and-pay/" TargetMode="External"/><Relationship Id="rId4" Type="http://schemas.openxmlformats.org/officeDocument/2006/relationships/webSettings" Target="webSettings.xml"/><Relationship Id="rId9" Type="http://schemas.openxmlformats.org/officeDocument/2006/relationships/hyperlink" Target="https://www.acas.org.uk/tupe/advice-for-employers-and-employees" TargetMode="External"/><Relationship Id="rId14" Type="http://schemas.openxmlformats.org/officeDocument/2006/relationships/hyperlink" Target="https://www.legislation.gov.uk/ukpga/1996/18/section/141" TargetMode="External"/><Relationship Id="rId22" Type="http://schemas.openxmlformats.org/officeDocument/2006/relationships/hyperlink" Target="https://www.legislation.gov.uk/ukpga/2023/28/contents/enacte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4181</Words>
  <Characters>23836</Characters>
  <Application>Microsoft Office Word</Application>
  <DocSecurity>0</DocSecurity>
  <Lines>198</Lines>
  <Paragraphs>55</Paragraphs>
  <ScaleCrop>false</ScaleCrop>
  <Company/>
  <LinksUpToDate>false</LinksUpToDate>
  <CharactersWithSpaces>27962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Davies (2413580)</dc:creator>
  <cp:keywords/>
  <dc:description/>
  <cp:lastModifiedBy>Lowri Davies (2413580)</cp:lastModifiedBy>
  <cp:revision>1</cp:revision>
  <dcterms:created xsi:type="dcterms:W3CDTF">2025-06-09T19:37:00Z</dcterms:created>
  <dcterms:modified xsi:type="dcterms:W3CDTF">2025-06-09T19:42:00Z</dcterms:modified>
</cp:coreProperties>
</file>