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pPr>
      <w:r>
        <w:drawing>
          <wp:inline distT="0" distB="0" distL="0" distR="0">
            <wp:extent cx="6096635" cy="34290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096635" cy="3429000"/>
                    </a:xfrm>
                    <a:prstGeom prst="rect">
                      <a:avLst/>
                    </a:prstGeom>
                    <a:noFill/>
                  </pic:spPr>
                </pic:pic>
              </a:graphicData>
            </a:graphic>
          </wp:inline>
        </w:drawing>
      </w:r>
    </w:p>
    <w:p>
      <w:pPr>
        <w:spacing w:before="100" w:beforeAutospacing="1" w:after="100" w:afterAutospacing="1" w:line="360" w:lineRule="auto"/>
        <w:jc w:val="center"/>
        <w:rPr>
          <w:rFonts w:ascii="Arial Rounded MT Bold" w:hAnsi="Arial Rounded MT Bold"/>
          <w:sz w:val="40"/>
        </w:rPr>
      </w:pPr>
      <w:r>
        <w:rPr>
          <w:rFonts w:ascii="Arial Rounded MT Bold" w:hAnsi="Arial Rounded MT Bold"/>
          <w:sz w:val="40"/>
        </w:rPr>
        <w:t>Putting Philanthropic Activities in the Context of Corporate Governance</w:t>
      </w:r>
    </w:p>
    <w:p>
      <w:pPr>
        <w:spacing w:before="100" w:beforeAutospacing="1" w:after="100" w:afterAutospacing="1" w:line="360" w:lineRule="auto"/>
        <w:jc w:val="center"/>
        <w:rPr>
          <w:rFonts w:hint="default" w:ascii="Arial Rounded MT Bold" w:hAnsi="Arial Rounded MT Bold" w:eastAsiaTheme="minorEastAsia"/>
          <w:sz w:val="40"/>
          <w:lang w:val="en-US" w:eastAsia="zh-CN"/>
        </w:rPr>
      </w:pPr>
      <w:r>
        <w:rPr>
          <w:rFonts w:hint="eastAsia" w:ascii="Arial Rounded MT Bold" w:hAnsi="Arial Rounded MT Bold"/>
          <w:sz w:val="40"/>
          <w:lang w:val="en-US" w:eastAsia="zh-CN"/>
        </w:rPr>
        <w:t>Bo Han Fang</w:t>
      </w:r>
      <w:bookmarkStart w:id="0" w:name="_GoBack"/>
      <w:bookmarkEnd w:id="0"/>
    </w:p>
    <w:p>
      <w:pPr>
        <w:widowControl/>
        <w:spacing w:before="100" w:beforeAutospacing="1" w:after="100" w:afterAutospacing="1" w:line="360" w:lineRule="auto"/>
        <w:jc w:val="left"/>
        <w:rPr>
          <w:rFonts w:ascii="Arial Rounded MT Bold" w:hAnsi="Arial Rounded MT Bold"/>
          <w:sz w:val="40"/>
        </w:rPr>
      </w:pPr>
      <w:r>
        <w:rPr>
          <w:rFonts w:ascii="Arial Rounded MT Bold" w:hAnsi="Arial Rounded MT Bold"/>
          <w:sz w:val="40"/>
        </w:rPr>
        <w:br w:type="page"/>
      </w:r>
    </w:p>
    <w:p>
      <w:pPr>
        <w:spacing w:before="100" w:beforeAutospacing="1" w:after="100" w:afterAutospacing="1" w:line="360" w:lineRule="auto"/>
        <w:rPr>
          <w:rFonts w:ascii="Arial Rounded MT Bold" w:hAnsi="Arial Rounded MT Bold"/>
          <w:sz w:val="24"/>
        </w:rPr>
        <w:sectPr>
          <w:footerReference r:id="rId3" w:type="default"/>
          <w:pgSz w:w="11906" w:h="16838"/>
          <w:pgMar w:top="1440" w:right="1080" w:bottom="1440" w:left="1080" w:header="851" w:footer="992" w:gutter="0"/>
          <w:cols w:space="425" w:num="1"/>
          <w:docGrid w:type="lines" w:linePitch="312" w:charSpace="0"/>
        </w:sectPr>
      </w:pPr>
    </w:p>
    <w:p>
      <w:pPr>
        <w:spacing w:before="100" w:beforeAutospacing="1" w:after="100" w:afterAutospacing="1" w:line="360" w:lineRule="auto"/>
        <w:rPr>
          <w:rFonts w:ascii="Arial Rounded MT Bold" w:hAnsi="Arial Rounded MT Bold"/>
          <w:sz w:val="24"/>
        </w:rPr>
      </w:pPr>
      <w:r>
        <w:rPr>
          <w:rFonts w:ascii="Arial Rounded MT Bold" w:hAnsi="Arial Rounded MT Bold"/>
          <w:sz w:val="24"/>
        </w:rPr>
        <w:t>Introduction</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John D. Rockefeller, born in 1839, was the founder of the Standard Oil Company. He was known as one of the world’s richest men based on the success of Standard Oil Company and a generous philanthropist during a miserable economic downturn for the America and the world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iography.com/people/john-d-rockefeller-20710159","accessed":{"date-parts":[["2019","4","13"]]},"author":[{"dropping-particle":"","family":"Biography","given":"","non-dropping-particle":"","parse-names":false,"suffix":""}],"id":"ITEM-1","issued":{"date-parts":[["2016"]]},"title":"John D. Rockefeller - Quotes, Life &amp;amp; Family","type":"webpage"},"uris":["http://www.mendeley.com/documents/?uuid=3a3b85c5-f705-3dbb-b75e-bcfa44240c7c"]}],"mendeley":{"formattedCitation":"(Biography, 2016)","plainTextFormattedCitation":"(Biography, 2016)","previouslyFormattedCitation":"(Biography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(Biography, 2016)</w:t>
      </w:r>
      <w:r>
        <w:rPr>
          <w:rFonts w:ascii="Times New Roman" w:hAnsi="Times New Roman" w:cs="Times New Roman"/>
          <w:sz w:val="24"/>
        </w:rPr>
        <w:fldChar w:fldCharType="end"/>
      </w:r>
      <w:r>
        <w:rPr>
          <w:rFonts w:ascii="Times New Roman" w:hAnsi="Times New Roman" w:cs="Times New Roman"/>
          <w:sz w:val="24"/>
        </w:rPr>
        <w:t xml:space="preserve">. Similar to John D. Rockefeller, Andrew Carnegie was another successful industrialist for it amass contribution to the American steel industry through the foundation of Carnegie Steel Company and Carnegie Corporation of New York, but also an influential philanthropist who devoted his own life to benefit the society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iography.com/people/andrew-carnegie-9238756","accessed":{"date-parts":[["2019","4","13"]]},"author":[{"dropping-particle":"","family":"Biography","given":"","non-dropping-particle":"","parse-names":false,"suffix":""}],"id":"ITEM-1","issued":{"date-parts":[["2015"]]},"title":"Andrew Carnegie - Quotes, Facts &amp;amp; Family","type":"webpage"},"uris":["http://www.mendeley.com/documents/?uuid=8791eafe-2e91-3a8e-9b5e-3a447c073158"]}],"mendeley":{"formattedCitation":"(Biography, 2015)","plainTextFormattedCitation":"(Biography, 2015)","previouslyFormattedCitation":"(Biography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(Biography, 2015)</w:t>
      </w:r>
      <w:r>
        <w:rPr>
          <w:rFonts w:ascii="Times New Roman" w:hAnsi="Times New Roman" w:cs="Times New Roman"/>
          <w:sz w:val="24"/>
        </w:rPr>
        <w:fldChar w:fldCharType="end"/>
      </w:r>
      <w:r>
        <w:rPr>
          <w:rFonts w:ascii="Times New Roman" w:hAnsi="Times New Roman" w:cs="Times New Roman"/>
          <w:sz w:val="24"/>
        </w:rPr>
        <w:t xml:space="preserve">. However, corporate philanthropic activities commonly consist of voluntary activities such as cash donations, and sometimes the charitable decisions are made due to the strategic considerations, some have been arguing the potential conflicts between philanthropic activities and the corporate governance activities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{"citationItems":[{"id":"ITEM-1","itemData":{"author":[{"dropping-particle":"","family":"Fisch","given":"Jill E","non-dropping-particle":"","parse-names":false,"suffix":""}],"id":"ITEM-1","issued":{"date-parts":[["1997"]]},"title":"Questioning Philanthropy from a Corporate Governance Perspective","type":"article-journal"},"uris":["http://www.mendeley.com/documents/?uuid=4e9229a7-89e5-4b13-a59b-c6e5cfecac0e"]},{"id":"ITEM-2","itemData":{"ISSN":"0309-0566","author":[{"dropping-particle":"","family":"Thorne McAlister","given":"Debbie","non-dropping-particle":"","parse-names":false,"suffix":""},{"dropping-particle":"","family":"Ferrell","given":"Linda","non-dropping-particle":"","parse-names":false,"suffix":""}],"container-title":"European journal of marketing","id":"ITEM-2","issue":"5/6","issued":{"date-parts":[["2002"]]},"page":"689-705","publisher":"MCB UP Ltd","title":"The role of strategic philanthropy in marketing strategy","type":"article-journal","volume":"36"},"uris":["http://www.mendeley.com/documents/?uuid=8c73ce2f-8d68-49f6-a211-c9b6c21d5fca"]},{"id":"ITEM-3","itemData":{"author":[{"dropping-particle":"","family":"Griseri","given":"Paul","non-dropping-particle":"","parse-names":false,"suffix":""},{"dropping-particle":"","family":"Seppala","given":"Nina","non-dropping-particle":"","parse-names":false,"suffix":""}],"id":"ITEM-3","issued":{"date-parts":[["2010"]]},"publisher":"Cengage Learning","title":"Business ethics and corporate social responsibility","type":"book"},"uris":["http://www.mendeley.com/documents/?uuid=900a60fc-b921-44e1-8e5b-d4e3b926792d"]}],"mendeley":{"formattedCitation":"(Fisch, 1997; Thorne McAlister and Ferrell, 2002; Griseri and Seppala, 2010)","plainTextFormattedCitation":"(Fisch, 1997; Thorne McAlister and Ferrell, 2002; Griseri and Seppala, 2010)","previouslyFormattedCitation":"(Fisch 1997, Thorne McAlister and Ferrell 2002, Griseri and Seppala 2010)"},"properties":{"noteIndex":0},"schema":"https://github.com/citation-style-language/schema/raw/master/csl-citation.json"}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(Fisch, 1997; Thorne McAlister and Ferrell, 2002; Griseri and Seppala, 2010)</w:t>
      </w:r>
      <w:r>
        <w:rPr>
          <w:rFonts w:ascii="Times New Roman" w:hAnsi="Times New Roman" w:cs="Times New Roman"/>
          <w:sz w:val="24"/>
        </w:rPr>
        <w:fldChar w:fldCharType="end"/>
      </w:r>
      <w:r>
        <w:rPr>
          <w:rFonts w:ascii="Times New Roman" w:hAnsi="Times New Roman" w:cs="Times New Roman"/>
          <w:sz w:val="24"/>
        </w:rPr>
        <w:t xml:space="preserve">. Frequent philanthropical activities lead to the perception of excessive expenditure by stakeholders, and corporate governance mechanisms may take actions to curtail philanthropical activities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{"citationItems":[{"id":"ITEM-1","itemData":{"ISSN":"1465-7368","author":[{"dropping-particle":"","family":"Masulis","given":"Ronald W","non-dropping-particle":"","parse-names":false,"suffix":""},{"dropping-particle":"","family":"Reza","given":"Syed Walid","non-dropping-particle":"","parse-names":false,"suffix":""}],"container-title":"The Review of Financial Studies","id":"ITEM-1","issue":"2","issued":{"date-parts":[["2014"]]},"page":"592-636","publisher":"Oxford University Press","title":"Agency problems of corporate philanthropy","type":"article-journal","volume":"28"},"uris":["http://www.mendeley.com/documents/?uuid=33898489-c890-4639-96a1-de948b2d2a84"]}],"mendeley":{"formattedCitation":"(Masulis and Reza, 2014)","plainTextFormattedCitation":"(Masulis and Reza, 2014)","previouslyFormattedCitation":"(Masulis and Reza 2014)"},"properties":{"noteIndex":0},"schema":"https://github.com/citation-style-language/schema/raw/master/csl-citation.json"}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(Masulis and Reza, 2014)</w:t>
      </w:r>
      <w:r>
        <w:rPr>
          <w:rFonts w:ascii="Times New Roman" w:hAnsi="Times New Roman" w:cs="Times New Roman"/>
          <w:sz w:val="24"/>
        </w:rPr>
        <w:fldChar w:fldCharType="end"/>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1385-3457","author":[{"dropping-particle":"","family":"Koehn","given":"Daryl","non-dropping-particle":"","parse-names":false,"suffix":""},{"dropping-particle":"","family":"Ueng","given":"Joe","non-dropping-particle":"","parse-names":false,"suffix":""}],"container-title":"Journal of Management &amp; Governance","id":"ITEM-1","issue":"1","issued":{"date-parts":[["2010"]]},"page":"1","publisher":"Springer","title":"Is philanthropy being used by corporate wrongdoers to buy good will?","type":"article-journal","volume":"14"},"uris":["http://www.mendeley.com/documents/?uuid=97edc60a-2812-45c4-88db-e362977f73a2"]}],"mendeley":{"formattedCitation":"(Koehn and Ueng, 2010)","plainTextFormattedCitation":"(Koehn and Ueng, 2010)","previouslyFormattedCitation":"(Koehn and Ueng 2010)"},"properties":{"noteIndex":0},"schema":"https://github.com/citation-style-language/schema/raw/master/csl-citation.json"}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(Koehn and Ueng, 2010)</w:t>
      </w:r>
      <w:r>
        <w:rPr>
          <w:rFonts w:ascii="Times New Roman" w:hAnsi="Times New Roman" w:cs="Times New Roman"/>
          <w:sz w:val="24"/>
        </w:rPr>
        <w:fldChar w:fldCharType="end"/>
      </w:r>
      <w:r>
        <w:rPr>
          <w:rFonts w:ascii="Times New Roman" w:hAnsi="Times New Roman" w:cs="Times New Roman"/>
          <w:sz w:val="24"/>
        </w:rPr>
        <w:t xml:space="preserve">. This essay thus uses two influential philanthropists as examples to review the philanthropic activities in the context of corporate governance from multiple perspectives.  </w:t>
      </w:r>
    </w:p>
    <w:p>
      <w:pPr>
        <w:spacing w:before="100" w:beforeAutospacing="1" w:after="100" w:afterAutospacing="1" w:line="360" w:lineRule="auto"/>
        <w:rPr>
          <w:rFonts w:ascii="Arial Rounded MT Bold" w:hAnsi="Arial Rounded MT Bold"/>
          <w:sz w:val="24"/>
        </w:rPr>
      </w:pPr>
      <w:r>
        <w:rPr>
          <w:rFonts w:ascii="Arial Rounded MT Bold" w:hAnsi="Arial Rounded MT Bold"/>
          <w:sz w:val="24"/>
        </w:rPr>
        <w:t>The relevant stakeholders</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Philanthropic activities may influence the benefits of relevant stakeholders. In the given context, the major relevant stakeholders are identified as below:</w:t>
      </w:r>
    </w:p>
    <w:p>
      <w:pPr>
        <w:pStyle w:val="13"/>
        <w:numPr>
          <w:ilvl w:val="0"/>
          <w:numId w:val="1"/>
        </w:numPr>
        <w:spacing w:before="100" w:beforeAutospacing="1" w:after="100" w:afterAutospacing="1" w:line="360" w:lineRule="auto"/>
        <w:ind w:firstLineChars="0"/>
        <w:rPr>
          <w:rFonts w:ascii="Times New Roman" w:hAnsi="Times New Roman" w:cs="Times New Roman"/>
          <w:sz w:val="24"/>
        </w:rPr>
      </w:pPr>
      <w:r>
        <w:rPr>
          <w:rFonts w:ascii="Times New Roman" w:hAnsi="Times New Roman" w:cs="Times New Roman"/>
          <w:sz w:val="24"/>
        </w:rPr>
        <w:t xml:space="preserve">Investors: there are two types of investors involved, shareholders and debtholders. Shareholders invest through equity, and debtholders invest through debt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{"citationItems":[{"id":"ITEM-1","itemData":{"ISSN":"0363-7425","author":[{"dropping-particle":"","family":"Donaldson","given":"Thomas","non-dropping-particle":"","parse-names":false,"suffix":""},{"dropping-particle":"","family":"Preston","given":"Lee E","non-dropping-particle":"","parse-names":false,"suffix":""}],"container-title":"Academy of management Review","id":"ITEM-1","issue":"1","issued":{"date-parts":[["1995"]]},"page":"65-91","publisher":"Academy of Management Briarcliff Manor, NY 10510","title":"The stakeholder theory of the corporation: Concepts, evidence, and implications","type":"article-journal","volume":"20"},"uris":["http://www.mendeley.com/documents/?uuid=389c7e7a-22c4-4c08-82c0-caaf37efa2fd"]}],"mendeley":{"formattedCitation":"(Donaldson and Preston, 1995)","plainTextFormattedCitation":"(Donaldson and Preston, 1995)","previouslyFormattedCitation":"(Donaldson and Preston 1995)"},"properties":{"noteIndex":0},"schema":"https://github.com/citation-style-language/schema/raw/master/csl-citation.json"}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(Donaldson and Preston, 1995)</w:t>
      </w:r>
      <w:r>
        <w:rPr>
          <w:rFonts w:ascii="Times New Roman" w:hAnsi="Times New Roman" w:cs="Times New Roman"/>
          <w:sz w:val="24"/>
        </w:rPr>
        <w:fldChar w:fldCharType="end"/>
      </w:r>
      <w:r>
        <w:rPr>
          <w:rFonts w:ascii="Times New Roman" w:hAnsi="Times New Roman" w:cs="Times New Roman"/>
          <w:sz w:val="24"/>
        </w:rPr>
        <w:t>. Shareholders are the owner of the organization, and thus have cash flow rights and control rights over critical matters.</w:t>
      </w:r>
    </w:p>
    <w:p>
      <w:pPr>
        <w:pStyle w:val="13"/>
        <w:numPr>
          <w:ilvl w:val="0"/>
          <w:numId w:val="1"/>
        </w:numPr>
        <w:spacing w:before="100" w:beforeAutospacing="1" w:after="100" w:afterAutospacing="1" w:line="360" w:lineRule="auto"/>
        <w:ind w:firstLineChars="0"/>
        <w:rPr>
          <w:rFonts w:ascii="Times New Roman" w:hAnsi="Times New Roman" w:cs="Times New Roman"/>
          <w:sz w:val="24"/>
        </w:rPr>
      </w:pPr>
      <w:r>
        <w:rPr>
          <w:rFonts w:ascii="Times New Roman" w:hAnsi="Times New Roman" w:cs="Times New Roman"/>
          <w:sz w:val="24"/>
        </w:rPr>
        <w:t xml:space="preserve">Employees: the stake of the employee is closely related to the organizational behavior through the influence on the salary and wellness </w:t>
      </w:r>
    </w:p>
    <w:p>
      <w:pPr>
        <w:pStyle w:val="13"/>
        <w:numPr>
          <w:ilvl w:val="0"/>
          <w:numId w:val="1"/>
        </w:numPr>
        <w:spacing w:before="100" w:beforeAutospacing="1" w:after="100" w:afterAutospacing="1" w:line="360" w:lineRule="auto"/>
        <w:ind w:firstLineChars="0"/>
        <w:rPr>
          <w:rFonts w:ascii="Times New Roman" w:hAnsi="Times New Roman" w:cs="Times New Roman"/>
          <w:sz w:val="24"/>
        </w:rPr>
      </w:pPr>
      <w:r>
        <w:rPr>
          <w:rFonts w:ascii="Times New Roman" w:hAnsi="Times New Roman" w:cs="Times New Roman"/>
          <w:sz w:val="24"/>
        </w:rPr>
        <w:t xml:space="preserve">Communities: for large enterprises such as Standard Oil Company and </w:t>
      </w:r>
      <w:r>
        <w:rPr>
          <w:rFonts w:hint="eastAsia" w:ascii="Times New Roman" w:hAnsi="Times New Roman" w:cs="Times New Roman"/>
          <w:sz w:val="24"/>
        </w:rPr>
        <w:t>Carnegie</w:t>
      </w:r>
      <w:r>
        <w:rPr>
          <w:rFonts w:ascii="Times New Roman" w:hAnsi="Times New Roman" w:cs="Times New Roman"/>
          <w:sz w:val="24"/>
        </w:rPr>
        <w:t xml:space="preserve"> </w:t>
      </w:r>
      <w:r>
        <w:rPr>
          <w:rFonts w:hint="eastAsia" w:ascii="Times New Roman" w:hAnsi="Times New Roman" w:cs="Times New Roman"/>
          <w:sz w:val="24"/>
        </w:rPr>
        <w:t>Ste</w:t>
      </w:r>
      <w:r>
        <w:rPr>
          <w:rFonts w:ascii="Times New Roman" w:hAnsi="Times New Roman" w:cs="Times New Roman"/>
          <w:sz w:val="24"/>
        </w:rPr>
        <w:t>el Company, communities play a more influential role subjected to the impact of organizational behaviors and impacting the organizational behaviors via multiple approaches including economic development, incomes, job creation, etc.</w:t>
      </w:r>
    </w:p>
    <w:p>
      <w:pPr>
        <w:pStyle w:val="13"/>
        <w:numPr>
          <w:ilvl w:val="0"/>
          <w:numId w:val="1"/>
        </w:numPr>
        <w:spacing w:before="100" w:beforeAutospacing="1" w:after="100" w:afterAutospacing="1" w:line="360" w:lineRule="auto"/>
        <w:ind w:firstLineChars="0"/>
        <w:rPr>
          <w:rFonts w:ascii="Times New Roman" w:hAnsi="Times New Roman" w:cs="Times New Roman"/>
          <w:sz w:val="24"/>
        </w:rPr>
      </w:pPr>
      <w:r>
        <w:rPr>
          <w:rFonts w:ascii="Times New Roman" w:hAnsi="Times New Roman" w:cs="Times New Roman"/>
          <w:sz w:val="24"/>
        </w:rPr>
        <w:t>G</w:t>
      </w:r>
      <w:r>
        <w:rPr>
          <w:rFonts w:hint="eastAsia" w:ascii="Times New Roman" w:hAnsi="Times New Roman" w:cs="Times New Roman"/>
          <w:sz w:val="24"/>
        </w:rPr>
        <w:t>overnments</w:t>
      </w:r>
      <w:r>
        <w:rPr>
          <w:rFonts w:ascii="Times New Roman" w:hAnsi="Times New Roman" w:cs="Times New Roman"/>
          <w:sz w:val="24"/>
        </w:rPr>
        <w:t xml:space="preserve">: </w:t>
      </w:r>
      <w:r>
        <w:rPr>
          <w:rFonts w:hint="eastAsia" w:ascii="Times New Roman" w:hAnsi="Times New Roman" w:cs="Times New Roman"/>
          <w:sz w:val="24"/>
        </w:rPr>
        <w:t>a</w:t>
      </w:r>
      <w:r>
        <w:rPr>
          <w:rFonts w:ascii="Times New Roman" w:hAnsi="Times New Roman" w:cs="Times New Roman"/>
          <w:sz w:val="24"/>
        </w:rPr>
        <w:t xml:space="preserve">s governments are the ones formulating legislation and regulation, as well as collecting taxes, the organizations need to deal with different authorities. </w:t>
      </w:r>
    </w:p>
    <w:p>
      <w:pPr>
        <w:pStyle w:val="13"/>
        <w:numPr>
          <w:ilvl w:val="0"/>
          <w:numId w:val="1"/>
        </w:numPr>
        <w:spacing w:before="100" w:beforeAutospacing="1" w:after="100" w:afterAutospacing="1" w:line="360" w:lineRule="auto"/>
        <w:ind w:firstLineChars="0"/>
        <w:rPr>
          <w:rFonts w:ascii="Times New Roman" w:hAnsi="Times New Roman" w:cs="Times New Roman"/>
          <w:sz w:val="24"/>
        </w:rPr>
      </w:pPr>
      <w:r>
        <w:rPr>
          <w:rFonts w:ascii="Times New Roman" w:hAnsi="Times New Roman" w:cs="Times New Roman"/>
          <w:sz w:val="24"/>
        </w:rPr>
        <w:t xml:space="preserve">Customers: customers are the direct stakeholder that will influence and be influenced by the organization. Higher customer satisfaction will push the corporate value to a higher level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{"citationItems":[{"id":"ITEM-1","itemData":{"ISSN":"0022-2429","author":[{"dropping-particle":"","family":"Anderson","given":"Eugene W","non-dropping-particle":"","parse-names":false,"suffix":""},{"dropping-particle":"","family":"Fornell","given":"Claes","non-dropping-particle":"","parse-names":false,"suffix":""},{"dropping-particle":"","family":"Mazvancheryl","given":"Sanal K","non-dropping-particle":"","parse-names":false,"suffix":""}],"container-title":"Journal of marketing","id":"ITEM-1","issue":"4","issued":{"date-parts":[["2004"]]},"page":"172-185","publisher":"SAGE Publications Sage CA: Los Angeles, CA","title":"Customer satisfaction and shareholder value","type":"article-journal","volume":"68"},"uris":["http://www.mendeley.com/documents/?uuid=546e10a7-c27c-433d-85ad-6d123a21881a"]}],"mendeley":{"formattedCitation":"(Anderson, Fornell and Mazvancheryl, 2004)","plainTextFormattedCitation":"(Anderson, Fornell and Mazvancheryl, 2004)","previouslyFormattedCitation":"(Anderson, Fornell, and Mazvancheryl 2004)"},"properties":{"noteIndex":0},"schema":"https://github.com/citation-style-language/schema/raw/master/csl-citation.json"}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(Anderson, Fornell and Mazvancheryl, 2004)</w:t>
      </w:r>
      <w:r>
        <w:rPr>
          <w:rFonts w:ascii="Times New Roman" w:hAnsi="Times New Roman" w:cs="Times New Roman"/>
          <w:sz w:val="24"/>
        </w:rPr>
        <w:fldChar w:fldCharType="end"/>
      </w:r>
      <w:r>
        <w:rPr>
          <w:rFonts w:ascii="Times New Roman" w:hAnsi="Times New Roman" w:cs="Times New Roman"/>
          <w:sz w:val="24"/>
        </w:rPr>
        <w:t xml:space="preserve">. Besides, the “brand community” formulated by customers play a pivotal role in decision-making over marketing and strategy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{"citationItems":[{"id":"ITEM-1","itemData":{"ISSN":"0022-2429","author":[{"dropping-particle":"","family":"Algesheimer","given":"Ren</w:instrText>
      </w:r>
      <w:r>
        <w:rPr>
          <w:rFonts w:ascii="Tahoma" w:hAnsi="Tahoma" w:cs="Tahoma"/>
          <w:sz w:val="24"/>
        </w:rPr>
        <w:instrText xml:space="preserve">��</w:instrText>
      </w:r>
      <w:r>
        <w:rPr>
          <w:rFonts w:ascii="Times New Roman" w:hAnsi="Times New Roman" w:cs="Times New Roman"/>
          <w:sz w:val="24"/>
        </w:rPr>
        <w:instrText xml:space="preserve">","non-dropping-particle":"","parse-names":false,"suffix":""},{"dropping-particle":"","family":"Dholakia","given":"Utpal M","non-dropping-particle":"","parse-names":false,"suffix":""},{"dropping-particle":"","family":"Herrmann","given":"Andreas","non-dropping-particle":"","parse-names":false,"suffix":""}],"container-title":"Journal of marketing","id":"ITEM-1","issue":"3","issued":{"date-parts":[["2005"]]},"page":"19-34","publisher":"SAGE Publications Sage CA: Los Angeles, CA","title":"The social influence of brand community: Evidence from European car clubs","type":"article-journal","volume":"69"},"uris":["http://www.mendeley.com/documents/?uuid=7d86af1b-ddc6-4ca7-8114-31d2ae2397c3"]}],"mendeley":{"formattedCitation":"(Algesheimer, Dholakia and Herrmann, 2005)","plainTextFormattedCitation":"(Algesheimer, Dholakia and Herrmann, 2005)","previouslyFormattedCitation":"(Algesheimer, Dholakia, and Herrmann 2005)"},"properties":{"noteIndex":0},"schema":"https://github.com/citation-style-language/schema/raw/master/csl-citation.json"}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(Algesheimer, Dholakia and Herrmann, 2005)</w:t>
      </w:r>
      <w:r>
        <w:rPr>
          <w:rFonts w:ascii="Times New Roman" w:hAnsi="Times New Roman" w:cs="Times New Roman"/>
          <w:sz w:val="24"/>
        </w:rPr>
        <w:fldChar w:fldCharType="end"/>
      </w:r>
      <w:r>
        <w:rPr>
          <w:rFonts w:ascii="Times New Roman" w:hAnsi="Times New Roman" w:cs="Times New Roman"/>
          <w:sz w:val="24"/>
        </w:rPr>
        <w:t>.</w:t>
      </w:r>
    </w:p>
    <w:p>
      <w:pPr>
        <w:spacing w:before="100" w:beforeAutospacing="1" w:after="100" w:afterAutospacing="1" w:line="360" w:lineRule="auto"/>
        <w:rPr>
          <w:rFonts w:ascii="Arial Rounded MT Bold" w:hAnsi="Arial Rounded MT Bold"/>
          <w:sz w:val="24"/>
        </w:rPr>
      </w:pPr>
      <w:r>
        <w:rPr>
          <w:rFonts w:ascii="Arial Rounded MT Bold" w:hAnsi="Arial Rounded MT Bold"/>
          <w:sz w:val="24"/>
        </w:rPr>
        <w:t xml:space="preserve">The reflection on the evolvement of corporate governance mechanisms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Effective corporate governance is an approach to create sustainable development and long-term business integrity through the good balance of interests among the relevant stakeholders. Stemmed from the purpose of addressing the agency theory, corporate governance has been studied and evolved during past decades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{"citationItems":[{"id":"ITEM-1","itemData":{"ISBN":"0226536831","author":[{"dropping-particle":"","family":"Morck","given":"Randall K","non-dropping-particle":"","parse-names":false,"suffix":""}],"id":"ITEM-1","issued":{"date-parts":[["2007"]]},"publisher":"University of Chicago Press","title":"A history of corporate governance around the world: Family business groups to professional managers","type":"book"},"uris":["http://www.mendeley.com/documents/?uuid=55da49de-fb1b-4e72-80b3-f2af7df92d70"]}],"mendeley":{"formattedCitation":"(Morck, 2007)","plainTextFormattedCitation":"(Morck, 2007)","previouslyFormattedCitation":"(Morck 2007)"},"properties":{"noteIndex":0},"schema":"https://github.com/citation-style-language/schema/raw/master/csl-citation.json"}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(Morck, 2007)</w:t>
      </w:r>
      <w:r>
        <w:rPr>
          <w:rFonts w:ascii="Times New Roman" w:hAnsi="Times New Roman" w:cs="Times New Roman"/>
          <w:sz w:val="24"/>
        </w:rPr>
        <w:fldChar w:fldCharType="end"/>
      </w:r>
      <w:r>
        <w:rPr>
          <w:rFonts w:ascii="Times New Roman" w:hAnsi="Times New Roman" w:cs="Times New Roman"/>
          <w:sz w:val="24"/>
        </w:rPr>
        <w:t xml:space="preserve">. Many researchers and practitioners across all industries have enriched the study of corporate governance by continuous theoretical and empirical studies. However, studies indicate contradictory results of corporate governance with new issues keeping emerging.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At the time of two philanthropist lived, organizations in the US had become huge and complex in the structure due to years of capital accumulation and market expansion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Morck","given":"Randall","non-dropping-particle":"","parse-names":false,"suffix":""},{"dropping-particle":"","family":"Steier","given":"Lloyd","non-dropping-particle":"","parse-names":false,"suffix":""}],"container-title":"A history of corporate governance around the world: Family business groups to professional managers","id":"ITEM-1","issued":{"date-parts":[["2005"]]},"page":"1-64","publisher":"University of Chicago Press","title":"The global history of corporate governance: An introduction","type":"chapter"},"uris":["http://www.mendeley.com/documents/?uuid=b031c614-4bf6-466f-aa24-9e1b9812084b"]}],"mendeley":{"formattedCitation":"(Morck and Steier, 2005)","plainTextFormattedCitation":"(Morck and Steier, 2005)","previouslyFormattedCitation":"(Morck and Steier 2005)"},"properties":{"noteIndex":0},"schema":"https://github.com/citation-style-language/schema/raw/master/csl-citation.json"}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(Morck and Steier, 2005)</w:t>
      </w:r>
      <w:r>
        <w:rPr>
          <w:rFonts w:ascii="Times New Roman" w:hAnsi="Times New Roman" w:cs="Times New Roman"/>
          <w:sz w:val="24"/>
        </w:rPr>
        <w:fldChar w:fldCharType="end"/>
      </w:r>
      <w:r>
        <w:rPr>
          <w:rFonts w:ascii="Times New Roman" w:hAnsi="Times New Roman" w:cs="Times New Roman"/>
          <w:sz w:val="24"/>
        </w:rPr>
        <w:t xml:space="preserve">. The complicated structure indicates that there are numerous stakeholders was involved. External capital through going public became a common way for organizations to search for funding. The consequences were the increasing number of intermediaries and the remote relationship between investors and managers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{"citationItems":[{"id":"ITEM-1","itemData":{"abstract":"Corporate Governance is a broad term defines the methods, structure and the processes of a company in which the business and affairs of the company managed and directed. Corporate governance also enhances the long term shareholder value by the process of accountability of managers and by enhances the firm's performance. It also eliminate the conflict of ownership and control by separately defines the interest of shareholders and managers. This paper reviews the extensive literature of corporate governance practices to find out the effectiveness of corporate governance mechanism in the companies and institutions. The paper also focuses on to reduce the principal-agent problem due to the effective corporate governance mechanism in the organizations.","author":[{"dropping-particle":"","family":"Khan","given":"Humera","non-dropping-particle":"","parse-names":false,"suffix":""}],"container-title":"International Conference on E-business, Management and Economics","id":"ITEM-1","issued":{"date-parts":[["2011"]]},"page":"1-5","title":"A Literature Review of Corporate Governance","type":"article-journal","volume":"25"},"uris":["http://www.mendeley.com/documents/?uuid=0e36a06a-635b-37f3-9f03-653bf8e08322"]}],"mendeley":{"formattedCitation":"(Khan, 2011)","plainTextFormattedCitation":"(Khan, 2011)","previouslyFormattedCitation":"(Khan 2011)"},"properties":{"noteIndex":0},"schema":"https://github.com/citation-style-language/schema/raw/master/csl-citation.json"}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(Khan, 2011)</w:t>
      </w:r>
      <w:r>
        <w:rPr>
          <w:rFonts w:ascii="Times New Roman" w:hAnsi="Times New Roman" w:cs="Times New Roman"/>
          <w:sz w:val="24"/>
        </w:rPr>
        <w:fldChar w:fldCharType="end"/>
      </w:r>
      <w:r>
        <w:rPr>
          <w:rFonts w:ascii="Times New Roman" w:hAnsi="Times New Roman" w:cs="Times New Roman"/>
          <w:sz w:val="24"/>
        </w:rPr>
        <w:t xml:space="preserve">. The agency problem became server year by year brought by the structure of the joint-stock corporations. The separated control of the owner and the manager lead the common occurrence that managers benefit themselves via hindering the will of owners. The situation can be described as managers led, and stakeholders followed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{"citationItems":[{"id":"ITEM-1","itemData":{"abstract":"Corporate Governance is a broad term defines the methods, structure and the processes of a company in which the business and affairs of the company managed and directed. Corporate governance also enhances the long term shareholder value by the process of accountability of managers and by enhances the firm's performance. It also eliminate the conflict of ownership and control by separately defines the interest of shareholders and managers. This paper reviews the extensive literature of corporate governance practices to find out the effectiveness of corporate governance mechanism in the companies and institutions. The paper also focuses on to reduce the principal-agent problem due to the effective corporate governance mechanism in the organizations.","author":[{"dropping-particle":"","family":"Khan","given":"Humera","non-dropping-particle":"","parse-names":false,"suffix":""}],"container-title":"International Conference on E-business, Management and Economics","id":"ITEM-1","issued":{"date-parts":[["2011"]]},"page":"1-5","title":"A Literature Review of Corporate Governance","type":"article-journal","volume":"25"},"uris":["http://www.mendeley.com/documents/?uuid=0e36a06a-635b-37f3-9f03-653bf8e08322"]}],"mendeley":{"formattedCitation":"(Khan, 2011)","plainTextFormattedCitation":"(Khan, 2011)","previouslyFormattedCitation":"(Khan 2011)"},"properties":{"noteIndex":0},"schema":"https://github.com/citation-style-language/schema/raw/master/csl-citation.json"}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(Khan, 2011)</w:t>
      </w:r>
      <w:r>
        <w:rPr>
          <w:rFonts w:ascii="Times New Roman" w:hAnsi="Times New Roman" w:cs="Times New Roman"/>
          <w:sz w:val="24"/>
        </w:rPr>
        <w:fldChar w:fldCharType="end"/>
      </w:r>
      <w:r>
        <w:rPr>
          <w:rFonts w:ascii="Times New Roman" w:hAnsi="Times New Roman" w:cs="Times New Roman"/>
          <w:sz w:val="24"/>
        </w:rPr>
        <w:t>. The conflicts of interests between managers and shareholders led to ethical violations. Managers started to make decisions on behave of their interests instead of the best benefits of the shareholders.</w:t>
      </w:r>
      <w:r>
        <w:rPr>
          <w:rFonts w:hint="eastAsia" w:ascii="Times New Roman" w:hAnsi="Times New Roman" w:cs="Times New Roman"/>
          <w:sz w:val="24"/>
        </w:rPr>
        <w:t xml:space="preserve"> </w:t>
      </w:r>
      <w:r>
        <w:rPr>
          <w:rFonts w:ascii="Times New Roman" w:hAnsi="Times New Roman" w:cs="Times New Roman"/>
          <w:sz w:val="24"/>
        </w:rPr>
        <w:t>Besides, other practical issues were lack of financial disclosure and information transparency. Thus, the owners sometimes didn’t know or could be easily frauded by the managers through accounting forgery.</w:t>
      </w:r>
      <w:r>
        <w:rPr>
          <w:rFonts w:hint="eastAsia" w:ascii="Times New Roman" w:hAnsi="Times New Roman" w:cs="Times New Roman"/>
          <w:sz w:val="24"/>
        </w:rPr>
        <w:t xml:space="preserve"> </w:t>
      </w:r>
      <w:r>
        <w:rPr>
          <w:rFonts w:ascii="Times New Roman" w:hAnsi="Times New Roman" w:cs="Times New Roman"/>
          <w:sz w:val="24"/>
        </w:rPr>
        <w:t xml:space="preserve">No attention in corporate governance led to unnecessary expenditure, mismanagement, and corruptions. Although the formal idea of corporate governance does not exist at that time, the occurrence of some critical events had aroused people’s awareness in addressing the agency problem and mandated a significant evolvement in corporate governance.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In 1929, America experienced a tragic stock market crash, and incomprehensive corporate governance practices were blamed as one of major root causes. Thus, the Securities Art of 1933 and Securities Exchange Act of 1934, as well as the Maloney Act of 1938 rolled out very close together to promote corporate governance among joint-stock corporations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{"citationItems":[{"id":"ITEM-1","itemData":{"DOI":"10.1108/00251740310495045","ISSN":"00251747","abstract":"The evolution of corporate governance and its impact on modern corporate America","author":[{"dropping-particle":"","family":"Grant","given":"Gerry H.","non-dropping-particle":"","parse-names":false,"suffix":""}],"container-title":"Management Decision","id":"ITEM-1","issue":"9","issued":{"date-parts":[["2003","11"]]},"page":"923-934","title":"The evolution of corporate governance and its impact on modern corporate America","type":"article","volume":"41"},"uris":["http://www.mendeley.com/documents/?uuid=e660cd5e-c4c0-3651-bbce-84dc93c82fd8"]}],"mendeley":{"formattedCitation":"(Grant, 2003)","plainTextFormattedCitation":"(Grant, 2003)","previouslyFormattedCitation":"(Grant 2003)"},"properties":{"noteIndex":0},"schema":"https://github.com/citation-style-language/schema/raw/master/csl-citation.json"}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(Grant, 2003)</w:t>
      </w:r>
      <w:r>
        <w:rPr>
          <w:rFonts w:ascii="Times New Roman" w:hAnsi="Times New Roman" w:cs="Times New Roman"/>
          <w:sz w:val="24"/>
        </w:rPr>
        <w:fldChar w:fldCharType="end"/>
      </w:r>
      <w:r>
        <w:rPr>
          <w:rFonts w:ascii="Times New Roman" w:hAnsi="Times New Roman" w:cs="Times New Roman"/>
          <w:sz w:val="24"/>
        </w:rPr>
        <w:t xml:space="preserve">. In 1977, the Foreign Corrupt Practices Act was issued to address bribery issues and promote financial transparency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{"citationItems":[{"id":"ITEM-1","itemData":{"DOI":"10.2139/ssrn.441100","ISSN":"1078-1196","abstract":"The U.S. corporate governance system has recently been heavily criticized, largely as a result of failures at Enron, WorldCom, Tyco and some other prominent companies. Those failures and criticisms, in turn, have served as catalysts for legislative change (Sarbanes-Oxley Act of 2002) and regulatory change (new governance guidelines from the NYSE and NASDAQ). In this paper, we consider two questions. First, is it clear that the U.S. system has performed that poorly; is it really that bad? Second, will the changes lead to an improved U.S. corporate governance system? We first note that the broad evidence is not consistent with a failed U.S. system. The U.S. economy and stock market have performed well both on an absolute basis and relative to other countries over the past two decades. And the U.S. stock market has continued to outperform other broad indices since the scandals broke. Our interpretation of the evidence is that while parts of the U.S. corporate governance system failed under the exceptional strain of the 1990s, the overall system, which includes oversight by the public and the government, reacted quickly to address the problems. We then consider the effects that the legislative, regulatory, and market responses are likely to have in the near future. Our assessment is that they are likely to make a good system better, though there is a danger of overreacting to extreme events.","author":[{"dropping-particle":"","family":"Holmström","given":"Bengt R.","non-dropping-particle":"","parse-names":false,"suffix":""},{"dropping-particle":"","family":"Kaplan","given":"Steven N.","non-dropping-particle":"","parse-names":false,"suffix":""}],"container-title":"SSRN","id":"ITEM-1","issue":"3","issued":{"date-parts":[["2003","3"]]},"number-of-pages":"8-20","title":"The State of U.S. Corporate Governance: What's Right and What's Wrong?","type":"report","volume":"15"},"uris":["http://www.mendeley.com/documents/?uuid=6a1a14d9-219e-3b0e-8dca-b2815dcea718"]}],"mendeley":{"formattedCitation":"(Holmström and Kaplan, 2003)","plainTextFormattedCitation":"(Holmström and Kaplan, 2003)","previouslyFormattedCitation":"(Holmström and Kaplan 2003)"},"properties":{"noteIndex":0},"schema":"https://github.com/citation-style-language/schema/raw/master/csl-citation.json"}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(Holmström and Kaplan, 2003)</w:t>
      </w:r>
      <w:r>
        <w:rPr>
          <w:rFonts w:ascii="Times New Roman" w:hAnsi="Times New Roman" w:cs="Times New Roman"/>
          <w:sz w:val="24"/>
        </w:rPr>
        <w:fldChar w:fldCharType="end"/>
      </w:r>
      <w:r>
        <w:rPr>
          <w:rFonts w:ascii="Times New Roman" w:hAnsi="Times New Roman" w:cs="Times New Roman"/>
          <w:sz w:val="24"/>
        </w:rPr>
        <w:t xml:space="preserve">. Despite establishing integrated legislation to supervise the behaviors or managers, conventions and conferences have been held on a regular basis to discuss the newly emerging problems and resolve the old issues. Generally, the modern corporate governance framework emphasized the protection of shareholders’ right, including the fair and equitable treatment of all relevant shareholders. Besides the care for shareholders, the rights of stakeholders are well recognized. Based on that, active collaboration between organizations and stakeholders, and great balance between different stakeholders in promoting long-term development and social welfare are encouraged.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The long evolvement of corporate governance has witnessed an increasing attention on the financial disclosure of all matters regarding to the financial performance, the change of ownership, the disclosure of critical events, the corporate governance structure, etc. strategic guidance that ensures the organization is moving on the right track is guaranteed through the effective governance. Although the results from empirical researches are inconsistent on whether corporate governance will do the organization good, it is evident that corporate governance is absolutely necessary for addressing the agency problem. What we need to do is constantly perfecting the corporate governance mechanisms to develop a comprehensive framework that fits into the modern organizations and economic market. Thus, rather than identifying the governance practices as blessings or curses arbitrarily, I’d like to think of it as mechanisms that are necessary for dealing with agency problems. with constantly attempts of organizations, communities, and governments, it can better benefit the relevant stakeholders in the future.</w:t>
      </w:r>
    </w:p>
    <w:p>
      <w:pPr>
        <w:spacing w:before="100" w:beforeAutospacing="1" w:after="100" w:afterAutospacing="1" w:line="360" w:lineRule="auto"/>
        <w:rPr>
          <w:rFonts w:ascii="Arial Rounded MT Bold" w:hAnsi="Arial Rounded MT Bold"/>
          <w:sz w:val="24"/>
        </w:rPr>
      </w:pPr>
      <w:r>
        <w:rPr>
          <w:rFonts w:hint="eastAsia" w:ascii="Arial Rounded MT Bold" w:hAnsi="Arial Rounded MT Bold"/>
          <w:sz w:val="24"/>
        </w:rPr>
        <w:t>R</w:t>
      </w:r>
      <w:r>
        <w:rPr>
          <w:rFonts w:ascii="Arial Rounded MT Bold" w:hAnsi="Arial Rounded MT Bold"/>
          <w:sz w:val="24"/>
        </w:rPr>
        <w:t>obber Baron, Captains of Industry or Philanthropist?</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The upper-class elites of the late 19th century were made of successful industrialists who generated their wealth as robber barons but pushed the evolvement of each industry as captains of industry. Nevertheless, there existed huge difference in the way that they collected and distributed their fortunes. Rather categorizing them into Robber Barons, Captains of Industry or generous philanthropist, I think there played different roles in different phases of their lives. Regarding amassing a fortune in the early phase, they acted like Robber Baron; when pushing the development and innovation of the industry in the middle phase, they acted like Captains of Industry; when giving back to the society at the late phase, they were generous philanthropists. Although there is some controversy over Rockefeller and Carnegie, their contribution to the organization, to the community and to the industry cannot be denied.</w:t>
      </w:r>
    </w:p>
    <w:p>
      <w:pPr>
        <w:spacing w:before="100" w:beforeAutospacing="1" w:after="100" w:afterAutospacing="1" w:line="360" w:lineRule="auto"/>
        <w:rPr>
          <w:rFonts w:ascii="Arial Rounded MT Bold" w:hAnsi="Arial Rounded MT Bold"/>
          <w:sz w:val="24"/>
        </w:rPr>
      </w:pPr>
      <w:r>
        <w:rPr>
          <w:rFonts w:ascii="Arial Rounded MT Bold" w:hAnsi="Arial Rounded MT Bold"/>
          <w:sz w:val="24"/>
        </w:rPr>
        <w:t xml:space="preserve">The merits of philanthropic activities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Corporate philanthropic activities have a long history. Although there are no researches so far can provide accurate empirical evidence on the beneficial effect of the corporate philanthropic, increasing awareness of corporate social responsibility has persuaded organizations not to exclusively focus on profits and costs but also on the benefits of other stakeholders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{"citationItems":[{"id":"ITEM-1","itemData":{"DOI":"10.5465/amj.2009.0548","ISSN":"00014273","abstract":"Corporate philanthropy is expected to positively affect firm financial performance because it helps firms gain sociopolitical legitimacy, which enables them to elicit positive stakeholder responses and to gain political access. The positive philanthropy-performance relationship is stronger for firms with greater public visibility and for those with better past performance, as philanthropy by these firms gains more positive stakeholder responses. Firms that are not government-owned or politically well connected were shown to benefit more from philanthropy, as gaining political resources is more critical for such firms. Empirical analyses using data on Chinese firms listed on stock exchanges from 2001 to 2006 support these arguments.","author":[{"dropping-particle":"","family":"Wang","given":"Heli","non-dropping-particle":"","parse-names":false,"suffix":""},{"dropping-particle":"","family":"Qian","given":"Cuili","non-dropping-particle":"","parse-names":false,"suffix":""}],"container-title":"Academy of Management Journal","id":"ITEM-1","issue":"6","issued":{"date-parts":[["2011","12"]]},"page":"1159-1181","title":"Corporate philanthropy and corporate financial performance: The roles of stakeholder response and political access","type":"article-journal","volume":"54"},"uris":["http://www.mendeley.com/documents/?uuid=b191b77d-1988-3c47-b99d-30a7c0d1f7c6"]}],"mendeley":{"formattedCitation":"(Wang and Qian, 2011)","plainTextFormattedCitation":"(Wang and Qian, 2011)","previouslyFormattedCitation":"(Wang and Qian 2011)"},"properties":{"noteIndex":0},"schema":"https://github.com/citation-style-language/schema/raw/master/csl-citation.json"}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(Wang and Qian, 2011)</w:t>
      </w:r>
      <w:r>
        <w:rPr>
          <w:rFonts w:ascii="Times New Roman" w:hAnsi="Times New Roman" w:cs="Times New Roman"/>
          <w:sz w:val="24"/>
        </w:rPr>
        <w:fldChar w:fldCharType="end"/>
      </w:r>
      <w:r>
        <w:rPr>
          <w:rFonts w:ascii="Times New Roman" w:hAnsi="Times New Roman" w:cs="Times New Roman"/>
          <w:sz w:val="24"/>
        </w:rPr>
        <w:t>. However, researches prove that philanthropic activities can benefit organizations in multiple ways.</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b/>
          <w:i/>
          <w:sz w:val="24"/>
        </w:rPr>
        <w:t>Brand reputation:</w:t>
      </w:r>
      <w:r>
        <w:rPr>
          <w:rFonts w:ascii="Times New Roman" w:hAnsi="Times New Roman" w:cs="Times New Roman"/>
          <w:sz w:val="24"/>
        </w:rPr>
        <w:t xml:space="preserve"> being at the top of Carroll’s Pyramid, the organization can develop long-term competitive advantage and establishing a favourable brand image by incorporating the philanthropy efforts as part of their brand. Customers often favour organizations with a socially responsible image. They believe if the organization have additional capital to conduct philanthropic activities, it must have a sense of responsibility in other perspectives such as food safety, product quality, etc…</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{"citationItems":[{"id":"ITEM-1","itemData":{"DOI":"10.1007/s11747-014-0417-2","ISSN":"00920703","abstract":"This study analyzes the link between cause assessment, corporate\\nphilanthropy, and dimensions of corporate reputation from different\\nstakeholders' perspectives, using balance theory as a conceptual\\nframework and the telecommunications industry in Austria and Egypt as\\nthe empirical setting. Findings show that corporate philanthropy can\\nimprove perceptions of the corporate reputation dimensions, but the\\nresults vary between customers and non-customers and depend on the\\ncountry setting.","author":[{"dropping-particle":"","family":"Szőcs","given":"Ilona","non-dropping-particle":"","parse-names":false,"suffix":""},{"dropping-particle":"","family":"Schlegelmilch","given":"Bodo B.","non-dropping-particle":"","parse-names":false,"suffix":""},{"dropping-particle":"","family":"Rusch","given":"Thomas","non-dropping-particle":"","parse-names":false,"suffix":""},{"dropping-particle":"","family":"Shamma","given":"Hamed M.","non-dropping-particle":"","parse-names":false,"suffix":""}],"container-title":"Journal of the Academy of Marketing Science","id":"ITEM-1","issue":"3","issued":{"date-parts":[["2016","5","11"]]},"page":"376-396","title":"Linking cause assessment, corporate philanthropy, and corporate reputation","type":"article-journal","volume":"44"},"uris":["http://www.mendeley.com/documents/?uuid=9aec388b-c65a-3bf7-a779-bc9df73f7226"]}],"mendeley":{"formattedCitation":"(Szőcs &lt;i&gt;et al.&lt;/i&gt;, 2016)","plainTextFormattedCitation":"(Szőcs et al., 2016)","previouslyFormattedCitation":"(Szőcs et al.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 xml:space="preserve">(Szőcs </w:t>
      </w:r>
      <w:r>
        <w:rPr>
          <w:rFonts w:ascii="Times New Roman" w:hAnsi="Times New Roman" w:cs="Times New Roman"/>
          <w:i/>
          <w:sz w:val="24"/>
        </w:rPr>
        <w:t>et al.</w:t>
      </w:r>
      <w:r>
        <w:rPr>
          <w:rFonts w:ascii="Times New Roman" w:hAnsi="Times New Roman" w:cs="Times New Roman"/>
          <w:sz w:val="24"/>
        </w:rPr>
        <w:t>, 2016)</w:t>
      </w:r>
      <w:r>
        <w:rPr>
          <w:rFonts w:ascii="Times New Roman" w:hAnsi="Times New Roman" w:cs="Times New Roman"/>
          <w:sz w:val="24"/>
        </w:rPr>
        <w:fldChar w:fldCharType="end"/>
      </w:r>
      <w:r>
        <w:rPr>
          <w:rFonts w:ascii="Times New Roman" w:hAnsi="Times New Roman" w:cs="Times New Roman"/>
          <w:sz w:val="24"/>
        </w:rPr>
        <w:t>. The philanthropic activities of Rockefeller and Carnegie had helped their organizations to develop a good reputation among customers world widely.</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b/>
          <w:i/>
          <w:sz w:val="24"/>
        </w:rPr>
        <w:t>Tax exemption:</w:t>
      </w:r>
      <w:r>
        <w:rPr>
          <w:rFonts w:ascii="Times New Roman" w:hAnsi="Times New Roman" w:cs="Times New Roman"/>
          <w:sz w:val="24"/>
        </w:rPr>
        <w:t xml:space="preserve"> although regulations vary from state to state, an organization usually receive tax exemption from philanthropic activities, such as cash donations or product donations.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b/>
          <w:i/>
          <w:sz w:val="24"/>
        </w:rPr>
        <w:t xml:space="preserve">Community support: </w:t>
      </w:r>
      <w:r>
        <w:rPr>
          <w:rFonts w:ascii="Times New Roman" w:hAnsi="Times New Roman" w:cs="Times New Roman"/>
          <w:sz w:val="24"/>
        </w:rPr>
        <w:t xml:space="preserve">another merit that organizations can glean from philanthropic activities is the support from communities. Using the fortune amassed from the community to pay back to the same community in a different way can help organizations to win the support form the local community, such as the labor community, female community, etc.… The support forms the community, in turn, will result in local economic success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{"citationItems":[{"id":"ITEM-1","itemData":{"DOI":"10.1007/s10551-013-1969-7","ISSN":"15730697","abstract":"We review some 30 years of academic research on corporate philanthropy, taking stock of the current state of research about this rising practice and identifying gaps and puzzles that deserve further investigation. To do so, we examine a total of 162 academic papers in the fields of management, economics, sociology, and public policy, and analyze their content in a systematic fashion. We distin- guish four main lines of inquiry within the literature: the essence of corporate philanthropy, its different drivers, the way it is organized, and its likely outcomes. After reviewing the main findings of the literature, we build on several research gaps to highlight directions for future research on corporate philanthropy with an interest in strengthening our understanding of this fascinating phe- nomenon at the crossroads of business and society.","author":[{"dropping-particle":"","family":"Gautier","given":"Arthur","non-dropping-particle":"","parse-names":false,"suffix":""},{"dropping-particle":"","family":"Pache","given":"Anne Claire","non-dropping-particle":"","parse-names":false,"suffix":""}],"container-title":"Journal of Business Ethics","id":"ITEM-1","issue":"3","issued":{"date-parts":[["2013","2","20"]]},"page":"343-369","title":"Research on Corporate Philanthropy: A Review and Assessment","type":"article-journal","volume":"126"},"uris":["http://www.mendeley.com/documents/?uuid=1ae248d2-d436-3271-8269-f5db4bf8f5b6"]}],"mendeley":{"formattedCitation":"(Gautier and Pache, 2013)","plainTextFormattedCitation":"(Gautier and Pache, 2013)","previouslyFormattedCitation":"(Gautier and Pache 2013)"},"properties":{"noteIndex":0},"schema":"https://github.com/citation-style-language/schema/raw/master/csl-citation.json"}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(Gautier and Pache, 2013)</w:t>
      </w:r>
      <w:r>
        <w:rPr>
          <w:rFonts w:ascii="Times New Roman" w:hAnsi="Times New Roman" w:cs="Times New Roman"/>
          <w:sz w:val="24"/>
        </w:rPr>
        <w:fldChar w:fldCharType="end"/>
      </w:r>
      <w:r>
        <w:rPr>
          <w:rFonts w:ascii="Times New Roman" w:hAnsi="Times New Roman" w:cs="Times New Roman"/>
          <w:sz w:val="24"/>
        </w:rPr>
        <w:t>. Both Rockefeller and Carnegie had contributed a lot in the development of communities located all over the world by building hospitals, research centers or universities.</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b/>
          <w:i/>
          <w:sz w:val="24"/>
        </w:rPr>
        <w:t>Customer loyalty:</w:t>
      </w:r>
      <w:r>
        <w:rPr>
          <w:rFonts w:ascii="Times New Roman" w:hAnsi="Times New Roman" w:cs="Times New Roman"/>
          <w:sz w:val="24"/>
        </w:rPr>
        <w:t xml:space="preserve"> empirical studies indicates that customers show a relatively high level of loyalty to brands with philanthropical activities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{"citationItems":[{"id":"ITEM-1","itemData":{"DOI":"10.1007/978-3-319-50008-9_122","author":[{"dropping-particle":"","family":"Schlegelmilch","given":"Bodo B.","non-dropping-particle":"","parse-names":false,"suffix":""},{"dropping-particle":"","family":"Szőcs","given":"Ilona","non-dropping-particle":"","parse-names":false,"suffix":""}],"id":"ITEM-1","issued":{"date-parts":[["2017"]]},"page":"443-446","title":"Disaggregating Corporate Philanthropy: The Impact of Individual Dimensions on Customer-Based Corporate Reputation","type":"chapter"},"uris":["http://www.mendeley.com/documents/?uuid=528521ce-92c3-3dba-b43f-144bc28f3106"]}],"mendeley":{"formattedCitation":"(Schlegelmilch and Szőcs, 2017)","plainTextFormattedCitation":"(Schlegelmilch and Szőcs, 2017)","previouslyFormattedCitation":"(Schlegelmilch and Szőcs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(Schlegelmilch and Szőcs, 2017)</w:t>
      </w:r>
      <w:r>
        <w:rPr>
          <w:rFonts w:ascii="Times New Roman" w:hAnsi="Times New Roman" w:cs="Times New Roman"/>
          <w:sz w:val="24"/>
        </w:rPr>
        <w:fldChar w:fldCharType="end"/>
      </w:r>
      <w:r>
        <w:rPr>
          <w:rFonts w:ascii="Times New Roman" w:hAnsi="Times New Roman" w:cs="Times New Roman"/>
          <w:sz w:val="24"/>
        </w:rPr>
        <w:t xml:space="preserve">. As customers are also one of the stakeholders, they have a preference for organizations that are socially responsible. If a company can get the top of the pyramid, it delivers a signal that they have excellent performance on realizing economic responsibility, legal responsibility, and ethical responsibility </w:t>
      </w:r>
    </w:p>
    <w:p>
      <w:pPr>
        <w:spacing w:before="100" w:beforeAutospacing="1" w:after="100" w:afterAutospacing="1" w:line="360" w:lineRule="auto"/>
        <w:rPr>
          <w:rFonts w:ascii="Arial Rounded MT Bold" w:hAnsi="Arial Rounded MT Bold"/>
          <w:sz w:val="24"/>
        </w:rPr>
      </w:pPr>
      <w:r>
        <w:rPr>
          <w:rFonts w:ascii="Arial Rounded MT Bold" w:hAnsi="Arial Rounded MT Bold"/>
          <w:sz w:val="24"/>
        </w:rPr>
        <w:t xml:space="preserve">The Reflections on Oxfam’s scandals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In 2018, The Times reported the scandals that the senior management team of Oxfam conducted sexual exploitation in the rescue after the 2010 Haiti earthquake. Soon after the coverage of The Times, several British charity organizations also acknowledged that there had been the occurrences of unethical events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{"citationItems":[{"id":"ITEM-1","itemData":{"URL":"https://www.theguardian.com/world/2018/jun/15/timeline-oxfam-sexual-exploitation-scandal-in-haiti","accessed":{"date-parts":[["2019","4","13"]]},"author":[{"dropping-particle":"","family":"The Guardian","given":"","non-dropping-particle":"","parse-names":false,"suffix":""}],"id":"ITEM-1","issued":{"date-parts":[["2018"]]},"title":"Timeline: Oxfam sexual exploitation scandal in Haiti | World news | The Guardian","type":"webpage"},"uris":["http://www.mendeley.com/documents/?uuid=62880dbb-e73b-3266-a479-b6a2dcbd5cea"]}],"mendeley":{"formattedCitation":"(The Guardian, 2018)","plainTextFormattedCitation":"(The Guardian, 2018)","previouslyFormattedCitation":"(The Guardian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(The Guardian, 2018)</w:t>
      </w:r>
      <w:r>
        <w:rPr>
          <w:rFonts w:ascii="Times New Roman" w:hAnsi="Times New Roman" w:cs="Times New Roman"/>
          <w:sz w:val="24"/>
        </w:rPr>
        <w:fldChar w:fldCharType="end"/>
      </w:r>
      <w:r>
        <w:rPr>
          <w:rFonts w:ascii="Times New Roman" w:hAnsi="Times New Roman" w:cs="Times New Roman"/>
          <w:sz w:val="24"/>
        </w:rPr>
        <w:t xml:space="preserve">. The British government said that it would investigate the sexual misconduct and suspend the charity funding for Oxfam, and required Oxfam to conduct an internal audit and take some actions. British public believes that the frequent sexual misconduct scandals largely reflect the governance loopholes within charitable organizations. For this old case being exposed by the social after eight years. Oxfam at first tried to deny it and cover up for its employees by saying that they had already undertaken some remedies internally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{"citationItems":[{"id":"ITEM-1","itemData":{"URL":"https://www.bbc.com/news/uk-44474211","accessed":{"date-parts":[["2019","4","13"]]},"author":[{"dropping-particle":"","family":"BBC News","given":"","non-dropping-particle":"","parse-names":false,"suffix":""}],"id":"ITEM-1","issued":{"date-parts":[["2018"]]},"title":"Oxfam GB banned from Haiti after sex scandal","type":"webpage"},"uris":["http://www.mendeley.com/documents/?uuid=baa24a46-46c3-3072-824f-2ee3290cce22"]}],"mendeley":{"formattedCitation":"(BBC News, 2018)","plainTextFormattedCitation":"(BBC News, 2018)","previouslyFormattedCitation":"(BBC News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(BBC News, 2018)</w:t>
      </w:r>
      <w:r>
        <w:rPr>
          <w:rFonts w:ascii="Times New Roman" w:hAnsi="Times New Roman" w:cs="Times New Roman"/>
          <w:sz w:val="24"/>
        </w:rPr>
        <w:fldChar w:fldCharType="end"/>
      </w:r>
      <w:r>
        <w:rPr>
          <w:rFonts w:ascii="Times New Roman" w:hAnsi="Times New Roman" w:cs="Times New Roman"/>
          <w:sz w:val="24"/>
        </w:rPr>
        <w:t xml:space="preserve">. However, the reality was totally contrary to their expectations; more accusations of </w:t>
      </w:r>
      <w:r>
        <w:rPr>
          <w:rFonts w:hint="eastAsia" w:ascii="Times New Roman" w:hAnsi="Times New Roman" w:cs="Times New Roman"/>
          <w:sz w:val="24"/>
        </w:rPr>
        <w:t>Oxfam</w:t>
      </w:r>
      <w:r>
        <w:rPr>
          <w:rFonts w:ascii="Times New Roman" w:hAnsi="Times New Roman" w:cs="Times New Roman"/>
          <w:sz w:val="24"/>
        </w:rPr>
        <w:t xml:space="preserve"> </w:t>
      </w:r>
      <w:r>
        <w:rPr>
          <w:rFonts w:hint="eastAsia" w:ascii="Times New Roman" w:hAnsi="Times New Roman" w:cs="Times New Roman"/>
          <w:sz w:val="24"/>
        </w:rPr>
        <w:t>about</w:t>
      </w:r>
      <w:r>
        <w:rPr>
          <w:rFonts w:ascii="Times New Roman" w:hAnsi="Times New Roman" w:cs="Times New Roman"/>
          <w:sz w:val="24"/>
        </w:rPr>
        <w:t xml:space="preserve"> sexual misconducted emerged one by one. The UK is one of the counties where western charitable cultures originate. British people are often proud of the charity’s well-established framework in charitable organization management. The British Charity Commission, the direct manager of charities of Oxfam, is on behalf of the British governments to exercise censorship over private organizations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{"citationItems":[{"id":"ITEM-1","itemData":{"URL":"https://www.thirdsector.co.uk/oxfam-crisis","accessed":{"date-parts":[["2019","4","13"]]},"author":[{"dropping-particle":"","family":"Third Sector","given":"","non-dropping-particle":"","parse-names":false,"suffix":""}],"id":"ITEM-1","issued":{"date-parts":[["2018"]]},"title":"Oxfam sex scandal crisis","type":"webpage"},"uris":["http://www.mendeley.com/documents/?uuid=843a5b5e-39e0-34b7-8c1d-800053539e46"]}],"mendeley":{"formattedCitation":"(Third Sector, 2018)","plainTextFormattedCitation":"(Third Sector, 2018)","previouslyFormattedCitation":"(Third Sector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(Third Sector, 2018)</w:t>
      </w:r>
      <w:r>
        <w:rPr>
          <w:rFonts w:ascii="Times New Roman" w:hAnsi="Times New Roman" w:cs="Times New Roman"/>
          <w:sz w:val="24"/>
        </w:rPr>
        <w:fldChar w:fldCharType="end"/>
      </w:r>
      <w:r>
        <w:rPr>
          <w:rFonts w:ascii="Times New Roman" w:hAnsi="Times New Roman" w:cs="Times New Roman"/>
          <w:sz w:val="24"/>
        </w:rPr>
        <w:t xml:space="preserve">. however, the commission’s slow response to the sexual scandal of Oxfam triggered criticism from the public. The commission is granted with the power to investigate any misconducting behaviors. Oxfam defended that internal investigation on wrongful acts was done and reported to the commission, which did not continue to dig into the event. After a string of improper conducts, Oxfam has stumbled into the public criticism and the unknown future.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 xml:space="preserve">In order to save the reputation and preserve the donators, the first very thing that Oxfam needs to do now is to cooperate with the ongoing investigation before participating in any charitable activities. A special internal audit team is necessary to query all relevant employees. </w:t>
      </w:r>
      <w:r>
        <w:rPr>
          <w:rFonts w:hint="eastAsia" w:ascii="Times New Roman" w:hAnsi="Times New Roman" w:cs="Times New Roman"/>
          <w:sz w:val="24"/>
        </w:rPr>
        <w:t>After</w:t>
      </w:r>
      <w:r>
        <w:rPr>
          <w:rFonts w:ascii="Times New Roman" w:hAnsi="Times New Roman" w:cs="Times New Roman"/>
          <w:sz w:val="24"/>
        </w:rPr>
        <w:t xml:space="preserve"> </w:t>
      </w:r>
      <w:r>
        <w:rPr>
          <w:rFonts w:hint="eastAsia" w:ascii="Times New Roman" w:hAnsi="Times New Roman" w:cs="Times New Roman"/>
          <w:sz w:val="24"/>
        </w:rPr>
        <w:t>that</w:t>
      </w:r>
      <w:r>
        <w:rPr>
          <w:rFonts w:ascii="Times New Roman" w:hAnsi="Times New Roman" w:cs="Times New Roman"/>
          <w:sz w:val="24"/>
        </w:rPr>
        <w:t xml:space="preserve">, Oxfam should take some remedies to correct their mistakes. However, the unethical behavior is just a short-term problem for Oxfam to worry about; it will have a long-term negative influence on regaining trust from the donators and the public. More transparent disclosure on the charitable funds is thus required by all relevant stakeholders. </w:t>
      </w:r>
    </w:p>
    <w:p>
      <w:pPr>
        <w:spacing w:before="100" w:beforeAutospacing="1" w:after="100" w:afterAutospacing="1" w:line="360" w:lineRule="auto"/>
        <w:rPr>
          <w:rFonts w:ascii="Arial Rounded MT Bold" w:hAnsi="Arial Rounded MT Bold"/>
          <w:sz w:val="24"/>
        </w:rPr>
      </w:pPr>
      <w:r>
        <w:rPr>
          <w:rFonts w:hint="eastAsia" w:ascii="Arial Rounded MT Bold" w:hAnsi="Arial Rounded MT Bold"/>
          <w:sz w:val="24"/>
        </w:rPr>
        <w:t>C</w:t>
      </w:r>
      <w:r>
        <w:rPr>
          <w:rFonts w:ascii="Arial Rounded MT Bold" w:hAnsi="Arial Rounded MT Bold"/>
          <w:sz w:val="24"/>
        </w:rPr>
        <w:t xml:space="preserve">onclusions </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t>Although there are no consistent definitions of corporate governance, it is absolutely important in assisting organizations in addressing the agency problem as possible, as well as to achieve their strategic goals. Philanthropic activities have been recognized an unnecessary expenditure that hurts the benefits of the shareholder, and thus corporate governance mechanisms need to curtail it. This essay discusses the philanthropic activities in the connect of corporate governance by shedding light on the two philanthropist- John D. Rockefeller and Andrew Carnegie. The philanthropist is at the top of Carroll’s pyramid, but for philanthropic activities really be beneficial for the society and the organization, more needs to be done in the future.</w:t>
      </w:r>
    </w:p>
    <w:p>
      <w:pPr>
        <w:spacing w:before="100" w:beforeAutospacing="1" w:after="100" w:afterAutospacing="1" w:line="360" w:lineRule="auto"/>
        <w:rPr>
          <w:rFonts w:ascii="Times New Roman" w:hAnsi="Times New Roman" w:cs="Times New Roman"/>
          <w:sz w:val="24"/>
        </w:rPr>
      </w:pPr>
    </w:p>
    <w:p>
      <w:pPr>
        <w:spacing w:before="100" w:beforeAutospacing="1" w:after="100" w:afterAutospacing="1" w:line="360" w:lineRule="auto"/>
        <w:rPr>
          <w:rFonts w:ascii="Times New Roman" w:hAnsi="Times New Roman" w:cs="Times New Roman"/>
          <w:sz w:val="24"/>
        </w:rPr>
      </w:pPr>
    </w:p>
    <w:p>
      <w:pPr>
        <w:spacing w:before="100" w:beforeAutospacing="1" w:after="100" w:afterAutospacing="1" w:line="360" w:lineRule="auto"/>
        <w:rPr>
          <w:rFonts w:ascii="Times New Roman" w:hAnsi="Times New Roman" w:cs="Times New Roman"/>
          <w:sz w:val="24"/>
        </w:rPr>
      </w:pPr>
    </w:p>
    <w:p>
      <w:pPr>
        <w:spacing w:before="100" w:beforeAutospacing="1" w:after="100" w:afterAutospacing="1" w:line="360" w:lineRule="auto"/>
        <w:rPr>
          <w:rFonts w:ascii="Times New Roman" w:hAnsi="Times New Roman" w:cs="Times New Roman"/>
          <w:sz w:val="24"/>
        </w:rPr>
      </w:pPr>
    </w:p>
    <w:p>
      <w:pPr>
        <w:spacing w:before="100" w:beforeAutospacing="1" w:after="100" w:afterAutospacing="1" w:line="360" w:lineRule="auto"/>
        <w:rPr>
          <w:rFonts w:ascii="Times New Roman" w:hAnsi="Times New Roman" w:cs="Times New Roman"/>
          <w:sz w:val="24"/>
        </w:rPr>
      </w:pPr>
    </w:p>
    <w:p>
      <w:pPr>
        <w:spacing w:before="100" w:beforeAutospacing="1" w:after="100" w:afterAutospacing="1" w:line="360" w:lineRule="auto"/>
        <w:rPr>
          <w:rFonts w:ascii="Times New Roman" w:hAnsi="Times New Roman" w:cs="Times New Roman"/>
          <w:sz w:val="24"/>
        </w:rPr>
      </w:pPr>
      <w:r>
        <w:rPr>
          <w:rFonts w:hint="eastAsia" w:ascii="Arial Rounded MT Bold" w:hAnsi="Arial Rounded MT Bold"/>
          <w:sz w:val="24"/>
        </w:rPr>
        <w:t>R</w:t>
      </w:r>
      <w:r>
        <w:rPr>
          <w:rFonts w:ascii="Arial Rounded MT Bold" w:hAnsi="Arial Rounded MT Bold"/>
          <w:sz w:val="24"/>
        </w:rPr>
        <w:t>eference List</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sz w:val="24"/>
        </w:rPr>
        <w:fldChar w:fldCharType="begin" w:fldLock="1"/>
      </w:r>
      <w:r>
        <w:rPr>
          <w:rFonts w:ascii="Times New Roman" w:hAnsi="Times New Roman" w:cs="Times New Roman"/>
          <w:sz w:val="24"/>
        </w:rPr>
        <w:instrText xml:space="preserve">ADDIN Mendeley Bibliography CSL_BIBLIOGRAPHY </w:instrText>
      </w:r>
      <w:r>
        <w:rPr>
          <w:rFonts w:ascii="Times New Roman" w:hAnsi="Times New Roman" w:cs="Times New Roman"/>
          <w:sz w:val="24"/>
        </w:rPr>
        <w:fldChar w:fldCharType="separate"/>
      </w:r>
      <w:r>
        <w:rPr>
          <w:rFonts w:ascii="Times New Roman" w:hAnsi="Times New Roman" w:cs="Times New Roman"/>
          <w:kern w:val="0"/>
          <w:sz w:val="24"/>
          <w:szCs w:val="24"/>
        </w:rPr>
        <w:t xml:space="preserve">Algesheimer, R., Dholakia, U. M. and Herrmann, A. (2005) ‘The social influence of brand community: Evidence from European car clubs’, </w:t>
      </w:r>
      <w:r>
        <w:rPr>
          <w:rFonts w:ascii="Times New Roman" w:hAnsi="Times New Roman" w:cs="Times New Roman"/>
          <w:i/>
          <w:iCs/>
          <w:kern w:val="0"/>
          <w:sz w:val="24"/>
          <w:szCs w:val="24"/>
        </w:rPr>
        <w:t>Journal of marketing</w:t>
      </w:r>
      <w:r>
        <w:rPr>
          <w:rFonts w:ascii="Times New Roman" w:hAnsi="Times New Roman" w:cs="Times New Roman"/>
          <w:kern w:val="0"/>
          <w:sz w:val="24"/>
          <w:szCs w:val="24"/>
        </w:rPr>
        <w:t>. SAGE Publications Sage CA: Los Angeles, CA, 69(3), pp. 19–34.</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Anderson, E. W., Fornell, C. and Mazvancheryl, S. K. (2004) ‘Customer satisfaction and shareholder value’, </w:t>
      </w:r>
      <w:r>
        <w:rPr>
          <w:rFonts w:ascii="Times New Roman" w:hAnsi="Times New Roman" w:cs="Times New Roman"/>
          <w:i/>
          <w:iCs/>
          <w:kern w:val="0"/>
          <w:sz w:val="24"/>
          <w:szCs w:val="24"/>
        </w:rPr>
        <w:t>Journal of marketing</w:t>
      </w:r>
      <w:r>
        <w:rPr>
          <w:rFonts w:ascii="Times New Roman" w:hAnsi="Times New Roman" w:cs="Times New Roman"/>
          <w:kern w:val="0"/>
          <w:sz w:val="24"/>
          <w:szCs w:val="24"/>
        </w:rPr>
        <w:t>. SAGE Publications Sage CA: Los Angeles, CA, 68(4), pp. 172–185.</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BBC News (2018) </w:t>
      </w:r>
      <w:r>
        <w:rPr>
          <w:rFonts w:ascii="Times New Roman" w:hAnsi="Times New Roman" w:cs="Times New Roman"/>
          <w:i/>
          <w:iCs/>
          <w:kern w:val="0"/>
          <w:sz w:val="24"/>
          <w:szCs w:val="24"/>
        </w:rPr>
        <w:t>Oxfam GB banned from Haiti after sex scandal</w:t>
      </w:r>
      <w:r>
        <w:rPr>
          <w:rFonts w:ascii="Times New Roman" w:hAnsi="Times New Roman" w:cs="Times New Roman"/>
          <w:kern w:val="0"/>
          <w:sz w:val="24"/>
          <w:szCs w:val="24"/>
        </w:rPr>
        <w:t>. Available at: https://www.bbc.com/news/uk-44474211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Biography (2015) </w:t>
      </w:r>
      <w:r>
        <w:rPr>
          <w:rFonts w:ascii="Times New Roman" w:hAnsi="Times New Roman" w:cs="Times New Roman"/>
          <w:i/>
          <w:iCs/>
          <w:kern w:val="0"/>
          <w:sz w:val="24"/>
          <w:szCs w:val="24"/>
        </w:rPr>
        <w:t>Andrew Carnegie - Quotes, Facts &amp;amp; Family</w:t>
      </w:r>
      <w:r>
        <w:rPr>
          <w:rFonts w:ascii="Times New Roman" w:hAnsi="Times New Roman" w:cs="Times New Roman"/>
          <w:kern w:val="0"/>
          <w:sz w:val="24"/>
          <w:szCs w:val="24"/>
        </w:rPr>
        <w:t>. Available at: https://www.biography.com/people/andrew-carnegie-9238756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Biography (2016) </w:t>
      </w:r>
      <w:r>
        <w:rPr>
          <w:rFonts w:ascii="Times New Roman" w:hAnsi="Times New Roman" w:cs="Times New Roman"/>
          <w:i/>
          <w:iCs/>
          <w:kern w:val="0"/>
          <w:sz w:val="24"/>
          <w:szCs w:val="24"/>
        </w:rPr>
        <w:t>John D. Rockefeller - Quotes, Life &amp;amp; Family</w:t>
      </w:r>
      <w:r>
        <w:rPr>
          <w:rFonts w:ascii="Times New Roman" w:hAnsi="Times New Roman" w:cs="Times New Roman"/>
          <w:kern w:val="0"/>
          <w:sz w:val="24"/>
          <w:szCs w:val="24"/>
        </w:rPr>
        <w:t>. Available at: https://www.biography.com/people/john-d-rockefeller-20710159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Donaldson, T. and Preston, L. E. (1995) ‘The stakeholder theory of the corporation: Concepts, evidence, and implications’, </w:t>
      </w:r>
      <w:r>
        <w:rPr>
          <w:rFonts w:ascii="Times New Roman" w:hAnsi="Times New Roman" w:cs="Times New Roman"/>
          <w:i/>
          <w:iCs/>
          <w:kern w:val="0"/>
          <w:sz w:val="24"/>
          <w:szCs w:val="24"/>
        </w:rPr>
        <w:t>Academy of management Review</w:t>
      </w:r>
      <w:r>
        <w:rPr>
          <w:rFonts w:ascii="Times New Roman" w:hAnsi="Times New Roman" w:cs="Times New Roman"/>
          <w:kern w:val="0"/>
          <w:sz w:val="24"/>
          <w:szCs w:val="24"/>
        </w:rPr>
        <w:t>. Academy of Management Briarcliff Manor, NY 10510, 20(1), pp. 65–91.</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Fisch, J. E. (1997) ‘Questioning Philanthropy from a Corporate Governance Perspective’.</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Gautier, A. and Pache, A. C. (2013) ‘Research on Corporate Philanthropy: A Review and Assessment’, </w:t>
      </w:r>
      <w:r>
        <w:rPr>
          <w:rFonts w:ascii="Times New Roman" w:hAnsi="Times New Roman" w:cs="Times New Roman"/>
          <w:i/>
          <w:iCs/>
          <w:kern w:val="0"/>
          <w:sz w:val="24"/>
          <w:szCs w:val="24"/>
        </w:rPr>
        <w:t>Journal of Business Ethics</w:t>
      </w:r>
      <w:r>
        <w:rPr>
          <w:rFonts w:ascii="Times New Roman" w:hAnsi="Times New Roman" w:cs="Times New Roman"/>
          <w:kern w:val="0"/>
          <w:sz w:val="24"/>
          <w:szCs w:val="24"/>
        </w:rPr>
        <w:t>, 126(3), pp. 343–369. doi: 10.1007/s10551-013-1969-7.</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Grant, G. H. (2003) ‘The evolution of corporate governance and its impact on modern corporate America’, </w:t>
      </w:r>
      <w:r>
        <w:rPr>
          <w:rFonts w:ascii="Times New Roman" w:hAnsi="Times New Roman" w:cs="Times New Roman"/>
          <w:i/>
          <w:iCs/>
          <w:kern w:val="0"/>
          <w:sz w:val="24"/>
          <w:szCs w:val="24"/>
        </w:rPr>
        <w:t>Management Decision</w:t>
      </w:r>
      <w:r>
        <w:rPr>
          <w:rFonts w:ascii="Times New Roman" w:hAnsi="Times New Roman" w:cs="Times New Roman"/>
          <w:kern w:val="0"/>
          <w:sz w:val="24"/>
          <w:szCs w:val="24"/>
        </w:rPr>
        <w:t>, pp. 923–934. doi: 10.1108/00251740310495045.</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Griseri, P. and Seppala, N. (2010) </w:t>
      </w:r>
      <w:r>
        <w:rPr>
          <w:rFonts w:ascii="Times New Roman" w:hAnsi="Times New Roman" w:cs="Times New Roman"/>
          <w:i/>
          <w:iCs/>
          <w:kern w:val="0"/>
          <w:sz w:val="24"/>
          <w:szCs w:val="24"/>
        </w:rPr>
        <w:t>Business ethics and corporate social responsibility</w:t>
      </w:r>
      <w:r>
        <w:rPr>
          <w:rFonts w:ascii="Times New Roman" w:hAnsi="Times New Roman" w:cs="Times New Roman"/>
          <w:kern w:val="0"/>
          <w:sz w:val="24"/>
          <w:szCs w:val="24"/>
        </w:rPr>
        <w:t>. Cengage Learning.</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Holmström, B. R. and Kaplan, S. N. (2003) </w:t>
      </w:r>
      <w:r>
        <w:rPr>
          <w:rFonts w:ascii="Times New Roman" w:hAnsi="Times New Roman" w:cs="Times New Roman"/>
          <w:i/>
          <w:iCs/>
          <w:kern w:val="0"/>
          <w:sz w:val="24"/>
          <w:szCs w:val="24"/>
        </w:rPr>
        <w:t>The State of U.S. Corporate Governance: What’s Right and What’s Wrong?</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SSRN</w:t>
      </w:r>
      <w:r>
        <w:rPr>
          <w:rFonts w:ascii="Times New Roman" w:hAnsi="Times New Roman" w:cs="Times New Roman"/>
          <w:kern w:val="0"/>
          <w:sz w:val="24"/>
          <w:szCs w:val="24"/>
        </w:rPr>
        <w:t>. doi: 10.2139/ssrn.441100.</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Khan, H. (2011) ‘A Literature Review of Corporate Governance’, </w:t>
      </w:r>
      <w:r>
        <w:rPr>
          <w:rFonts w:ascii="Times New Roman" w:hAnsi="Times New Roman" w:cs="Times New Roman"/>
          <w:i/>
          <w:iCs/>
          <w:kern w:val="0"/>
          <w:sz w:val="24"/>
          <w:szCs w:val="24"/>
        </w:rPr>
        <w:t>International Conference on E-business, Management and Economics</w:t>
      </w:r>
      <w:r>
        <w:rPr>
          <w:rFonts w:ascii="Times New Roman" w:hAnsi="Times New Roman" w:cs="Times New Roman"/>
          <w:kern w:val="0"/>
          <w:sz w:val="24"/>
          <w:szCs w:val="24"/>
        </w:rPr>
        <w:t>, 25, pp. 1–5. Available at: http://www.academia.edu/download/32379666/1-ICEME2011-A10015.pdf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Koehn, D. and Ueng, J. (2010) ‘Is philanthropy being used by corporate wrongdoers to buy good will?’, </w:t>
      </w:r>
      <w:r>
        <w:rPr>
          <w:rFonts w:ascii="Times New Roman" w:hAnsi="Times New Roman" w:cs="Times New Roman"/>
          <w:i/>
          <w:iCs/>
          <w:kern w:val="0"/>
          <w:sz w:val="24"/>
          <w:szCs w:val="24"/>
        </w:rPr>
        <w:t>Journal of Management &amp; Governance</w:t>
      </w:r>
      <w:r>
        <w:rPr>
          <w:rFonts w:ascii="Times New Roman" w:hAnsi="Times New Roman" w:cs="Times New Roman"/>
          <w:kern w:val="0"/>
          <w:sz w:val="24"/>
          <w:szCs w:val="24"/>
        </w:rPr>
        <w:t>. Springer, 14(1), p. 1.</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Masulis, R. W. and Reza, S. W. (2014) ‘Agency problems of corporate philanthropy’, </w:t>
      </w:r>
      <w:r>
        <w:rPr>
          <w:rFonts w:ascii="Times New Roman" w:hAnsi="Times New Roman" w:cs="Times New Roman"/>
          <w:i/>
          <w:iCs/>
          <w:kern w:val="0"/>
          <w:sz w:val="24"/>
          <w:szCs w:val="24"/>
        </w:rPr>
        <w:t>The Review of Financial Studies</w:t>
      </w:r>
      <w:r>
        <w:rPr>
          <w:rFonts w:ascii="Times New Roman" w:hAnsi="Times New Roman" w:cs="Times New Roman"/>
          <w:kern w:val="0"/>
          <w:sz w:val="24"/>
          <w:szCs w:val="24"/>
        </w:rPr>
        <w:t>. Oxford University Press, 28(2), pp. 592–636.</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Morck, R. K. (2007) </w:t>
      </w:r>
      <w:r>
        <w:rPr>
          <w:rFonts w:ascii="Times New Roman" w:hAnsi="Times New Roman" w:cs="Times New Roman"/>
          <w:i/>
          <w:iCs/>
          <w:kern w:val="0"/>
          <w:sz w:val="24"/>
          <w:szCs w:val="24"/>
        </w:rPr>
        <w:t>A history of corporate governance around the world: Family business groups to professional managers</w:t>
      </w:r>
      <w:r>
        <w:rPr>
          <w:rFonts w:ascii="Times New Roman" w:hAnsi="Times New Roman" w:cs="Times New Roman"/>
          <w:kern w:val="0"/>
          <w:sz w:val="24"/>
          <w:szCs w:val="24"/>
        </w:rPr>
        <w:t>. University of Chicago Press.</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Morck, R. and Steier, L. (2005) ‘The global history of corporate governance: An introduction’, in </w:t>
      </w:r>
      <w:r>
        <w:rPr>
          <w:rFonts w:ascii="Times New Roman" w:hAnsi="Times New Roman" w:cs="Times New Roman"/>
          <w:i/>
          <w:iCs/>
          <w:kern w:val="0"/>
          <w:sz w:val="24"/>
          <w:szCs w:val="24"/>
        </w:rPr>
        <w:t>A history of corporate governance around the world: Family business groups to professional managers</w:t>
      </w:r>
      <w:r>
        <w:rPr>
          <w:rFonts w:ascii="Times New Roman" w:hAnsi="Times New Roman" w:cs="Times New Roman"/>
          <w:kern w:val="0"/>
          <w:sz w:val="24"/>
          <w:szCs w:val="24"/>
        </w:rPr>
        <w:t>. University of Chicago Press, pp. 1–64.</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Schlegelmilch, B. B. and Szőcs, I. (2017) ‘Disaggregating Corporate Philanthropy: The Impact of Individual Dimensions on Customer-Based Corporate Reputation’, in, pp. 443–446. doi: 10.1007/978-3-319-50008-9_122.</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Szőcs, I.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(2016) ‘Linking cause assessment, corporate philanthropy, and corporate reputation’, </w:t>
      </w:r>
      <w:r>
        <w:rPr>
          <w:rFonts w:ascii="Times New Roman" w:hAnsi="Times New Roman" w:cs="Times New Roman"/>
          <w:i/>
          <w:iCs/>
          <w:kern w:val="0"/>
          <w:sz w:val="24"/>
          <w:szCs w:val="24"/>
        </w:rPr>
        <w:t>Journal of the Academy of Marketing Science</w:t>
      </w:r>
      <w:r>
        <w:rPr>
          <w:rFonts w:ascii="Times New Roman" w:hAnsi="Times New Roman" w:cs="Times New Roman"/>
          <w:kern w:val="0"/>
          <w:sz w:val="24"/>
          <w:szCs w:val="24"/>
        </w:rPr>
        <w:t>, 44(3), pp. 376–396. doi: 10.1007/s11747-014-0417-2.</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 Guardian (2018) </w:t>
      </w:r>
      <w:r>
        <w:rPr>
          <w:rFonts w:ascii="Times New Roman" w:hAnsi="Times New Roman" w:cs="Times New Roman"/>
          <w:i/>
          <w:iCs/>
          <w:kern w:val="0"/>
          <w:sz w:val="24"/>
          <w:szCs w:val="24"/>
        </w:rPr>
        <w:t>Timeline: Oxfam sexual exploitation scandal in Haiti | World news | The Guardian</w:t>
      </w:r>
      <w:r>
        <w:rPr>
          <w:rFonts w:ascii="Times New Roman" w:hAnsi="Times New Roman" w:cs="Times New Roman"/>
          <w:kern w:val="0"/>
          <w:sz w:val="24"/>
          <w:szCs w:val="24"/>
        </w:rPr>
        <w:t>. Available at: https://www.theguardian.com/world/2018/jun/15/timeline-oxfam-sexual-exploitation-scandal-in-haiti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Third Sector (2018) </w:t>
      </w:r>
      <w:r>
        <w:rPr>
          <w:rFonts w:ascii="Times New Roman" w:hAnsi="Times New Roman" w:cs="Times New Roman"/>
          <w:i/>
          <w:iCs/>
          <w:kern w:val="0"/>
          <w:sz w:val="24"/>
          <w:szCs w:val="24"/>
        </w:rPr>
        <w:t>Oxfam sex scandal crisis</w:t>
      </w:r>
      <w:r>
        <w:rPr>
          <w:rFonts w:ascii="Times New Roman" w:hAnsi="Times New Roman" w:cs="Times New Roman"/>
          <w:kern w:val="0"/>
          <w:sz w:val="24"/>
          <w:szCs w:val="24"/>
        </w:rPr>
        <w:t>. Available at: https://www.thirdsector.co.uk/oxfam-crisis (Accessed: 13 April 2019).</w:t>
      </w:r>
    </w:p>
    <w:p>
      <w:pPr>
        <w:autoSpaceDE w:val="0"/>
        <w:autoSpaceDN w:val="0"/>
        <w:adjustRightInd w:val="0"/>
        <w:spacing w:before="100" w:after="100"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Thorne McAlister, D. and Ferrell, L. (2002) ‘The role of strategic philanthropy in marketing strategy’, </w:t>
      </w:r>
      <w:r>
        <w:rPr>
          <w:rFonts w:ascii="Times New Roman" w:hAnsi="Times New Roman" w:cs="Times New Roman"/>
          <w:i/>
          <w:iCs/>
          <w:kern w:val="0"/>
          <w:sz w:val="24"/>
          <w:szCs w:val="24"/>
        </w:rPr>
        <w:t>European journal of marketing</w:t>
      </w:r>
      <w:r>
        <w:rPr>
          <w:rFonts w:ascii="Times New Roman" w:hAnsi="Times New Roman" w:cs="Times New Roman"/>
          <w:kern w:val="0"/>
          <w:sz w:val="24"/>
          <w:szCs w:val="24"/>
        </w:rPr>
        <w:t>. MCB UP Ltd, 36(5/6), pp. 689–705.</w:t>
      </w:r>
    </w:p>
    <w:p>
      <w:pPr>
        <w:autoSpaceDE w:val="0"/>
        <w:autoSpaceDN w:val="0"/>
        <w:adjustRightInd w:val="0"/>
        <w:spacing w:before="100" w:after="100" w:line="360" w:lineRule="auto"/>
        <w:jc w:val="left"/>
        <w:rPr>
          <w:rFonts w:ascii="Times New Roman" w:hAnsi="Times New Roman" w:cs="Times New Roman"/>
          <w:sz w:val="24"/>
        </w:rPr>
      </w:pPr>
      <w:r>
        <w:rPr>
          <w:rFonts w:ascii="Times New Roman" w:hAnsi="Times New Roman" w:cs="Times New Roman"/>
          <w:kern w:val="0"/>
          <w:sz w:val="24"/>
          <w:szCs w:val="24"/>
        </w:rPr>
        <w:t xml:space="preserve">Wang, H. and Qian, C. (2011) ‘Corporate philanthropy and corporate financial performance: The roles of stakeholder response and political access’, </w:t>
      </w:r>
      <w:r>
        <w:rPr>
          <w:rFonts w:ascii="Times New Roman" w:hAnsi="Times New Roman" w:cs="Times New Roman"/>
          <w:i/>
          <w:iCs/>
          <w:kern w:val="0"/>
          <w:sz w:val="24"/>
          <w:szCs w:val="24"/>
        </w:rPr>
        <w:t>Academy of Management Journal</w:t>
      </w:r>
      <w:r>
        <w:rPr>
          <w:rFonts w:ascii="Times New Roman" w:hAnsi="Times New Roman" w:cs="Times New Roman"/>
          <w:kern w:val="0"/>
          <w:sz w:val="24"/>
          <w:szCs w:val="24"/>
        </w:rPr>
        <w:t>, 54(6), pp. 1159–1181. doi: 10.5465/amj.2009.0548.</w:t>
      </w:r>
    </w:p>
    <w:p>
      <w:pPr>
        <w:spacing w:before="100" w:beforeAutospacing="1" w:after="100" w:afterAutospacing="1" w:line="360" w:lineRule="auto"/>
        <w:rPr>
          <w:rFonts w:ascii="Times New Roman" w:hAnsi="Times New Roman" w:cs="Times New Roman"/>
          <w:sz w:val="24"/>
        </w:rPr>
      </w:pPr>
      <w:r>
        <w:rPr>
          <w:rFonts w:ascii="Times New Roman" w:hAnsi="Times New Roman" w:cs="Times New Roman"/>
          <w:sz w:val="24"/>
        </w:rPr>
        <w:fldChar w:fldCharType="end"/>
      </w: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Rounded MT Bold">
    <w:panose1 w:val="020F0704030504030204"/>
    <w:charset w:val="00"/>
    <w:family w:val="swiss"/>
    <w:pitch w:val="default"/>
    <w:sig w:usb0="00000003" w:usb1="00000000" w:usb2="00000000" w:usb3="00000000" w:csb0="20000001"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06187892"/>
      <w:docPartObj>
        <w:docPartGallery w:val="AutoText"/>
      </w:docPartObj>
    </w:sdtPr>
    <w:sdtContent>
      <w:p>
        <w:pPr>
          <w:pStyle w:val="4"/>
          <w:jc w:val="right"/>
        </w:pPr>
        <w:r>
          <w:fldChar w:fldCharType="begin"/>
        </w:r>
        <w:r>
          <w:instrText xml:space="preserve">PAGE   \* MERGEFORMAT</w:instrText>
        </w:r>
        <w:r>
          <w:fldChar w:fldCharType="separate"/>
        </w:r>
        <w:r>
          <w:rPr>
            <w:lang w:val="zh-CN"/>
          </w:rPr>
          <w:t>2</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8E1AD9"/>
    <w:multiLevelType w:val="multilevel"/>
    <w:tmpl w:val="718E1AD9"/>
    <w:lvl w:ilvl="0" w:tentative="0">
      <w:start w:val="0"/>
      <w:numFmt w:val="bullet"/>
      <w:lvlText w:val="-"/>
      <w:lvlJc w:val="left"/>
      <w:pPr>
        <w:ind w:left="360" w:hanging="360"/>
      </w:pPr>
      <w:rPr>
        <w:rFonts w:hint="default" w:ascii="Times New Roman" w:hAnsi="Times New Roman" w:cs="Times New Roman" w:eastAsiaTheme="minorEastAsia"/>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zMrMwMTQ3MDQzNjNQ0lEKTi0uzszPAykwqgUAn/g3lSwAAAA="/>
  </w:docVars>
  <w:rsids>
    <w:rsidRoot w:val="0082241A"/>
    <w:rsid w:val="00061CF7"/>
    <w:rsid w:val="001D1D00"/>
    <w:rsid w:val="00520E23"/>
    <w:rsid w:val="00555B5F"/>
    <w:rsid w:val="00587153"/>
    <w:rsid w:val="006F2092"/>
    <w:rsid w:val="007F0EF2"/>
    <w:rsid w:val="0082241A"/>
    <w:rsid w:val="00CF7AD2"/>
    <w:rsid w:val="00D23260"/>
    <w:rsid w:val="059172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character" w:default="1" w:styleId="8">
    <w:name w:val="Default Paragraph Font"/>
    <w:semiHidden/>
    <w:unhideWhenUsed/>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2">
    <w:name w:val="annotation text"/>
    <w:basedOn w:val="1"/>
    <w:link w:val="14"/>
    <w:semiHidden/>
    <w:unhideWhenUsed/>
    <w:qFormat/>
    <w:uiPriority w:val="99"/>
    <w:pPr>
      <w:jc w:val="left"/>
    </w:pPr>
  </w:style>
  <w:style w:type="paragraph" w:styleId="3">
    <w:name w:val="Balloon Text"/>
    <w:basedOn w:val="1"/>
    <w:link w:val="12"/>
    <w:semiHidden/>
    <w:unhideWhenUsed/>
    <w:uiPriority w:val="99"/>
    <w:rPr>
      <w:sz w:val="18"/>
      <w:szCs w:val="18"/>
    </w:rPr>
  </w:style>
  <w:style w:type="paragraph" w:styleId="4">
    <w:name w:val="footer"/>
    <w:basedOn w:val="1"/>
    <w:link w:val="11"/>
    <w:unhideWhenUsed/>
    <w:uiPriority w:val="99"/>
    <w:pPr>
      <w:tabs>
        <w:tab w:val="center" w:pos="4153"/>
        <w:tab w:val="right" w:pos="8306"/>
      </w:tabs>
      <w:snapToGrid w:val="0"/>
      <w:jc w:val="left"/>
    </w:pPr>
    <w:rPr>
      <w:sz w:val="18"/>
      <w:szCs w:val="18"/>
    </w:rPr>
  </w:style>
  <w:style w:type="paragraph" w:styleId="5">
    <w:name w:val="header"/>
    <w:basedOn w:val="1"/>
    <w:link w:val="10"/>
    <w:unhideWhenUsed/>
    <w:uiPriority w:val="99"/>
    <w:pPr>
      <w:pBdr>
        <w:bottom w:val="single" w:color="auto" w:sz="6" w:space="1"/>
      </w:pBdr>
      <w:tabs>
        <w:tab w:val="center" w:pos="4153"/>
        <w:tab w:val="right" w:pos="8306"/>
      </w:tabs>
      <w:snapToGrid w:val="0"/>
      <w:jc w:val="center"/>
    </w:pPr>
    <w:rPr>
      <w:sz w:val="18"/>
      <w:szCs w:val="18"/>
    </w:rPr>
  </w:style>
  <w:style w:type="paragraph" w:styleId="6">
    <w:name w:val="annotation subject"/>
    <w:basedOn w:val="2"/>
    <w:next w:val="2"/>
    <w:link w:val="15"/>
    <w:semiHidden/>
    <w:unhideWhenUsed/>
    <w:qFormat/>
    <w:uiPriority w:val="99"/>
    <w:rPr>
      <w:b/>
      <w:bCs/>
    </w:rPr>
  </w:style>
  <w:style w:type="character" w:styleId="9">
    <w:name w:val="annotation reference"/>
    <w:basedOn w:val="8"/>
    <w:semiHidden/>
    <w:unhideWhenUsed/>
    <w:qFormat/>
    <w:uiPriority w:val="99"/>
    <w:rPr>
      <w:sz w:val="21"/>
      <w:szCs w:val="21"/>
    </w:rPr>
  </w:style>
  <w:style w:type="character" w:customStyle="1" w:styleId="10">
    <w:name w:val="页眉 字符"/>
    <w:basedOn w:val="8"/>
    <w:link w:val="5"/>
    <w:uiPriority w:val="99"/>
    <w:rPr>
      <w:sz w:val="18"/>
      <w:szCs w:val="18"/>
      <w:lang w:val="en-GB"/>
    </w:rPr>
  </w:style>
  <w:style w:type="character" w:customStyle="1" w:styleId="11">
    <w:name w:val="页脚 字符"/>
    <w:basedOn w:val="8"/>
    <w:link w:val="4"/>
    <w:uiPriority w:val="99"/>
    <w:rPr>
      <w:sz w:val="18"/>
      <w:szCs w:val="18"/>
      <w:lang w:val="en-GB"/>
    </w:rPr>
  </w:style>
  <w:style w:type="character" w:customStyle="1" w:styleId="12">
    <w:name w:val="批注框文本 字符"/>
    <w:basedOn w:val="8"/>
    <w:link w:val="3"/>
    <w:semiHidden/>
    <w:qFormat/>
    <w:uiPriority w:val="99"/>
    <w:rPr>
      <w:sz w:val="18"/>
      <w:szCs w:val="18"/>
      <w:lang w:val="en-GB"/>
    </w:rPr>
  </w:style>
  <w:style w:type="paragraph" w:styleId="13">
    <w:name w:val="List Paragraph"/>
    <w:basedOn w:val="1"/>
    <w:qFormat/>
    <w:uiPriority w:val="34"/>
    <w:pPr>
      <w:ind w:firstLine="420" w:firstLineChars="200"/>
    </w:pPr>
  </w:style>
  <w:style w:type="character" w:customStyle="1" w:styleId="14">
    <w:name w:val="批注文字 字符"/>
    <w:basedOn w:val="8"/>
    <w:link w:val="2"/>
    <w:semiHidden/>
    <w:uiPriority w:val="99"/>
    <w:rPr>
      <w:lang w:val="en-GB"/>
    </w:rPr>
  </w:style>
  <w:style w:type="character" w:customStyle="1" w:styleId="15">
    <w:name w:val="批注主题 字符"/>
    <w:basedOn w:val="14"/>
    <w:link w:val="6"/>
    <w:semiHidden/>
    <w:qFormat/>
    <w:uiPriority w:val="99"/>
    <w:rPr>
      <w:b/>
      <w:bCs/>
      <w:lang w:val="en-GB"/>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322803-D789-45A6-967A-8DB2C650B577}">
  <ds:schemaRefs/>
</ds:datastoreItem>
</file>

<file path=docProps/app.xml><?xml version="1.0" encoding="utf-8"?>
<Properties xmlns="http://schemas.openxmlformats.org/officeDocument/2006/extended-properties" xmlns:vt="http://schemas.openxmlformats.org/officeDocument/2006/docPropsVTypes">
  <Template>Normal</Template>
  <Pages>9</Pages>
  <Words>6623</Words>
  <Characters>37754</Characters>
  <Lines>314</Lines>
  <Paragraphs>88</Paragraphs>
  <TotalTime>412</TotalTime>
  <ScaleCrop>false</ScaleCrop>
  <LinksUpToDate>false</LinksUpToDate>
  <CharactersWithSpaces>44289</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2019-04-13T10:54:00Z</dcterms:created>
  <dc:creator>Wei Shanshan</dc:creator>
  <cp:lastModifiedBy>Krisien</cp:lastModifiedBy>
  <dcterms:modified xsi:type="dcterms:W3CDTF">2019-04-28T21:44:50Z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http://www.zotero.org/styles/harvard1</vt:lpwstr>
  </property>
  <property fmtid="{D5CDD505-2E9C-101B-9397-08002B2CF9AE}" pid="25" name="KSOProductBuildVer">
    <vt:lpwstr>2052-11.1.0.8597</vt:lpwstr>
  </property>
</Properties>
</file>