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D7638C3" wp14:paraId="5E5787A5" wp14:textId="54D9750E">
      <w:pPr>
        <w:rPr>
          <w:rFonts w:ascii="Arial" w:hAnsi="Arial" w:eastAsia="Arial" w:cs="Arial"/>
          <w:b w:val="1"/>
          <w:bCs w:val="1"/>
          <w:sz w:val="28"/>
          <w:szCs w:val="28"/>
        </w:rPr>
      </w:pPr>
      <w:r w:rsidRPr="0D7638C3" w:rsidR="6164B6D1">
        <w:rPr>
          <w:rFonts w:ascii="Arial" w:hAnsi="Arial" w:eastAsia="Arial" w:cs="Arial"/>
          <w:b w:val="1"/>
          <w:bCs w:val="1"/>
          <w:sz w:val="28"/>
          <w:szCs w:val="28"/>
        </w:rPr>
        <w:t>Student Name</w:t>
      </w:r>
      <w:r w:rsidRPr="0D7638C3" w:rsidR="6E76C69E">
        <w:rPr>
          <w:rFonts w:ascii="Arial" w:hAnsi="Arial" w:eastAsia="Arial" w:cs="Arial"/>
          <w:b w:val="1"/>
          <w:bCs w:val="1"/>
          <w:sz w:val="28"/>
          <w:szCs w:val="28"/>
        </w:rPr>
        <w:t xml:space="preserve">       </w:t>
      </w:r>
      <w:r w:rsidRPr="0D7638C3" w:rsidR="63DAAE08">
        <w:rPr>
          <w:rFonts w:ascii="Arial" w:hAnsi="Arial" w:eastAsia="Arial" w:cs="Arial"/>
          <w:b w:val="1"/>
          <w:bCs w:val="1"/>
          <w:sz w:val="28"/>
          <w:szCs w:val="28"/>
        </w:rPr>
        <w:t xml:space="preserve">           </w:t>
      </w:r>
      <w:r w:rsidRPr="0D7638C3" w:rsidR="6E76C69E">
        <w:rPr>
          <w:rFonts w:ascii="Arial" w:hAnsi="Arial" w:eastAsia="Arial" w:cs="Arial"/>
          <w:b w:val="1"/>
          <w:bCs w:val="1"/>
          <w:sz w:val="28"/>
          <w:szCs w:val="28"/>
        </w:rPr>
        <w:t xml:space="preserve"> </w:t>
      </w:r>
      <w:r w:rsidRPr="0D7638C3" w:rsidR="7A8CAC5C">
        <w:rPr>
          <w:rFonts w:ascii="Arial" w:hAnsi="Arial" w:eastAsia="Arial" w:cs="Arial"/>
          <w:b w:val="1"/>
          <w:bCs w:val="1"/>
          <w:sz w:val="28"/>
          <w:szCs w:val="28"/>
        </w:rPr>
        <w:t xml:space="preserve">         </w:t>
      </w:r>
      <w:r w:rsidRPr="0D7638C3" w:rsidR="7A8CAC5C">
        <w:rPr>
          <w:rFonts w:ascii="Arial" w:hAnsi="Arial" w:eastAsia="Arial" w:cs="Arial"/>
          <w:b w:val="1"/>
          <w:bCs w:val="1"/>
          <w:sz w:val="28"/>
          <w:szCs w:val="28"/>
        </w:rPr>
        <w:t>Masaruf</w:t>
      </w:r>
      <w:r w:rsidRPr="0D7638C3" w:rsidR="7A8CAC5C">
        <w:rPr>
          <w:rFonts w:ascii="Arial" w:hAnsi="Arial" w:eastAsia="Arial" w:cs="Arial"/>
          <w:b w:val="1"/>
          <w:bCs w:val="1"/>
          <w:sz w:val="28"/>
          <w:szCs w:val="28"/>
        </w:rPr>
        <w:t xml:space="preserve"> Nisa  </w:t>
      </w:r>
      <w:r w:rsidRPr="0D7638C3" w:rsidR="6E76C69E">
        <w:rPr>
          <w:rFonts w:ascii="Arial" w:hAnsi="Arial" w:eastAsia="Arial" w:cs="Arial"/>
          <w:b w:val="1"/>
          <w:bCs w:val="1"/>
          <w:sz w:val="28"/>
          <w:szCs w:val="28"/>
        </w:rPr>
        <w:t xml:space="preserve">                          </w:t>
      </w:r>
    </w:p>
    <w:p w:rsidR="6164B6D1" w:rsidP="0D7638C3" w:rsidRDefault="6164B6D1" w14:paraId="1F8362C8" w14:textId="41D40480">
      <w:pPr>
        <w:rPr>
          <w:rFonts w:ascii="Arial" w:hAnsi="Arial" w:eastAsia="Arial" w:cs="Arial"/>
          <w:b w:val="1"/>
          <w:bCs w:val="1"/>
          <w:sz w:val="28"/>
          <w:szCs w:val="28"/>
        </w:rPr>
      </w:pPr>
      <w:r w:rsidRPr="0D7638C3" w:rsidR="6164B6D1">
        <w:rPr>
          <w:rFonts w:ascii="Arial" w:hAnsi="Arial" w:eastAsia="Arial" w:cs="Arial"/>
          <w:b w:val="1"/>
          <w:bCs w:val="1"/>
          <w:sz w:val="28"/>
          <w:szCs w:val="28"/>
        </w:rPr>
        <w:t xml:space="preserve">Student </w:t>
      </w:r>
      <w:r w:rsidRPr="0D7638C3" w:rsidR="1C42DF2A">
        <w:rPr>
          <w:rFonts w:ascii="Arial" w:hAnsi="Arial" w:eastAsia="Arial" w:cs="Arial"/>
          <w:b w:val="1"/>
          <w:bCs w:val="1"/>
          <w:sz w:val="28"/>
          <w:szCs w:val="28"/>
        </w:rPr>
        <w:t xml:space="preserve">ID        </w:t>
      </w:r>
      <w:r w:rsidRPr="0D7638C3" w:rsidR="020DE07C">
        <w:rPr>
          <w:rFonts w:ascii="Arial" w:hAnsi="Arial" w:eastAsia="Arial" w:cs="Arial"/>
          <w:b w:val="1"/>
          <w:bCs w:val="1"/>
          <w:sz w:val="28"/>
          <w:szCs w:val="28"/>
        </w:rPr>
        <w:t xml:space="preserve">                         </w:t>
      </w:r>
      <w:r w:rsidRPr="0D7638C3" w:rsidR="1E9ECCAA">
        <w:rPr>
          <w:rFonts w:ascii="Arial" w:hAnsi="Arial" w:eastAsia="Arial" w:cs="Arial"/>
          <w:b w:val="1"/>
          <w:bCs w:val="1"/>
          <w:sz w:val="28"/>
          <w:szCs w:val="28"/>
        </w:rPr>
        <w:t xml:space="preserve"> 2225287  </w:t>
      </w:r>
    </w:p>
    <w:p w:rsidR="1E9ECCAA" w:rsidP="0D7638C3" w:rsidRDefault="1E9ECCAA" w14:paraId="1DEAA7FE" w14:textId="5C3CEB7E">
      <w:pPr>
        <w:rPr>
          <w:rFonts w:ascii="Arial" w:hAnsi="Arial" w:eastAsia="Arial" w:cs="Arial"/>
          <w:b w:val="1"/>
          <w:bCs w:val="1"/>
          <w:sz w:val="28"/>
          <w:szCs w:val="28"/>
        </w:rPr>
      </w:pPr>
      <w:r w:rsidRPr="0D7638C3" w:rsidR="1E9ECCAA">
        <w:rPr>
          <w:rFonts w:ascii="Arial" w:hAnsi="Arial" w:eastAsia="Arial" w:cs="Arial"/>
          <w:b w:val="1"/>
          <w:bCs w:val="1"/>
          <w:sz w:val="28"/>
          <w:szCs w:val="28"/>
        </w:rPr>
        <w:t>Module                                       Introduction to Physiology</w:t>
      </w:r>
    </w:p>
    <w:p w:rsidR="1E9ECCAA" w:rsidP="0D7638C3" w:rsidRDefault="1E9ECCAA" w14:paraId="302574E9" w14:textId="6D065AA6">
      <w:pPr>
        <w:rPr>
          <w:rFonts w:ascii="Arial" w:hAnsi="Arial" w:eastAsia="Arial" w:cs="Arial"/>
          <w:b w:val="1"/>
          <w:bCs w:val="1"/>
          <w:sz w:val="28"/>
          <w:szCs w:val="28"/>
        </w:rPr>
      </w:pPr>
      <w:r w:rsidRPr="0D7638C3" w:rsidR="1E9ECCAA">
        <w:rPr>
          <w:rFonts w:ascii="Arial" w:hAnsi="Arial" w:eastAsia="Arial" w:cs="Arial"/>
          <w:b w:val="1"/>
          <w:bCs w:val="1"/>
          <w:sz w:val="28"/>
          <w:szCs w:val="28"/>
        </w:rPr>
        <w:t xml:space="preserve">Module Code                             BMHP5023 </w:t>
      </w:r>
    </w:p>
    <w:p w:rsidR="4F151EEB" w:rsidP="0D7638C3" w:rsidRDefault="4F151EEB" w14:paraId="37AD0D61" w14:textId="20038F02">
      <w:pPr>
        <w:rPr>
          <w:rFonts w:ascii="Arial" w:hAnsi="Arial" w:eastAsia="Arial" w:cs="Arial"/>
          <w:b w:val="1"/>
          <w:bCs w:val="1"/>
          <w:sz w:val="28"/>
          <w:szCs w:val="28"/>
        </w:rPr>
      </w:pPr>
      <w:r w:rsidRPr="0D7638C3" w:rsidR="4F151EEB">
        <w:rPr>
          <w:rFonts w:ascii="Arial" w:hAnsi="Arial" w:eastAsia="Arial" w:cs="Arial"/>
          <w:b w:val="1"/>
          <w:bCs w:val="1"/>
          <w:sz w:val="28"/>
          <w:szCs w:val="28"/>
        </w:rPr>
        <w:t>Component</w:t>
      </w:r>
      <w:r w:rsidRPr="0D7638C3" w:rsidR="4F151EEB">
        <w:rPr>
          <w:rFonts w:ascii="Arial" w:hAnsi="Arial" w:eastAsia="Arial" w:cs="Arial"/>
          <w:b w:val="1"/>
          <w:bCs w:val="1"/>
          <w:sz w:val="28"/>
          <w:szCs w:val="28"/>
        </w:rPr>
        <w:t xml:space="preserve"> 1 Case Study </w:t>
      </w:r>
      <w:r w:rsidRPr="0D7638C3" w:rsidR="1E9ECCAA">
        <w:rPr>
          <w:rFonts w:ascii="Arial" w:hAnsi="Arial" w:eastAsia="Arial" w:cs="Arial"/>
          <w:b w:val="1"/>
          <w:bCs w:val="1"/>
          <w:sz w:val="28"/>
          <w:szCs w:val="28"/>
        </w:rPr>
        <w:t xml:space="preserve">                         </w:t>
      </w:r>
    </w:p>
    <w:p w:rsidR="1E9ECCAA" w:rsidP="0D7638C3" w:rsidRDefault="1E9ECCAA" w14:paraId="17C1B2FD" w14:textId="10486264">
      <w:pPr>
        <w:rPr>
          <w:rFonts w:ascii="Arial" w:hAnsi="Arial" w:eastAsia="Arial" w:cs="Arial"/>
          <w:sz w:val="28"/>
          <w:szCs w:val="28"/>
        </w:rPr>
      </w:pPr>
      <w:r w:rsidRPr="0D7638C3" w:rsidR="1E9ECCAA">
        <w:rPr>
          <w:rFonts w:ascii="Arial" w:hAnsi="Arial" w:eastAsia="Arial" w:cs="Arial"/>
          <w:sz w:val="28"/>
          <w:szCs w:val="28"/>
        </w:rPr>
        <w:t xml:space="preserve"> </w:t>
      </w:r>
    </w:p>
    <w:p w:rsidR="1C42DF2A" w:rsidP="0D7638C3" w:rsidRDefault="1C42DF2A" w14:paraId="41810444" w14:textId="592750C9">
      <w:pPr>
        <w:rPr>
          <w:rFonts w:ascii="Arial" w:hAnsi="Arial" w:eastAsia="Arial" w:cs="Arial"/>
          <w:sz w:val="28"/>
          <w:szCs w:val="28"/>
        </w:rPr>
      </w:pPr>
      <w:r w:rsidRPr="0D7638C3" w:rsidR="1C42DF2A">
        <w:rPr>
          <w:rFonts w:ascii="Arial" w:hAnsi="Arial" w:eastAsia="Arial" w:cs="Arial"/>
          <w:sz w:val="28"/>
          <w:szCs w:val="28"/>
        </w:rPr>
        <w:t xml:space="preserve">                      </w:t>
      </w:r>
      <w:r w:rsidRPr="0D7638C3" w:rsidR="6164B6D1">
        <w:rPr>
          <w:rFonts w:ascii="Arial" w:hAnsi="Arial" w:eastAsia="Arial" w:cs="Arial"/>
          <w:sz w:val="28"/>
          <w:szCs w:val="28"/>
        </w:rPr>
        <w:t xml:space="preserve"> </w:t>
      </w:r>
      <w:r w:rsidRPr="0D7638C3" w:rsidR="7EB35EC4">
        <w:rPr>
          <w:rFonts w:ascii="Arial" w:hAnsi="Arial" w:eastAsia="Arial" w:cs="Arial"/>
          <w:sz w:val="28"/>
          <w:szCs w:val="28"/>
        </w:rPr>
        <w:t xml:space="preserve">                                       </w:t>
      </w:r>
      <w:r w:rsidRPr="0D7638C3" w:rsidR="7ED7AE94">
        <w:rPr>
          <w:rFonts w:ascii="Arial" w:hAnsi="Arial" w:eastAsia="Arial" w:cs="Arial"/>
          <w:sz w:val="28"/>
          <w:szCs w:val="28"/>
        </w:rPr>
        <w:t xml:space="preserve">       </w:t>
      </w:r>
    </w:p>
    <w:p w:rsidR="0D7638C3" w:rsidP="0D7638C3" w:rsidRDefault="0D7638C3" w14:paraId="36754905" w14:textId="33CCF646">
      <w:pPr>
        <w:rPr>
          <w:rFonts w:ascii="Arial" w:hAnsi="Arial" w:eastAsia="Arial" w:cs="Arial"/>
          <w:sz w:val="28"/>
          <w:szCs w:val="28"/>
        </w:rPr>
      </w:pPr>
    </w:p>
    <w:p w:rsidR="0D7638C3" w:rsidP="0D7638C3" w:rsidRDefault="0D7638C3" w14:paraId="47EAF693" w14:textId="03F61D2D">
      <w:pPr>
        <w:rPr>
          <w:rFonts w:ascii="Arial" w:hAnsi="Arial" w:eastAsia="Arial" w:cs="Arial"/>
          <w:sz w:val="28"/>
          <w:szCs w:val="28"/>
        </w:rPr>
      </w:pPr>
    </w:p>
    <w:p w:rsidR="0D7638C3" w:rsidP="0D7638C3" w:rsidRDefault="0D7638C3" w14:paraId="341762D1" w14:textId="5AF6A111">
      <w:pPr>
        <w:rPr>
          <w:rFonts w:ascii="Arial" w:hAnsi="Arial" w:eastAsia="Arial" w:cs="Arial"/>
          <w:sz w:val="28"/>
          <w:szCs w:val="28"/>
        </w:rPr>
      </w:pPr>
    </w:p>
    <w:p w:rsidR="0D7638C3" w:rsidP="0D7638C3" w:rsidRDefault="0D7638C3" w14:paraId="1571FE0C" w14:textId="76F84F91">
      <w:pPr>
        <w:rPr>
          <w:rFonts w:ascii="Arial" w:hAnsi="Arial" w:eastAsia="Arial" w:cs="Arial"/>
          <w:sz w:val="28"/>
          <w:szCs w:val="28"/>
        </w:rPr>
      </w:pPr>
    </w:p>
    <w:p w:rsidR="0D7638C3" w:rsidP="0D7638C3" w:rsidRDefault="0D7638C3" w14:paraId="55F5808E" w14:textId="702FDE7D">
      <w:pPr>
        <w:rPr>
          <w:rFonts w:ascii="Arial" w:hAnsi="Arial" w:eastAsia="Arial" w:cs="Arial"/>
          <w:sz w:val="28"/>
          <w:szCs w:val="28"/>
        </w:rPr>
      </w:pPr>
    </w:p>
    <w:p w:rsidR="0D7638C3" w:rsidP="0D7638C3" w:rsidRDefault="0D7638C3" w14:paraId="2E141449" w14:textId="25495005">
      <w:pPr>
        <w:rPr>
          <w:rFonts w:ascii="Arial" w:hAnsi="Arial" w:eastAsia="Arial" w:cs="Arial"/>
          <w:sz w:val="28"/>
          <w:szCs w:val="28"/>
        </w:rPr>
      </w:pPr>
    </w:p>
    <w:p w:rsidR="0D7638C3" w:rsidP="0D7638C3" w:rsidRDefault="0D7638C3" w14:paraId="665C514C" w14:textId="2E701424">
      <w:pPr>
        <w:rPr>
          <w:rFonts w:ascii="Arial" w:hAnsi="Arial" w:eastAsia="Arial" w:cs="Arial"/>
          <w:sz w:val="28"/>
          <w:szCs w:val="28"/>
        </w:rPr>
      </w:pPr>
    </w:p>
    <w:p w:rsidR="0D7638C3" w:rsidP="0D7638C3" w:rsidRDefault="0D7638C3" w14:paraId="4658BA9B" w14:textId="53CD0736">
      <w:pPr>
        <w:rPr>
          <w:rFonts w:ascii="Arial" w:hAnsi="Arial" w:eastAsia="Arial" w:cs="Arial"/>
          <w:sz w:val="28"/>
          <w:szCs w:val="28"/>
        </w:rPr>
      </w:pPr>
    </w:p>
    <w:p w:rsidR="0D7638C3" w:rsidP="0D7638C3" w:rsidRDefault="0D7638C3" w14:paraId="0C02877F" w14:textId="36B7E30C">
      <w:pPr>
        <w:rPr>
          <w:rFonts w:ascii="Arial" w:hAnsi="Arial" w:eastAsia="Arial" w:cs="Arial"/>
          <w:sz w:val="28"/>
          <w:szCs w:val="28"/>
        </w:rPr>
      </w:pPr>
    </w:p>
    <w:p w:rsidR="0D7638C3" w:rsidP="0D7638C3" w:rsidRDefault="0D7638C3" w14:paraId="2C5534D3" w14:textId="241CB60D">
      <w:pPr>
        <w:rPr>
          <w:rFonts w:ascii="Arial" w:hAnsi="Arial" w:eastAsia="Arial" w:cs="Arial"/>
          <w:sz w:val="28"/>
          <w:szCs w:val="28"/>
        </w:rPr>
      </w:pPr>
    </w:p>
    <w:p w:rsidR="0D7638C3" w:rsidP="0D7638C3" w:rsidRDefault="0D7638C3" w14:paraId="07FB00BF" w14:textId="2256B277">
      <w:pPr>
        <w:rPr>
          <w:rFonts w:ascii="Arial" w:hAnsi="Arial" w:eastAsia="Arial" w:cs="Arial"/>
          <w:sz w:val="28"/>
          <w:szCs w:val="28"/>
        </w:rPr>
      </w:pPr>
    </w:p>
    <w:p w:rsidR="0D7638C3" w:rsidP="0D7638C3" w:rsidRDefault="0D7638C3" w14:paraId="4E46F3E3" w14:textId="5197DA64">
      <w:pPr>
        <w:rPr>
          <w:rFonts w:ascii="Arial" w:hAnsi="Arial" w:eastAsia="Arial" w:cs="Arial"/>
          <w:sz w:val="28"/>
          <w:szCs w:val="28"/>
        </w:rPr>
      </w:pPr>
    </w:p>
    <w:p w:rsidR="0D7638C3" w:rsidP="0D7638C3" w:rsidRDefault="0D7638C3" w14:paraId="3F98C676" w14:textId="594A0A62">
      <w:pPr>
        <w:rPr>
          <w:rFonts w:ascii="Arial" w:hAnsi="Arial" w:eastAsia="Arial" w:cs="Arial"/>
          <w:sz w:val="28"/>
          <w:szCs w:val="28"/>
        </w:rPr>
      </w:pPr>
    </w:p>
    <w:p w:rsidR="0D7638C3" w:rsidP="0D7638C3" w:rsidRDefault="0D7638C3" w14:paraId="68919019" w14:textId="4CCD3343">
      <w:pPr>
        <w:rPr>
          <w:rFonts w:ascii="Arial" w:hAnsi="Arial" w:eastAsia="Arial" w:cs="Arial"/>
          <w:sz w:val="28"/>
          <w:szCs w:val="28"/>
        </w:rPr>
      </w:pPr>
    </w:p>
    <w:p w:rsidR="0D7638C3" w:rsidP="0D7638C3" w:rsidRDefault="0D7638C3" w14:paraId="33EF54F8" w14:textId="24C8BBBB">
      <w:pPr>
        <w:rPr>
          <w:rFonts w:ascii="Arial" w:hAnsi="Arial" w:eastAsia="Arial" w:cs="Arial"/>
          <w:sz w:val="28"/>
          <w:szCs w:val="28"/>
        </w:rPr>
      </w:pPr>
    </w:p>
    <w:p w:rsidR="0D7638C3" w:rsidP="0D7638C3" w:rsidRDefault="0D7638C3" w14:paraId="26541ED7" w14:textId="4FE76D98">
      <w:pPr>
        <w:rPr>
          <w:rFonts w:ascii="Arial" w:hAnsi="Arial" w:eastAsia="Arial" w:cs="Arial"/>
          <w:sz w:val="28"/>
          <w:szCs w:val="28"/>
        </w:rPr>
      </w:pPr>
    </w:p>
    <w:p w:rsidR="0D7638C3" w:rsidP="0D7638C3" w:rsidRDefault="0D7638C3" w14:paraId="57380976" w14:textId="5621800C">
      <w:pPr>
        <w:rPr>
          <w:rFonts w:ascii="Arial" w:hAnsi="Arial" w:eastAsia="Arial" w:cs="Arial"/>
          <w:sz w:val="28"/>
          <w:szCs w:val="28"/>
        </w:rPr>
      </w:pPr>
    </w:p>
    <w:p w:rsidR="0D7638C3" w:rsidP="0D7638C3" w:rsidRDefault="0D7638C3" w14:paraId="686B99CE" w14:textId="2649762B">
      <w:pPr>
        <w:rPr>
          <w:rFonts w:ascii="Arial" w:hAnsi="Arial" w:eastAsia="Arial" w:cs="Arial"/>
          <w:sz w:val="28"/>
          <w:szCs w:val="28"/>
        </w:rPr>
      </w:pPr>
    </w:p>
    <w:p w:rsidR="0D7638C3" w:rsidP="0D7638C3" w:rsidRDefault="0D7638C3" w14:paraId="300A779B" w14:textId="02E55EA0">
      <w:pPr>
        <w:rPr>
          <w:rFonts w:ascii="Arial" w:hAnsi="Arial" w:eastAsia="Arial" w:cs="Arial"/>
          <w:sz w:val="28"/>
          <w:szCs w:val="28"/>
        </w:rPr>
      </w:pPr>
    </w:p>
    <w:p w:rsidR="0D7638C3" w:rsidP="0D7638C3" w:rsidRDefault="0D7638C3" w14:paraId="54835E52" w14:textId="36A6CDD4">
      <w:pPr>
        <w:pStyle w:val="Normal"/>
        <w:rPr>
          <w:rFonts w:ascii="Arial" w:hAnsi="Arial" w:eastAsia="Arial" w:cs="Arial"/>
          <w:b w:val="1"/>
          <w:bCs w:val="1"/>
          <w:noProof w:val="0"/>
          <w:sz w:val="24"/>
          <w:szCs w:val="24"/>
          <w:lang w:val="en-GB"/>
        </w:rPr>
      </w:pPr>
    </w:p>
    <w:p w:rsidR="661408DF" w:rsidP="0D7638C3" w:rsidRDefault="661408DF" w14:paraId="1275B18E" w14:textId="48A58EDF">
      <w:pPr>
        <w:pStyle w:val="Normal"/>
        <w:rPr>
          <w:rFonts w:ascii="Arial" w:hAnsi="Arial" w:eastAsia="Arial" w:cs="Arial"/>
          <w:sz w:val="28"/>
          <w:szCs w:val="28"/>
        </w:rPr>
      </w:pPr>
      <w:r w:rsidRPr="0D7638C3" w:rsidR="661408DF">
        <w:rPr>
          <w:rFonts w:ascii="Arial" w:hAnsi="Arial" w:eastAsia="Arial" w:cs="Arial"/>
          <w:b w:val="1"/>
          <w:bCs w:val="1"/>
          <w:noProof w:val="0"/>
          <w:sz w:val="24"/>
          <w:szCs w:val="24"/>
          <w:lang w:val="en-GB"/>
        </w:rPr>
        <w:t xml:space="preserve">Content Page </w:t>
      </w:r>
    </w:p>
    <w:p w:rsidR="661408DF" w:rsidP="0D7638C3" w:rsidRDefault="661408DF" w14:paraId="24798B13" w14:textId="15417C05">
      <w:pPr>
        <w:pStyle w:val="Normal"/>
        <w:rPr>
          <w:rFonts w:ascii="Arial" w:hAnsi="Arial" w:eastAsia="Arial" w:cs="Arial"/>
          <w:b w:val="0"/>
          <w:bCs w:val="0"/>
          <w:noProof w:val="0"/>
          <w:sz w:val="24"/>
          <w:szCs w:val="24"/>
          <w:lang w:val="en-GB"/>
        </w:rPr>
      </w:pPr>
      <w:r w:rsidRPr="0D7638C3" w:rsidR="661408DF">
        <w:rPr>
          <w:rFonts w:ascii="Arial" w:hAnsi="Arial" w:eastAsia="Arial" w:cs="Arial"/>
          <w:b w:val="0"/>
          <w:bCs w:val="0"/>
          <w:noProof w:val="0"/>
          <w:sz w:val="24"/>
          <w:szCs w:val="24"/>
          <w:lang w:val="en-GB"/>
        </w:rPr>
        <w:t>Introduction................................................................................................p,</w:t>
      </w:r>
      <w:r w:rsidRPr="0D7638C3" w:rsidR="14E0D8A9">
        <w:rPr>
          <w:rFonts w:ascii="Arial" w:hAnsi="Arial" w:eastAsia="Arial" w:cs="Arial"/>
          <w:b w:val="0"/>
          <w:bCs w:val="0"/>
          <w:noProof w:val="0"/>
          <w:sz w:val="24"/>
          <w:szCs w:val="24"/>
          <w:lang w:val="en-GB"/>
        </w:rPr>
        <w:t>3</w:t>
      </w:r>
    </w:p>
    <w:p w:rsidR="661408DF" w:rsidP="0D7638C3" w:rsidRDefault="661408DF" w14:paraId="4DEBECBA" w14:textId="682ED1F1">
      <w:pPr>
        <w:pStyle w:val="Normal"/>
        <w:rPr>
          <w:rFonts w:ascii="Arial" w:hAnsi="Arial" w:eastAsia="Arial" w:cs="Arial"/>
          <w:b w:val="0"/>
          <w:bCs w:val="0"/>
          <w:noProof w:val="0"/>
          <w:sz w:val="24"/>
          <w:szCs w:val="24"/>
          <w:lang w:val="en-GB"/>
        </w:rPr>
      </w:pPr>
      <w:r w:rsidRPr="0D7638C3" w:rsidR="661408DF">
        <w:rPr>
          <w:rFonts w:ascii="Arial" w:hAnsi="Arial" w:eastAsia="Arial" w:cs="Arial"/>
          <w:b w:val="0"/>
          <w:bCs w:val="0"/>
          <w:noProof w:val="0"/>
          <w:sz w:val="24"/>
          <w:szCs w:val="24"/>
          <w:lang w:val="en-GB"/>
        </w:rPr>
        <w:t>Regulation of blood sugar level.................................................................p,</w:t>
      </w:r>
      <w:r w:rsidRPr="0D7638C3" w:rsidR="7FCD8D2C">
        <w:rPr>
          <w:rFonts w:ascii="Arial" w:hAnsi="Arial" w:eastAsia="Arial" w:cs="Arial"/>
          <w:b w:val="0"/>
          <w:bCs w:val="0"/>
          <w:noProof w:val="0"/>
          <w:sz w:val="24"/>
          <w:szCs w:val="24"/>
          <w:lang w:val="en-GB"/>
        </w:rPr>
        <w:t xml:space="preserve">4 </w:t>
      </w:r>
    </w:p>
    <w:p w:rsidR="7FCD8D2C" w:rsidP="0D7638C3" w:rsidRDefault="7FCD8D2C" w14:paraId="31A852BC" w14:textId="30328A1D">
      <w:pPr>
        <w:pStyle w:val="Normal"/>
        <w:rPr>
          <w:rFonts w:ascii="Arial" w:hAnsi="Arial" w:eastAsia="Arial" w:cs="Arial"/>
          <w:b w:val="0"/>
          <w:bCs w:val="0"/>
          <w:noProof w:val="0"/>
          <w:sz w:val="22"/>
          <w:szCs w:val="22"/>
          <w:lang w:val="en-GB"/>
        </w:rPr>
      </w:pPr>
      <w:r w:rsidRPr="0D7638C3" w:rsidR="7FCD8D2C">
        <w:rPr>
          <w:rFonts w:ascii="Arial" w:hAnsi="Arial" w:eastAsia="Arial" w:cs="Arial"/>
          <w:b w:val="0"/>
          <w:bCs w:val="0"/>
          <w:noProof w:val="0"/>
          <w:sz w:val="22"/>
          <w:szCs w:val="22"/>
          <w:lang w:val="en-GB"/>
        </w:rPr>
        <w:t>Oxygen and Glucose ..........................................................................................p4,5</w:t>
      </w:r>
      <w:r w:rsidRPr="0D7638C3" w:rsidR="781DB40A">
        <w:rPr>
          <w:rFonts w:ascii="Arial" w:hAnsi="Arial" w:eastAsia="Arial" w:cs="Arial"/>
          <w:b w:val="0"/>
          <w:bCs w:val="0"/>
          <w:noProof w:val="0"/>
          <w:sz w:val="22"/>
          <w:szCs w:val="22"/>
          <w:lang w:val="en-GB"/>
        </w:rPr>
        <w:t xml:space="preserve"> </w:t>
      </w:r>
    </w:p>
    <w:p w:rsidR="781DB40A" w:rsidP="0D7638C3" w:rsidRDefault="781DB40A" w14:paraId="19342277" w14:textId="72CCEE4B">
      <w:pPr>
        <w:pStyle w:val="Normal"/>
        <w:spacing w:before="240" w:beforeAutospacing="off" w:after="240" w:afterAutospacing="off" w:line="360" w:lineRule="auto"/>
        <w:rPr>
          <w:rFonts w:ascii="Arial" w:hAnsi="Arial" w:eastAsia="Arial" w:cs="Arial"/>
          <w:b w:val="0"/>
          <w:bCs w:val="0"/>
          <w:noProof w:val="0"/>
          <w:sz w:val="22"/>
          <w:szCs w:val="22"/>
          <w:lang w:val="en-GB"/>
        </w:rPr>
      </w:pPr>
      <w:r w:rsidRPr="0D7638C3" w:rsidR="781DB40A">
        <w:rPr>
          <w:rFonts w:ascii="Arial" w:hAnsi="Arial" w:eastAsia="Arial" w:cs="Arial"/>
          <w:b w:val="0"/>
          <w:bCs w:val="0"/>
          <w:noProof w:val="0"/>
          <w:sz w:val="22"/>
          <w:szCs w:val="22"/>
          <w:lang w:val="en-GB"/>
        </w:rPr>
        <w:t>Tracking Blood Sugar Levels..............................................................................p,</w:t>
      </w:r>
      <w:r w:rsidRPr="0D7638C3" w:rsidR="3E6EB40F">
        <w:rPr>
          <w:rFonts w:ascii="Arial" w:hAnsi="Arial" w:eastAsia="Arial" w:cs="Arial"/>
          <w:b w:val="0"/>
          <w:bCs w:val="0"/>
          <w:noProof w:val="0"/>
          <w:sz w:val="22"/>
          <w:szCs w:val="22"/>
          <w:lang w:val="en-GB"/>
        </w:rPr>
        <w:t xml:space="preserve">5,6 </w:t>
      </w:r>
    </w:p>
    <w:p w:rsidR="3E6EB40F" w:rsidP="0D7638C3" w:rsidRDefault="3E6EB40F" w14:paraId="37E293B3" w14:textId="5F0BE795">
      <w:pPr>
        <w:pStyle w:val="Normal"/>
        <w:spacing w:before="240" w:beforeAutospacing="off" w:after="240" w:afterAutospacing="off" w:line="360" w:lineRule="auto"/>
        <w:rPr>
          <w:rFonts w:ascii="Arial" w:hAnsi="Arial" w:eastAsia="Arial" w:cs="Arial"/>
          <w:b w:val="0"/>
          <w:bCs w:val="0"/>
          <w:noProof w:val="0"/>
          <w:sz w:val="22"/>
          <w:szCs w:val="22"/>
          <w:lang w:val="en-GB"/>
        </w:rPr>
      </w:pPr>
      <w:r w:rsidRPr="0D7638C3" w:rsidR="3E6EB40F">
        <w:rPr>
          <w:rFonts w:ascii="Arial" w:hAnsi="Arial" w:eastAsia="Arial" w:cs="Arial"/>
          <w:b w:val="0"/>
          <w:bCs w:val="0"/>
          <w:noProof w:val="0"/>
          <w:sz w:val="22"/>
          <w:szCs w:val="22"/>
          <w:lang w:val="en-GB"/>
        </w:rPr>
        <w:t>Evidence-Based Recommendations..................................................................p</w:t>
      </w:r>
      <w:r w:rsidRPr="0D7638C3" w:rsidR="24BF519B">
        <w:rPr>
          <w:rFonts w:ascii="Arial" w:hAnsi="Arial" w:eastAsia="Arial" w:cs="Arial"/>
          <w:b w:val="0"/>
          <w:bCs w:val="0"/>
          <w:noProof w:val="0"/>
          <w:sz w:val="22"/>
          <w:szCs w:val="22"/>
          <w:lang w:val="en-GB"/>
        </w:rPr>
        <w:t xml:space="preserve">,7,8,9 </w:t>
      </w:r>
    </w:p>
    <w:p w:rsidR="73B73201" w:rsidP="0D7638C3" w:rsidRDefault="73B73201" w14:paraId="77D73CA8" w14:textId="10505529">
      <w:pPr>
        <w:pStyle w:val="Normal"/>
        <w:spacing w:before="240" w:beforeAutospacing="off" w:after="240" w:afterAutospacing="off" w:line="360" w:lineRule="auto"/>
        <w:rPr>
          <w:rFonts w:ascii="Arial" w:hAnsi="Arial" w:eastAsia="Arial" w:cs="Arial"/>
          <w:b w:val="0"/>
          <w:bCs w:val="0"/>
          <w:noProof w:val="0"/>
          <w:sz w:val="22"/>
          <w:szCs w:val="22"/>
          <w:lang w:val="en-GB"/>
        </w:rPr>
      </w:pPr>
      <w:r w:rsidRPr="0D7638C3" w:rsidR="73B73201">
        <w:rPr>
          <w:rFonts w:ascii="Arial" w:hAnsi="Arial" w:eastAsia="Arial" w:cs="Arial"/>
          <w:b w:val="0"/>
          <w:bCs w:val="0"/>
          <w:noProof w:val="0"/>
          <w:sz w:val="22"/>
          <w:szCs w:val="22"/>
          <w:lang w:val="en-GB"/>
        </w:rPr>
        <w:t>Conclusion</w:t>
      </w:r>
      <w:r w:rsidRPr="0D7638C3" w:rsidR="24BF519B">
        <w:rPr>
          <w:rFonts w:ascii="Arial" w:hAnsi="Arial" w:eastAsia="Arial" w:cs="Arial"/>
          <w:b w:val="0"/>
          <w:bCs w:val="0"/>
          <w:noProof w:val="0"/>
          <w:sz w:val="22"/>
          <w:szCs w:val="22"/>
          <w:lang w:val="en-GB"/>
        </w:rPr>
        <w:t>..........................................................................................................</w:t>
      </w:r>
      <w:r w:rsidRPr="0D7638C3" w:rsidR="55C7F7A4">
        <w:rPr>
          <w:rFonts w:ascii="Arial" w:hAnsi="Arial" w:eastAsia="Arial" w:cs="Arial"/>
          <w:b w:val="0"/>
          <w:bCs w:val="0"/>
          <w:noProof w:val="0"/>
          <w:sz w:val="22"/>
          <w:szCs w:val="22"/>
          <w:lang w:val="en-GB"/>
        </w:rPr>
        <w:t xml:space="preserve">p,9,10 </w:t>
      </w:r>
    </w:p>
    <w:p w:rsidR="6EF203D6" w:rsidP="0D7638C3" w:rsidRDefault="6EF203D6" w14:paraId="3E987911" w14:textId="2E0D97DD">
      <w:pPr>
        <w:pStyle w:val="Normal"/>
        <w:spacing w:before="240" w:beforeAutospacing="off" w:after="240" w:afterAutospacing="off" w:line="360" w:lineRule="auto"/>
        <w:rPr>
          <w:rFonts w:ascii="Arial" w:hAnsi="Arial" w:eastAsia="Arial" w:cs="Arial"/>
          <w:b w:val="0"/>
          <w:bCs w:val="0"/>
          <w:noProof w:val="0"/>
          <w:sz w:val="22"/>
          <w:szCs w:val="22"/>
          <w:lang w:val="en-GB"/>
        </w:rPr>
      </w:pPr>
      <w:r w:rsidRPr="0D7638C3" w:rsidR="6EF203D6">
        <w:rPr>
          <w:rFonts w:ascii="Arial" w:hAnsi="Arial" w:eastAsia="Arial" w:cs="Arial"/>
          <w:b w:val="0"/>
          <w:bCs w:val="0"/>
          <w:noProof w:val="0"/>
          <w:sz w:val="22"/>
          <w:szCs w:val="22"/>
          <w:lang w:val="en-GB"/>
        </w:rPr>
        <w:t>References..........................................................................................................p11,12</w:t>
      </w:r>
    </w:p>
    <w:p w:rsidR="0D7638C3" w:rsidP="0D7638C3" w:rsidRDefault="0D7638C3" w14:paraId="5D075AC6" w14:textId="0AFFAB07">
      <w:pPr>
        <w:pStyle w:val="Normal"/>
        <w:spacing w:before="240" w:beforeAutospacing="off" w:after="240" w:afterAutospacing="off" w:line="360" w:lineRule="auto"/>
        <w:rPr>
          <w:rFonts w:ascii="Arial" w:hAnsi="Arial" w:eastAsia="Arial" w:cs="Arial"/>
          <w:b w:val="0"/>
          <w:bCs w:val="0"/>
          <w:noProof w:val="0"/>
          <w:sz w:val="22"/>
          <w:szCs w:val="22"/>
          <w:lang w:val="en-GB"/>
        </w:rPr>
      </w:pPr>
    </w:p>
    <w:p w:rsidR="781DB40A" w:rsidP="0D7638C3" w:rsidRDefault="781DB40A" w14:paraId="4C90AE84" w14:textId="0E37C7F3">
      <w:pPr>
        <w:pStyle w:val="Normal"/>
        <w:rPr>
          <w:rFonts w:ascii="Arial" w:hAnsi="Arial" w:eastAsia="Arial" w:cs="Arial"/>
          <w:b w:val="0"/>
          <w:bCs w:val="0"/>
          <w:noProof w:val="0"/>
          <w:sz w:val="22"/>
          <w:szCs w:val="22"/>
          <w:lang w:val="en-GB"/>
        </w:rPr>
      </w:pPr>
      <w:r w:rsidRPr="0D7638C3" w:rsidR="781DB40A">
        <w:rPr>
          <w:rFonts w:ascii="Arial" w:hAnsi="Arial" w:eastAsia="Arial" w:cs="Arial"/>
          <w:b w:val="0"/>
          <w:bCs w:val="0"/>
          <w:noProof w:val="0"/>
          <w:sz w:val="22"/>
          <w:szCs w:val="22"/>
          <w:lang w:val="en-GB"/>
        </w:rPr>
        <w:t xml:space="preserve"> </w:t>
      </w:r>
    </w:p>
    <w:p w:rsidR="0D7638C3" w:rsidP="0D7638C3" w:rsidRDefault="0D7638C3" w14:paraId="220290DC" w14:textId="2F6C4C8A">
      <w:pPr>
        <w:pStyle w:val="Normal"/>
        <w:rPr>
          <w:rFonts w:ascii="Arial" w:hAnsi="Arial" w:eastAsia="Arial" w:cs="Arial"/>
          <w:b w:val="1"/>
          <w:bCs w:val="1"/>
          <w:noProof w:val="0"/>
          <w:sz w:val="24"/>
          <w:szCs w:val="24"/>
          <w:lang w:val="en-GB"/>
        </w:rPr>
      </w:pPr>
    </w:p>
    <w:p w:rsidR="0D7638C3" w:rsidP="0D7638C3" w:rsidRDefault="0D7638C3" w14:paraId="095B2D8A" w14:textId="4313F2CB">
      <w:pPr>
        <w:pStyle w:val="Normal"/>
        <w:rPr>
          <w:rFonts w:ascii="Arial" w:hAnsi="Arial" w:eastAsia="Arial" w:cs="Arial"/>
          <w:b w:val="1"/>
          <w:bCs w:val="1"/>
          <w:noProof w:val="0"/>
          <w:sz w:val="24"/>
          <w:szCs w:val="24"/>
          <w:lang w:val="en-GB"/>
        </w:rPr>
      </w:pPr>
    </w:p>
    <w:p w:rsidR="0D7638C3" w:rsidP="0D7638C3" w:rsidRDefault="0D7638C3" w14:paraId="74F4D773" w14:textId="383F7FB9">
      <w:pPr>
        <w:pStyle w:val="Normal"/>
        <w:rPr>
          <w:rFonts w:ascii="Arial" w:hAnsi="Arial" w:eastAsia="Arial" w:cs="Arial"/>
          <w:b w:val="1"/>
          <w:bCs w:val="1"/>
          <w:noProof w:val="0"/>
          <w:sz w:val="24"/>
          <w:szCs w:val="24"/>
          <w:lang w:val="en-GB"/>
        </w:rPr>
      </w:pPr>
    </w:p>
    <w:p w:rsidR="0D7638C3" w:rsidP="0D7638C3" w:rsidRDefault="0D7638C3" w14:paraId="774C3840" w14:textId="59535688">
      <w:pPr>
        <w:pStyle w:val="Normal"/>
        <w:rPr>
          <w:rFonts w:ascii="Arial" w:hAnsi="Arial" w:eastAsia="Arial" w:cs="Arial"/>
          <w:b w:val="1"/>
          <w:bCs w:val="1"/>
          <w:noProof w:val="0"/>
          <w:sz w:val="24"/>
          <w:szCs w:val="24"/>
          <w:lang w:val="en-GB"/>
        </w:rPr>
      </w:pPr>
    </w:p>
    <w:p w:rsidR="0D7638C3" w:rsidP="0D7638C3" w:rsidRDefault="0D7638C3" w14:paraId="262700EB" w14:textId="723BA860">
      <w:pPr>
        <w:pStyle w:val="Normal"/>
        <w:rPr>
          <w:rFonts w:ascii="Arial" w:hAnsi="Arial" w:eastAsia="Arial" w:cs="Arial"/>
          <w:b w:val="1"/>
          <w:bCs w:val="1"/>
          <w:noProof w:val="0"/>
          <w:sz w:val="24"/>
          <w:szCs w:val="24"/>
          <w:lang w:val="en-GB"/>
        </w:rPr>
      </w:pPr>
    </w:p>
    <w:p w:rsidR="0D7638C3" w:rsidP="0D7638C3" w:rsidRDefault="0D7638C3" w14:paraId="1D1247E9" w14:textId="1E6C32C2">
      <w:pPr>
        <w:pStyle w:val="Normal"/>
        <w:rPr>
          <w:rFonts w:ascii="Arial" w:hAnsi="Arial" w:eastAsia="Arial" w:cs="Arial"/>
          <w:b w:val="1"/>
          <w:bCs w:val="1"/>
          <w:noProof w:val="0"/>
          <w:sz w:val="24"/>
          <w:szCs w:val="24"/>
          <w:lang w:val="en-GB"/>
        </w:rPr>
      </w:pPr>
    </w:p>
    <w:p w:rsidR="0D7638C3" w:rsidP="0D7638C3" w:rsidRDefault="0D7638C3" w14:paraId="0A5CDCB7" w14:textId="4661612B">
      <w:pPr>
        <w:pStyle w:val="Normal"/>
        <w:rPr>
          <w:rFonts w:ascii="Arial" w:hAnsi="Arial" w:eastAsia="Arial" w:cs="Arial"/>
          <w:b w:val="1"/>
          <w:bCs w:val="1"/>
          <w:noProof w:val="0"/>
          <w:sz w:val="24"/>
          <w:szCs w:val="24"/>
          <w:lang w:val="en-GB"/>
        </w:rPr>
      </w:pPr>
    </w:p>
    <w:p w:rsidR="0D7638C3" w:rsidP="0D7638C3" w:rsidRDefault="0D7638C3" w14:paraId="275F7CDE" w14:textId="6430B2BA">
      <w:pPr>
        <w:pStyle w:val="Normal"/>
        <w:rPr>
          <w:rFonts w:ascii="Arial" w:hAnsi="Arial" w:eastAsia="Arial" w:cs="Arial"/>
          <w:b w:val="1"/>
          <w:bCs w:val="1"/>
          <w:noProof w:val="0"/>
          <w:sz w:val="24"/>
          <w:szCs w:val="24"/>
          <w:lang w:val="en-GB"/>
        </w:rPr>
      </w:pPr>
    </w:p>
    <w:p w:rsidR="0D7638C3" w:rsidP="0D7638C3" w:rsidRDefault="0D7638C3" w14:paraId="05351B8F" w14:textId="7BA246BE">
      <w:pPr>
        <w:pStyle w:val="Normal"/>
        <w:rPr>
          <w:rFonts w:ascii="Arial" w:hAnsi="Arial" w:eastAsia="Arial" w:cs="Arial"/>
          <w:b w:val="1"/>
          <w:bCs w:val="1"/>
          <w:noProof w:val="0"/>
          <w:sz w:val="24"/>
          <w:szCs w:val="24"/>
          <w:lang w:val="en-GB"/>
        </w:rPr>
      </w:pPr>
    </w:p>
    <w:p w:rsidR="0D7638C3" w:rsidP="0D7638C3" w:rsidRDefault="0D7638C3" w14:paraId="776C9B1D" w14:textId="1D2BDB0B">
      <w:pPr>
        <w:pStyle w:val="Normal"/>
        <w:rPr>
          <w:rFonts w:ascii="Arial" w:hAnsi="Arial" w:eastAsia="Arial" w:cs="Arial"/>
          <w:b w:val="1"/>
          <w:bCs w:val="1"/>
          <w:noProof w:val="0"/>
          <w:sz w:val="24"/>
          <w:szCs w:val="24"/>
          <w:lang w:val="en-GB"/>
        </w:rPr>
      </w:pPr>
    </w:p>
    <w:p w:rsidR="0D7638C3" w:rsidP="0D7638C3" w:rsidRDefault="0D7638C3" w14:paraId="608FD3B3" w14:textId="6B2C522E">
      <w:pPr>
        <w:pStyle w:val="Normal"/>
        <w:rPr>
          <w:rFonts w:ascii="Arial" w:hAnsi="Arial" w:eastAsia="Arial" w:cs="Arial"/>
          <w:b w:val="1"/>
          <w:bCs w:val="1"/>
          <w:noProof w:val="0"/>
          <w:sz w:val="24"/>
          <w:szCs w:val="24"/>
          <w:lang w:val="en-GB"/>
        </w:rPr>
      </w:pPr>
    </w:p>
    <w:p w:rsidR="0D7638C3" w:rsidP="0D7638C3" w:rsidRDefault="0D7638C3" w14:paraId="03DBBE9D" w14:textId="2862B85B">
      <w:pPr>
        <w:pStyle w:val="Normal"/>
        <w:rPr>
          <w:rFonts w:ascii="Arial" w:hAnsi="Arial" w:eastAsia="Arial" w:cs="Arial"/>
          <w:b w:val="1"/>
          <w:bCs w:val="1"/>
          <w:noProof w:val="0"/>
          <w:sz w:val="24"/>
          <w:szCs w:val="24"/>
          <w:lang w:val="en-GB"/>
        </w:rPr>
      </w:pPr>
    </w:p>
    <w:p w:rsidR="0D7638C3" w:rsidP="0D7638C3" w:rsidRDefault="0D7638C3" w14:paraId="141F734C" w14:textId="0EB1A99C">
      <w:pPr>
        <w:pStyle w:val="Normal"/>
        <w:rPr>
          <w:rFonts w:ascii="Arial" w:hAnsi="Arial" w:eastAsia="Arial" w:cs="Arial"/>
          <w:b w:val="1"/>
          <w:bCs w:val="1"/>
          <w:noProof w:val="0"/>
          <w:sz w:val="24"/>
          <w:szCs w:val="24"/>
          <w:lang w:val="en-GB"/>
        </w:rPr>
      </w:pPr>
    </w:p>
    <w:p w:rsidR="0D7638C3" w:rsidP="0D7638C3" w:rsidRDefault="0D7638C3" w14:paraId="525321C1" w14:textId="5C27044C">
      <w:pPr>
        <w:pStyle w:val="Normal"/>
        <w:rPr>
          <w:rFonts w:ascii="Arial" w:hAnsi="Arial" w:eastAsia="Arial" w:cs="Arial"/>
          <w:b w:val="1"/>
          <w:bCs w:val="1"/>
          <w:noProof w:val="0"/>
          <w:sz w:val="24"/>
          <w:szCs w:val="24"/>
          <w:lang w:val="en-GB"/>
        </w:rPr>
      </w:pPr>
    </w:p>
    <w:p w:rsidR="0D7638C3" w:rsidP="0D7638C3" w:rsidRDefault="0D7638C3" w14:paraId="0E15DF74" w14:textId="5B433882">
      <w:pPr>
        <w:pStyle w:val="Normal"/>
        <w:rPr>
          <w:rFonts w:ascii="Arial" w:hAnsi="Arial" w:eastAsia="Arial" w:cs="Arial"/>
          <w:b w:val="1"/>
          <w:bCs w:val="1"/>
          <w:noProof w:val="0"/>
          <w:sz w:val="24"/>
          <w:szCs w:val="24"/>
          <w:lang w:val="en-GB"/>
        </w:rPr>
      </w:pPr>
    </w:p>
    <w:p w:rsidR="7A012099" w:rsidP="0D7638C3" w:rsidRDefault="7A012099" w14:paraId="16843FFA" w14:textId="3B9A4D21">
      <w:pPr>
        <w:pStyle w:val="Normal"/>
        <w:rPr>
          <w:rFonts w:ascii="Arial" w:hAnsi="Arial" w:eastAsia="Arial" w:cs="Arial"/>
          <w:b w:val="1"/>
          <w:bCs w:val="1"/>
          <w:noProof w:val="0"/>
          <w:sz w:val="24"/>
          <w:szCs w:val="24"/>
          <w:lang w:val="en-GB"/>
        </w:rPr>
      </w:pPr>
      <w:r w:rsidRPr="0D7638C3" w:rsidR="7A012099">
        <w:rPr>
          <w:rFonts w:ascii="Arial" w:hAnsi="Arial" w:eastAsia="Arial" w:cs="Arial"/>
          <w:b w:val="1"/>
          <w:bCs w:val="1"/>
          <w:noProof w:val="0"/>
          <w:sz w:val="24"/>
          <w:szCs w:val="24"/>
          <w:lang w:val="en-GB"/>
        </w:rPr>
        <w:t xml:space="preserve">Case Study Supporting Patients with Type 2 Diabetes in Primary Care   </w:t>
      </w:r>
    </w:p>
    <w:p w:rsidR="0D7638C3" w:rsidP="0D7638C3" w:rsidRDefault="0D7638C3" w14:paraId="52407EF2" w14:textId="0B768D09">
      <w:pPr>
        <w:pStyle w:val="Normal"/>
        <w:rPr>
          <w:rFonts w:ascii="Arial" w:hAnsi="Arial" w:eastAsia="Arial" w:cs="Arial"/>
          <w:b w:val="1"/>
          <w:bCs w:val="1"/>
          <w:noProof w:val="0"/>
          <w:sz w:val="24"/>
          <w:szCs w:val="24"/>
          <w:lang w:val="en-GB"/>
        </w:rPr>
      </w:pPr>
    </w:p>
    <w:p w:rsidR="7A012099" w:rsidP="0D7638C3" w:rsidRDefault="7A012099" w14:paraId="7270356E" w14:textId="15FB636E">
      <w:pPr>
        <w:pStyle w:val="Heading2"/>
        <w:spacing w:before="299" w:beforeAutospacing="off" w:after="299" w:afterAutospacing="off"/>
        <w:rPr>
          <w:rFonts w:ascii="Arial" w:hAnsi="Arial" w:eastAsia="Arial" w:cs="Arial"/>
          <w:b w:val="1"/>
          <w:bCs w:val="1"/>
          <w:noProof w:val="0"/>
          <w:color w:val="000000" w:themeColor="text1" w:themeTint="FF" w:themeShade="FF"/>
          <w:sz w:val="24"/>
          <w:szCs w:val="24"/>
          <w:lang w:val="en-GB"/>
        </w:rPr>
      </w:pPr>
      <w:r w:rsidRPr="0D7638C3" w:rsidR="7A012099">
        <w:rPr>
          <w:rFonts w:ascii="Arial" w:hAnsi="Arial" w:eastAsia="Arial" w:cs="Arial"/>
          <w:b w:val="1"/>
          <w:bCs w:val="1"/>
          <w:noProof w:val="0"/>
          <w:color w:val="000000" w:themeColor="text1" w:themeTint="FF" w:themeShade="FF"/>
          <w:sz w:val="24"/>
          <w:szCs w:val="24"/>
          <w:lang w:val="en-GB"/>
        </w:rPr>
        <w:t>Introduction</w:t>
      </w:r>
    </w:p>
    <w:p w:rsidR="7A012099" w:rsidP="0D7638C3" w:rsidRDefault="7A012099" w14:paraId="20ACA625" w14:textId="41EE6DBE">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0D7638C3" w:rsidR="7A012099">
        <w:rPr>
          <w:rFonts w:ascii="Arial" w:hAnsi="Arial" w:eastAsia="Arial" w:cs="Arial"/>
          <w:b w:val="0"/>
          <w:bCs w:val="0"/>
          <w:noProof w:val="0"/>
          <w:color w:val="000000" w:themeColor="text1" w:themeTint="FF" w:themeShade="FF"/>
          <w:sz w:val="22"/>
          <w:szCs w:val="22"/>
          <w:lang w:val="en-GB"/>
        </w:rPr>
        <w:t xml:space="preserve">As a practice nurse working in a busy general practice surgery, it has become increasingly </w:t>
      </w:r>
      <w:r w:rsidRPr="0D7638C3" w:rsidR="7A012099">
        <w:rPr>
          <w:rFonts w:ascii="Arial" w:hAnsi="Arial" w:eastAsia="Arial" w:cs="Arial"/>
          <w:b w:val="0"/>
          <w:bCs w:val="0"/>
          <w:noProof w:val="0"/>
          <w:color w:val="000000" w:themeColor="text1" w:themeTint="FF" w:themeShade="FF"/>
          <w:sz w:val="22"/>
          <w:szCs w:val="22"/>
          <w:lang w:val="en-GB"/>
        </w:rPr>
        <w:t>evident</w:t>
      </w:r>
      <w:r w:rsidRPr="0D7638C3" w:rsidR="7A012099">
        <w:rPr>
          <w:rFonts w:ascii="Arial" w:hAnsi="Arial" w:eastAsia="Arial" w:cs="Arial"/>
          <w:b w:val="0"/>
          <w:bCs w:val="0"/>
          <w:noProof w:val="0"/>
          <w:color w:val="000000" w:themeColor="text1" w:themeTint="FF" w:themeShade="FF"/>
          <w:sz w:val="22"/>
          <w:szCs w:val="22"/>
          <w:lang w:val="en-GB"/>
        </w:rPr>
        <w:t xml:space="preserve"> that a growing number of patients are being diagnosed with Type 2 diabetes mellitus. During diabetes review clinics, many individuals </w:t>
      </w:r>
      <w:r w:rsidRPr="0D7638C3" w:rsidR="7A012099">
        <w:rPr>
          <w:rFonts w:ascii="Arial" w:hAnsi="Arial" w:eastAsia="Arial" w:cs="Arial"/>
          <w:b w:val="0"/>
          <w:bCs w:val="0"/>
          <w:noProof w:val="0"/>
          <w:color w:val="000000" w:themeColor="text1" w:themeTint="FF" w:themeShade="FF"/>
          <w:sz w:val="22"/>
          <w:szCs w:val="22"/>
          <w:lang w:val="en-GB"/>
        </w:rPr>
        <w:t>demonstrate</w:t>
      </w:r>
      <w:r w:rsidRPr="0D7638C3" w:rsidR="7A012099">
        <w:rPr>
          <w:rFonts w:ascii="Arial" w:hAnsi="Arial" w:eastAsia="Arial" w:cs="Arial"/>
          <w:b w:val="0"/>
          <w:bCs w:val="0"/>
          <w:noProof w:val="0"/>
          <w:color w:val="000000" w:themeColor="text1" w:themeTint="FF" w:themeShade="FF"/>
          <w:sz w:val="22"/>
          <w:szCs w:val="22"/>
          <w:lang w:val="en-GB"/>
        </w:rPr>
        <w:t xml:space="preserve"> limited understanding of their condition and how lifestyle behaviours such as diet, physical activity, and smoking</w:t>
      </w:r>
      <w:r w:rsidRPr="0D7638C3" w:rsidR="75760965">
        <w:rPr>
          <w:rFonts w:ascii="Arial" w:hAnsi="Arial" w:eastAsia="Arial" w:cs="Arial"/>
          <w:b w:val="0"/>
          <w:bCs w:val="0"/>
          <w:noProof w:val="0"/>
          <w:color w:val="000000" w:themeColor="text1" w:themeTint="FF" w:themeShade="FF"/>
          <w:sz w:val="22"/>
          <w:szCs w:val="22"/>
          <w:lang w:val="en-GB"/>
        </w:rPr>
        <w:t xml:space="preserve"> </w:t>
      </w:r>
      <w:r w:rsidRPr="0D7638C3" w:rsidR="7A012099">
        <w:rPr>
          <w:rFonts w:ascii="Arial" w:hAnsi="Arial" w:eastAsia="Arial" w:cs="Arial"/>
          <w:b w:val="0"/>
          <w:bCs w:val="0"/>
          <w:noProof w:val="0"/>
          <w:color w:val="000000" w:themeColor="text1" w:themeTint="FF" w:themeShade="FF"/>
          <w:sz w:val="22"/>
          <w:szCs w:val="22"/>
          <w:lang w:val="en-GB"/>
        </w:rPr>
        <w:t>affect blood glucose control. Enhancing patients’ knowledge and confidence in managing their diabetes is crucial for promoting adherence, improving outcomes, and preventing long-term complications.</w:t>
      </w:r>
    </w:p>
    <w:p w:rsidR="7A012099" w:rsidP="0D7638C3" w:rsidRDefault="7A012099" w14:paraId="190AC76B" w14:textId="651D4600">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0D7638C3" w:rsidR="7A012099">
        <w:rPr>
          <w:rFonts w:ascii="Arial" w:hAnsi="Arial" w:eastAsia="Arial" w:cs="Arial"/>
          <w:b w:val="0"/>
          <w:bCs w:val="0"/>
          <w:noProof w:val="0"/>
          <w:color w:val="000000" w:themeColor="text1" w:themeTint="FF" w:themeShade="FF"/>
          <w:sz w:val="22"/>
          <w:szCs w:val="22"/>
          <w:lang w:val="en-GB"/>
        </w:rPr>
        <w:t>Diabetes mellitus</w:t>
      </w:r>
      <w:r w:rsidRPr="0D7638C3" w:rsidR="7A012099">
        <w:rPr>
          <w:rFonts w:ascii="Arial" w:hAnsi="Arial" w:eastAsia="Arial" w:cs="Arial"/>
          <w:b w:val="0"/>
          <w:bCs w:val="0"/>
          <w:noProof w:val="0"/>
          <w:color w:val="000000" w:themeColor="text1" w:themeTint="FF" w:themeShade="FF"/>
          <w:sz w:val="22"/>
          <w:szCs w:val="22"/>
          <w:lang w:val="en-GB"/>
        </w:rPr>
        <w:t xml:space="preserve"> is a chronic metabolic disorder characterised by persistent hyperglycaemia due to either defective insulin secretion, insulin action, or both (NICE, 2023). It is a major public health concern in the United Kingdom, with approximately 4.3 million people diagnosed and a further 850,000 undiagnosed (Diabetes UK, 2024). </w:t>
      </w:r>
      <w:r w:rsidRPr="0D7638C3" w:rsidR="7A012099">
        <w:rPr>
          <w:rFonts w:ascii="Arial" w:hAnsi="Arial" w:eastAsia="Arial" w:cs="Arial"/>
          <w:b w:val="0"/>
          <w:bCs w:val="0"/>
          <w:noProof w:val="0"/>
          <w:color w:val="000000" w:themeColor="text1" w:themeTint="FF" w:themeShade="FF"/>
          <w:sz w:val="22"/>
          <w:szCs w:val="22"/>
          <w:lang w:val="en-GB"/>
        </w:rPr>
        <w:t>Type 2 diabetes</w:t>
      </w:r>
      <w:r w:rsidRPr="0D7638C3" w:rsidR="7A012099">
        <w:rPr>
          <w:rFonts w:ascii="Arial" w:hAnsi="Arial" w:eastAsia="Arial" w:cs="Arial"/>
          <w:b w:val="0"/>
          <w:bCs w:val="0"/>
          <w:noProof w:val="0"/>
          <w:color w:val="000000" w:themeColor="text1" w:themeTint="FF" w:themeShade="FF"/>
          <w:sz w:val="22"/>
          <w:szCs w:val="22"/>
          <w:lang w:val="en-GB"/>
        </w:rPr>
        <w:t xml:space="preserve"> accounts for around 90 per cent of all cases and is strongly associated with modifiable lifestyle factors, including obesity, unhealthy diet, and lack of physical activity (Public Health England, 2021).</w:t>
      </w:r>
    </w:p>
    <w:p w:rsidR="7A012099" w:rsidP="0D7638C3" w:rsidRDefault="7A012099" w14:paraId="24DF958D" w14:textId="76B9A1C1">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0D7638C3" w:rsidR="7A012099">
        <w:rPr>
          <w:rFonts w:ascii="Arial" w:hAnsi="Arial" w:eastAsia="Arial" w:cs="Arial"/>
          <w:b w:val="0"/>
          <w:bCs w:val="0"/>
          <w:noProof w:val="0"/>
          <w:color w:val="000000" w:themeColor="text1" w:themeTint="FF" w:themeShade="FF"/>
          <w:sz w:val="22"/>
          <w:szCs w:val="22"/>
          <w:lang w:val="en-GB"/>
        </w:rPr>
        <w:t xml:space="preserve">Insulin, secreted by the pancreatic beta cells, regulates glucose uptake into body cells for energy production. In Type 2 diabetes, tissues develop insulin resistance, and pancreatic function gradually deteriorates, resulting in elevated blood glucose levels (Kahn et al., 2021). Chronic hyperglycaemia can lead to complications such as cardiovascular disease, neuropathy, </w:t>
      </w:r>
      <w:r w:rsidRPr="0D7638C3" w:rsidR="2897768D">
        <w:rPr>
          <w:rFonts w:ascii="Arial" w:hAnsi="Arial" w:eastAsia="Arial" w:cs="Arial"/>
          <w:b w:val="0"/>
          <w:bCs w:val="0"/>
          <w:noProof w:val="0"/>
          <w:color w:val="000000" w:themeColor="text1" w:themeTint="FF" w:themeShade="FF"/>
          <w:sz w:val="22"/>
          <w:szCs w:val="22"/>
          <w:lang w:val="en-GB"/>
        </w:rPr>
        <w:t>nephropathy,</w:t>
      </w:r>
      <w:r w:rsidRPr="0D7638C3" w:rsidR="7A012099">
        <w:rPr>
          <w:rFonts w:ascii="Arial" w:hAnsi="Arial" w:eastAsia="Arial" w:cs="Arial"/>
          <w:b w:val="0"/>
          <w:bCs w:val="0"/>
          <w:noProof w:val="0"/>
          <w:color w:val="000000" w:themeColor="text1" w:themeTint="FF" w:themeShade="FF"/>
          <w:sz w:val="22"/>
          <w:szCs w:val="22"/>
          <w:lang w:val="en-GB"/>
        </w:rPr>
        <w:t xml:space="preserve"> and retinopathy (Kumar and Clark, 2022). Major risk factors include obesity, hypertension, dyslipidaemia, smoking, genetic predisposition, and certain ethnic backgrounds (WHO, 2022).</w:t>
      </w:r>
    </w:p>
    <w:p w:rsidR="7A012099" w:rsidP="0D7638C3" w:rsidRDefault="7A012099" w14:paraId="4A1DFD5D" w14:textId="04D2F1D7">
      <w:pPr>
        <w:spacing w:before="240" w:beforeAutospacing="off" w:after="240" w:afterAutospacing="off" w:line="360" w:lineRule="auto"/>
        <w:rPr>
          <w:rFonts w:ascii="Arial" w:hAnsi="Arial" w:eastAsia="Arial" w:cs="Arial"/>
          <w:b w:val="0"/>
          <w:bCs w:val="0"/>
          <w:noProof w:val="0"/>
          <w:sz w:val="22"/>
          <w:szCs w:val="22"/>
          <w:lang w:val="en-GB"/>
        </w:rPr>
      </w:pPr>
      <w:r w:rsidRPr="0D7638C3" w:rsidR="7A012099">
        <w:rPr>
          <w:rFonts w:ascii="Arial" w:hAnsi="Arial" w:eastAsia="Arial" w:cs="Arial"/>
          <w:b w:val="0"/>
          <w:bCs w:val="0"/>
          <w:noProof w:val="0"/>
          <w:color w:val="000000" w:themeColor="text1" w:themeTint="FF" w:themeShade="FF"/>
          <w:sz w:val="22"/>
          <w:szCs w:val="22"/>
          <w:lang w:val="en-GB"/>
        </w:rPr>
        <w:t xml:space="preserve">As a practice nurse, understanding the disease process, risk factors and evidence-based interventions enables effective education and support for patients to engage with self-management strategies and sustain </w:t>
      </w:r>
      <w:r w:rsidRPr="0D7638C3" w:rsidR="7A012099">
        <w:rPr>
          <w:rFonts w:ascii="Arial" w:hAnsi="Arial" w:eastAsia="Arial" w:cs="Arial"/>
          <w:b w:val="0"/>
          <w:bCs w:val="0"/>
          <w:noProof w:val="0"/>
          <w:color w:val="000000" w:themeColor="text1" w:themeTint="FF" w:themeShade="FF"/>
          <w:sz w:val="22"/>
          <w:szCs w:val="22"/>
          <w:lang w:val="en-GB"/>
        </w:rPr>
        <w:t>optimal</w:t>
      </w:r>
      <w:r w:rsidRPr="0D7638C3" w:rsidR="7A012099">
        <w:rPr>
          <w:rFonts w:ascii="Arial" w:hAnsi="Arial" w:eastAsia="Arial" w:cs="Arial"/>
          <w:b w:val="0"/>
          <w:bCs w:val="0"/>
          <w:noProof w:val="0"/>
          <w:color w:val="000000" w:themeColor="text1" w:themeTint="FF" w:themeShade="FF"/>
          <w:sz w:val="22"/>
          <w:szCs w:val="22"/>
          <w:lang w:val="en-GB"/>
        </w:rPr>
        <w:t xml:space="preserve"> blood glucose control</w:t>
      </w:r>
      <w:r w:rsidRPr="0D7638C3" w:rsidR="7A012099">
        <w:rPr>
          <w:rFonts w:ascii="Arial" w:hAnsi="Arial" w:eastAsia="Arial" w:cs="Arial"/>
          <w:b w:val="0"/>
          <w:bCs w:val="0"/>
          <w:noProof w:val="0"/>
          <w:color w:val="000000" w:themeColor="text1" w:themeTint="FF" w:themeShade="FF"/>
          <w:sz w:val="22"/>
          <w:szCs w:val="22"/>
          <w:lang w:val="en-GB"/>
        </w:rPr>
        <w:t>.</w:t>
      </w:r>
      <w:r w:rsidRPr="0D7638C3" w:rsidR="7D8DD793">
        <w:rPr>
          <w:rFonts w:ascii="Arial" w:hAnsi="Arial" w:eastAsia="Arial" w:cs="Arial"/>
          <w:b w:val="0"/>
          <w:bCs w:val="0"/>
          <w:noProof w:val="0"/>
          <w:color w:val="000000" w:themeColor="text1" w:themeTint="FF" w:themeShade="FF"/>
          <w:sz w:val="22"/>
          <w:szCs w:val="22"/>
          <w:lang w:val="en-GB"/>
        </w:rPr>
        <w:t xml:space="preserve"> </w:t>
      </w:r>
      <w:r w:rsidRPr="0D7638C3" w:rsidR="7D8DD793">
        <w:rPr>
          <w:rFonts w:ascii="Arial" w:hAnsi="Arial" w:eastAsia="Arial" w:cs="Arial"/>
          <w:b w:val="0"/>
          <w:bCs w:val="0"/>
          <w:noProof w:val="0"/>
          <w:sz w:val="22"/>
          <w:szCs w:val="22"/>
          <w:lang w:val="en-GB"/>
        </w:rPr>
        <w:t xml:space="preserve"> </w:t>
      </w:r>
    </w:p>
    <w:p w:rsidR="7D8DD793" w:rsidP="0D7638C3" w:rsidRDefault="7D8DD793" w14:paraId="491D3BE1" w14:textId="6E0467BC">
      <w:pPr>
        <w:pStyle w:val="Normal"/>
        <w:spacing w:before="240" w:beforeAutospacing="off" w:after="240" w:afterAutospacing="off" w:line="360" w:lineRule="auto"/>
        <w:rPr>
          <w:rFonts w:ascii="Arial" w:hAnsi="Arial" w:eastAsia="Arial" w:cs="Arial"/>
          <w:b w:val="1"/>
          <w:bCs w:val="1"/>
          <w:noProof w:val="0"/>
          <w:sz w:val="24"/>
          <w:szCs w:val="24"/>
          <w:lang w:val="en-GB"/>
        </w:rPr>
      </w:pPr>
      <w:r w:rsidRPr="0D7638C3" w:rsidR="7D8DD793">
        <w:rPr>
          <w:rFonts w:ascii="Arial" w:hAnsi="Arial" w:eastAsia="Arial" w:cs="Arial"/>
          <w:b w:val="1"/>
          <w:bCs w:val="1"/>
          <w:noProof w:val="0"/>
          <w:sz w:val="24"/>
          <w:szCs w:val="24"/>
          <w:lang w:val="en-GB"/>
        </w:rPr>
        <w:t xml:space="preserve">Regulation of Blood Sugar Levels  </w:t>
      </w:r>
    </w:p>
    <w:p w:rsidR="7D8DD793" w:rsidP="0D7638C3" w:rsidRDefault="7D8DD793" w14:paraId="6EEC56B5" w14:textId="5F966F99">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Maintaining</w:t>
      </w:r>
      <w:r w:rsidRPr="0D7638C3" w:rsidR="7D8DD793">
        <w:rPr>
          <w:rFonts w:ascii="Arial" w:hAnsi="Arial" w:eastAsia="Arial" w:cs="Arial"/>
          <w:b w:val="0"/>
          <w:bCs w:val="0"/>
          <w:noProof w:val="0"/>
          <w:sz w:val="22"/>
          <w:szCs w:val="22"/>
          <w:lang w:val="en-GB"/>
        </w:rPr>
        <w:t xml:space="preserve"> stable blood glucose levels is essential for normal body function. The body’s cells, especially those in the brain, rely heavily on glucose as a primary energy source. Normal fasting plasma glucose levels typically range between </w:t>
      </w:r>
      <w:r w:rsidRPr="0D7638C3" w:rsidR="7D8DD793">
        <w:rPr>
          <w:rFonts w:ascii="Arial" w:hAnsi="Arial" w:eastAsia="Arial" w:cs="Arial"/>
          <w:b w:val="0"/>
          <w:bCs w:val="0"/>
          <w:noProof w:val="0"/>
          <w:sz w:val="22"/>
          <w:szCs w:val="22"/>
          <w:lang w:val="en-GB"/>
        </w:rPr>
        <w:t>4.0–5.4 mmol/L</w:t>
      </w:r>
      <w:r w:rsidRPr="0D7638C3" w:rsidR="7D8DD793">
        <w:rPr>
          <w:rFonts w:ascii="Arial" w:hAnsi="Arial" w:eastAsia="Arial" w:cs="Arial"/>
          <w:b w:val="0"/>
          <w:bCs w:val="0"/>
          <w:noProof w:val="0"/>
          <w:sz w:val="22"/>
          <w:szCs w:val="22"/>
          <w:lang w:val="en-GB"/>
        </w:rPr>
        <w:t xml:space="preserve">, increasing to less than </w:t>
      </w:r>
      <w:r w:rsidRPr="0D7638C3" w:rsidR="7D8DD793">
        <w:rPr>
          <w:rFonts w:ascii="Arial" w:hAnsi="Arial" w:eastAsia="Arial" w:cs="Arial"/>
          <w:b w:val="0"/>
          <w:bCs w:val="0"/>
          <w:noProof w:val="0"/>
          <w:sz w:val="22"/>
          <w:szCs w:val="22"/>
          <w:lang w:val="en-GB"/>
        </w:rPr>
        <w:t>7.8 mmol/L</w:t>
      </w:r>
      <w:r w:rsidRPr="0D7638C3" w:rsidR="7D8DD793">
        <w:rPr>
          <w:rFonts w:ascii="Arial" w:hAnsi="Arial" w:eastAsia="Arial" w:cs="Arial"/>
          <w:b w:val="0"/>
          <w:bCs w:val="0"/>
          <w:noProof w:val="0"/>
          <w:sz w:val="22"/>
          <w:szCs w:val="22"/>
          <w:lang w:val="en-GB"/>
        </w:rPr>
        <w:t xml:space="preserve"> after meals (NICE, 2023). This balance is achieved through a </w:t>
      </w:r>
      <w:r w:rsidRPr="0D7638C3" w:rsidR="7D8DD793">
        <w:rPr>
          <w:rFonts w:ascii="Arial" w:hAnsi="Arial" w:eastAsia="Arial" w:cs="Arial"/>
          <w:b w:val="0"/>
          <w:bCs w:val="0"/>
          <w:noProof w:val="0"/>
          <w:sz w:val="22"/>
          <w:szCs w:val="22"/>
          <w:lang w:val="en-GB"/>
        </w:rPr>
        <w:t>hormonal feedback mechanism</w:t>
      </w:r>
      <w:r w:rsidRPr="0D7638C3" w:rsidR="7D8DD793">
        <w:rPr>
          <w:rFonts w:ascii="Arial" w:hAnsi="Arial" w:eastAsia="Arial" w:cs="Arial"/>
          <w:b w:val="0"/>
          <w:bCs w:val="0"/>
          <w:noProof w:val="0"/>
          <w:sz w:val="22"/>
          <w:szCs w:val="22"/>
          <w:lang w:val="en-GB"/>
        </w:rPr>
        <w:t xml:space="preserve"> involving insulin and glucagon, secreted by the pancreas.</w:t>
      </w:r>
    </w:p>
    <w:p w:rsidR="7D8DD793" w:rsidP="0D7638C3" w:rsidRDefault="7D8DD793" w14:paraId="56BAC677" w14:textId="47DE395F">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 xml:space="preserve">When blood glucose levels rise after food intake, insulin </w:t>
      </w:r>
      <w:r w:rsidRPr="0D7638C3" w:rsidR="7D8DD793">
        <w:rPr>
          <w:rFonts w:ascii="Arial" w:hAnsi="Arial" w:eastAsia="Arial" w:cs="Arial"/>
          <w:b w:val="0"/>
          <w:bCs w:val="0"/>
          <w:noProof w:val="0"/>
          <w:sz w:val="22"/>
          <w:szCs w:val="22"/>
          <w:lang w:val="en-GB"/>
        </w:rPr>
        <w:t>facilitates</w:t>
      </w:r>
      <w:r w:rsidRPr="0D7638C3" w:rsidR="7D8DD793">
        <w:rPr>
          <w:rFonts w:ascii="Arial" w:hAnsi="Arial" w:eastAsia="Arial" w:cs="Arial"/>
          <w:b w:val="0"/>
          <w:bCs w:val="0"/>
          <w:noProof w:val="0"/>
          <w:sz w:val="22"/>
          <w:szCs w:val="22"/>
          <w:lang w:val="en-GB"/>
        </w:rPr>
        <w:t xml:space="preserve"> the uptake of glucose into muscle, liver, and adipose tissue. Excess glucose is stored in the liver as glycogen, a process known as </w:t>
      </w:r>
      <w:r w:rsidRPr="0D7638C3" w:rsidR="7D8DD793">
        <w:rPr>
          <w:rFonts w:ascii="Arial" w:hAnsi="Arial" w:eastAsia="Arial" w:cs="Arial"/>
          <w:b w:val="0"/>
          <w:bCs w:val="0"/>
          <w:noProof w:val="0"/>
          <w:sz w:val="22"/>
          <w:szCs w:val="22"/>
          <w:lang w:val="en-GB"/>
        </w:rPr>
        <w:t>glycogenesis</w:t>
      </w:r>
      <w:r w:rsidRPr="0D7638C3" w:rsidR="7D8DD793">
        <w:rPr>
          <w:rFonts w:ascii="Arial" w:hAnsi="Arial" w:eastAsia="Arial" w:cs="Arial"/>
          <w:b w:val="0"/>
          <w:bCs w:val="0"/>
          <w:noProof w:val="0"/>
          <w:sz w:val="22"/>
          <w:szCs w:val="22"/>
          <w:lang w:val="en-GB"/>
        </w:rPr>
        <w:t xml:space="preserve">. When glucose levels fall between meals or during fasting, </w:t>
      </w:r>
      <w:r w:rsidRPr="0D7638C3" w:rsidR="7D8DD793">
        <w:rPr>
          <w:rFonts w:ascii="Arial" w:hAnsi="Arial" w:eastAsia="Arial" w:cs="Arial"/>
          <w:b w:val="0"/>
          <w:bCs w:val="0"/>
          <w:noProof w:val="0"/>
          <w:sz w:val="22"/>
          <w:szCs w:val="22"/>
          <w:lang w:val="en-GB"/>
        </w:rPr>
        <w:t>glucagon</w:t>
      </w:r>
      <w:r w:rsidRPr="0D7638C3" w:rsidR="7D8DD793">
        <w:rPr>
          <w:rFonts w:ascii="Arial" w:hAnsi="Arial" w:eastAsia="Arial" w:cs="Arial"/>
          <w:b w:val="0"/>
          <w:bCs w:val="0"/>
          <w:noProof w:val="0"/>
          <w:sz w:val="22"/>
          <w:szCs w:val="22"/>
          <w:lang w:val="en-GB"/>
        </w:rPr>
        <w:t xml:space="preserve"> is released, stimulating the conversion of glycogen back into glucose (</w:t>
      </w:r>
      <w:r w:rsidRPr="0D7638C3" w:rsidR="7D8DD793">
        <w:rPr>
          <w:rFonts w:ascii="Arial" w:hAnsi="Arial" w:eastAsia="Arial" w:cs="Arial"/>
          <w:b w:val="0"/>
          <w:bCs w:val="0"/>
          <w:noProof w:val="0"/>
          <w:sz w:val="22"/>
          <w:szCs w:val="22"/>
          <w:lang w:val="en-GB"/>
        </w:rPr>
        <w:t>glycogenolysis</w:t>
      </w:r>
      <w:r w:rsidRPr="0D7638C3" w:rsidR="7D8DD793">
        <w:rPr>
          <w:rFonts w:ascii="Arial" w:hAnsi="Arial" w:eastAsia="Arial" w:cs="Arial"/>
          <w:b w:val="0"/>
          <w:bCs w:val="0"/>
          <w:noProof w:val="0"/>
          <w:sz w:val="22"/>
          <w:szCs w:val="22"/>
          <w:lang w:val="en-GB"/>
        </w:rPr>
        <w:t>) and the formation of glucose from non-carbohydrate sources (</w:t>
      </w:r>
      <w:r w:rsidRPr="0D7638C3" w:rsidR="7D8DD793">
        <w:rPr>
          <w:rFonts w:ascii="Arial" w:hAnsi="Arial" w:eastAsia="Arial" w:cs="Arial"/>
          <w:b w:val="0"/>
          <w:bCs w:val="0"/>
          <w:noProof w:val="0"/>
          <w:sz w:val="22"/>
          <w:szCs w:val="22"/>
          <w:lang w:val="en-GB"/>
        </w:rPr>
        <w:t>gluconeogenesis</w:t>
      </w:r>
      <w:r w:rsidRPr="0D7638C3" w:rsidR="7D8DD793">
        <w:rPr>
          <w:rFonts w:ascii="Arial" w:hAnsi="Arial" w:eastAsia="Arial" w:cs="Arial"/>
          <w:b w:val="0"/>
          <w:bCs w:val="0"/>
          <w:noProof w:val="0"/>
          <w:sz w:val="22"/>
          <w:szCs w:val="22"/>
          <w:lang w:val="en-GB"/>
        </w:rPr>
        <w:t xml:space="preserve">) to </w:t>
      </w:r>
      <w:r w:rsidRPr="0D7638C3" w:rsidR="7D8DD793">
        <w:rPr>
          <w:rFonts w:ascii="Arial" w:hAnsi="Arial" w:eastAsia="Arial" w:cs="Arial"/>
          <w:b w:val="0"/>
          <w:bCs w:val="0"/>
          <w:noProof w:val="0"/>
          <w:sz w:val="22"/>
          <w:szCs w:val="22"/>
          <w:lang w:val="en-GB"/>
        </w:rPr>
        <w:t>maintain</w:t>
      </w:r>
      <w:r w:rsidRPr="0D7638C3" w:rsidR="7D8DD793">
        <w:rPr>
          <w:rFonts w:ascii="Arial" w:hAnsi="Arial" w:eastAsia="Arial" w:cs="Arial"/>
          <w:b w:val="0"/>
          <w:bCs w:val="0"/>
          <w:noProof w:val="0"/>
          <w:sz w:val="22"/>
          <w:szCs w:val="22"/>
          <w:lang w:val="en-GB"/>
        </w:rPr>
        <w:t xml:space="preserve"> homeostasis (</w:t>
      </w:r>
      <w:r w:rsidRPr="0D7638C3" w:rsidR="7D8DD793">
        <w:rPr>
          <w:rFonts w:ascii="Arial" w:hAnsi="Arial" w:eastAsia="Arial" w:cs="Arial"/>
          <w:b w:val="0"/>
          <w:bCs w:val="0"/>
          <w:noProof w:val="0"/>
          <w:sz w:val="22"/>
          <w:szCs w:val="22"/>
          <w:lang w:val="en-GB"/>
        </w:rPr>
        <w:t>Marieb</w:t>
      </w:r>
      <w:r w:rsidRPr="0D7638C3" w:rsidR="7D8DD793">
        <w:rPr>
          <w:rFonts w:ascii="Arial" w:hAnsi="Arial" w:eastAsia="Arial" w:cs="Arial"/>
          <w:b w:val="0"/>
          <w:bCs w:val="0"/>
          <w:noProof w:val="0"/>
          <w:sz w:val="22"/>
          <w:szCs w:val="22"/>
          <w:lang w:val="en-GB"/>
        </w:rPr>
        <w:t xml:space="preserve"> and Hoehn, 2019; Sherwood, 2021).</w:t>
      </w:r>
    </w:p>
    <w:p w:rsidR="7D8DD793" w:rsidP="0D7638C3" w:rsidRDefault="7D8DD793" w14:paraId="62628D18" w14:textId="36EC123B">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 xml:space="preserve">In people with Type 2 diabetes, insulin production may be inadequate or the body’s tissues resistant to its effects, resulting in hyperglycaemia (Kahn et al., 2021). Persistent hyperglycaemia causes endothelial damage, leading to microvascular and macrovascular complications such as retinopathy, </w:t>
      </w:r>
      <w:r w:rsidRPr="0D7638C3" w:rsidR="7B74CA8D">
        <w:rPr>
          <w:rFonts w:ascii="Arial" w:hAnsi="Arial" w:eastAsia="Arial" w:cs="Arial"/>
          <w:b w:val="0"/>
          <w:bCs w:val="0"/>
          <w:noProof w:val="0"/>
          <w:sz w:val="22"/>
          <w:szCs w:val="22"/>
          <w:lang w:val="en-GB"/>
        </w:rPr>
        <w:t>nephropathy,</w:t>
      </w:r>
      <w:r w:rsidRPr="0D7638C3" w:rsidR="7D8DD793">
        <w:rPr>
          <w:rFonts w:ascii="Arial" w:hAnsi="Arial" w:eastAsia="Arial" w:cs="Arial"/>
          <w:b w:val="0"/>
          <w:bCs w:val="0"/>
          <w:noProof w:val="0"/>
          <w:sz w:val="22"/>
          <w:szCs w:val="22"/>
          <w:lang w:val="en-GB"/>
        </w:rPr>
        <w:t xml:space="preserve"> and coronary artery disease (ADA, 2023).</w:t>
      </w:r>
    </w:p>
    <w:p w:rsidR="7D8DD793" w:rsidP="0D7638C3" w:rsidRDefault="7D8DD793" w14:paraId="34AF250A" w14:textId="5C329B92">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 xml:space="preserve">As a practice nurse, helping patients understand these physiological processes can improve adherence to treatment and encourage behavioural changes. Explaining how the body regulates glucose can make abstract concepts such as diet control and medication use more meaningful and promote engagement in self-management. </w:t>
      </w:r>
    </w:p>
    <w:p w:rsidR="7D8DD793" w:rsidP="0D7638C3" w:rsidRDefault="7D8DD793" w14:paraId="270C20DE" w14:textId="5A63985C">
      <w:pPr>
        <w:pStyle w:val="Normal"/>
        <w:spacing w:before="240" w:beforeAutospacing="off" w:after="240" w:afterAutospacing="off" w:line="360" w:lineRule="auto"/>
        <w:rPr>
          <w:rFonts w:ascii="Arial" w:hAnsi="Arial" w:eastAsia="Arial" w:cs="Arial"/>
          <w:b w:val="1"/>
          <w:bCs w:val="1"/>
          <w:noProof w:val="0"/>
          <w:sz w:val="24"/>
          <w:szCs w:val="24"/>
          <w:lang w:val="en-GB"/>
        </w:rPr>
      </w:pPr>
      <w:r w:rsidRPr="0D7638C3" w:rsidR="7D8DD793">
        <w:rPr>
          <w:rFonts w:ascii="Arial" w:hAnsi="Arial" w:eastAsia="Arial" w:cs="Arial"/>
          <w:b w:val="1"/>
          <w:bCs w:val="1"/>
          <w:noProof w:val="0"/>
          <w:sz w:val="24"/>
          <w:szCs w:val="24"/>
          <w:lang w:val="en-GB"/>
        </w:rPr>
        <w:t xml:space="preserve">Oxygen and Glucose in Cellular Energy Production </w:t>
      </w:r>
    </w:p>
    <w:p w:rsidR="7D8DD793" w:rsidP="0D7638C3" w:rsidRDefault="7D8DD793" w14:paraId="1BDB8EB3" w14:textId="74A83A00">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 xml:space="preserve">Cells require a continuous supply of energy to carry out vital physiological functions such as muscle contraction, active </w:t>
      </w:r>
      <w:r w:rsidRPr="0D7638C3" w:rsidR="7BD83F16">
        <w:rPr>
          <w:rFonts w:ascii="Arial" w:hAnsi="Arial" w:eastAsia="Arial" w:cs="Arial"/>
          <w:b w:val="0"/>
          <w:bCs w:val="0"/>
          <w:noProof w:val="0"/>
          <w:sz w:val="22"/>
          <w:szCs w:val="22"/>
          <w:lang w:val="en-GB"/>
        </w:rPr>
        <w:t>transport,</w:t>
      </w:r>
      <w:r w:rsidRPr="0D7638C3" w:rsidR="7D8DD793">
        <w:rPr>
          <w:rFonts w:ascii="Arial" w:hAnsi="Arial" w:eastAsia="Arial" w:cs="Arial"/>
          <w:b w:val="0"/>
          <w:bCs w:val="0"/>
          <w:noProof w:val="0"/>
          <w:sz w:val="22"/>
          <w:szCs w:val="22"/>
          <w:lang w:val="en-GB"/>
        </w:rPr>
        <w:t xml:space="preserve"> and cellular repair. This energy is obtained through aerobic cellular respiration, where glucose and oxygen are converted into adenosine triphosphate (ATP), the body’s universal energy molecule (</w:t>
      </w:r>
      <w:r w:rsidRPr="0D7638C3" w:rsidR="7D8DD793">
        <w:rPr>
          <w:rFonts w:ascii="Arial" w:hAnsi="Arial" w:eastAsia="Arial" w:cs="Arial"/>
          <w:b w:val="0"/>
          <w:bCs w:val="0"/>
          <w:noProof w:val="0"/>
          <w:sz w:val="22"/>
          <w:szCs w:val="22"/>
          <w:lang w:val="en-GB"/>
        </w:rPr>
        <w:t>Marieb</w:t>
      </w:r>
      <w:r w:rsidRPr="0D7638C3" w:rsidR="7D8DD793">
        <w:rPr>
          <w:rFonts w:ascii="Arial" w:hAnsi="Arial" w:eastAsia="Arial" w:cs="Arial"/>
          <w:b w:val="0"/>
          <w:bCs w:val="0"/>
          <w:noProof w:val="0"/>
          <w:sz w:val="22"/>
          <w:szCs w:val="22"/>
          <w:lang w:val="en-GB"/>
        </w:rPr>
        <w:t xml:space="preserve"> and Hoehn, 2019; Nelson and Cox, 2021). The overall reaction can be summarised as:</w:t>
      </w:r>
    </w:p>
    <w:p w:rsidR="7D8DD793" w:rsidP="0D7638C3" w:rsidRDefault="7D8DD793" w14:paraId="284429C8" w14:textId="6668E068">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C₆H₁₂O₆ + 6O₂ → 6CO₂ + 6H₂O + Energy (ATP)</w:t>
      </w:r>
      <w:r w:rsidRPr="0D7638C3" w:rsidR="7D8DD793">
        <w:rPr>
          <w:rFonts w:ascii="Arial" w:hAnsi="Arial" w:eastAsia="Arial" w:cs="Arial"/>
          <w:b w:val="0"/>
          <w:bCs w:val="0"/>
          <w:noProof w:val="0"/>
          <w:sz w:val="22"/>
          <w:szCs w:val="22"/>
          <w:lang w:val="en-GB"/>
        </w:rPr>
        <w:t xml:space="preserve"> (Waugh and Grant, 2018; Sherwood, 2021).</w:t>
      </w:r>
    </w:p>
    <w:p w:rsidR="7D8DD793" w:rsidP="0D7638C3" w:rsidRDefault="7D8DD793" w14:paraId="1E920B70" w14:textId="40359330">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 xml:space="preserve">This process occurs in three key stages. The first stage, </w:t>
      </w:r>
      <w:r w:rsidRPr="0D7638C3" w:rsidR="7D8DD793">
        <w:rPr>
          <w:rFonts w:ascii="Arial" w:hAnsi="Arial" w:eastAsia="Arial" w:cs="Arial"/>
          <w:b w:val="0"/>
          <w:bCs w:val="0"/>
          <w:noProof w:val="0"/>
          <w:sz w:val="22"/>
          <w:szCs w:val="22"/>
          <w:lang w:val="en-GB"/>
        </w:rPr>
        <w:t>glycolysis</w:t>
      </w:r>
      <w:r w:rsidRPr="0D7638C3" w:rsidR="7D8DD793">
        <w:rPr>
          <w:rFonts w:ascii="Arial" w:hAnsi="Arial" w:eastAsia="Arial" w:cs="Arial"/>
          <w:b w:val="0"/>
          <w:bCs w:val="0"/>
          <w:noProof w:val="0"/>
          <w:sz w:val="22"/>
          <w:szCs w:val="22"/>
          <w:lang w:val="en-GB"/>
        </w:rPr>
        <w:t>, takes place in the cytoplasm, where one molecule of glucose is broken down into two molecules of pyruvate, generating a small net yield of two ATP molecules and two molecules of NADH (</w:t>
      </w:r>
      <w:r w:rsidRPr="0D7638C3" w:rsidR="7D8DD793">
        <w:rPr>
          <w:rFonts w:ascii="Arial" w:hAnsi="Arial" w:eastAsia="Arial" w:cs="Arial"/>
          <w:b w:val="0"/>
          <w:bCs w:val="0"/>
          <w:noProof w:val="0"/>
          <w:sz w:val="22"/>
          <w:szCs w:val="22"/>
          <w:lang w:val="en-GB"/>
        </w:rPr>
        <w:t>Marieb</w:t>
      </w:r>
      <w:r w:rsidRPr="0D7638C3" w:rsidR="7D8DD793">
        <w:rPr>
          <w:rFonts w:ascii="Arial" w:hAnsi="Arial" w:eastAsia="Arial" w:cs="Arial"/>
          <w:b w:val="0"/>
          <w:bCs w:val="0"/>
          <w:noProof w:val="0"/>
          <w:sz w:val="22"/>
          <w:szCs w:val="22"/>
          <w:lang w:val="en-GB"/>
        </w:rPr>
        <w:t xml:space="preserve"> and Hoehn, 2019). The second stage, the </w:t>
      </w:r>
      <w:r w:rsidRPr="0D7638C3" w:rsidR="7D8DD793">
        <w:rPr>
          <w:rFonts w:ascii="Arial" w:hAnsi="Arial" w:eastAsia="Arial" w:cs="Arial"/>
          <w:b w:val="0"/>
          <w:bCs w:val="0"/>
          <w:noProof w:val="0"/>
          <w:sz w:val="22"/>
          <w:szCs w:val="22"/>
          <w:lang w:val="en-GB"/>
        </w:rPr>
        <w:t>Krebs cycle</w:t>
      </w:r>
      <w:r w:rsidRPr="0D7638C3" w:rsidR="7D8DD793">
        <w:rPr>
          <w:rFonts w:ascii="Arial" w:hAnsi="Arial" w:eastAsia="Arial" w:cs="Arial"/>
          <w:b w:val="0"/>
          <w:bCs w:val="0"/>
          <w:noProof w:val="0"/>
          <w:sz w:val="22"/>
          <w:szCs w:val="22"/>
          <w:lang w:val="en-GB"/>
        </w:rPr>
        <w:t xml:space="preserve"> (citric acid cycle), occurs within the mitochondria, where pyruvate is converted to acetyl-CoA and then oxidised. This releases carbon dioxide and transfers energy to electron carriers NADH and FADH₂ (Nelson and Cox, 2021).</w:t>
      </w:r>
    </w:p>
    <w:p w:rsidR="7D8DD793" w:rsidP="0D7638C3" w:rsidRDefault="7D8DD793" w14:paraId="43A8AFDE" w14:textId="7EABB084">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 xml:space="preserve">The final stage, the </w:t>
      </w:r>
      <w:r w:rsidRPr="0D7638C3" w:rsidR="7D8DD793">
        <w:rPr>
          <w:rFonts w:ascii="Arial" w:hAnsi="Arial" w:eastAsia="Arial" w:cs="Arial"/>
          <w:b w:val="0"/>
          <w:bCs w:val="0"/>
          <w:noProof w:val="0"/>
          <w:sz w:val="22"/>
          <w:szCs w:val="22"/>
          <w:lang w:val="en-GB"/>
        </w:rPr>
        <w:t>electron transport chain (ETC)</w:t>
      </w:r>
      <w:r w:rsidRPr="0D7638C3" w:rsidR="7D8DD793">
        <w:rPr>
          <w:rFonts w:ascii="Arial" w:hAnsi="Arial" w:eastAsia="Arial" w:cs="Arial"/>
          <w:b w:val="0"/>
          <w:bCs w:val="0"/>
          <w:noProof w:val="0"/>
          <w:sz w:val="22"/>
          <w:szCs w:val="22"/>
          <w:lang w:val="en-GB"/>
        </w:rPr>
        <w:t>, takes place in the inner mitochondrial membrane. Electrons from NADH and FADH₂ are transferred through a series of protein complexes, driving ATP production via oxidative phosphorylation (Sherwood, 2021). Oxygen acts as the final electron acceptor, combining with hydrogen to form water, completing the process (Waugh and Grant, 2018).</w:t>
      </w:r>
    </w:p>
    <w:p w:rsidR="7D8DD793" w:rsidP="0D7638C3" w:rsidRDefault="7D8DD793" w14:paraId="4F3D500B" w14:textId="75362345">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 xml:space="preserve">Inadequate glucose uptake, as seen in diabetes, disrupts this energy-producing pathway. When glucose cannot enter cells effectively due to insulin resistance or deficiency, the body metabolises fat as an alternative energy source. This results in the accumulation of </w:t>
      </w:r>
      <w:r w:rsidRPr="0D7638C3" w:rsidR="7D8DD793">
        <w:rPr>
          <w:rFonts w:ascii="Arial" w:hAnsi="Arial" w:eastAsia="Arial" w:cs="Arial"/>
          <w:b w:val="0"/>
          <w:bCs w:val="0"/>
          <w:noProof w:val="0"/>
          <w:sz w:val="22"/>
          <w:szCs w:val="22"/>
          <w:lang w:val="en-GB"/>
        </w:rPr>
        <w:t>ketone bodies</w:t>
      </w:r>
      <w:r w:rsidRPr="0D7638C3" w:rsidR="7D8DD793">
        <w:rPr>
          <w:rFonts w:ascii="Arial" w:hAnsi="Arial" w:eastAsia="Arial" w:cs="Arial"/>
          <w:b w:val="0"/>
          <w:bCs w:val="0"/>
          <w:noProof w:val="0"/>
          <w:sz w:val="22"/>
          <w:szCs w:val="22"/>
          <w:lang w:val="en-GB"/>
        </w:rPr>
        <w:t xml:space="preserve">, which, in excessive amounts, can cause </w:t>
      </w:r>
      <w:r w:rsidRPr="0D7638C3" w:rsidR="7D8DD793">
        <w:rPr>
          <w:rFonts w:ascii="Arial" w:hAnsi="Arial" w:eastAsia="Arial" w:cs="Arial"/>
          <w:b w:val="0"/>
          <w:bCs w:val="0"/>
          <w:noProof w:val="0"/>
          <w:sz w:val="22"/>
          <w:szCs w:val="22"/>
          <w:lang w:val="en-GB"/>
        </w:rPr>
        <w:t>diabetic ketoacidosis</w:t>
      </w:r>
      <w:r w:rsidRPr="0D7638C3" w:rsidR="7D8DD793">
        <w:rPr>
          <w:rFonts w:ascii="Arial" w:hAnsi="Arial" w:eastAsia="Arial" w:cs="Arial"/>
          <w:b w:val="0"/>
          <w:bCs w:val="0"/>
          <w:noProof w:val="0"/>
          <w:sz w:val="22"/>
          <w:szCs w:val="22"/>
          <w:lang w:val="en-GB"/>
        </w:rPr>
        <w:t>, a serious metabolic complication (Waugh and Grant, 2018; Sherwood, 2021).</w:t>
      </w:r>
    </w:p>
    <w:p w:rsidR="7D8DD793" w:rsidP="0D7638C3" w:rsidRDefault="7D8DD793" w14:paraId="1BF90259" w14:textId="4535BAC9">
      <w:pPr>
        <w:spacing w:before="240" w:beforeAutospacing="off" w:after="240" w:afterAutospacing="off" w:line="360" w:lineRule="auto"/>
        <w:rPr>
          <w:rFonts w:ascii="Arial" w:hAnsi="Arial" w:eastAsia="Arial" w:cs="Arial"/>
          <w:b w:val="0"/>
          <w:bCs w:val="0"/>
          <w:noProof w:val="0"/>
          <w:sz w:val="22"/>
          <w:szCs w:val="22"/>
          <w:lang w:val="en-GB"/>
        </w:rPr>
      </w:pPr>
      <w:r w:rsidRPr="0D7638C3" w:rsidR="7D8DD793">
        <w:rPr>
          <w:rFonts w:ascii="Arial" w:hAnsi="Arial" w:eastAsia="Arial" w:cs="Arial"/>
          <w:b w:val="0"/>
          <w:bCs w:val="0"/>
          <w:noProof w:val="0"/>
          <w:sz w:val="22"/>
          <w:szCs w:val="22"/>
          <w:lang w:val="en-GB"/>
        </w:rPr>
        <w:t xml:space="preserve">Helping patients understand this relationship between glucose, oxygen and energy production enables them to appreciate the importance of </w:t>
      </w:r>
      <w:r w:rsidRPr="0D7638C3" w:rsidR="7D8DD793">
        <w:rPr>
          <w:rFonts w:ascii="Arial" w:hAnsi="Arial" w:eastAsia="Arial" w:cs="Arial"/>
          <w:b w:val="0"/>
          <w:bCs w:val="0"/>
          <w:noProof w:val="0"/>
          <w:sz w:val="22"/>
          <w:szCs w:val="22"/>
          <w:lang w:val="en-GB"/>
        </w:rPr>
        <w:t>maintaining</w:t>
      </w:r>
      <w:r w:rsidRPr="0D7638C3" w:rsidR="7D8DD793">
        <w:rPr>
          <w:rFonts w:ascii="Arial" w:hAnsi="Arial" w:eastAsia="Arial" w:cs="Arial"/>
          <w:b w:val="0"/>
          <w:bCs w:val="0"/>
          <w:noProof w:val="0"/>
          <w:sz w:val="22"/>
          <w:szCs w:val="22"/>
          <w:lang w:val="en-GB"/>
        </w:rPr>
        <w:t xml:space="preserve"> safe blood glucose levels. Through clear education, nurses can reinforce that uncontrolled diabetes affects the body’s ability to generate energy efficiently, leading to fatigue and long-term harm.</w:t>
      </w:r>
    </w:p>
    <w:p w:rsidR="7D8DD793" w:rsidP="0D7638C3" w:rsidRDefault="7D8DD793" w14:paraId="00A1B80D" w14:textId="2850436A">
      <w:pPr>
        <w:pStyle w:val="Normal"/>
        <w:spacing w:before="240" w:beforeAutospacing="off" w:after="240" w:afterAutospacing="off" w:line="360" w:lineRule="auto"/>
        <w:rPr>
          <w:rFonts w:ascii="Arial" w:hAnsi="Arial" w:eastAsia="Arial" w:cs="Arial"/>
          <w:b w:val="1"/>
          <w:bCs w:val="1"/>
          <w:noProof w:val="0"/>
          <w:sz w:val="24"/>
          <w:szCs w:val="24"/>
          <w:lang w:val="en-GB"/>
        </w:rPr>
      </w:pPr>
      <w:r w:rsidRPr="0D7638C3" w:rsidR="7D8DD793">
        <w:rPr>
          <w:rFonts w:ascii="Arial" w:hAnsi="Arial" w:eastAsia="Arial" w:cs="Arial"/>
          <w:b w:val="1"/>
          <w:bCs w:val="1"/>
          <w:noProof w:val="0"/>
          <w:sz w:val="24"/>
          <w:szCs w:val="24"/>
          <w:lang w:val="en-GB"/>
        </w:rPr>
        <w:t xml:space="preserve">The Importance of Recording and Tracking Blood Sugar Levels </w:t>
      </w:r>
    </w:p>
    <w:p w:rsidR="36148DA4" w:rsidP="0D7638C3" w:rsidRDefault="36148DA4" w14:paraId="240B49D4" w14:textId="3D90553F">
      <w:pPr>
        <w:spacing w:before="240" w:beforeAutospacing="off" w:after="240" w:afterAutospacing="off" w:line="360" w:lineRule="auto"/>
        <w:rPr>
          <w:rFonts w:ascii="Arial" w:hAnsi="Arial" w:eastAsia="Arial" w:cs="Arial"/>
          <w:b w:val="0"/>
          <w:bCs w:val="0"/>
          <w:noProof w:val="0"/>
          <w:sz w:val="22"/>
          <w:szCs w:val="22"/>
          <w:lang w:val="en-GB"/>
        </w:rPr>
      </w:pPr>
      <w:r w:rsidRPr="0D7638C3" w:rsidR="36148DA4">
        <w:rPr>
          <w:rFonts w:ascii="Arial" w:hAnsi="Arial" w:eastAsia="Arial" w:cs="Arial"/>
          <w:b w:val="0"/>
          <w:bCs w:val="0"/>
          <w:noProof w:val="0"/>
          <w:sz w:val="22"/>
          <w:szCs w:val="22"/>
          <w:lang w:val="en-GB"/>
        </w:rPr>
        <w:t>In clinical practice, recording and tracking blood sugar levels is a fundamental aspect of diabetes self-management. For patients, regular monitoring provides insight into how daily habits</w:t>
      </w:r>
      <w:r w:rsidRPr="0D7638C3" w:rsidR="299823F0">
        <w:rPr>
          <w:rFonts w:ascii="Arial" w:hAnsi="Arial" w:eastAsia="Arial" w:cs="Arial"/>
          <w:b w:val="0"/>
          <w:bCs w:val="0"/>
          <w:noProof w:val="0"/>
          <w:sz w:val="22"/>
          <w:szCs w:val="22"/>
          <w:lang w:val="en-GB"/>
        </w:rPr>
        <w:t xml:space="preserve"> </w:t>
      </w:r>
      <w:r w:rsidRPr="0D7638C3" w:rsidR="36148DA4">
        <w:rPr>
          <w:rFonts w:ascii="Arial" w:hAnsi="Arial" w:eastAsia="Arial" w:cs="Arial"/>
          <w:b w:val="0"/>
          <w:bCs w:val="0"/>
          <w:noProof w:val="0"/>
          <w:sz w:val="22"/>
          <w:szCs w:val="22"/>
          <w:lang w:val="en-GB"/>
        </w:rPr>
        <w:t xml:space="preserve">such as eating, </w:t>
      </w:r>
      <w:r w:rsidRPr="0D7638C3" w:rsidR="350B454D">
        <w:rPr>
          <w:rFonts w:ascii="Arial" w:hAnsi="Arial" w:eastAsia="Arial" w:cs="Arial"/>
          <w:b w:val="0"/>
          <w:bCs w:val="0"/>
          <w:noProof w:val="0"/>
          <w:sz w:val="22"/>
          <w:szCs w:val="22"/>
          <w:lang w:val="en-GB"/>
        </w:rPr>
        <w:t>exercising,</w:t>
      </w:r>
      <w:r w:rsidRPr="0D7638C3" w:rsidR="36148DA4">
        <w:rPr>
          <w:rFonts w:ascii="Arial" w:hAnsi="Arial" w:eastAsia="Arial" w:cs="Arial"/>
          <w:b w:val="0"/>
          <w:bCs w:val="0"/>
          <w:noProof w:val="0"/>
          <w:sz w:val="22"/>
          <w:szCs w:val="22"/>
          <w:lang w:val="en-GB"/>
        </w:rPr>
        <w:t xml:space="preserve"> or taking medication</w:t>
      </w:r>
      <w:r w:rsidRPr="0D7638C3" w:rsidR="2627BC9D">
        <w:rPr>
          <w:rFonts w:ascii="Arial" w:hAnsi="Arial" w:eastAsia="Arial" w:cs="Arial"/>
          <w:b w:val="0"/>
          <w:bCs w:val="0"/>
          <w:noProof w:val="0"/>
          <w:sz w:val="22"/>
          <w:szCs w:val="22"/>
          <w:lang w:val="en-GB"/>
        </w:rPr>
        <w:t xml:space="preserve"> </w:t>
      </w:r>
      <w:r w:rsidRPr="0D7638C3" w:rsidR="36148DA4">
        <w:rPr>
          <w:rFonts w:ascii="Arial" w:hAnsi="Arial" w:eastAsia="Arial" w:cs="Arial"/>
          <w:b w:val="0"/>
          <w:bCs w:val="0"/>
          <w:noProof w:val="0"/>
          <w:sz w:val="22"/>
          <w:szCs w:val="22"/>
          <w:lang w:val="en-GB"/>
        </w:rPr>
        <w:t>affect their glucose control. For nurses, these records offer valuable data to individualise care plans and make evidence-based adjustments.</w:t>
      </w:r>
    </w:p>
    <w:p w:rsidR="36148DA4" w:rsidP="0D7638C3" w:rsidRDefault="36148DA4" w14:paraId="32F662EF" w14:textId="359FEAEB">
      <w:pPr>
        <w:spacing w:before="240" w:beforeAutospacing="off" w:after="240" w:afterAutospacing="off" w:line="360" w:lineRule="auto"/>
        <w:rPr>
          <w:rFonts w:ascii="Arial" w:hAnsi="Arial" w:eastAsia="Arial" w:cs="Arial"/>
          <w:b w:val="0"/>
          <w:bCs w:val="0"/>
          <w:noProof w:val="0"/>
          <w:sz w:val="22"/>
          <w:szCs w:val="22"/>
          <w:lang w:val="en-GB"/>
        </w:rPr>
      </w:pPr>
      <w:r w:rsidRPr="0D7638C3" w:rsidR="36148DA4">
        <w:rPr>
          <w:rFonts w:ascii="Arial" w:hAnsi="Arial" w:eastAsia="Arial" w:cs="Arial"/>
          <w:b w:val="0"/>
          <w:bCs w:val="0"/>
          <w:noProof w:val="0"/>
          <w:sz w:val="22"/>
          <w:szCs w:val="22"/>
          <w:lang w:val="en-GB"/>
        </w:rPr>
        <w:t xml:space="preserve">According to NICE (2023), adults with Type 2 diabetes should </w:t>
      </w:r>
      <w:r w:rsidRPr="0D7638C3" w:rsidR="36148DA4">
        <w:rPr>
          <w:rFonts w:ascii="Arial" w:hAnsi="Arial" w:eastAsia="Arial" w:cs="Arial"/>
          <w:b w:val="0"/>
          <w:bCs w:val="0"/>
          <w:noProof w:val="0"/>
          <w:sz w:val="22"/>
          <w:szCs w:val="22"/>
          <w:lang w:val="en-GB"/>
        </w:rPr>
        <w:t>maintain</w:t>
      </w:r>
      <w:r w:rsidRPr="0D7638C3" w:rsidR="36148DA4">
        <w:rPr>
          <w:rFonts w:ascii="Arial" w:hAnsi="Arial" w:eastAsia="Arial" w:cs="Arial"/>
          <w:b w:val="0"/>
          <w:bCs w:val="0"/>
          <w:noProof w:val="0"/>
          <w:sz w:val="22"/>
          <w:szCs w:val="22"/>
          <w:lang w:val="en-GB"/>
        </w:rPr>
        <w:t xml:space="preserve"> fasting plasma glucose between </w:t>
      </w:r>
      <w:r w:rsidRPr="0D7638C3" w:rsidR="36148DA4">
        <w:rPr>
          <w:rFonts w:ascii="Arial" w:hAnsi="Arial" w:eastAsia="Arial" w:cs="Arial"/>
          <w:b w:val="0"/>
          <w:bCs w:val="0"/>
          <w:noProof w:val="0"/>
          <w:sz w:val="22"/>
          <w:szCs w:val="22"/>
          <w:lang w:val="en-GB"/>
        </w:rPr>
        <w:t>5–7 mmol/L</w:t>
      </w:r>
      <w:r w:rsidRPr="0D7638C3" w:rsidR="36148DA4">
        <w:rPr>
          <w:rFonts w:ascii="Arial" w:hAnsi="Arial" w:eastAsia="Arial" w:cs="Arial"/>
          <w:b w:val="0"/>
          <w:bCs w:val="0"/>
          <w:noProof w:val="0"/>
          <w:sz w:val="22"/>
          <w:szCs w:val="22"/>
          <w:lang w:val="en-GB"/>
        </w:rPr>
        <w:t xml:space="preserve"> and post-meal levels below </w:t>
      </w:r>
      <w:r w:rsidRPr="0D7638C3" w:rsidR="36148DA4">
        <w:rPr>
          <w:rFonts w:ascii="Arial" w:hAnsi="Arial" w:eastAsia="Arial" w:cs="Arial"/>
          <w:b w:val="0"/>
          <w:bCs w:val="0"/>
          <w:noProof w:val="0"/>
          <w:sz w:val="22"/>
          <w:szCs w:val="22"/>
          <w:lang w:val="en-GB"/>
        </w:rPr>
        <w:t>8.5 mmol/L</w:t>
      </w:r>
      <w:r w:rsidRPr="0D7638C3" w:rsidR="36148DA4">
        <w:rPr>
          <w:rFonts w:ascii="Arial" w:hAnsi="Arial" w:eastAsia="Arial" w:cs="Arial"/>
          <w:b w:val="0"/>
          <w:bCs w:val="0"/>
          <w:noProof w:val="0"/>
          <w:sz w:val="22"/>
          <w:szCs w:val="22"/>
          <w:lang w:val="en-GB"/>
        </w:rPr>
        <w:t xml:space="preserve">, though targets are adjusted based on comorbidities and individual needs. Monitoring can be performed through </w:t>
      </w:r>
      <w:r w:rsidRPr="0D7638C3" w:rsidR="36148DA4">
        <w:rPr>
          <w:rFonts w:ascii="Arial" w:hAnsi="Arial" w:eastAsia="Arial" w:cs="Arial"/>
          <w:b w:val="0"/>
          <w:bCs w:val="0"/>
          <w:noProof w:val="0"/>
          <w:sz w:val="22"/>
          <w:szCs w:val="22"/>
          <w:lang w:val="en-GB"/>
        </w:rPr>
        <w:t>self-monitoring of blood glucose (SMBG)</w:t>
      </w:r>
      <w:r w:rsidRPr="0D7638C3" w:rsidR="36148DA4">
        <w:rPr>
          <w:rFonts w:ascii="Arial" w:hAnsi="Arial" w:eastAsia="Arial" w:cs="Arial"/>
          <w:b w:val="0"/>
          <w:bCs w:val="0"/>
          <w:noProof w:val="0"/>
          <w:sz w:val="22"/>
          <w:szCs w:val="22"/>
          <w:lang w:val="en-GB"/>
        </w:rPr>
        <w:t xml:space="preserve"> using finger-prick testing or </w:t>
      </w:r>
      <w:r w:rsidRPr="0D7638C3" w:rsidR="36148DA4">
        <w:rPr>
          <w:rFonts w:ascii="Arial" w:hAnsi="Arial" w:eastAsia="Arial" w:cs="Arial"/>
          <w:b w:val="0"/>
          <w:bCs w:val="0"/>
          <w:noProof w:val="0"/>
          <w:sz w:val="22"/>
          <w:szCs w:val="22"/>
          <w:lang w:val="en-GB"/>
        </w:rPr>
        <w:t>continuous glucose monitoring (CGM)</w:t>
      </w:r>
      <w:r w:rsidRPr="0D7638C3" w:rsidR="36148DA4">
        <w:rPr>
          <w:rFonts w:ascii="Arial" w:hAnsi="Arial" w:eastAsia="Arial" w:cs="Arial"/>
          <w:b w:val="0"/>
          <w:bCs w:val="0"/>
          <w:noProof w:val="0"/>
          <w:sz w:val="22"/>
          <w:szCs w:val="22"/>
          <w:lang w:val="en-GB"/>
        </w:rPr>
        <w:t xml:space="preserve"> devices, which offer real-time feedback (</w:t>
      </w:r>
      <w:r w:rsidRPr="0D7638C3" w:rsidR="36148DA4">
        <w:rPr>
          <w:rFonts w:ascii="Arial" w:hAnsi="Arial" w:eastAsia="Arial" w:cs="Arial"/>
          <w:b w:val="0"/>
          <w:bCs w:val="0"/>
          <w:noProof w:val="0"/>
          <w:sz w:val="22"/>
          <w:szCs w:val="22"/>
          <w:lang w:val="en-GB"/>
        </w:rPr>
        <w:t>Jancev</w:t>
      </w:r>
      <w:r w:rsidRPr="0D7638C3" w:rsidR="36148DA4">
        <w:rPr>
          <w:rFonts w:ascii="Arial" w:hAnsi="Arial" w:eastAsia="Arial" w:cs="Arial"/>
          <w:b w:val="0"/>
          <w:bCs w:val="0"/>
          <w:noProof w:val="0"/>
          <w:sz w:val="22"/>
          <w:szCs w:val="22"/>
          <w:lang w:val="en-GB"/>
        </w:rPr>
        <w:t xml:space="preserve"> et al., 2024).</w:t>
      </w:r>
    </w:p>
    <w:p w:rsidR="36148DA4" w:rsidP="0D7638C3" w:rsidRDefault="36148DA4" w14:paraId="43C4728A" w14:textId="4A49FD9F">
      <w:pPr>
        <w:spacing w:before="240" w:beforeAutospacing="off" w:after="240" w:afterAutospacing="off" w:line="360" w:lineRule="auto"/>
        <w:rPr>
          <w:rFonts w:ascii="Arial" w:hAnsi="Arial" w:eastAsia="Arial" w:cs="Arial"/>
          <w:b w:val="0"/>
          <w:bCs w:val="0"/>
          <w:noProof w:val="0"/>
          <w:sz w:val="22"/>
          <w:szCs w:val="22"/>
          <w:lang w:val="en-GB"/>
        </w:rPr>
      </w:pPr>
      <w:r w:rsidRPr="0D7638C3" w:rsidR="36148DA4">
        <w:rPr>
          <w:rFonts w:ascii="Arial" w:hAnsi="Arial" w:eastAsia="Arial" w:cs="Arial"/>
          <w:b w:val="0"/>
          <w:bCs w:val="0"/>
          <w:noProof w:val="0"/>
          <w:sz w:val="22"/>
          <w:szCs w:val="22"/>
          <w:lang w:val="en-GB"/>
        </w:rPr>
        <w:t xml:space="preserve">Beyond single readings, trend-based metrics are particularly informative for care planning. For example, time in range (TIR) describes the proportion of readings within a target window (often 3.9–10.0 mmol/L in many adults), while time below range (TBR) and time above range (TAR) highlight risks of hypo- and hyperglycaemia (ADA, 2023). These metrics help patients and clinicians see the “bigger picture” rather than focusing solely on isolated values. CGM alarm features can prompt </w:t>
      </w:r>
      <w:r w:rsidRPr="0D7638C3" w:rsidR="36148DA4">
        <w:rPr>
          <w:rFonts w:ascii="Arial" w:hAnsi="Arial" w:eastAsia="Arial" w:cs="Arial"/>
          <w:b w:val="0"/>
          <w:bCs w:val="0"/>
          <w:noProof w:val="0"/>
          <w:sz w:val="22"/>
          <w:szCs w:val="22"/>
          <w:lang w:val="en-GB"/>
        </w:rPr>
        <w:t>timely</w:t>
      </w:r>
      <w:r w:rsidRPr="0D7638C3" w:rsidR="36148DA4">
        <w:rPr>
          <w:rFonts w:ascii="Arial" w:hAnsi="Arial" w:eastAsia="Arial" w:cs="Arial"/>
          <w:b w:val="0"/>
          <w:bCs w:val="0"/>
          <w:noProof w:val="0"/>
          <w:sz w:val="22"/>
          <w:szCs w:val="22"/>
          <w:lang w:val="en-GB"/>
        </w:rPr>
        <w:t xml:space="preserve"> actions (e.g., carbohydrates before activity, or correction doses when </w:t>
      </w:r>
      <w:r w:rsidRPr="0D7638C3" w:rsidR="36148DA4">
        <w:rPr>
          <w:rFonts w:ascii="Arial" w:hAnsi="Arial" w:eastAsia="Arial" w:cs="Arial"/>
          <w:b w:val="0"/>
          <w:bCs w:val="0"/>
          <w:noProof w:val="0"/>
          <w:sz w:val="22"/>
          <w:szCs w:val="22"/>
          <w:lang w:val="en-GB"/>
        </w:rPr>
        <w:t>appropriate)</w:t>
      </w:r>
      <w:r w:rsidRPr="0D7638C3" w:rsidR="36148DA4">
        <w:rPr>
          <w:rFonts w:ascii="Arial" w:hAnsi="Arial" w:eastAsia="Arial" w:cs="Arial"/>
          <w:b w:val="0"/>
          <w:bCs w:val="0"/>
          <w:noProof w:val="0"/>
          <w:sz w:val="22"/>
          <w:szCs w:val="22"/>
          <w:lang w:val="en-GB"/>
        </w:rPr>
        <w:t>, and pattern management</w:t>
      </w:r>
      <w:r w:rsidRPr="0D7638C3" w:rsidR="7BD129EC">
        <w:rPr>
          <w:rFonts w:ascii="Arial" w:hAnsi="Arial" w:eastAsia="Arial" w:cs="Arial"/>
          <w:b w:val="0"/>
          <w:bCs w:val="0"/>
          <w:noProof w:val="0"/>
          <w:sz w:val="22"/>
          <w:szCs w:val="22"/>
          <w:lang w:val="en-GB"/>
        </w:rPr>
        <w:t xml:space="preserve"> </w:t>
      </w:r>
      <w:r w:rsidRPr="0D7638C3" w:rsidR="36148DA4">
        <w:rPr>
          <w:rFonts w:ascii="Arial" w:hAnsi="Arial" w:eastAsia="Arial" w:cs="Arial"/>
          <w:b w:val="0"/>
          <w:bCs w:val="0"/>
          <w:noProof w:val="0"/>
          <w:sz w:val="22"/>
          <w:szCs w:val="22"/>
          <w:lang w:val="en-GB"/>
        </w:rPr>
        <w:t>reviewing recurring highs/lows at similar times of day</w:t>
      </w:r>
      <w:r w:rsidRPr="0D7638C3" w:rsidR="11734050">
        <w:rPr>
          <w:rFonts w:ascii="Arial" w:hAnsi="Arial" w:eastAsia="Arial" w:cs="Arial"/>
          <w:b w:val="0"/>
          <w:bCs w:val="0"/>
          <w:noProof w:val="0"/>
          <w:sz w:val="22"/>
          <w:szCs w:val="22"/>
          <w:lang w:val="en-GB"/>
        </w:rPr>
        <w:t xml:space="preserve"> </w:t>
      </w:r>
      <w:r w:rsidRPr="0D7638C3" w:rsidR="36148DA4">
        <w:rPr>
          <w:rFonts w:ascii="Arial" w:hAnsi="Arial" w:eastAsia="Arial" w:cs="Arial"/>
          <w:b w:val="0"/>
          <w:bCs w:val="0"/>
          <w:noProof w:val="0"/>
          <w:sz w:val="22"/>
          <w:szCs w:val="22"/>
          <w:lang w:val="en-GB"/>
        </w:rPr>
        <w:t>supports targeted changes to meals, activity, or medicines (</w:t>
      </w:r>
      <w:r w:rsidRPr="0D7638C3" w:rsidR="36148DA4">
        <w:rPr>
          <w:rFonts w:ascii="Arial" w:hAnsi="Arial" w:eastAsia="Arial" w:cs="Arial"/>
          <w:b w:val="0"/>
          <w:bCs w:val="0"/>
          <w:noProof w:val="0"/>
          <w:sz w:val="22"/>
          <w:szCs w:val="22"/>
          <w:lang w:val="en-GB"/>
        </w:rPr>
        <w:t>Jancev</w:t>
      </w:r>
      <w:r w:rsidRPr="0D7638C3" w:rsidR="36148DA4">
        <w:rPr>
          <w:rFonts w:ascii="Arial" w:hAnsi="Arial" w:eastAsia="Arial" w:cs="Arial"/>
          <w:b w:val="0"/>
          <w:bCs w:val="0"/>
          <w:noProof w:val="0"/>
          <w:sz w:val="22"/>
          <w:szCs w:val="22"/>
          <w:lang w:val="en-GB"/>
        </w:rPr>
        <w:t xml:space="preserve"> et al., 2024; ADA, 2023).</w:t>
      </w:r>
    </w:p>
    <w:p w:rsidR="36148DA4" w:rsidP="0D7638C3" w:rsidRDefault="36148DA4" w14:paraId="380AB2AE" w14:textId="44A97CAE">
      <w:pPr>
        <w:spacing w:before="240" w:beforeAutospacing="off" w:after="240" w:afterAutospacing="off" w:line="360" w:lineRule="auto"/>
        <w:rPr>
          <w:rFonts w:ascii="Arial" w:hAnsi="Arial" w:eastAsia="Arial" w:cs="Arial"/>
          <w:b w:val="0"/>
          <w:bCs w:val="0"/>
          <w:noProof w:val="0"/>
          <w:sz w:val="22"/>
          <w:szCs w:val="22"/>
          <w:lang w:val="en-GB"/>
        </w:rPr>
      </w:pPr>
      <w:r w:rsidRPr="0D7638C3" w:rsidR="36148DA4">
        <w:rPr>
          <w:rFonts w:ascii="Arial" w:hAnsi="Arial" w:eastAsia="Arial" w:cs="Arial"/>
          <w:b w:val="0"/>
          <w:bCs w:val="0"/>
          <w:noProof w:val="0"/>
          <w:sz w:val="22"/>
          <w:szCs w:val="22"/>
          <w:lang w:val="en-GB"/>
        </w:rPr>
        <w:t xml:space="preserve">For people who are not using CGM, a structured SMBG plan </w:t>
      </w:r>
      <w:r w:rsidRPr="0D7638C3" w:rsidR="36148DA4">
        <w:rPr>
          <w:rFonts w:ascii="Arial" w:hAnsi="Arial" w:eastAsia="Arial" w:cs="Arial"/>
          <w:b w:val="0"/>
          <w:bCs w:val="0"/>
          <w:noProof w:val="0"/>
          <w:sz w:val="22"/>
          <w:szCs w:val="22"/>
          <w:lang w:val="en-GB"/>
        </w:rPr>
        <w:t>remains</w:t>
      </w:r>
      <w:r w:rsidRPr="0D7638C3" w:rsidR="36148DA4">
        <w:rPr>
          <w:rFonts w:ascii="Arial" w:hAnsi="Arial" w:eastAsia="Arial" w:cs="Arial"/>
          <w:b w:val="0"/>
          <w:bCs w:val="0"/>
          <w:noProof w:val="0"/>
          <w:sz w:val="22"/>
          <w:szCs w:val="22"/>
          <w:lang w:val="en-GB"/>
        </w:rPr>
        <w:t xml:space="preserve"> valuable</w:t>
      </w:r>
      <w:r w:rsidRPr="0D7638C3" w:rsidR="42369D2D">
        <w:rPr>
          <w:rFonts w:ascii="Arial" w:hAnsi="Arial" w:eastAsia="Arial" w:cs="Arial"/>
          <w:b w:val="0"/>
          <w:bCs w:val="0"/>
          <w:noProof w:val="0"/>
          <w:sz w:val="22"/>
          <w:szCs w:val="22"/>
          <w:lang w:val="en-GB"/>
        </w:rPr>
        <w:t xml:space="preserve"> </w:t>
      </w:r>
      <w:r w:rsidRPr="0D7638C3" w:rsidR="36148DA4">
        <w:rPr>
          <w:rFonts w:ascii="Arial" w:hAnsi="Arial" w:eastAsia="Arial" w:cs="Arial"/>
          <w:b w:val="0"/>
          <w:bCs w:val="0"/>
          <w:noProof w:val="0"/>
          <w:sz w:val="22"/>
          <w:szCs w:val="22"/>
          <w:lang w:val="en-GB"/>
        </w:rPr>
        <w:t xml:space="preserve">for instance, testing before breakfast and two hours after the largest meal on alternating days, plus </w:t>
      </w:r>
      <w:r w:rsidRPr="0D7638C3" w:rsidR="36148DA4">
        <w:rPr>
          <w:rFonts w:ascii="Arial" w:hAnsi="Arial" w:eastAsia="Arial" w:cs="Arial"/>
          <w:b w:val="0"/>
          <w:bCs w:val="0"/>
          <w:noProof w:val="0"/>
          <w:sz w:val="22"/>
          <w:szCs w:val="22"/>
          <w:lang w:val="en-GB"/>
        </w:rPr>
        <w:t>additional</w:t>
      </w:r>
      <w:r w:rsidRPr="0D7638C3" w:rsidR="36148DA4">
        <w:rPr>
          <w:rFonts w:ascii="Arial" w:hAnsi="Arial" w:eastAsia="Arial" w:cs="Arial"/>
          <w:b w:val="0"/>
          <w:bCs w:val="0"/>
          <w:noProof w:val="0"/>
          <w:sz w:val="22"/>
          <w:szCs w:val="22"/>
          <w:lang w:val="en-GB"/>
        </w:rPr>
        <w:t xml:space="preserve"> tests around exercise or when unwell. Encouraging patients to record context (what they ate, timing of activity, stress or illness, and medication taken) turns numbers into meaning. As a practice nurse, I emphasise that records are a learning tool, not an exam; this framing reduces anxiety, improves engagement, and supports shared decision-making at review appointments (Farmer et al., 2020; NICE, 2023).</w:t>
      </w:r>
    </w:p>
    <w:p w:rsidR="36148DA4" w:rsidP="0D7638C3" w:rsidRDefault="36148DA4" w14:paraId="4E83DB88" w14:textId="483FB56F">
      <w:pPr>
        <w:spacing w:before="240" w:beforeAutospacing="off" w:after="240" w:afterAutospacing="off" w:line="360" w:lineRule="auto"/>
        <w:rPr>
          <w:rFonts w:ascii="Arial" w:hAnsi="Arial" w:eastAsia="Arial" w:cs="Arial"/>
          <w:b w:val="0"/>
          <w:bCs w:val="0"/>
          <w:noProof w:val="0"/>
          <w:sz w:val="22"/>
          <w:szCs w:val="22"/>
          <w:lang w:val="en-GB"/>
        </w:rPr>
      </w:pPr>
      <w:r w:rsidRPr="0D7638C3" w:rsidR="36148DA4">
        <w:rPr>
          <w:rFonts w:ascii="Arial" w:hAnsi="Arial" w:eastAsia="Arial" w:cs="Arial"/>
          <w:b w:val="0"/>
          <w:bCs w:val="0"/>
          <w:noProof w:val="0"/>
          <w:sz w:val="22"/>
          <w:szCs w:val="22"/>
          <w:lang w:val="en-GB"/>
        </w:rPr>
        <w:t xml:space="preserve">Pragmatically, I introduce simple SMART goals (Specific, Measurable, Achievable, Relevant, Time-bound) such as: “Check before breakfast on Monday–Wednesday–Friday and after your evening meal on Tuesday–Thursday for two weeks; bring your log to clinic.” Small, consistent routines tend to stick better than ambitious plans that overwhelm patients. Where digital literacy permits, I signpost to reputable apps that create graphs and summaries the patient can understand, and we can discuss together (NHS, 2023). </w:t>
      </w:r>
    </w:p>
    <w:p w:rsidR="36148DA4" w:rsidP="0D7638C3" w:rsidRDefault="36148DA4" w14:paraId="0225D9DD" w14:textId="00D61B5F">
      <w:pPr>
        <w:pStyle w:val="Normal"/>
        <w:spacing w:before="240" w:beforeAutospacing="off" w:after="240" w:afterAutospacing="off" w:line="360" w:lineRule="auto"/>
      </w:pPr>
      <w:r w:rsidRPr="0D7638C3" w:rsidR="36148DA4">
        <w:rPr>
          <w:rFonts w:ascii="Arial" w:hAnsi="Arial" w:eastAsia="Arial" w:cs="Arial"/>
          <w:b w:val="1"/>
          <w:bCs w:val="1"/>
          <w:noProof w:val="0"/>
          <w:sz w:val="24"/>
          <w:szCs w:val="24"/>
          <w:lang w:val="en-GB"/>
        </w:rPr>
        <w:t>Evidence-Based Recommendations: Lifestyle Modifications</w:t>
      </w:r>
      <w:r w:rsidRPr="0D7638C3" w:rsidR="36148DA4">
        <w:rPr>
          <w:rFonts w:ascii="Arial" w:hAnsi="Arial" w:eastAsia="Arial" w:cs="Arial"/>
          <w:noProof w:val="0"/>
          <w:sz w:val="22"/>
          <w:szCs w:val="22"/>
          <w:lang w:val="en-GB"/>
        </w:rPr>
        <w:t xml:space="preserve">  </w:t>
      </w:r>
    </w:p>
    <w:p w:rsidR="4461A0A2" w:rsidP="0D7638C3" w:rsidRDefault="4461A0A2" w14:paraId="2F1C1132" w14:textId="0AAB9C96">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Lifestyle modification is the cornerstone of effective diabetes management. As a practice nurse, supporting patients to implement realistic and sustainable changes can significantly improve blood glucose control and reduce complications. Key areas include diet, physical activity, smoking cessation, weight </w:t>
      </w:r>
      <w:r w:rsidRPr="0D7638C3" w:rsidR="62FFF149">
        <w:rPr>
          <w:rFonts w:ascii="Arial" w:hAnsi="Arial" w:eastAsia="Arial" w:cs="Arial"/>
          <w:b w:val="0"/>
          <w:bCs w:val="0"/>
          <w:noProof w:val="0"/>
          <w:sz w:val="22"/>
          <w:szCs w:val="22"/>
          <w:lang w:val="en-GB"/>
        </w:rPr>
        <w:t>management,</w:t>
      </w:r>
      <w:r w:rsidRPr="0D7638C3" w:rsidR="4461A0A2">
        <w:rPr>
          <w:rFonts w:ascii="Arial" w:hAnsi="Arial" w:eastAsia="Arial" w:cs="Arial"/>
          <w:b w:val="0"/>
          <w:bCs w:val="0"/>
          <w:noProof w:val="0"/>
          <w:sz w:val="22"/>
          <w:szCs w:val="22"/>
          <w:lang w:val="en-GB"/>
        </w:rPr>
        <w:t xml:space="preserve"> and structured education.</w:t>
      </w:r>
    </w:p>
    <w:p w:rsidR="4461A0A2" w:rsidP="0D7638C3" w:rsidRDefault="4461A0A2" w14:paraId="3F9B9B05" w14:textId="705B0D64">
      <w:pPr>
        <w:pStyle w:val="Heading3"/>
        <w:spacing w:line="360" w:lineRule="auto"/>
        <w:rPr>
          <w:rFonts w:ascii="Arial" w:hAnsi="Arial" w:eastAsia="Arial" w:cs="Arial"/>
          <w:b w:val="1"/>
          <w:bCs w:val="1"/>
          <w:noProof w:val="0"/>
          <w:color w:val="000000" w:themeColor="text1" w:themeTint="FF" w:themeShade="FF"/>
          <w:sz w:val="24"/>
          <w:szCs w:val="24"/>
          <w:lang w:val="en-GB"/>
        </w:rPr>
      </w:pPr>
      <w:r w:rsidRPr="0D7638C3" w:rsidR="4461A0A2">
        <w:rPr>
          <w:rFonts w:ascii="Arial" w:hAnsi="Arial" w:eastAsia="Arial" w:cs="Arial"/>
          <w:b w:val="1"/>
          <w:bCs w:val="1"/>
          <w:noProof w:val="0"/>
          <w:color w:val="000000" w:themeColor="text1" w:themeTint="FF" w:themeShade="FF"/>
          <w:sz w:val="24"/>
          <w:szCs w:val="24"/>
          <w:lang w:val="en-GB"/>
        </w:rPr>
        <w:t>Dietary Management</w:t>
      </w:r>
    </w:p>
    <w:p w:rsidR="4461A0A2" w:rsidP="0D7638C3" w:rsidRDefault="4461A0A2" w14:paraId="646F55A4" w14:textId="0983264A">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A healthy diet supports stable blood glucose levels, weight </w:t>
      </w:r>
      <w:r w:rsidRPr="0D7638C3" w:rsidR="7A02D95B">
        <w:rPr>
          <w:rFonts w:ascii="Arial" w:hAnsi="Arial" w:eastAsia="Arial" w:cs="Arial"/>
          <w:b w:val="0"/>
          <w:bCs w:val="0"/>
          <w:noProof w:val="0"/>
          <w:sz w:val="22"/>
          <w:szCs w:val="22"/>
          <w:lang w:val="en-GB"/>
        </w:rPr>
        <w:t>management,</w:t>
      </w:r>
      <w:r w:rsidRPr="0D7638C3" w:rsidR="4461A0A2">
        <w:rPr>
          <w:rFonts w:ascii="Arial" w:hAnsi="Arial" w:eastAsia="Arial" w:cs="Arial"/>
          <w:b w:val="0"/>
          <w:bCs w:val="0"/>
          <w:noProof w:val="0"/>
          <w:sz w:val="22"/>
          <w:szCs w:val="22"/>
          <w:lang w:val="en-GB"/>
        </w:rPr>
        <w:t xml:space="preserve"> and cardiovascular health. A Mediterranean-style diet, rich in vegetables, fruits, legumes, whole grains, nuts and olive oil, has been associated with improved glycaemic control and reduced cardiovascular events (</w:t>
      </w:r>
      <w:r w:rsidRPr="0D7638C3" w:rsidR="4461A0A2">
        <w:rPr>
          <w:rFonts w:ascii="Arial" w:hAnsi="Arial" w:eastAsia="Arial" w:cs="Arial"/>
          <w:b w:val="0"/>
          <w:bCs w:val="0"/>
          <w:noProof w:val="0"/>
          <w:sz w:val="22"/>
          <w:szCs w:val="22"/>
          <w:lang w:val="en-GB"/>
        </w:rPr>
        <w:t>Estruch</w:t>
      </w:r>
      <w:r w:rsidRPr="0D7638C3" w:rsidR="4461A0A2">
        <w:rPr>
          <w:rFonts w:ascii="Arial" w:hAnsi="Arial" w:eastAsia="Arial" w:cs="Arial"/>
          <w:b w:val="0"/>
          <w:bCs w:val="0"/>
          <w:noProof w:val="0"/>
          <w:sz w:val="22"/>
          <w:szCs w:val="22"/>
          <w:lang w:val="en-GB"/>
        </w:rPr>
        <w:t xml:space="preserve"> et al., 2018). Patients should be </w:t>
      </w:r>
      <w:r w:rsidRPr="0D7638C3" w:rsidR="4461A0A2">
        <w:rPr>
          <w:rFonts w:ascii="Arial" w:hAnsi="Arial" w:eastAsia="Arial" w:cs="Arial"/>
          <w:b w:val="0"/>
          <w:bCs w:val="0"/>
          <w:noProof w:val="0"/>
          <w:sz w:val="22"/>
          <w:szCs w:val="22"/>
          <w:lang w:val="en-GB"/>
        </w:rPr>
        <w:t>advised to limit</w:t>
      </w:r>
      <w:r w:rsidRPr="0D7638C3" w:rsidR="4461A0A2">
        <w:rPr>
          <w:rFonts w:ascii="Arial" w:hAnsi="Arial" w:eastAsia="Arial" w:cs="Arial"/>
          <w:b w:val="0"/>
          <w:bCs w:val="0"/>
          <w:noProof w:val="0"/>
          <w:sz w:val="22"/>
          <w:szCs w:val="22"/>
          <w:lang w:val="en-GB"/>
        </w:rPr>
        <w:t xml:space="preserve"> processed foods, saturated fats and refined sugars while increasing dietary fibre (NICE, 2023).</w:t>
      </w:r>
    </w:p>
    <w:p w:rsidR="4461A0A2" w:rsidP="0D7638C3" w:rsidRDefault="4461A0A2" w14:paraId="1C9488B1" w14:textId="37FA0215">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Evidence also supports </w:t>
      </w:r>
      <w:r w:rsidRPr="0D7638C3" w:rsidR="4461A0A2">
        <w:rPr>
          <w:rFonts w:ascii="Arial" w:hAnsi="Arial" w:eastAsia="Arial" w:cs="Arial"/>
          <w:b w:val="0"/>
          <w:bCs w:val="0"/>
          <w:noProof w:val="0"/>
          <w:sz w:val="22"/>
          <w:szCs w:val="22"/>
          <w:lang w:val="en-GB"/>
        </w:rPr>
        <w:t>low-glycaemic-index (GI)</w:t>
      </w:r>
      <w:r w:rsidRPr="0D7638C3" w:rsidR="4461A0A2">
        <w:rPr>
          <w:rFonts w:ascii="Arial" w:hAnsi="Arial" w:eastAsia="Arial" w:cs="Arial"/>
          <w:b w:val="0"/>
          <w:bCs w:val="0"/>
          <w:noProof w:val="0"/>
          <w:sz w:val="22"/>
          <w:szCs w:val="22"/>
          <w:lang w:val="en-GB"/>
        </w:rPr>
        <w:t xml:space="preserve"> diets for improving </w:t>
      </w:r>
      <w:r w:rsidRPr="0D7638C3" w:rsidR="4461A0A2">
        <w:rPr>
          <w:rFonts w:ascii="Arial" w:hAnsi="Arial" w:eastAsia="Arial" w:cs="Arial"/>
          <w:b w:val="0"/>
          <w:bCs w:val="0"/>
          <w:noProof w:val="0"/>
          <w:sz w:val="22"/>
          <w:szCs w:val="22"/>
          <w:lang w:val="en-GB"/>
        </w:rPr>
        <w:t>HbA₁c</w:t>
      </w:r>
      <w:r w:rsidRPr="0D7638C3" w:rsidR="4461A0A2">
        <w:rPr>
          <w:rFonts w:ascii="Arial" w:hAnsi="Arial" w:eastAsia="Arial" w:cs="Arial"/>
          <w:b w:val="0"/>
          <w:bCs w:val="0"/>
          <w:noProof w:val="0"/>
          <w:sz w:val="22"/>
          <w:szCs w:val="22"/>
          <w:lang w:val="en-GB"/>
        </w:rPr>
        <w:t xml:space="preserve"> and overall glycaemia (Ojo, Adebowale and Wang, 2018). Educating patients about carbohydrate counting and the GI concept helps them select foods that release glucose slowly, preventing post-meal spikes. Providing culturally </w:t>
      </w:r>
      <w:r w:rsidRPr="0D7638C3" w:rsidR="4461A0A2">
        <w:rPr>
          <w:rFonts w:ascii="Arial" w:hAnsi="Arial" w:eastAsia="Arial" w:cs="Arial"/>
          <w:b w:val="0"/>
          <w:bCs w:val="0"/>
          <w:noProof w:val="0"/>
          <w:sz w:val="22"/>
          <w:szCs w:val="22"/>
          <w:lang w:val="en-GB"/>
        </w:rPr>
        <w:t>appropriate advice</w:t>
      </w:r>
      <w:r w:rsidRPr="0D7638C3" w:rsidR="4461A0A2">
        <w:rPr>
          <w:rFonts w:ascii="Arial" w:hAnsi="Arial" w:eastAsia="Arial" w:cs="Arial"/>
          <w:b w:val="0"/>
          <w:bCs w:val="0"/>
          <w:noProof w:val="0"/>
          <w:sz w:val="22"/>
          <w:szCs w:val="22"/>
          <w:lang w:val="en-GB"/>
        </w:rPr>
        <w:t xml:space="preserve"> and referral to dietitians ensures tailored, sustainable support.</w:t>
      </w:r>
    </w:p>
    <w:p w:rsidR="4461A0A2" w:rsidP="0D7638C3" w:rsidRDefault="4461A0A2" w14:paraId="3E148641" w14:textId="64F2E0AA">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In clinic, I encourage meal planning (e.g., consistent carbohydrate distribution across the day), label reading to spot hidden sugars, and simple swaps (whole grains for white carbs; pulses to boost fibre and satiety). For patients who fast for cultural or religious reasons, planning for safe fasting</w:t>
      </w:r>
      <w:r w:rsidRPr="0D7638C3" w:rsidR="2829B53E">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including medication timing and monitoring</w:t>
      </w:r>
      <w:r w:rsidRPr="0D7638C3" w:rsidR="1A6D7066">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reduces risk. Where alcohol is consumed, we discuss standard units, the potential for delayed hypoglycaemia, and pairing alcohol with food (NICE, 2023).</w:t>
      </w:r>
    </w:p>
    <w:p w:rsidR="0D7638C3" w:rsidP="0D7638C3" w:rsidRDefault="0D7638C3" w14:paraId="4879368D" w14:textId="5D5C9F9C">
      <w:pPr>
        <w:spacing w:line="360" w:lineRule="auto"/>
        <w:rPr>
          <w:rFonts w:ascii="Arial" w:hAnsi="Arial" w:eastAsia="Arial" w:cs="Arial"/>
          <w:b w:val="0"/>
          <w:bCs w:val="0"/>
          <w:sz w:val="22"/>
          <w:szCs w:val="22"/>
        </w:rPr>
      </w:pPr>
    </w:p>
    <w:p w:rsidR="4461A0A2" w:rsidP="0D7638C3" w:rsidRDefault="4461A0A2" w14:paraId="6F375F19" w14:textId="6B8B8D0C">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0D7638C3" w:rsidR="4461A0A2">
        <w:rPr>
          <w:rFonts w:ascii="Arial" w:hAnsi="Arial" w:eastAsia="Arial" w:cs="Arial"/>
          <w:b w:val="1"/>
          <w:bCs w:val="1"/>
          <w:noProof w:val="0"/>
          <w:color w:val="000000" w:themeColor="text1" w:themeTint="FF" w:themeShade="FF"/>
          <w:sz w:val="24"/>
          <w:szCs w:val="24"/>
          <w:lang w:val="en-GB"/>
        </w:rPr>
        <w:t>Physical Activity</w:t>
      </w:r>
    </w:p>
    <w:p w:rsidR="4461A0A2" w:rsidP="0D7638C3" w:rsidRDefault="4461A0A2" w14:paraId="43790A36" w14:textId="75D283FE">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Regular physical activity improves insulin sensitivity, aids weight </w:t>
      </w:r>
      <w:r w:rsidRPr="0D7638C3" w:rsidR="32B9FEBA">
        <w:rPr>
          <w:rFonts w:ascii="Arial" w:hAnsi="Arial" w:eastAsia="Arial" w:cs="Arial"/>
          <w:b w:val="0"/>
          <w:bCs w:val="0"/>
          <w:noProof w:val="0"/>
          <w:sz w:val="22"/>
          <w:szCs w:val="22"/>
          <w:lang w:val="en-GB"/>
        </w:rPr>
        <w:t>management,</w:t>
      </w:r>
      <w:r w:rsidRPr="0D7638C3" w:rsidR="4461A0A2">
        <w:rPr>
          <w:rFonts w:ascii="Arial" w:hAnsi="Arial" w:eastAsia="Arial" w:cs="Arial"/>
          <w:b w:val="0"/>
          <w:bCs w:val="0"/>
          <w:noProof w:val="0"/>
          <w:sz w:val="22"/>
          <w:szCs w:val="22"/>
          <w:lang w:val="en-GB"/>
        </w:rPr>
        <w:t xml:space="preserve"> and supports cardiovascular health (Colberg et al., 2016). NICE (2023) recommends at least 150 minutes of moderate-intensity exercise per week, such as brisk walking or swimming, alongside resistance training twice weekly.</w:t>
      </w:r>
    </w:p>
    <w:p w:rsidR="4461A0A2" w:rsidP="0D7638C3" w:rsidRDefault="4461A0A2" w14:paraId="78E633C4" w14:textId="74A400C4">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Exercise enhances glucose uptake by muscle cells, even in the absence of insulin (Sherwood, 2021). As a practice nurse, encouraging patients to choose enjoyable activities</w:t>
      </w:r>
      <w:r w:rsidRPr="0D7638C3" w:rsidR="218E731F">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such as dancing, walking with friends or gardening</w:t>
      </w:r>
      <w:r w:rsidRPr="0D7638C3" w:rsidR="63FEA2C8">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 xml:space="preserve">supports adherence. For those with mobility or cardiovascular limitations, gradual progression </w:t>
      </w:r>
      <w:r w:rsidRPr="0D7638C3" w:rsidR="20ED7F29">
        <w:rPr>
          <w:rFonts w:ascii="Arial" w:hAnsi="Arial" w:eastAsia="Arial" w:cs="Arial"/>
          <w:b w:val="0"/>
          <w:bCs w:val="0"/>
          <w:noProof w:val="0"/>
          <w:sz w:val="22"/>
          <w:szCs w:val="22"/>
          <w:lang w:val="en-GB"/>
        </w:rPr>
        <w:t>example</w:t>
      </w:r>
      <w:r w:rsidRPr="0D7638C3" w:rsidR="4461A0A2">
        <w:rPr>
          <w:rFonts w:ascii="Arial" w:hAnsi="Arial" w:eastAsia="Arial" w:cs="Arial"/>
          <w:b w:val="0"/>
          <w:bCs w:val="0"/>
          <w:noProof w:val="0"/>
          <w:sz w:val="22"/>
          <w:szCs w:val="22"/>
          <w:lang w:val="en-GB"/>
        </w:rPr>
        <w:t>, 10-minute bouts building to 30 minutes) and chair-based exercises maintain safety and confidence. We discuss pre-exercise glucose checks and carrying quick-acting glucose if on agents that can cause hypoglycaemia. Coupling activity to daily routines (e.g., walking after meals) can meaningfully blunt post-prandial glucose rises (Davies et al., 2022; Colberg et al., 2016).</w:t>
      </w:r>
    </w:p>
    <w:p w:rsidR="0D7638C3" w:rsidP="0D7638C3" w:rsidRDefault="0D7638C3" w14:paraId="267C402D" w14:textId="761E098D">
      <w:pPr>
        <w:spacing w:line="360" w:lineRule="auto"/>
        <w:rPr>
          <w:rFonts w:ascii="Arial" w:hAnsi="Arial" w:eastAsia="Arial" w:cs="Arial"/>
          <w:b w:val="0"/>
          <w:bCs w:val="0"/>
          <w:sz w:val="22"/>
          <w:szCs w:val="22"/>
        </w:rPr>
      </w:pPr>
    </w:p>
    <w:p w:rsidR="4461A0A2" w:rsidP="0D7638C3" w:rsidRDefault="4461A0A2" w14:paraId="162822E5" w14:textId="0CD53F6D">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0D7638C3" w:rsidR="4461A0A2">
        <w:rPr>
          <w:rFonts w:ascii="Arial" w:hAnsi="Arial" w:eastAsia="Arial" w:cs="Arial"/>
          <w:b w:val="1"/>
          <w:bCs w:val="1"/>
          <w:noProof w:val="0"/>
          <w:color w:val="000000" w:themeColor="text1" w:themeTint="FF" w:themeShade="FF"/>
          <w:sz w:val="24"/>
          <w:szCs w:val="24"/>
          <w:lang w:val="en-GB"/>
        </w:rPr>
        <w:t>Smoking Cessation</w:t>
      </w:r>
    </w:p>
    <w:p w:rsidR="4461A0A2" w:rsidP="0D7638C3" w:rsidRDefault="4461A0A2" w14:paraId="33220E99" w14:textId="25DA4B74">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Smoking increases insulin resistance and accelerates diabetes complications (</w:t>
      </w:r>
      <w:r w:rsidRPr="0D7638C3" w:rsidR="4461A0A2">
        <w:rPr>
          <w:rFonts w:ascii="Arial" w:hAnsi="Arial" w:eastAsia="Arial" w:cs="Arial"/>
          <w:b w:val="0"/>
          <w:bCs w:val="0"/>
          <w:noProof w:val="0"/>
          <w:sz w:val="22"/>
          <w:szCs w:val="22"/>
          <w:lang w:val="en-GB"/>
        </w:rPr>
        <w:t>Nagrebetsky</w:t>
      </w:r>
      <w:r w:rsidRPr="0D7638C3" w:rsidR="4461A0A2">
        <w:rPr>
          <w:rFonts w:ascii="Arial" w:hAnsi="Arial" w:eastAsia="Arial" w:cs="Arial"/>
          <w:b w:val="0"/>
          <w:bCs w:val="0"/>
          <w:noProof w:val="0"/>
          <w:sz w:val="22"/>
          <w:szCs w:val="22"/>
          <w:lang w:val="en-GB"/>
        </w:rPr>
        <w:t xml:space="preserve"> et al., 2022). Practice nurses play a vital role in cessation support, using brief advice, motivational </w:t>
      </w:r>
      <w:r w:rsidRPr="0D7638C3" w:rsidR="5A403874">
        <w:rPr>
          <w:rFonts w:ascii="Arial" w:hAnsi="Arial" w:eastAsia="Arial" w:cs="Arial"/>
          <w:b w:val="0"/>
          <w:bCs w:val="0"/>
          <w:noProof w:val="0"/>
          <w:sz w:val="22"/>
          <w:szCs w:val="22"/>
          <w:lang w:val="en-GB"/>
        </w:rPr>
        <w:t>interviewing,</w:t>
      </w:r>
      <w:r w:rsidRPr="0D7638C3" w:rsidR="4461A0A2">
        <w:rPr>
          <w:rFonts w:ascii="Arial" w:hAnsi="Arial" w:eastAsia="Arial" w:cs="Arial"/>
          <w:b w:val="0"/>
          <w:bCs w:val="0"/>
          <w:noProof w:val="0"/>
          <w:sz w:val="22"/>
          <w:szCs w:val="22"/>
          <w:lang w:val="en-GB"/>
        </w:rPr>
        <w:t xml:space="preserve"> and referrals to specialist services. NICE (2023) recommends integrating smoking cessation into routine diabetes care.</w:t>
      </w:r>
    </w:p>
    <w:p w:rsidR="4461A0A2" w:rsidP="0D7638C3" w:rsidRDefault="4461A0A2" w14:paraId="0A03599D" w14:textId="2EA7C78B">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I explore readiness to quit, </w:t>
      </w:r>
      <w:r w:rsidRPr="0D7638C3" w:rsidR="4461A0A2">
        <w:rPr>
          <w:rFonts w:ascii="Arial" w:hAnsi="Arial" w:eastAsia="Arial" w:cs="Arial"/>
          <w:b w:val="0"/>
          <w:bCs w:val="0"/>
          <w:noProof w:val="0"/>
          <w:sz w:val="22"/>
          <w:szCs w:val="22"/>
          <w:lang w:val="en-GB"/>
        </w:rPr>
        <w:t>previous</w:t>
      </w:r>
      <w:r w:rsidRPr="0D7638C3" w:rsidR="4461A0A2">
        <w:rPr>
          <w:rFonts w:ascii="Arial" w:hAnsi="Arial" w:eastAsia="Arial" w:cs="Arial"/>
          <w:b w:val="0"/>
          <w:bCs w:val="0"/>
          <w:noProof w:val="0"/>
          <w:sz w:val="22"/>
          <w:szCs w:val="22"/>
          <w:lang w:val="en-GB"/>
        </w:rPr>
        <w:t xml:space="preserve"> attempts, and preferred aids (NRT, varenicline where </w:t>
      </w:r>
      <w:r w:rsidRPr="0D7638C3" w:rsidR="4461A0A2">
        <w:rPr>
          <w:rFonts w:ascii="Arial" w:hAnsi="Arial" w:eastAsia="Arial" w:cs="Arial"/>
          <w:b w:val="0"/>
          <w:bCs w:val="0"/>
          <w:noProof w:val="0"/>
          <w:sz w:val="22"/>
          <w:szCs w:val="22"/>
          <w:lang w:val="en-GB"/>
        </w:rPr>
        <w:t>appropriate)</w:t>
      </w:r>
      <w:r w:rsidRPr="0D7638C3" w:rsidR="4461A0A2">
        <w:rPr>
          <w:rFonts w:ascii="Arial" w:hAnsi="Arial" w:eastAsia="Arial" w:cs="Arial"/>
          <w:b w:val="0"/>
          <w:bCs w:val="0"/>
          <w:noProof w:val="0"/>
          <w:sz w:val="22"/>
          <w:szCs w:val="22"/>
          <w:lang w:val="en-GB"/>
        </w:rPr>
        <w:t>, and agree a quit date. Normalising relapse as part of the journey helps sustain engagement. Emphasising rapid benefits</w:t>
      </w:r>
      <w:r w:rsidRPr="0D7638C3" w:rsidR="6434A535">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improved circulation and blood pressure within weeks</w:t>
      </w:r>
      <w:r w:rsidRPr="0D7638C3" w:rsidR="0ED56053">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keeps motivation high (PHE, 2021).</w:t>
      </w:r>
    </w:p>
    <w:p w:rsidR="4461A0A2" w:rsidP="0D7638C3" w:rsidRDefault="4461A0A2" w14:paraId="4FEF2AA9" w14:textId="1BD08A93">
      <w:pPr>
        <w:pStyle w:val="Heading3"/>
        <w:spacing w:line="360" w:lineRule="auto"/>
        <w:rPr>
          <w:rFonts w:ascii="Arial" w:hAnsi="Arial" w:eastAsia="Arial" w:cs="Arial"/>
          <w:b w:val="1"/>
          <w:bCs w:val="1"/>
          <w:noProof w:val="0"/>
          <w:color w:val="000000" w:themeColor="text1" w:themeTint="FF" w:themeShade="FF"/>
          <w:sz w:val="24"/>
          <w:szCs w:val="24"/>
          <w:lang w:val="en-GB"/>
        </w:rPr>
      </w:pPr>
      <w:r w:rsidRPr="0D7638C3" w:rsidR="4461A0A2">
        <w:rPr>
          <w:rFonts w:ascii="Arial" w:hAnsi="Arial" w:eastAsia="Arial" w:cs="Arial"/>
          <w:b w:val="1"/>
          <w:bCs w:val="1"/>
          <w:noProof w:val="0"/>
          <w:color w:val="000000" w:themeColor="text1" w:themeTint="FF" w:themeShade="FF"/>
          <w:sz w:val="24"/>
          <w:szCs w:val="24"/>
          <w:lang w:val="en-GB"/>
        </w:rPr>
        <w:t>Weight Management</w:t>
      </w:r>
    </w:p>
    <w:p w:rsidR="4461A0A2" w:rsidP="0D7638C3" w:rsidRDefault="4461A0A2" w14:paraId="5D24099D" w14:textId="2F0772BB">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Weight loss is one of the most effective interventions for improving insulin sensitivity and can even induce remission. The </w:t>
      </w:r>
      <w:r w:rsidRPr="0D7638C3" w:rsidR="787310B6">
        <w:rPr>
          <w:rFonts w:ascii="Arial" w:hAnsi="Arial" w:eastAsia="Arial" w:cs="Arial"/>
          <w:b w:val="0"/>
          <w:bCs w:val="0"/>
          <w:noProof w:val="0"/>
          <w:sz w:val="22"/>
          <w:szCs w:val="22"/>
          <w:lang w:val="en-GB"/>
        </w:rPr>
        <w:t>Direct</w:t>
      </w:r>
      <w:r w:rsidRPr="0D7638C3" w:rsidR="4461A0A2">
        <w:rPr>
          <w:rFonts w:ascii="Arial" w:hAnsi="Arial" w:eastAsia="Arial" w:cs="Arial"/>
          <w:b w:val="0"/>
          <w:bCs w:val="0"/>
          <w:noProof w:val="0"/>
          <w:sz w:val="22"/>
          <w:szCs w:val="22"/>
          <w:lang w:val="en-GB"/>
        </w:rPr>
        <w:t xml:space="preserve"> trial </w:t>
      </w:r>
      <w:r w:rsidRPr="0D7638C3" w:rsidR="4461A0A2">
        <w:rPr>
          <w:rFonts w:ascii="Arial" w:hAnsi="Arial" w:eastAsia="Arial" w:cs="Arial"/>
          <w:b w:val="0"/>
          <w:bCs w:val="0"/>
          <w:noProof w:val="0"/>
          <w:sz w:val="22"/>
          <w:szCs w:val="22"/>
          <w:lang w:val="en-GB"/>
        </w:rPr>
        <w:t>demonstrated</w:t>
      </w:r>
      <w:r w:rsidRPr="0D7638C3" w:rsidR="4461A0A2">
        <w:rPr>
          <w:rFonts w:ascii="Arial" w:hAnsi="Arial" w:eastAsia="Arial" w:cs="Arial"/>
          <w:b w:val="0"/>
          <w:bCs w:val="0"/>
          <w:noProof w:val="0"/>
          <w:sz w:val="22"/>
          <w:szCs w:val="22"/>
          <w:lang w:val="en-GB"/>
        </w:rPr>
        <w:t xml:space="preserve"> that a calorie-controlled diet achieved remission in </w:t>
      </w:r>
      <w:r w:rsidRPr="0D7638C3" w:rsidR="7CC0C669">
        <w:rPr>
          <w:rFonts w:ascii="Arial" w:hAnsi="Arial" w:eastAsia="Arial" w:cs="Arial"/>
          <w:b w:val="0"/>
          <w:bCs w:val="0"/>
          <w:noProof w:val="0"/>
          <w:sz w:val="22"/>
          <w:szCs w:val="22"/>
          <w:lang w:val="en-GB"/>
        </w:rPr>
        <w:t>half</w:t>
      </w:r>
      <w:r w:rsidRPr="0D7638C3" w:rsidR="4461A0A2">
        <w:rPr>
          <w:rFonts w:ascii="Arial" w:hAnsi="Arial" w:eastAsia="Arial" w:cs="Arial"/>
          <w:b w:val="0"/>
          <w:bCs w:val="0"/>
          <w:noProof w:val="0"/>
          <w:sz w:val="22"/>
          <w:szCs w:val="22"/>
          <w:lang w:val="en-GB"/>
        </w:rPr>
        <w:t xml:space="preserve"> of participants at one year (Lean et al., 2018).</w:t>
      </w:r>
    </w:p>
    <w:p w:rsidR="4461A0A2" w:rsidP="0D7638C3" w:rsidRDefault="4461A0A2" w14:paraId="73F21ADB" w14:textId="2A00B1E4">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In practice, I co-create </w:t>
      </w:r>
      <w:r w:rsidRPr="0D7638C3" w:rsidR="4461A0A2">
        <w:rPr>
          <w:rFonts w:ascii="Arial" w:hAnsi="Arial" w:eastAsia="Arial" w:cs="Arial"/>
          <w:b w:val="0"/>
          <w:bCs w:val="0"/>
          <w:noProof w:val="0"/>
          <w:sz w:val="22"/>
          <w:szCs w:val="22"/>
          <w:lang w:val="en-GB"/>
        </w:rPr>
        <w:t>stepwise plans</w:t>
      </w:r>
      <w:r w:rsidRPr="0D7638C3" w:rsidR="4461A0A2">
        <w:rPr>
          <w:rFonts w:ascii="Arial" w:hAnsi="Arial" w:eastAsia="Arial" w:cs="Arial"/>
          <w:b w:val="0"/>
          <w:bCs w:val="0"/>
          <w:noProof w:val="0"/>
          <w:sz w:val="22"/>
          <w:szCs w:val="22"/>
          <w:lang w:val="en-GB"/>
        </w:rPr>
        <w:t xml:space="preserve">: regular self-weighing, </w:t>
      </w:r>
      <w:r w:rsidRPr="0D7638C3" w:rsidR="4461A0A2">
        <w:rPr>
          <w:rFonts w:ascii="Arial" w:hAnsi="Arial" w:eastAsia="Arial" w:cs="Arial"/>
          <w:b w:val="0"/>
          <w:bCs w:val="0"/>
          <w:noProof w:val="0"/>
          <w:sz w:val="22"/>
          <w:szCs w:val="22"/>
          <w:lang w:val="en-GB"/>
        </w:rPr>
        <w:t>portion</w:t>
      </w:r>
      <w:r w:rsidRPr="0D7638C3" w:rsidR="4461A0A2">
        <w:rPr>
          <w:rFonts w:ascii="Arial" w:hAnsi="Arial" w:eastAsia="Arial" w:cs="Arial"/>
          <w:b w:val="0"/>
          <w:bCs w:val="0"/>
          <w:noProof w:val="0"/>
          <w:sz w:val="22"/>
          <w:szCs w:val="22"/>
          <w:lang w:val="en-GB"/>
        </w:rPr>
        <w:t xml:space="preserve"> awareness, substituting energy-dense snacks, and planning for “high-risk” times (e.g., weekends). Even </w:t>
      </w:r>
      <w:r w:rsidRPr="0D7638C3" w:rsidR="4461A0A2">
        <w:rPr>
          <w:rFonts w:ascii="Arial" w:hAnsi="Arial" w:eastAsia="Arial" w:cs="Arial"/>
          <w:b w:val="0"/>
          <w:bCs w:val="0"/>
          <w:noProof w:val="0"/>
          <w:sz w:val="22"/>
          <w:szCs w:val="22"/>
          <w:lang w:val="en-GB"/>
        </w:rPr>
        <w:t>5–10 per cent</w:t>
      </w:r>
      <w:r w:rsidRPr="0D7638C3" w:rsidR="4461A0A2">
        <w:rPr>
          <w:rFonts w:ascii="Arial" w:hAnsi="Arial" w:eastAsia="Arial" w:cs="Arial"/>
          <w:b w:val="0"/>
          <w:bCs w:val="0"/>
          <w:noProof w:val="0"/>
          <w:sz w:val="22"/>
          <w:szCs w:val="22"/>
          <w:lang w:val="en-GB"/>
        </w:rPr>
        <w:t xml:space="preserve"> weight loss significantly improves metabolic outcomes (NICE, 2023). For patients with higher BMI or obesity-related comorbidities, referral to </w:t>
      </w:r>
      <w:r w:rsidRPr="0D7638C3" w:rsidR="4461A0A2">
        <w:rPr>
          <w:rFonts w:ascii="Arial" w:hAnsi="Arial" w:eastAsia="Arial" w:cs="Arial"/>
          <w:b w:val="0"/>
          <w:bCs w:val="0"/>
          <w:noProof w:val="0"/>
          <w:sz w:val="22"/>
          <w:szCs w:val="22"/>
          <w:lang w:val="en-GB"/>
        </w:rPr>
        <w:t>tiered weight-management services</w:t>
      </w:r>
      <w:r w:rsidRPr="0D7638C3" w:rsidR="4461A0A2">
        <w:rPr>
          <w:rFonts w:ascii="Arial" w:hAnsi="Arial" w:eastAsia="Arial" w:cs="Arial"/>
          <w:b w:val="0"/>
          <w:bCs w:val="0"/>
          <w:noProof w:val="0"/>
          <w:sz w:val="22"/>
          <w:szCs w:val="22"/>
          <w:lang w:val="en-GB"/>
        </w:rPr>
        <w:t xml:space="preserve">, consideration of </w:t>
      </w:r>
      <w:r w:rsidRPr="0D7638C3" w:rsidR="4461A0A2">
        <w:rPr>
          <w:rFonts w:ascii="Arial" w:hAnsi="Arial" w:eastAsia="Arial" w:cs="Arial"/>
          <w:b w:val="0"/>
          <w:bCs w:val="0"/>
          <w:noProof w:val="0"/>
          <w:sz w:val="22"/>
          <w:szCs w:val="22"/>
          <w:lang w:val="en-GB"/>
        </w:rPr>
        <w:t>pharmacotherapy</w:t>
      </w:r>
      <w:r w:rsidRPr="0D7638C3" w:rsidR="4461A0A2">
        <w:rPr>
          <w:rFonts w:ascii="Arial" w:hAnsi="Arial" w:eastAsia="Arial" w:cs="Arial"/>
          <w:b w:val="0"/>
          <w:bCs w:val="0"/>
          <w:noProof w:val="0"/>
          <w:sz w:val="22"/>
          <w:szCs w:val="22"/>
          <w:lang w:val="en-GB"/>
        </w:rPr>
        <w:t xml:space="preserve">, or discussion of </w:t>
      </w:r>
      <w:r w:rsidRPr="0D7638C3" w:rsidR="4461A0A2">
        <w:rPr>
          <w:rFonts w:ascii="Arial" w:hAnsi="Arial" w:eastAsia="Arial" w:cs="Arial"/>
          <w:b w:val="0"/>
          <w:bCs w:val="0"/>
          <w:noProof w:val="0"/>
          <w:sz w:val="22"/>
          <w:szCs w:val="22"/>
          <w:lang w:val="en-GB"/>
        </w:rPr>
        <w:t>bariatric surgery</w:t>
      </w:r>
      <w:r w:rsidRPr="0D7638C3" w:rsidR="4461A0A2">
        <w:rPr>
          <w:rFonts w:ascii="Arial" w:hAnsi="Arial" w:eastAsia="Arial" w:cs="Arial"/>
          <w:b w:val="0"/>
          <w:bCs w:val="0"/>
          <w:noProof w:val="0"/>
          <w:sz w:val="22"/>
          <w:szCs w:val="22"/>
          <w:lang w:val="en-GB"/>
        </w:rPr>
        <w:t xml:space="preserve"> pathways may be </w:t>
      </w:r>
      <w:r w:rsidRPr="0D7638C3" w:rsidR="4461A0A2">
        <w:rPr>
          <w:rFonts w:ascii="Arial" w:hAnsi="Arial" w:eastAsia="Arial" w:cs="Arial"/>
          <w:b w:val="0"/>
          <w:bCs w:val="0"/>
          <w:noProof w:val="0"/>
          <w:sz w:val="22"/>
          <w:szCs w:val="22"/>
          <w:lang w:val="en-GB"/>
        </w:rPr>
        <w:t>appropriate</w:t>
      </w:r>
      <w:r w:rsidRPr="0D7638C3" w:rsidR="4461A0A2">
        <w:rPr>
          <w:rFonts w:ascii="Arial" w:hAnsi="Arial" w:eastAsia="Arial" w:cs="Arial"/>
          <w:b w:val="0"/>
          <w:bCs w:val="0"/>
          <w:noProof w:val="0"/>
          <w:sz w:val="22"/>
          <w:szCs w:val="22"/>
          <w:lang w:val="en-GB"/>
        </w:rPr>
        <w:t>, aligned with local guidance and patient preference.</w:t>
      </w:r>
    </w:p>
    <w:p w:rsidR="0D7638C3" w:rsidP="0D7638C3" w:rsidRDefault="0D7638C3" w14:paraId="31DD7361" w14:textId="634FE7F1">
      <w:pPr>
        <w:spacing w:line="360" w:lineRule="auto"/>
        <w:rPr>
          <w:rFonts w:ascii="Arial" w:hAnsi="Arial" w:eastAsia="Arial" w:cs="Arial"/>
          <w:b w:val="0"/>
          <w:bCs w:val="0"/>
          <w:sz w:val="22"/>
          <w:szCs w:val="22"/>
        </w:rPr>
      </w:pPr>
    </w:p>
    <w:p w:rsidR="4461A0A2" w:rsidP="0D7638C3" w:rsidRDefault="4461A0A2" w14:paraId="24AD0B6A" w14:textId="5E877515">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0D7638C3" w:rsidR="4461A0A2">
        <w:rPr>
          <w:rFonts w:ascii="Arial" w:hAnsi="Arial" w:eastAsia="Arial" w:cs="Arial"/>
          <w:b w:val="1"/>
          <w:bCs w:val="1"/>
          <w:noProof w:val="0"/>
          <w:color w:val="000000" w:themeColor="text1" w:themeTint="FF" w:themeShade="FF"/>
          <w:sz w:val="24"/>
          <w:szCs w:val="24"/>
          <w:lang w:val="en-GB"/>
        </w:rPr>
        <w:t>Education and Self-Management Support</w:t>
      </w:r>
    </w:p>
    <w:p w:rsidR="4461A0A2" w:rsidP="0D7638C3" w:rsidRDefault="4461A0A2" w14:paraId="4EE1541E" w14:textId="16884E6E">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Patient education is fundamental to long-term diabetes control. Structured programmes such as </w:t>
      </w:r>
      <w:r w:rsidRPr="0D7638C3" w:rsidR="4461A0A2">
        <w:rPr>
          <w:rFonts w:ascii="Arial" w:hAnsi="Arial" w:eastAsia="Arial" w:cs="Arial"/>
          <w:b w:val="0"/>
          <w:bCs w:val="0"/>
          <w:noProof w:val="0"/>
          <w:sz w:val="22"/>
          <w:szCs w:val="22"/>
          <w:lang w:val="en-GB"/>
        </w:rPr>
        <w:t>DESMOND</w:t>
      </w:r>
      <w:r w:rsidRPr="0D7638C3" w:rsidR="4461A0A2">
        <w:rPr>
          <w:rFonts w:ascii="Arial" w:hAnsi="Arial" w:eastAsia="Arial" w:cs="Arial"/>
          <w:b w:val="0"/>
          <w:bCs w:val="0"/>
          <w:noProof w:val="0"/>
          <w:sz w:val="22"/>
          <w:szCs w:val="22"/>
          <w:lang w:val="en-GB"/>
        </w:rPr>
        <w:t xml:space="preserve"> (Diabetes Education and Self-Management for Ongoing and Newly Diagnosed) improve knowledge, promote lifestyle change and enhance wellbeing (Knowles et al., 2021).</w:t>
      </w:r>
    </w:p>
    <w:p w:rsidR="4461A0A2" w:rsidP="0D7638C3" w:rsidRDefault="4461A0A2" w14:paraId="450AF426" w14:textId="1E4BE384">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 xml:space="preserve">Attendance is not always straightforward; barriers include work commitments, travel, health </w:t>
      </w:r>
      <w:r w:rsidRPr="0D7638C3" w:rsidR="389948E8">
        <w:rPr>
          <w:rFonts w:ascii="Arial" w:hAnsi="Arial" w:eastAsia="Arial" w:cs="Arial"/>
          <w:b w:val="0"/>
          <w:bCs w:val="0"/>
          <w:noProof w:val="0"/>
          <w:sz w:val="22"/>
          <w:szCs w:val="22"/>
          <w:lang w:val="en-GB"/>
        </w:rPr>
        <w:t>beliefs,</w:t>
      </w:r>
      <w:r w:rsidRPr="0D7638C3" w:rsidR="4461A0A2">
        <w:rPr>
          <w:rFonts w:ascii="Arial" w:hAnsi="Arial" w:eastAsia="Arial" w:cs="Arial"/>
          <w:b w:val="0"/>
          <w:bCs w:val="0"/>
          <w:noProof w:val="0"/>
          <w:sz w:val="22"/>
          <w:szCs w:val="22"/>
          <w:lang w:val="en-GB"/>
        </w:rPr>
        <w:t xml:space="preserve"> and prior negative experiences (Knowles et al., 2021). Using person-centred communication, I </w:t>
      </w:r>
      <w:r w:rsidRPr="0D7638C3" w:rsidR="4461A0A2">
        <w:rPr>
          <w:rFonts w:ascii="Arial" w:hAnsi="Arial" w:eastAsia="Arial" w:cs="Arial"/>
          <w:b w:val="0"/>
          <w:bCs w:val="0"/>
          <w:noProof w:val="0"/>
          <w:sz w:val="22"/>
          <w:szCs w:val="22"/>
          <w:lang w:val="en-GB"/>
        </w:rPr>
        <w:t>validate</w:t>
      </w:r>
      <w:r w:rsidRPr="0D7638C3" w:rsidR="4461A0A2">
        <w:rPr>
          <w:rFonts w:ascii="Arial" w:hAnsi="Arial" w:eastAsia="Arial" w:cs="Arial"/>
          <w:b w:val="0"/>
          <w:bCs w:val="0"/>
          <w:noProof w:val="0"/>
          <w:sz w:val="22"/>
          <w:szCs w:val="22"/>
          <w:lang w:val="en-GB"/>
        </w:rPr>
        <w:t xml:space="preserve"> concerns, offer flexible formats (group, one-to-one, or digital), and set a clear value proposition (“what you’ll gain”) to improve uptake. Between sessions, I reinforce key skills</w:t>
      </w:r>
      <w:r w:rsidRPr="0D7638C3" w:rsidR="29D9F237">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label reading, glucose pattern spotting, and problem-solving when ill (“sick day rules”).</w:t>
      </w:r>
    </w:p>
    <w:p w:rsidR="4461A0A2" w:rsidP="0D7638C3" w:rsidRDefault="4461A0A2" w14:paraId="2661AA29" w14:textId="6C085992">
      <w:pPr>
        <w:spacing w:before="240" w:beforeAutospacing="off" w:after="240" w:afterAutospacing="off" w:line="360" w:lineRule="auto"/>
        <w:rPr>
          <w:rFonts w:ascii="Arial" w:hAnsi="Arial" w:eastAsia="Arial" w:cs="Arial"/>
          <w:b w:val="0"/>
          <w:bCs w:val="0"/>
          <w:noProof w:val="0"/>
          <w:sz w:val="22"/>
          <w:szCs w:val="22"/>
          <w:lang w:val="en-GB"/>
        </w:rPr>
      </w:pPr>
      <w:r w:rsidRPr="0D7638C3" w:rsidR="4461A0A2">
        <w:rPr>
          <w:rFonts w:ascii="Arial" w:hAnsi="Arial" w:eastAsia="Arial" w:cs="Arial"/>
          <w:b w:val="0"/>
          <w:bCs w:val="0"/>
          <w:noProof w:val="0"/>
          <w:sz w:val="22"/>
          <w:szCs w:val="22"/>
          <w:lang w:val="en-GB"/>
        </w:rPr>
        <w:t>Digital tools (apps and portals) can scaffold habits</w:t>
      </w:r>
      <w:r w:rsidRPr="0D7638C3" w:rsidR="168F4625">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 xml:space="preserve">reminders to test, track </w:t>
      </w:r>
      <w:r w:rsidRPr="0D7638C3" w:rsidR="4461A0A2">
        <w:rPr>
          <w:rFonts w:ascii="Arial" w:hAnsi="Arial" w:eastAsia="Arial" w:cs="Arial"/>
          <w:b w:val="0"/>
          <w:bCs w:val="0"/>
          <w:noProof w:val="0"/>
          <w:sz w:val="22"/>
          <w:szCs w:val="22"/>
          <w:lang w:val="en-GB"/>
        </w:rPr>
        <w:t>steps</w:t>
      </w:r>
      <w:r w:rsidRPr="0D7638C3" w:rsidR="4461A0A2">
        <w:rPr>
          <w:rFonts w:ascii="Arial" w:hAnsi="Arial" w:eastAsia="Arial" w:cs="Arial"/>
          <w:b w:val="0"/>
          <w:bCs w:val="0"/>
          <w:noProof w:val="0"/>
          <w:sz w:val="22"/>
          <w:szCs w:val="22"/>
          <w:lang w:val="en-GB"/>
        </w:rPr>
        <w:t xml:space="preserve"> or log meals</w:t>
      </w:r>
      <w:r w:rsidRPr="0D7638C3" w:rsidR="5F3D6B6D">
        <w:rPr>
          <w:rFonts w:ascii="Arial" w:hAnsi="Arial" w:eastAsia="Arial" w:cs="Arial"/>
          <w:b w:val="0"/>
          <w:bCs w:val="0"/>
          <w:noProof w:val="0"/>
          <w:sz w:val="22"/>
          <w:szCs w:val="22"/>
          <w:lang w:val="en-GB"/>
        </w:rPr>
        <w:t xml:space="preserve"> </w:t>
      </w:r>
      <w:r w:rsidRPr="0D7638C3" w:rsidR="4461A0A2">
        <w:rPr>
          <w:rFonts w:ascii="Arial" w:hAnsi="Arial" w:eastAsia="Arial" w:cs="Arial"/>
          <w:b w:val="0"/>
          <w:bCs w:val="0"/>
          <w:noProof w:val="0"/>
          <w:sz w:val="22"/>
          <w:szCs w:val="22"/>
          <w:lang w:val="en-GB"/>
        </w:rPr>
        <w:t>and create feedback loops that keep patients engaged (NHS, 2023). Consistency, not perfection, is my core message.</w:t>
      </w:r>
    </w:p>
    <w:p w:rsidR="7C20ED32" w:rsidP="0D7638C3" w:rsidRDefault="7C20ED32" w14:paraId="4D7DA8DB" w14:textId="6BB29B7D">
      <w:pPr>
        <w:pStyle w:val="Normal"/>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GB"/>
        </w:rPr>
      </w:pPr>
      <w:r w:rsidRPr="0D7638C3" w:rsidR="7C20ED32">
        <w:rPr>
          <w:rFonts w:ascii="Arial" w:hAnsi="Arial" w:eastAsia="Arial" w:cs="Arial"/>
          <w:b w:val="1"/>
          <w:bCs w:val="1"/>
          <w:noProof w:val="0"/>
          <w:color w:val="000000" w:themeColor="text1" w:themeTint="FF" w:themeShade="FF"/>
          <w:sz w:val="24"/>
          <w:szCs w:val="24"/>
          <w:lang w:val="en-GB"/>
        </w:rPr>
        <w:t>Conclusion</w:t>
      </w:r>
      <w:r w:rsidRPr="0D7638C3" w:rsidR="7A012099">
        <w:rPr>
          <w:rFonts w:ascii="Arial" w:hAnsi="Arial" w:eastAsia="Arial" w:cs="Arial"/>
          <w:b w:val="1"/>
          <w:bCs w:val="1"/>
          <w:noProof w:val="0"/>
          <w:color w:val="000000" w:themeColor="text1" w:themeTint="FF" w:themeShade="FF"/>
          <w:sz w:val="24"/>
          <w:szCs w:val="24"/>
          <w:lang w:val="en-GB"/>
        </w:rPr>
        <w:t xml:space="preserve"> </w:t>
      </w:r>
    </w:p>
    <w:p w:rsidR="162F23FF" w:rsidP="0D7638C3" w:rsidRDefault="162F23FF" w14:paraId="650BF60F" w14:textId="6587FF86">
      <w:pPr>
        <w:spacing w:before="240" w:beforeAutospacing="off" w:after="240" w:afterAutospacing="off" w:line="360" w:lineRule="auto"/>
        <w:rPr>
          <w:rFonts w:ascii="Arial" w:hAnsi="Arial" w:eastAsia="Arial" w:cs="Arial"/>
          <w:b w:val="0"/>
          <w:bCs w:val="0"/>
          <w:noProof w:val="0"/>
          <w:sz w:val="22"/>
          <w:szCs w:val="22"/>
          <w:lang w:val="en-GB"/>
        </w:rPr>
      </w:pPr>
      <w:r w:rsidRPr="0D7638C3" w:rsidR="162F23FF">
        <w:rPr>
          <w:rFonts w:ascii="Arial" w:hAnsi="Arial" w:eastAsia="Arial" w:cs="Arial"/>
          <w:b w:val="0"/>
          <w:bCs w:val="0"/>
          <w:noProof w:val="0"/>
          <w:sz w:val="22"/>
          <w:szCs w:val="22"/>
          <w:lang w:val="en-GB"/>
        </w:rPr>
        <w:t>As a practice nurse in primary care, supporting patients with Type 2 diabetes involves much more than clinical monitoring; it requires holistic, evidence-based, patient-centred care. Understanding glucose regulation and energy production enables nurses to explain complex physiology in accessible terms.</w:t>
      </w:r>
    </w:p>
    <w:p w:rsidR="162F23FF" w:rsidP="0D7638C3" w:rsidRDefault="162F23FF" w14:paraId="730960AB" w14:textId="7E06410C">
      <w:pPr>
        <w:spacing w:before="240" w:beforeAutospacing="off" w:after="240" w:afterAutospacing="off" w:line="360" w:lineRule="auto"/>
        <w:rPr>
          <w:rFonts w:ascii="Arial" w:hAnsi="Arial" w:eastAsia="Arial" w:cs="Arial"/>
          <w:b w:val="0"/>
          <w:bCs w:val="0"/>
          <w:noProof w:val="0"/>
          <w:sz w:val="22"/>
          <w:szCs w:val="22"/>
          <w:lang w:val="en-GB"/>
        </w:rPr>
      </w:pPr>
      <w:r w:rsidRPr="0D7638C3" w:rsidR="162F23FF">
        <w:rPr>
          <w:rFonts w:ascii="Arial" w:hAnsi="Arial" w:eastAsia="Arial" w:cs="Arial"/>
          <w:b w:val="0"/>
          <w:bCs w:val="0"/>
          <w:noProof w:val="0"/>
          <w:sz w:val="22"/>
          <w:szCs w:val="22"/>
          <w:lang w:val="en-GB"/>
        </w:rPr>
        <w:t>Encouraging regular, structured monitoring</w:t>
      </w:r>
      <w:r w:rsidRPr="0D7638C3" w:rsidR="51C0CF64">
        <w:rPr>
          <w:rFonts w:ascii="Arial" w:hAnsi="Arial" w:eastAsia="Arial" w:cs="Arial"/>
          <w:b w:val="0"/>
          <w:bCs w:val="0"/>
          <w:noProof w:val="0"/>
          <w:sz w:val="22"/>
          <w:szCs w:val="22"/>
          <w:lang w:val="en-GB"/>
        </w:rPr>
        <w:t xml:space="preserve"> </w:t>
      </w:r>
      <w:r w:rsidRPr="0D7638C3" w:rsidR="162F23FF">
        <w:rPr>
          <w:rFonts w:ascii="Arial" w:hAnsi="Arial" w:eastAsia="Arial" w:cs="Arial"/>
          <w:b w:val="0"/>
          <w:bCs w:val="0"/>
          <w:noProof w:val="0"/>
          <w:sz w:val="22"/>
          <w:szCs w:val="22"/>
          <w:lang w:val="en-GB"/>
        </w:rPr>
        <w:t xml:space="preserve">and interpreting data using metrics such as time in range empowers patients to </w:t>
      </w:r>
      <w:r w:rsidRPr="0D7638C3" w:rsidR="162F23FF">
        <w:rPr>
          <w:rFonts w:ascii="Arial" w:hAnsi="Arial" w:eastAsia="Arial" w:cs="Arial"/>
          <w:b w:val="0"/>
          <w:bCs w:val="0"/>
          <w:noProof w:val="0"/>
          <w:sz w:val="22"/>
          <w:szCs w:val="22"/>
          <w:lang w:val="en-GB"/>
        </w:rPr>
        <w:t>identify</w:t>
      </w:r>
      <w:r w:rsidRPr="0D7638C3" w:rsidR="162F23FF">
        <w:rPr>
          <w:rFonts w:ascii="Arial" w:hAnsi="Arial" w:eastAsia="Arial" w:cs="Arial"/>
          <w:b w:val="0"/>
          <w:bCs w:val="0"/>
          <w:noProof w:val="0"/>
          <w:sz w:val="22"/>
          <w:szCs w:val="22"/>
          <w:lang w:val="en-GB"/>
        </w:rPr>
        <w:t xml:space="preserve"> trends, respond to changes and take ownership of their condition (ADA, 2023; </w:t>
      </w:r>
      <w:r w:rsidRPr="0D7638C3" w:rsidR="162F23FF">
        <w:rPr>
          <w:rFonts w:ascii="Arial" w:hAnsi="Arial" w:eastAsia="Arial" w:cs="Arial"/>
          <w:b w:val="0"/>
          <w:bCs w:val="0"/>
          <w:noProof w:val="0"/>
          <w:sz w:val="22"/>
          <w:szCs w:val="22"/>
          <w:lang w:val="en-GB"/>
        </w:rPr>
        <w:t>Jancev</w:t>
      </w:r>
      <w:r w:rsidRPr="0D7638C3" w:rsidR="162F23FF">
        <w:rPr>
          <w:rFonts w:ascii="Arial" w:hAnsi="Arial" w:eastAsia="Arial" w:cs="Arial"/>
          <w:b w:val="0"/>
          <w:bCs w:val="0"/>
          <w:noProof w:val="0"/>
          <w:sz w:val="22"/>
          <w:szCs w:val="22"/>
          <w:lang w:val="en-GB"/>
        </w:rPr>
        <w:t xml:space="preserve"> et al., 2024). Evidence </w:t>
      </w:r>
      <w:r w:rsidRPr="0D7638C3" w:rsidR="162F23FF">
        <w:rPr>
          <w:rFonts w:ascii="Arial" w:hAnsi="Arial" w:eastAsia="Arial" w:cs="Arial"/>
          <w:b w:val="0"/>
          <w:bCs w:val="0"/>
          <w:noProof w:val="0"/>
          <w:sz w:val="22"/>
          <w:szCs w:val="22"/>
          <w:lang w:val="en-GB"/>
        </w:rPr>
        <w:t>demonstrates</w:t>
      </w:r>
      <w:r w:rsidRPr="0D7638C3" w:rsidR="162F23FF">
        <w:rPr>
          <w:rFonts w:ascii="Arial" w:hAnsi="Arial" w:eastAsia="Arial" w:cs="Arial"/>
          <w:b w:val="0"/>
          <w:bCs w:val="0"/>
          <w:noProof w:val="0"/>
          <w:sz w:val="22"/>
          <w:szCs w:val="22"/>
          <w:lang w:val="en-GB"/>
        </w:rPr>
        <w:t xml:space="preserve"> that lifestyle modification</w:t>
      </w:r>
      <w:r w:rsidRPr="0D7638C3" w:rsidR="01F5804F">
        <w:rPr>
          <w:rFonts w:ascii="Arial" w:hAnsi="Arial" w:eastAsia="Arial" w:cs="Arial"/>
          <w:b w:val="0"/>
          <w:bCs w:val="0"/>
          <w:noProof w:val="0"/>
          <w:sz w:val="22"/>
          <w:szCs w:val="22"/>
          <w:lang w:val="en-GB"/>
        </w:rPr>
        <w:t xml:space="preserve"> </w:t>
      </w:r>
      <w:r w:rsidRPr="0D7638C3" w:rsidR="162F23FF">
        <w:rPr>
          <w:rFonts w:ascii="Arial" w:hAnsi="Arial" w:eastAsia="Arial" w:cs="Arial"/>
          <w:b w:val="0"/>
          <w:bCs w:val="0"/>
          <w:noProof w:val="0"/>
          <w:sz w:val="22"/>
          <w:szCs w:val="22"/>
          <w:lang w:val="en-GB"/>
        </w:rPr>
        <w:t xml:space="preserve">through diet, physical activity, smoking </w:t>
      </w:r>
      <w:r w:rsidRPr="0D7638C3" w:rsidR="680115C3">
        <w:rPr>
          <w:rFonts w:ascii="Arial" w:hAnsi="Arial" w:eastAsia="Arial" w:cs="Arial"/>
          <w:b w:val="0"/>
          <w:bCs w:val="0"/>
          <w:noProof w:val="0"/>
          <w:sz w:val="22"/>
          <w:szCs w:val="22"/>
          <w:lang w:val="en-GB"/>
        </w:rPr>
        <w:t>cessation,</w:t>
      </w:r>
      <w:r w:rsidRPr="0D7638C3" w:rsidR="162F23FF">
        <w:rPr>
          <w:rFonts w:ascii="Arial" w:hAnsi="Arial" w:eastAsia="Arial" w:cs="Arial"/>
          <w:b w:val="0"/>
          <w:bCs w:val="0"/>
          <w:noProof w:val="0"/>
          <w:sz w:val="22"/>
          <w:szCs w:val="22"/>
          <w:lang w:val="en-GB"/>
        </w:rPr>
        <w:t xml:space="preserve"> and weight management improves glycaemic control and reduces complications (NICE, 2023; Davies et al., 2022; Ojo, Adebowale and Wang, 2018; Lean et al., 2018).</w:t>
      </w:r>
    </w:p>
    <w:p w:rsidR="4ECF0F74" w:rsidP="0D7638C3" w:rsidRDefault="4ECF0F74" w14:paraId="64852F6F" w14:textId="3AC8C7E2">
      <w:pPr>
        <w:spacing w:before="240" w:beforeAutospacing="off" w:after="240" w:afterAutospacing="off" w:line="360" w:lineRule="auto"/>
        <w:rPr>
          <w:rFonts w:ascii="Arial" w:hAnsi="Arial" w:eastAsia="Arial" w:cs="Arial"/>
          <w:b w:val="0"/>
          <w:bCs w:val="0"/>
          <w:noProof w:val="0"/>
          <w:sz w:val="22"/>
          <w:szCs w:val="22"/>
          <w:lang w:val="en-GB"/>
        </w:rPr>
      </w:pPr>
      <w:r w:rsidRPr="0D7638C3" w:rsidR="4ECF0F74">
        <w:rPr>
          <w:rFonts w:ascii="Arial" w:hAnsi="Arial" w:eastAsia="Arial" w:cs="Arial"/>
          <w:b w:val="0"/>
          <w:bCs w:val="0"/>
          <w:noProof w:val="0"/>
          <w:sz w:val="22"/>
          <w:szCs w:val="22"/>
          <w:lang w:val="en-GB"/>
        </w:rPr>
        <w:t>Important</w:t>
      </w:r>
      <w:r w:rsidRPr="0D7638C3" w:rsidR="162F23FF">
        <w:rPr>
          <w:rFonts w:ascii="Arial" w:hAnsi="Arial" w:eastAsia="Arial" w:cs="Arial"/>
          <w:b w:val="0"/>
          <w:bCs w:val="0"/>
          <w:noProof w:val="0"/>
          <w:sz w:val="22"/>
          <w:szCs w:val="22"/>
          <w:lang w:val="en-GB"/>
        </w:rPr>
        <w:t xml:space="preserve"> outcomes depend on behaviour change sustained over time. The nurse’s role is to coach, not just instruct building therapeutic relationships; setting SMART goals; addressing health literacy and cultural preferences; and troubleshooting barriers like pain, low mood, caring </w:t>
      </w:r>
      <w:r w:rsidRPr="0D7638C3" w:rsidR="45892D35">
        <w:rPr>
          <w:rFonts w:ascii="Arial" w:hAnsi="Arial" w:eastAsia="Arial" w:cs="Arial"/>
          <w:b w:val="0"/>
          <w:bCs w:val="0"/>
          <w:noProof w:val="0"/>
          <w:sz w:val="22"/>
          <w:szCs w:val="22"/>
          <w:lang w:val="en-GB"/>
        </w:rPr>
        <w:t>responsibilities,</w:t>
      </w:r>
      <w:r w:rsidRPr="0D7638C3" w:rsidR="162F23FF">
        <w:rPr>
          <w:rFonts w:ascii="Arial" w:hAnsi="Arial" w:eastAsia="Arial" w:cs="Arial"/>
          <w:b w:val="0"/>
          <w:bCs w:val="0"/>
          <w:noProof w:val="0"/>
          <w:sz w:val="22"/>
          <w:szCs w:val="22"/>
          <w:lang w:val="en-GB"/>
        </w:rPr>
        <w:t xml:space="preserve"> or cost. By aligning plans with what matters to the patient, we increase adherence and equity, reduce avoidable admissions and safeguard long-term quality of life. In short, effective diabetes care is a partnership and primary care nursing is at its heart</w:t>
      </w:r>
      <w:r w:rsidRPr="0D7638C3" w:rsidR="0CCC7D78">
        <w:rPr>
          <w:rFonts w:ascii="Arial" w:hAnsi="Arial" w:eastAsia="Arial" w:cs="Arial"/>
          <w:b w:val="0"/>
          <w:bCs w:val="0"/>
          <w:noProof w:val="0"/>
          <w:sz w:val="22"/>
          <w:szCs w:val="22"/>
          <w:lang w:val="en-GB"/>
        </w:rPr>
        <w:t xml:space="preserve">. </w:t>
      </w:r>
    </w:p>
    <w:p w:rsidR="0D7638C3" w:rsidP="0D7638C3" w:rsidRDefault="0D7638C3" w14:paraId="2F1801CD" w14:textId="7F909767">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32D78F08" w14:textId="24C62D54">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502A4470" w14:textId="4E5C47C2">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4CE3ED85" w14:textId="158C5EBA">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4DE286A1" w14:textId="31B771D5">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6021882C" w14:textId="1717BA7B">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006F914D" w14:textId="1C3B6153">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1C53E70C" w14:textId="5071F1FE">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3895B7BB" w14:textId="2280378C">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0F2B6908" w14:textId="4CFEF6B7">
      <w:pPr>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20F30944" w14:textId="4CF6537F">
      <w:pPr>
        <w:spacing w:before="240" w:beforeAutospacing="off" w:after="240" w:afterAutospacing="off" w:line="360" w:lineRule="auto"/>
        <w:rPr>
          <w:rFonts w:ascii="Arial" w:hAnsi="Arial" w:eastAsia="Arial" w:cs="Arial"/>
          <w:b w:val="1"/>
          <w:bCs w:val="1"/>
          <w:noProof w:val="0"/>
          <w:sz w:val="24"/>
          <w:szCs w:val="24"/>
          <w:lang w:val="en-GB"/>
        </w:rPr>
      </w:pPr>
    </w:p>
    <w:p w:rsidR="0ADB0ADA" w:rsidP="0D7638C3" w:rsidRDefault="0ADB0ADA" w14:paraId="1185B687" w14:textId="0B66842B">
      <w:pPr>
        <w:spacing w:before="240" w:beforeAutospacing="off" w:after="240" w:afterAutospacing="off" w:line="360" w:lineRule="auto"/>
        <w:rPr>
          <w:rFonts w:ascii="Arial" w:hAnsi="Arial" w:eastAsia="Arial" w:cs="Arial"/>
          <w:b w:val="0"/>
          <w:bCs w:val="0"/>
          <w:noProof w:val="0"/>
          <w:sz w:val="22"/>
          <w:szCs w:val="22"/>
          <w:lang w:val="en-GB"/>
        </w:rPr>
      </w:pPr>
      <w:r w:rsidRPr="0D7638C3" w:rsidR="0ADB0ADA">
        <w:rPr>
          <w:rFonts w:ascii="Arial" w:hAnsi="Arial" w:eastAsia="Arial" w:cs="Arial"/>
          <w:b w:val="1"/>
          <w:bCs w:val="1"/>
          <w:noProof w:val="0"/>
          <w:sz w:val="24"/>
          <w:szCs w:val="24"/>
          <w:lang w:val="en-GB"/>
        </w:rPr>
        <w:t xml:space="preserve">References </w:t>
      </w:r>
    </w:p>
    <w:p w:rsidR="0ADB0ADA" w:rsidP="0D7638C3" w:rsidRDefault="0ADB0ADA" w14:paraId="259FF9A3" w14:textId="3E4E17ED">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American Diabetes Association (ADA) (2023) </w:t>
      </w:r>
      <w:r w:rsidRPr="0D7638C3" w:rsidR="0ADB0ADA">
        <w:rPr>
          <w:rFonts w:ascii="Arial" w:hAnsi="Arial" w:eastAsia="Arial" w:cs="Arial"/>
          <w:i w:val="1"/>
          <w:iCs w:val="1"/>
          <w:noProof w:val="0"/>
          <w:color w:val="000000" w:themeColor="text1" w:themeTint="FF" w:themeShade="FF"/>
          <w:sz w:val="22"/>
          <w:szCs w:val="22"/>
          <w:lang w:val="en-GB"/>
        </w:rPr>
        <w:t>Standards of Medical Care in Diabetes 2023.</w:t>
      </w:r>
      <w:r w:rsidRPr="0D7638C3" w:rsidR="0ADB0ADA">
        <w:rPr>
          <w:rFonts w:ascii="Arial" w:hAnsi="Arial" w:eastAsia="Arial" w:cs="Arial"/>
          <w:noProof w:val="0"/>
          <w:color w:val="000000" w:themeColor="text1" w:themeTint="FF" w:themeShade="FF"/>
          <w:sz w:val="22"/>
          <w:szCs w:val="22"/>
          <w:lang w:val="en-GB"/>
        </w:rPr>
        <w:t xml:space="preserve"> </w:t>
      </w:r>
      <w:r w:rsidRPr="0D7638C3" w:rsidR="0ADB0ADA">
        <w:rPr>
          <w:rFonts w:ascii="Arial" w:hAnsi="Arial" w:eastAsia="Arial" w:cs="Arial"/>
          <w:i w:val="1"/>
          <w:iCs w:val="1"/>
          <w:noProof w:val="0"/>
          <w:color w:val="000000" w:themeColor="text1" w:themeTint="FF" w:themeShade="FF"/>
          <w:sz w:val="22"/>
          <w:szCs w:val="22"/>
          <w:lang w:val="en-GB"/>
        </w:rPr>
        <w:t>Diabetes Care</w:t>
      </w:r>
      <w:r w:rsidRPr="0D7638C3" w:rsidR="0ADB0ADA">
        <w:rPr>
          <w:rFonts w:ascii="Arial" w:hAnsi="Arial" w:eastAsia="Arial" w:cs="Arial"/>
          <w:noProof w:val="0"/>
          <w:color w:val="000000" w:themeColor="text1" w:themeTint="FF" w:themeShade="FF"/>
          <w:sz w:val="22"/>
          <w:szCs w:val="22"/>
          <w:lang w:val="en-GB"/>
        </w:rPr>
        <w:t>, 46(</w:t>
      </w:r>
      <w:r w:rsidRPr="0D7638C3" w:rsidR="0ADB0ADA">
        <w:rPr>
          <w:rFonts w:ascii="Arial" w:hAnsi="Arial" w:eastAsia="Arial" w:cs="Arial"/>
          <w:noProof w:val="0"/>
          <w:color w:val="000000" w:themeColor="text1" w:themeTint="FF" w:themeShade="FF"/>
          <w:sz w:val="22"/>
          <w:szCs w:val="22"/>
          <w:lang w:val="en-GB"/>
        </w:rPr>
        <w:t>Suppl</w:t>
      </w:r>
      <w:r w:rsidRPr="0D7638C3" w:rsidR="0ADB0ADA">
        <w:rPr>
          <w:rFonts w:ascii="Arial" w:hAnsi="Arial" w:eastAsia="Arial" w:cs="Arial"/>
          <w:noProof w:val="0"/>
          <w:color w:val="000000" w:themeColor="text1" w:themeTint="FF" w:themeShade="FF"/>
          <w:sz w:val="22"/>
          <w:szCs w:val="22"/>
          <w:lang w:val="en-GB"/>
        </w:rPr>
        <w:t xml:space="preserve"> 1), pp. S1–S154.</w:t>
      </w:r>
    </w:p>
    <w:p w:rsidR="0ADB0ADA" w:rsidP="0D7638C3" w:rsidRDefault="0ADB0ADA" w14:paraId="671C77A7" w14:textId="35F87016">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Chiolero</w:t>
      </w:r>
      <w:r w:rsidRPr="0D7638C3" w:rsidR="0ADB0ADA">
        <w:rPr>
          <w:rFonts w:ascii="Arial" w:hAnsi="Arial" w:eastAsia="Arial" w:cs="Arial"/>
          <w:noProof w:val="0"/>
          <w:color w:val="000000" w:themeColor="text1" w:themeTint="FF" w:themeShade="FF"/>
          <w:sz w:val="22"/>
          <w:szCs w:val="22"/>
          <w:lang w:val="en-GB"/>
        </w:rPr>
        <w:t xml:space="preserve">, A., </w:t>
      </w:r>
      <w:r w:rsidRPr="0D7638C3" w:rsidR="0ADB0ADA">
        <w:rPr>
          <w:rFonts w:ascii="Arial" w:hAnsi="Arial" w:eastAsia="Arial" w:cs="Arial"/>
          <w:noProof w:val="0"/>
          <w:color w:val="000000" w:themeColor="text1" w:themeTint="FF" w:themeShade="FF"/>
          <w:sz w:val="22"/>
          <w:szCs w:val="22"/>
          <w:lang w:val="en-GB"/>
        </w:rPr>
        <w:t>Faeh</w:t>
      </w:r>
      <w:r w:rsidRPr="0D7638C3" w:rsidR="0ADB0ADA">
        <w:rPr>
          <w:rFonts w:ascii="Arial" w:hAnsi="Arial" w:eastAsia="Arial" w:cs="Arial"/>
          <w:noProof w:val="0"/>
          <w:color w:val="000000" w:themeColor="text1" w:themeTint="FF" w:themeShade="FF"/>
          <w:sz w:val="22"/>
          <w:szCs w:val="22"/>
          <w:lang w:val="en-GB"/>
        </w:rPr>
        <w:t xml:space="preserve">, D., </w:t>
      </w:r>
      <w:r w:rsidRPr="0D7638C3" w:rsidR="0ADB0ADA">
        <w:rPr>
          <w:rFonts w:ascii="Arial" w:hAnsi="Arial" w:eastAsia="Arial" w:cs="Arial"/>
          <w:noProof w:val="0"/>
          <w:color w:val="000000" w:themeColor="text1" w:themeTint="FF" w:themeShade="FF"/>
          <w:sz w:val="22"/>
          <w:szCs w:val="22"/>
          <w:lang w:val="en-GB"/>
        </w:rPr>
        <w:t>Paccaud</w:t>
      </w:r>
      <w:r w:rsidRPr="0D7638C3" w:rsidR="0ADB0ADA">
        <w:rPr>
          <w:rFonts w:ascii="Arial" w:hAnsi="Arial" w:eastAsia="Arial" w:cs="Arial"/>
          <w:noProof w:val="0"/>
          <w:color w:val="000000" w:themeColor="text1" w:themeTint="FF" w:themeShade="FF"/>
          <w:sz w:val="22"/>
          <w:szCs w:val="22"/>
          <w:lang w:val="en-GB"/>
        </w:rPr>
        <w:t xml:space="preserve">, F. and </w:t>
      </w:r>
      <w:r w:rsidRPr="0D7638C3" w:rsidR="0ADB0ADA">
        <w:rPr>
          <w:rFonts w:ascii="Arial" w:hAnsi="Arial" w:eastAsia="Arial" w:cs="Arial"/>
          <w:noProof w:val="0"/>
          <w:color w:val="000000" w:themeColor="text1" w:themeTint="FF" w:themeShade="FF"/>
          <w:sz w:val="22"/>
          <w:szCs w:val="22"/>
          <w:lang w:val="en-GB"/>
        </w:rPr>
        <w:t>Cornuz</w:t>
      </w:r>
      <w:r w:rsidRPr="0D7638C3" w:rsidR="0ADB0ADA">
        <w:rPr>
          <w:rFonts w:ascii="Arial" w:hAnsi="Arial" w:eastAsia="Arial" w:cs="Arial"/>
          <w:noProof w:val="0"/>
          <w:color w:val="000000" w:themeColor="text1" w:themeTint="FF" w:themeShade="FF"/>
          <w:sz w:val="22"/>
          <w:szCs w:val="22"/>
          <w:lang w:val="en-GB"/>
        </w:rPr>
        <w:t xml:space="preserve">, J. (2019) ‘Consequences of smoking for body weight, body fat distribution, and insulin resistance’, </w:t>
      </w:r>
      <w:r w:rsidRPr="0D7638C3" w:rsidR="0ADB0ADA">
        <w:rPr>
          <w:rFonts w:ascii="Arial" w:hAnsi="Arial" w:eastAsia="Arial" w:cs="Arial"/>
          <w:i w:val="1"/>
          <w:iCs w:val="1"/>
          <w:noProof w:val="0"/>
          <w:color w:val="000000" w:themeColor="text1" w:themeTint="FF" w:themeShade="FF"/>
          <w:sz w:val="22"/>
          <w:szCs w:val="22"/>
          <w:lang w:val="en-GB"/>
        </w:rPr>
        <w:t>American Journal of Clinical Nutrition</w:t>
      </w:r>
      <w:r w:rsidRPr="0D7638C3" w:rsidR="0ADB0ADA">
        <w:rPr>
          <w:rFonts w:ascii="Arial" w:hAnsi="Arial" w:eastAsia="Arial" w:cs="Arial"/>
          <w:noProof w:val="0"/>
          <w:color w:val="000000" w:themeColor="text1" w:themeTint="FF" w:themeShade="FF"/>
          <w:sz w:val="22"/>
          <w:szCs w:val="22"/>
          <w:lang w:val="en-GB"/>
        </w:rPr>
        <w:t>, 91(4), pp. 977–984.</w:t>
      </w:r>
    </w:p>
    <w:p w:rsidR="0ADB0ADA" w:rsidP="0D7638C3" w:rsidRDefault="0ADB0ADA" w14:paraId="32DBB000" w14:textId="4934DB86">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Colberg, S.R. et al. (2016) ‘Physical activity/exercise and diabetes: a position statement of the American Diabetes Association’, </w:t>
      </w:r>
      <w:r w:rsidRPr="0D7638C3" w:rsidR="0ADB0ADA">
        <w:rPr>
          <w:rFonts w:ascii="Arial" w:hAnsi="Arial" w:eastAsia="Arial" w:cs="Arial"/>
          <w:i w:val="1"/>
          <w:iCs w:val="1"/>
          <w:noProof w:val="0"/>
          <w:color w:val="000000" w:themeColor="text1" w:themeTint="FF" w:themeShade="FF"/>
          <w:sz w:val="22"/>
          <w:szCs w:val="22"/>
          <w:lang w:val="en-GB"/>
        </w:rPr>
        <w:t>Diabetes Care</w:t>
      </w:r>
      <w:r w:rsidRPr="0D7638C3" w:rsidR="0ADB0ADA">
        <w:rPr>
          <w:rFonts w:ascii="Arial" w:hAnsi="Arial" w:eastAsia="Arial" w:cs="Arial"/>
          <w:noProof w:val="0"/>
          <w:color w:val="000000" w:themeColor="text1" w:themeTint="FF" w:themeShade="FF"/>
          <w:sz w:val="22"/>
          <w:szCs w:val="22"/>
          <w:lang w:val="en-GB"/>
        </w:rPr>
        <w:t>, 39(11), pp. 2065–2079.</w:t>
      </w:r>
    </w:p>
    <w:p w:rsidR="0ADB0ADA" w:rsidP="0D7638C3" w:rsidRDefault="0ADB0ADA" w14:paraId="47F2A9D1" w14:textId="6C0F3E30">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Davies, M.J. et al. (2022) ‘Management of hyperglycaemia in type 2 diabetes, 2022. A consensus report by the ADA and the EASD</w:t>
      </w:r>
      <w:bookmarkStart w:name="_Int_Oev3sQmo" w:id="186616879"/>
      <w:r w:rsidRPr="0D7638C3" w:rsidR="0ADB0ADA">
        <w:rPr>
          <w:rFonts w:ascii="Arial" w:hAnsi="Arial" w:eastAsia="Arial" w:cs="Arial"/>
          <w:noProof w:val="0"/>
          <w:color w:val="000000" w:themeColor="text1" w:themeTint="FF" w:themeShade="FF"/>
          <w:sz w:val="22"/>
          <w:szCs w:val="22"/>
          <w:lang w:val="en-GB"/>
        </w:rPr>
        <w:t>’,</w:t>
      </w:r>
      <w:bookmarkEnd w:id="186616879"/>
      <w:r w:rsidRPr="0D7638C3" w:rsidR="0ADB0ADA">
        <w:rPr>
          <w:rFonts w:ascii="Arial" w:hAnsi="Arial" w:eastAsia="Arial" w:cs="Arial"/>
          <w:noProof w:val="0"/>
          <w:color w:val="000000" w:themeColor="text1" w:themeTint="FF" w:themeShade="FF"/>
          <w:sz w:val="22"/>
          <w:szCs w:val="22"/>
          <w:lang w:val="en-GB"/>
        </w:rPr>
        <w:t xml:space="preserve"> </w:t>
      </w:r>
      <w:r w:rsidRPr="0D7638C3" w:rsidR="0ADB0ADA">
        <w:rPr>
          <w:rFonts w:ascii="Arial" w:hAnsi="Arial" w:eastAsia="Arial" w:cs="Arial"/>
          <w:i w:val="1"/>
          <w:iCs w:val="1"/>
          <w:noProof w:val="0"/>
          <w:color w:val="000000" w:themeColor="text1" w:themeTint="FF" w:themeShade="FF"/>
          <w:sz w:val="22"/>
          <w:szCs w:val="22"/>
          <w:lang w:val="en-GB"/>
        </w:rPr>
        <w:t>Diabetologia</w:t>
      </w:r>
      <w:r w:rsidRPr="0D7638C3" w:rsidR="0ADB0ADA">
        <w:rPr>
          <w:rFonts w:ascii="Arial" w:hAnsi="Arial" w:eastAsia="Arial" w:cs="Arial"/>
          <w:noProof w:val="0"/>
          <w:color w:val="000000" w:themeColor="text1" w:themeTint="FF" w:themeShade="FF"/>
          <w:sz w:val="22"/>
          <w:szCs w:val="22"/>
          <w:lang w:val="en-GB"/>
        </w:rPr>
        <w:t>, 65(12), pp. 1925–1966.</w:t>
      </w:r>
    </w:p>
    <w:p w:rsidR="0ADB0ADA" w:rsidP="0D7638C3" w:rsidRDefault="0ADB0ADA" w14:paraId="49C8B5FC" w14:textId="4FC35E6A">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Diabetes UK (2024) </w:t>
      </w:r>
      <w:r w:rsidRPr="0D7638C3" w:rsidR="0ADB0ADA">
        <w:rPr>
          <w:rFonts w:ascii="Arial" w:hAnsi="Arial" w:eastAsia="Arial" w:cs="Arial"/>
          <w:i w:val="1"/>
          <w:iCs w:val="1"/>
          <w:noProof w:val="0"/>
          <w:color w:val="000000" w:themeColor="text1" w:themeTint="FF" w:themeShade="FF"/>
          <w:sz w:val="22"/>
          <w:szCs w:val="22"/>
          <w:lang w:val="en-GB"/>
        </w:rPr>
        <w:t>Diabetes Prevalence 2024 Report.</w:t>
      </w:r>
      <w:r w:rsidRPr="0D7638C3" w:rsidR="0ADB0ADA">
        <w:rPr>
          <w:rFonts w:ascii="Arial" w:hAnsi="Arial" w:eastAsia="Arial" w:cs="Arial"/>
          <w:noProof w:val="0"/>
          <w:color w:val="000000" w:themeColor="text1" w:themeTint="FF" w:themeShade="FF"/>
          <w:sz w:val="22"/>
          <w:szCs w:val="22"/>
          <w:lang w:val="en-GB"/>
        </w:rPr>
        <w:t xml:space="preserve"> Available at: </w:t>
      </w:r>
      <w:hyperlink r:id="R5e86aeb9fe4a426f">
        <w:r w:rsidRPr="0D7638C3" w:rsidR="0ADB0ADA">
          <w:rPr>
            <w:rStyle w:val="Hyperlink"/>
            <w:rFonts w:ascii="Arial" w:hAnsi="Arial" w:eastAsia="Arial" w:cs="Arial"/>
            <w:noProof w:val="0"/>
            <w:color w:val="000000" w:themeColor="text1" w:themeTint="FF" w:themeShade="FF"/>
            <w:sz w:val="22"/>
            <w:szCs w:val="22"/>
            <w:lang w:val="en-GB"/>
          </w:rPr>
          <w:t>https://www.diabetes.org.uk</w:t>
        </w:r>
      </w:hyperlink>
      <w:r w:rsidRPr="0D7638C3" w:rsidR="0ADB0ADA">
        <w:rPr>
          <w:rFonts w:ascii="Arial" w:hAnsi="Arial" w:eastAsia="Arial" w:cs="Arial"/>
          <w:noProof w:val="0"/>
          <w:color w:val="000000" w:themeColor="text1" w:themeTint="FF" w:themeShade="FF"/>
          <w:sz w:val="22"/>
          <w:szCs w:val="22"/>
          <w:lang w:val="en-GB"/>
        </w:rPr>
        <w:t xml:space="preserve"> (Accessed: 31 October 2025).</w:t>
      </w:r>
    </w:p>
    <w:p w:rsidR="0ADB0ADA" w:rsidP="0D7638C3" w:rsidRDefault="0ADB0ADA" w14:paraId="2F8688B7" w14:textId="740E9E32">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Estruch</w:t>
      </w:r>
      <w:r w:rsidRPr="0D7638C3" w:rsidR="0ADB0ADA">
        <w:rPr>
          <w:rFonts w:ascii="Arial" w:hAnsi="Arial" w:eastAsia="Arial" w:cs="Arial"/>
          <w:noProof w:val="0"/>
          <w:color w:val="000000" w:themeColor="text1" w:themeTint="FF" w:themeShade="FF"/>
          <w:sz w:val="22"/>
          <w:szCs w:val="22"/>
          <w:lang w:val="en-GB"/>
        </w:rPr>
        <w:t xml:space="preserve">, R. et al. (2018) ‘Primary prevention of cardiovascular disease with a Mediterranean diet supplemented with extra-virgin olive oil or nuts’, </w:t>
      </w:r>
      <w:r w:rsidRPr="0D7638C3" w:rsidR="0ADB0ADA">
        <w:rPr>
          <w:rFonts w:ascii="Arial" w:hAnsi="Arial" w:eastAsia="Arial" w:cs="Arial"/>
          <w:i w:val="1"/>
          <w:iCs w:val="1"/>
          <w:noProof w:val="0"/>
          <w:color w:val="000000" w:themeColor="text1" w:themeTint="FF" w:themeShade="FF"/>
          <w:sz w:val="22"/>
          <w:szCs w:val="22"/>
          <w:lang w:val="en-GB"/>
        </w:rPr>
        <w:t>New England Journal of Medicine</w:t>
      </w:r>
      <w:r w:rsidRPr="0D7638C3" w:rsidR="0ADB0ADA">
        <w:rPr>
          <w:rFonts w:ascii="Arial" w:hAnsi="Arial" w:eastAsia="Arial" w:cs="Arial"/>
          <w:noProof w:val="0"/>
          <w:color w:val="000000" w:themeColor="text1" w:themeTint="FF" w:themeShade="FF"/>
          <w:sz w:val="22"/>
          <w:szCs w:val="22"/>
          <w:lang w:val="en-GB"/>
        </w:rPr>
        <w:t>, 378(25), pp. e34.</w:t>
      </w:r>
    </w:p>
    <w:p w:rsidR="0ADB0ADA" w:rsidP="0D7638C3" w:rsidRDefault="0ADB0ADA" w14:paraId="27F31015" w14:textId="3B3EEF46">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Farmer, A. et al. (2020) ‘Self-monitoring of blood glucose in Type 2 diabetes: systematic review’, </w:t>
      </w:r>
      <w:r w:rsidRPr="0D7638C3" w:rsidR="0ADB0ADA">
        <w:rPr>
          <w:rFonts w:ascii="Arial" w:hAnsi="Arial" w:eastAsia="Arial" w:cs="Arial"/>
          <w:i w:val="1"/>
          <w:iCs w:val="1"/>
          <w:noProof w:val="0"/>
          <w:color w:val="000000" w:themeColor="text1" w:themeTint="FF" w:themeShade="FF"/>
          <w:sz w:val="22"/>
          <w:szCs w:val="22"/>
          <w:lang w:val="en-GB"/>
        </w:rPr>
        <w:t>Health Technology Assessment</w:t>
      </w:r>
      <w:r w:rsidRPr="0D7638C3" w:rsidR="0ADB0ADA">
        <w:rPr>
          <w:rFonts w:ascii="Arial" w:hAnsi="Arial" w:eastAsia="Arial" w:cs="Arial"/>
          <w:noProof w:val="0"/>
          <w:color w:val="000000" w:themeColor="text1" w:themeTint="FF" w:themeShade="FF"/>
          <w:sz w:val="22"/>
          <w:szCs w:val="22"/>
          <w:lang w:val="en-GB"/>
        </w:rPr>
        <w:t>, 24(12), pp. 1–95.</w:t>
      </w:r>
    </w:p>
    <w:p w:rsidR="0ADB0ADA" w:rsidP="0D7638C3" w:rsidRDefault="0ADB0ADA" w14:paraId="1D9943AC" w14:textId="7438E3A4">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Jancev</w:t>
      </w:r>
      <w:r w:rsidRPr="0D7638C3" w:rsidR="0ADB0ADA">
        <w:rPr>
          <w:rFonts w:ascii="Arial" w:hAnsi="Arial" w:eastAsia="Arial" w:cs="Arial"/>
          <w:noProof w:val="0"/>
          <w:color w:val="000000" w:themeColor="text1" w:themeTint="FF" w:themeShade="FF"/>
          <w:sz w:val="22"/>
          <w:szCs w:val="22"/>
          <w:lang w:val="en-GB"/>
        </w:rPr>
        <w:t xml:space="preserve">, M., Vissers, T.A.C.M., </w:t>
      </w:r>
      <w:r w:rsidRPr="0D7638C3" w:rsidR="0ADB0ADA">
        <w:rPr>
          <w:rFonts w:ascii="Arial" w:hAnsi="Arial" w:eastAsia="Arial" w:cs="Arial"/>
          <w:noProof w:val="0"/>
          <w:color w:val="000000" w:themeColor="text1" w:themeTint="FF" w:themeShade="FF"/>
          <w:sz w:val="22"/>
          <w:szCs w:val="22"/>
          <w:lang w:val="en-GB"/>
        </w:rPr>
        <w:t>Visseren</w:t>
      </w:r>
      <w:r w:rsidRPr="0D7638C3" w:rsidR="0ADB0ADA">
        <w:rPr>
          <w:rFonts w:ascii="Arial" w:hAnsi="Arial" w:eastAsia="Arial" w:cs="Arial"/>
          <w:noProof w:val="0"/>
          <w:color w:val="000000" w:themeColor="text1" w:themeTint="FF" w:themeShade="FF"/>
          <w:sz w:val="22"/>
          <w:szCs w:val="22"/>
          <w:lang w:val="en-GB"/>
        </w:rPr>
        <w:t xml:space="preserve">, F.L.J., van Bon, A.C., </w:t>
      </w:r>
      <w:r w:rsidRPr="0D7638C3" w:rsidR="0ADB0ADA">
        <w:rPr>
          <w:rFonts w:ascii="Arial" w:hAnsi="Arial" w:eastAsia="Arial" w:cs="Arial"/>
          <w:noProof w:val="0"/>
          <w:color w:val="000000" w:themeColor="text1" w:themeTint="FF" w:themeShade="FF"/>
          <w:sz w:val="22"/>
          <w:szCs w:val="22"/>
          <w:lang w:val="en-GB"/>
        </w:rPr>
        <w:t>Serné</w:t>
      </w:r>
      <w:r w:rsidRPr="0D7638C3" w:rsidR="0ADB0ADA">
        <w:rPr>
          <w:rFonts w:ascii="Arial" w:hAnsi="Arial" w:eastAsia="Arial" w:cs="Arial"/>
          <w:noProof w:val="0"/>
          <w:color w:val="000000" w:themeColor="text1" w:themeTint="FF" w:themeShade="FF"/>
          <w:sz w:val="22"/>
          <w:szCs w:val="22"/>
          <w:lang w:val="en-GB"/>
        </w:rPr>
        <w:t xml:space="preserve">, E.H., DeVries, J.H. and de Valk, H.W. (2024) ‘Continuous glucose monitoring in adults with type 2 diabetes: a systematic review and meta-analysis’, </w:t>
      </w:r>
      <w:r w:rsidRPr="0D7638C3" w:rsidR="0ADB0ADA">
        <w:rPr>
          <w:rFonts w:ascii="Arial" w:hAnsi="Arial" w:eastAsia="Arial" w:cs="Arial"/>
          <w:i w:val="1"/>
          <w:iCs w:val="1"/>
          <w:noProof w:val="0"/>
          <w:color w:val="000000" w:themeColor="text1" w:themeTint="FF" w:themeShade="FF"/>
          <w:sz w:val="22"/>
          <w:szCs w:val="22"/>
          <w:lang w:val="en-GB"/>
        </w:rPr>
        <w:t>Diabetologia</w:t>
      </w:r>
      <w:r w:rsidRPr="0D7638C3" w:rsidR="0ADB0ADA">
        <w:rPr>
          <w:rFonts w:ascii="Arial" w:hAnsi="Arial" w:eastAsia="Arial" w:cs="Arial"/>
          <w:noProof w:val="0"/>
          <w:color w:val="000000" w:themeColor="text1" w:themeTint="FF" w:themeShade="FF"/>
          <w:sz w:val="22"/>
          <w:szCs w:val="22"/>
          <w:lang w:val="en-GB"/>
        </w:rPr>
        <w:t>, 67(2), pp. 233–246.</w:t>
      </w:r>
    </w:p>
    <w:p w:rsidR="0ADB0ADA" w:rsidP="0D7638C3" w:rsidRDefault="0ADB0ADA" w14:paraId="72387F10" w14:textId="1E45ECF5">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Kahn, S.E., Cooper, </w:t>
      </w:r>
      <w:bookmarkStart w:name="_Int_bYmuYLJs" w:id="637631710"/>
      <w:r w:rsidRPr="0D7638C3" w:rsidR="0ADB0ADA">
        <w:rPr>
          <w:rFonts w:ascii="Arial" w:hAnsi="Arial" w:eastAsia="Arial" w:cs="Arial"/>
          <w:noProof w:val="0"/>
          <w:color w:val="000000" w:themeColor="text1" w:themeTint="FF" w:themeShade="FF"/>
          <w:sz w:val="22"/>
          <w:szCs w:val="22"/>
          <w:lang w:val="en-GB"/>
        </w:rPr>
        <w:t>M.E.</w:t>
      </w:r>
      <w:bookmarkEnd w:id="637631710"/>
      <w:r w:rsidRPr="0D7638C3" w:rsidR="0ADB0ADA">
        <w:rPr>
          <w:rFonts w:ascii="Arial" w:hAnsi="Arial" w:eastAsia="Arial" w:cs="Arial"/>
          <w:noProof w:val="0"/>
          <w:color w:val="000000" w:themeColor="text1" w:themeTint="FF" w:themeShade="FF"/>
          <w:sz w:val="22"/>
          <w:szCs w:val="22"/>
          <w:lang w:val="en-GB"/>
        </w:rPr>
        <w:t xml:space="preserve"> and Del Prato, S. (2021) ‘Pathophysiology and treatment of type 2 diabetes: perspectives on the past, present, and future’, </w:t>
      </w:r>
      <w:r w:rsidRPr="0D7638C3" w:rsidR="0ADB0ADA">
        <w:rPr>
          <w:rFonts w:ascii="Arial" w:hAnsi="Arial" w:eastAsia="Arial" w:cs="Arial"/>
          <w:i w:val="1"/>
          <w:iCs w:val="1"/>
          <w:noProof w:val="0"/>
          <w:color w:val="000000" w:themeColor="text1" w:themeTint="FF" w:themeShade="FF"/>
          <w:sz w:val="22"/>
          <w:szCs w:val="22"/>
          <w:lang w:val="en-GB"/>
        </w:rPr>
        <w:t>Lancet</w:t>
      </w:r>
      <w:r w:rsidRPr="0D7638C3" w:rsidR="0ADB0ADA">
        <w:rPr>
          <w:rFonts w:ascii="Arial" w:hAnsi="Arial" w:eastAsia="Arial" w:cs="Arial"/>
          <w:noProof w:val="0"/>
          <w:color w:val="000000" w:themeColor="text1" w:themeTint="FF" w:themeShade="FF"/>
          <w:sz w:val="22"/>
          <w:szCs w:val="22"/>
          <w:lang w:val="en-GB"/>
        </w:rPr>
        <w:t>, 383(9922), pp. 1068–1083.</w:t>
      </w:r>
    </w:p>
    <w:p w:rsidR="0ADB0ADA" w:rsidP="0D7638C3" w:rsidRDefault="0ADB0ADA" w14:paraId="5A4BDB9E" w14:textId="302D5209">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Knowles, S.E., </w:t>
      </w:r>
      <w:r w:rsidRPr="0D7638C3" w:rsidR="0ADB0ADA">
        <w:rPr>
          <w:rFonts w:ascii="Arial" w:hAnsi="Arial" w:eastAsia="Arial" w:cs="Arial"/>
          <w:noProof w:val="0"/>
          <w:color w:val="000000" w:themeColor="text1" w:themeTint="FF" w:themeShade="FF"/>
          <w:sz w:val="22"/>
          <w:szCs w:val="22"/>
          <w:lang w:val="en-GB"/>
        </w:rPr>
        <w:t>Caricati</w:t>
      </w:r>
      <w:r w:rsidRPr="0D7638C3" w:rsidR="0ADB0ADA">
        <w:rPr>
          <w:rFonts w:ascii="Arial" w:hAnsi="Arial" w:eastAsia="Arial" w:cs="Arial"/>
          <w:noProof w:val="0"/>
          <w:color w:val="000000" w:themeColor="text1" w:themeTint="FF" w:themeShade="FF"/>
          <w:sz w:val="22"/>
          <w:szCs w:val="22"/>
          <w:lang w:val="en-GB"/>
        </w:rPr>
        <w:t xml:space="preserve">, L., Shaw, J., </w:t>
      </w:r>
      <w:r w:rsidRPr="0D7638C3" w:rsidR="0ADB0ADA">
        <w:rPr>
          <w:rFonts w:ascii="Arial" w:hAnsi="Arial" w:eastAsia="Arial" w:cs="Arial"/>
          <w:noProof w:val="0"/>
          <w:color w:val="000000" w:themeColor="text1" w:themeTint="FF" w:themeShade="FF"/>
          <w:sz w:val="22"/>
          <w:szCs w:val="22"/>
          <w:lang w:val="en-GB"/>
        </w:rPr>
        <w:t>Lasserson</w:t>
      </w:r>
      <w:r w:rsidRPr="0D7638C3" w:rsidR="0ADB0ADA">
        <w:rPr>
          <w:rFonts w:ascii="Arial" w:hAnsi="Arial" w:eastAsia="Arial" w:cs="Arial"/>
          <w:noProof w:val="0"/>
          <w:color w:val="000000" w:themeColor="text1" w:themeTint="FF" w:themeShade="FF"/>
          <w:sz w:val="22"/>
          <w:szCs w:val="22"/>
          <w:lang w:val="en-GB"/>
        </w:rPr>
        <w:t>, D. and Jolly, K. (2021) ‘“</w:t>
      </w:r>
      <w:bookmarkStart w:name="_Int_GGwycGXF" w:id="2129242757"/>
      <w:r w:rsidRPr="0D7638C3" w:rsidR="0ADB0ADA">
        <w:rPr>
          <w:rFonts w:ascii="Arial" w:hAnsi="Arial" w:eastAsia="Arial" w:cs="Arial"/>
          <w:noProof w:val="0"/>
          <w:color w:val="000000" w:themeColor="text1" w:themeTint="FF" w:themeShade="FF"/>
          <w:sz w:val="22"/>
          <w:szCs w:val="22"/>
          <w:lang w:val="en-GB"/>
        </w:rPr>
        <w:t>What’s</w:t>
      </w:r>
      <w:bookmarkEnd w:id="2129242757"/>
      <w:r w:rsidRPr="0D7638C3" w:rsidR="0ADB0ADA">
        <w:rPr>
          <w:rFonts w:ascii="Arial" w:hAnsi="Arial" w:eastAsia="Arial" w:cs="Arial"/>
          <w:noProof w:val="0"/>
          <w:color w:val="000000" w:themeColor="text1" w:themeTint="FF" w:themeShade="FF"/>
          <w:sz w:val="22"/>
          <w:szCs w:val="22"/>
          <w:lang w:val="en-GB"/>
        </w:rPr>
        <w:t xml:space="preserve"> the point?”: Understanding why people with type 2 diabetes decline structured self-management education’, </w:t>
      </w:r>
      <w:r w:rsidRPr="0D7638C3" w:rsidR="0ADB0ADA">
        <w:rPr>
          <w:rFonts w:ascii="Arial" w:hAnsi="Arial" w:eastAsia="Arial" w:cs="Arial"/>
          <w:i w:val="1"/>
          <w:iCs w:val="1"/>
          <w:noProof w:val="0"/>
          <w:color w:val="000000" w:themeColor="text1" w:themeTint="FF" w:themeShade="FF"/>
          <w:sz w:val="22"/>
          <w:szCs w:val="22"/>
          <w:lang w:val="en-GB"/>
        </w:rPr>
        <w:t>Primary Care Diabetes</w:t>
      </w:r>
      <w:r w:rsidRPr="0D7638C3" w:rsidR="0ADB0ADA">
        <w:rPr>
          <w:rFonts w:ascii="Arial" w:hAnsi="Arial" w:eastAsia="Arial" w:cs="Arial"/>
          <w:noProof w:val="0"/>
          <w:color w:val="000000" w:themeColor="text1" w:themeTint="FF" w:themeShade="FF"/>
          <w:sz w:val="22"/>
          <w:szCs w:val="22"/>
          <w:lang w:val="en-GB"/>
        </w:rPr>
        <w:t>, 15(2), pp. 265–273.</w:t>
      </w:r>
    </w:p>
    <w:p w:rsidR="0ADB0ADA" w:rsidP="0D7638C3" w:rsidRDefault="0ADB0ADA" w14:paraId="6B006F13" w14:textId="0B601836">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Kumar, </w:t>
      </w:r>
      <w:bookmarkStart w:name="_Int_QpYAK1uC" w:id="1325686312"/>
      <w:r w:rsidRPr="0D7638C3" w:rsidR="0ADB0ADA">
        <w:rPr>
          <w:rFonts w:ascii="Arial" w:hAnsi="Arial" w:eastAsia="Arial" w:cs="Arial"/>
          <w:noProof w:val="0"/>
          <w:color w:val="000000" w:themeColor="text1" w:themeTint="FF" w:themeShade="FF"/>
          <w:sz w:val="22"/>
          <w:szCs w:val="22"/>
          <w:lang w:val="en-GB"/>
        </w:rPr>
        <w:t>P.</w:t>
      </w:r>
      <w:bookmarkEnd w:id="1325686312"/>
      <w:r w:rsidRPr="0D7638C3" w:rsidR="0ADB0ADA">
        <w:rPr>
          <w:rFonts w:ascii="Arial" w:hAnsi="Arial" w:eastAsia="Arial" w:cs="Arial"/>
          <w:noProof w:val="0"/>
          <w:color w:val="000000" w:themeColor="text1" w:themeTint="FF" w:themeShade="FF"/>
          <w:sz w:val="22"/>
          <w:szCs w:val="22"/>
          <w:lang w:val="en-GB"/>
        </w:rPr>
        <w:t xml:space="preserve"> and Clark, M. (2022) </w:t>
      </w:r>
      <w:r w:rsidRPr="0D7638C3" w:rsidR="0ADB0ADA">
        <w:rPr>
          <w:rFonts w:ascii="Arial" w:hAnsi="Arial" w:eastAsia="Arial" w:cs="Arial"/>
          <w:i w:val="1"/>
          <w:iCs w:val="1"/>
          <w:noProof w:val="0"/>
          <w:color w:val="000000" w:themeColor="text1" w:themeTint="FF" w:themeShade="FF"/>
          <w:sz w:val="22"/>
          <w:szCs w:val="22"/>
          <w:lang w:val="en-GB"/>
        </w:rPr>
        <w:t>Clinical Medicine.</w:t>
      </w:r>
      <w:r w:rsidRPr="0D7638C3" w:rsidR="0ADB0ADA">
        <w:rPr>
          <w:rFonts w:ascii="Arial" w:hAnsi="Arial" w:eastAsia="Arial" w:cs="Arial"/>
          <w:noProof w:val="0"/>
          <w:color w:val="000000" w:themeColor="text1" w:themeTint="FF" w:themeShade="FF"/>
          <w:sz w:val="22"/>
          <w:szCs w:val="22"/>
          <w:lang w:val="en-GB"/>
        </w:rPr>
        <w:t xml:space="preserve"> 10th </w:t>
      </w:r>
      <w:r w:rsidRPr="0D7638C3" w:rsidR="0ADB0ADA">
        <w:rPr>
          <w:rFonts w:ascii="Arial" w:hAnsi="Arial" w:eastAsia="Arial" w:cs="Arial"/>
          <w:noProof w:val="0"/>
          <w:color w:val="000000" w:themeColor="text1" w:themeTint="FF" w:themeShade="FF"/>
          <w:sz w:val="22"/>
          <w:szCs w:val="22"/>
          <w:lang w:val="en-GB"/>
        </w:rPr>
        <w:t>edn</w:t>
      </w:r>
      <w:r w:rsidRPr="0D7638C3" w:rsidR="0ADB0ADA">
        <w:rPr>
          <w:rFonts w:ascii="Arial" w:hAnsi="Arial" w:eastAsia="Arial" w:cs="Arial"/>
          <w:noProof w:val="0"/>
          <w:color w:val="000000" w:themeColor="text1" w:themeTint="FF" w:themeShade="FF"/>
          <w:sz w:val="22"/>
          <w:szCs w:val="22"/>
          <w:lang w:val="en-GB"/>
        </w:rPr>
        <w:t>. London: Elsevier.</w:t>
      </w:r>
    </w:p>
    <w:p w:rsidR="0ADB0ADA" w:rsidP="0D7638C3" w:rsidRDefault="0ADB0ADA" w14:paraId="14FF5389" w14:textId="1D576C3E">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Lean, M.E.J. et al. (2018) ‘Primary care-led weight management for remission of type 2 diabetes (</w:t>
      </w:r>
      <w:r w:rsidRPr="0D7638C3" w:rsidR="0ADB0ADA">
        <w:rPr>
          <w:rFonts w:ascii="Arial" w:hAnsi="Arial" w:eastAsia="Arial" w:cs="Arial"/>
          <w:noProof w:val="0"/>
          <w:color w:val="000000" w:themeColor="text1" w:themeTint="FF" w:themeShade="FF"/>
          <w:sz w:val="22"/>
          <w:szCs w:val="22"/>
          <w:lang w:val="en-GB"/>
        </w:rPr>
        <w:t>DiRECT</w:t>
      </w:r>
      <w:r w:rsidRPr="0D7638C3" w:rsidR="0ADB0ADA">
        <w:rPr>
          <w:rFonts w:ascii="Arial" w:hAnsi="Arial" w:eastAsia="Arial" w:cs="Arial"/>
          <w:noProof w:val="0"/>
          <w:color w:val="000000" w:themeColor="text1" w:themeTint="FF" w:themeShade="FF"/>
          <w:sz w:val="22"/>
          <w:szCs w:val="22"/>
          <w:lang w:val="en-GB"/>
        </w:rPr>
        <w:t xml:space="preserve">): an open-label, cluster-randomised trial’, </w:t>
      </w:r>
      <w:r w:rsidRPr="0D7638C3" w:rsidR="0ADB0ADA">
        <w:rPr>
          <w:rFonts w:ascii="Arial" w:hAnsi="Arial" w:eastAsia="Arial" w:cs="Arial"/>
          <w:i w:val="1"/>
          <w:iCs w:val="1"/>
          <w:noProof w:val="0"/>
          <w:color w:val="000000" w:themeColor="text1" w:themeTint="FF" w:themeShade="FF"/>
          <w:sz w:val="22"/>
          <w:szCs w:val="22"/>
          <w:lang w:val="en-GB"/>
        </w:rPr>
        <w:t>Lancet</w:t>
      </w:r>
      <w:r w:rsidRPr="0D7638C3" w:rsidR="0ADB0ADA">
        <w:rPr>
          <w:rFonts w:ascii="Arial" w:hAnsi="Arial" w:eastAsia="Arial" w:cs="Arial"/>
          <w:noProof w:val="0"/>
          <w:color w:val="000000" w:themeColor="text1" w:themeTint="FF" w:themeShade="FF"/>
          <w:sz w:val="22"/>
          <w:szCs w:val="22"/>
          <w:lang w:val="en-GB"/>
        </w:rPr>
        <w:t>, 391(10120), pp. 541–551.</w:t>
      </w:r>
    </w:p>
    <w:p w:rsidR="0ADB0ADA" w:rsidP="0D7638C3" w:rsidRDefault="0ADB0ADA" w14:paraId="574470D6" w14:textId="3EE1AD7B">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Marieb</w:t>
      </w:r>
      <w:r w:rsidRPr="0D7638C3" w:rsidR="0ADB0ADA">
        <w:rPr>
          <w:rFonts w:ascii="Arial" w:hAnsi="Arial" w:eastAsia="Arial" w:cs="Arial"/>
          <w:noProof w:val="0"/>
          <w:color w:val="000000" w:themeColor="text1" w:themeTint="FF" w:themeShade="FF"/>
          <w:sz w:val="22"/>
          <w:szCs w:val="22"/>
          <w:lang w:val="en-GB"/>
        </w:rPr>
        <w:t xml:space="preserve">, E.N. and Hoehn, K. (2019) </w:t>
      </w:r>
      <w:r w:rsidRPr="0D7638C3" w:rsidR="0ADB0ADA">
        <w:rPr>
          <w:rFonts w:ascii="Arial" w:hAnsi="Arial" w:eastAsia="Arial" w:cs="Arial"/>
          <w:i w:val="1"/>
          <w:iCs w:val="1"/>
          <w:noProof w:val="0"/>
          <w:color w:val="000000" w:themeColor="text1" w:themeTint="FF" w:themeShade="FF"/>
          <w:sz w:val="22"/>
          <w:szCs w:val="22"/>
          <w:lang w:val="en-GB"/>
        </w:rPr>
        <w:t>Human Anatomy and Physiology.</w:t>
      </w:r>
      <w:r w:rsidRPr="0D7638C3" w:rsidR="0ADB0ADA">
        <w:rPr>
          <w:rFonts w:ascii="Arial" w:hAnsi="Arial" w:eastAsia="Arial" w:cs="Arial"/>
          <w:noProof w:val="0"/>
          <w:color w:val="000000" w:themeColor="text1" w:themeTint="FF" w:themeShade="FF"/>
          <w:sz w:val="22"/>
          <w:szCs w:val="22"/>
          <w:lang w:val="en-GB"/>
        </w:rPr>
        <w:t xml:space="preserve"> 11th </w:t>
      </w:r>
      <w:r w:rsidRPr="0D7638C3" w:rsidR="0ADB0ADA">
        <w:rPr>
          <w:rFonts w:ascii="Arial" w:hAnsi="Arial" w:eastAsia="Arial" w:cs="Arial"/>
          <w:noProof w:val="0"/>
          <w:color w:val="000000" w:themeColor="text1" w:themeTint="FF" w:themeShade="FF"/>
          <w:sz w:val="22"/>
          <w:szCs w:val="22"/>
          <w:lang w:val="en-GB"/>
        </w:rPr>
        <w:t>edn</w:t>
      </w:r>
      <w:r w:rsidRPr="0D7638C3" w:rsidR="0ADB0ADA">
        <w:rPr>
          <w:rFonts w:ascii="Arial" w:hAnsi="Arial" w:eastAsia="Arial" w:cs="Arial"/>
          <w:noProof w:val="0"/>
          <w:color w:val="000000" w:themeColor="text1" w:themeTint="FF" w:themeShade="FF"/>
          <w:sz w:val="22"/>
          <w:szCs w:val="22"/>
          <w:lang w:val="en-GB"/>
        </w:rPr>
        <w:t>. Harlow: Pearson Education.</w:t>
      </w:r>
    </w:p>
    <w:p w:rsidR="0ADB0ADA" w:rsidP="0D7638C3" w:rsidRDefault="0ADB0ADA" w14:paraId="41859855" w14:textId="2B23A73C">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National Health Service (NHS) (2023) </w:t>
      </w:r>
      <w:r w:rsidRPr="0D7638C3" w:rsidR="0ADB0ADA">
        <w:rPr>
          <w:rFonts w:ascii="Arial" w:hAnsi="Arial" w:eastAsia="Arial" w:cs="Arial"/>
          <w:i w:val="1"/>
          <w:iCs w:val="1"/>
          <w:noProof w:val="0"/>
          <w:color w:val="000000" w:themeColor="text1" w:themeTint="FF" w:themeShade="FF"/>
          <w:sz w:val="22"/>
          <w:szCs w:val="22"/>
          <w:lang w:val="en-GB"/>
        </w:rPr>
        <w:t>Type 2 Diabetes – Overview.</w:t>
      </w:r>
      <w:r w:rsidRPr="0D7638C3" w:rsidR="0ADB0ADA">
        <w:rPr>
          <w:rFonts w:ascii="Arial" w:hAnsi="Arial" w:eastAsia="Arial" w:cs="Arial"/>
          <w:noProof w:val="0"/>
          <w:color w:val="000000" w:themeColor="text1" w:themeTint="FF" w:themeShade="FF"/>
          <w:sz w:val="22"/>
          <w:szCs w:val="22"/>
          <w:lang w:val="en-GB"/>
        </w:rPr>
        <w:t xml:space="preserve"> Available at: </w:t>
      </w:r>
      <w:hyperlink r:id="Rc2fc2dad950f4c5a">
        <w:r w:rsidRPr="0D7638C3" w:rsidR="0ADB0ADA">
          <w:rPr>
            <w:rStyle w:val="Hyperlink"/>
            <w:rFonts w:ascii="Arial" w:hAnsi="Arial" w:eastAsia="Arial" w:cs="Arial"/>
            <w:noProof w:val="0"/>
            <w:color w:val="000000" w:themeColor="text1" w:themeTint="FF" w:themeShade="FF"/>
            <w:sz w:val="22"/>
            <w:szCs w:val="22"/>
            <w:lang w:val="en-GB"/>
          </w:rPr>
          <w:t>https://www.nhs.uk/conditions/type-2-diabetes/</w:t>
        </w:r>
      </w:hyperlink>
      <w:r w:rsidRPr="0D7638C3" w:rsidR="0ADB0ADA">
        <w:rPr>
          <w:rFonts w:ascii="Arial" w:hAnsi="Arial" w:eastAsia="Arial" w:cs="Arial"/>
          <w:noProof w:val="0"/>
          <w:color w:val="000000" w:themeColor="text1" w:themeTint="FF" w:themeShade="FF"/>
          <w:sz w:val="22"/>
          <w:szCs w:val="22"/>
          <w:lang w:val="en-GB"/>
        </w:rPr>
        <w:t xml:space="preserve"> (Accessed: 31 October 2025).</w:t>
      </w:r>
    </w:p>
    <w:p w:rsidR="0ADB0ADA" w:rsidP="0D7638C3" w:rsidRDefault="0ADB0ADA" w14:paraId="02149B16" w14:textId="299318D3">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National Institute for Health and Care Excellence (NICE) (2023) </w:t>
      </w:r>
      <w:r w:rsidRPr="0D7638C3" w:rsidR="0ADB0ADA">
        <w:rPr>
          <w:rFonts w:ascii="Arial" w:hAnsi="Arial" w:eastAsia="Arial" w:cs="Arial"/>
          <w:i w:val="1"/>
          <w:iCs w:val="1"/>
          <w:noProof w:val="0"/>
          <w:color w:val="000000" w:themeColor="text1" w:themeTint="FF" w:themeShade="FF"/>
          <w:sz w:val="22"/>
          <w:szCs w:val="22"/>
          <w:lang w:val="en-GB"/>
        </w:rPr>
        <w:t>Type 2 Diabetes in Adults: Management (NG28).</w:t>
      </w:r>
      <w:r w:rsidRPr="0D7638C3" w:rsidR="0ADB0ADA">
        <w:rPr>
          <w:rFonts w:ascii="Arial" w:hAnsi="Arial" w:eastAsia="Arial" w:cs="Arial"/>
          <w:noProof w:val="0"/>
          <w:color w:val="000000" w:themeColor="text1" w:themeTint="FF" w:themeShade="FF"/>
          <w:sz w:val="22"/>
          <w:szCs w:val="22"/>
          <w:lang w:val="en-GB"/>
        </w:rPr>
        <w:t xml:space="preserve"> London: NICE.</w:t>
      </w:r>
    </w:p>
    <w:p w:rsidR="0ADB0ADA" w:rsidP="0D7638C3" w:rsidRDefault="0ADB0ADA" w14:paraId="02F0EDE4" w14:textId="5553A4A5">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Nelson, D.L. and Cox, M.M. (2021) </w:t>
      </w:r>
      <w:r w:rsidRPr="0D7638C3" w:rsidR="0ADB0ADA">
        <w:rPr>
          <w:rFonts w:ascii="Arial" w:hAnsi="Arial" w:eastAsia="Arial" w:cs="Arial"/>
          <w:i w:val="1"/>
          <w:iCs w:val="1"/>
          <w:noProof w:val="0"/>
          <w:color w:val="000000" w:themeColor="text1" w:themeTint="FF" w:themeShade="FF"/>
          <w:sz w:val="22"/>
          <w:szCs w:val="22"/>
          <w:lang w:val="en-GB"/>
        </w:rPr>
        <w:t>Lehninger</w:t>
      </w:r>
      <w:r w:rsidRPr="0D7638C3" w:rsidR="0ADB0ADA">
        <w:rPr>
          <w:rFonts w:ascii="Arial" w:hAnsi="Arial" w:eastAsia="Arial" w:cs="Arial"/>
          <w:i w:val="1"/>
          <w:iCs w:val="1"/>
          <w:noProof w:val="0"/>
          <w:color w:val="000000" w:themeColor="text1" w:themeTint="FF" w:themeShade="FF"/>
          <w:sz w:val="22"/>
          <w:szCs w:val="22"/>
          <w:lang w:val="en-GB"/>
        </w:rPr>
        <w:t xml:space="preserve"> Principles of Biochemistry.</w:t>
      </w:r>
      <w:r w:rsidRPr="0D7638C3" w:rsidR="0ADB0ADA">
        <w:rPr>
          <w:rFonts w:ascii="Arial" w:hAnsi="Arial" w:eastAsia="Arial" w:cs="Arial"/>
          <w:noProof w:val="0"/>
          <w:color w:val="000000" w:themeColor="text1" w:themeTint="FF" w:themeShade="FF"/>
          <w:sz w:val="22"/>
          <w:szCs w:val="22"/>
          <w:lang w:val="en-GB"/>
        </w:rPr>
        <w:t xml:space="preserve"> 8th </w:t>
      </w:r>
      <w:r w:rsidRPr="0D7638C3" w:rsidR="0ADB0ADA">
        <w:rPr>
          <w:rFonts w:ascii="Arial" w:hAnsi="Arial" w:eastAsia="Arial" w:cs="Arial"/>
          <w:noProof w:val="0"/>
          <w:color w:val="000000" w:themeColor="text1" w:themeTint="FF" w:themeShade="FF"/>
          <w:sz w:val="22"/>
          <w:szCs w:val="22"/>
          <w:lang w:val="en-GB"/>
        </w:rPr>
        <w:t>edn</w:t>
      </w:r>
      <w:r w:rsidRPr="0D7638C3" w:rsidR="0ADB0ADA">
        <w:rPr>
          <w:rFonts w:ascii="Arial" w:hAnsi="Arial" w:eastAsia="Arial" w:cs="Arial"/>
          <w:noProof w:val="0"/>
          <w:color w:val="000000" w:themeColor="text1" w:themeTint="FF" w:themeShade="FF"/>
          <w:sz w:val="22"/>
          <w:szCs w:val="22"/>
          <w:lang w:val="en-GB"/>
        </w:rPr>
        <w:t>. New York: W.H. Freeman.</w:t>
      </w:r>
    </w:p>
    <w:p w:rsidR="0ADB0ADA" w:rsidP="0D7638C3" w:rsidRDefault="0ADB0ADA" w14:paraId="5FFAB3BF" w14:textId="26916091">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Ojo, O., Adebowale, F. and Wang, X.-H. (2018) ‘The effect of dietary glycaemic index on glycaemia in patients with type 2 diabetes: a systematic review and meta-analysis of randomised controlled trials’, </w:t>
      </w:r>
      <w:r w:rsidRPr="0D7638C3" w:rsidR="0ADB0ADA">
        <w:rPr>
          <w:rFonts w:ascii="Arial" w:hAnsi="Arial" w:eastAsia="Arial" w:cs="Arial"/>
          <w:i w:val="1"/>
          <w:iCs w:val="1"/>
          <w:noProof w:val="0"/>
          <w:color w:val="000000" w:themeColor="text1" w:themeTint="FF" w:themeShade="FF"/>
          <w:sz w:val="22"/>
          <w:szCs w:val="22"/>
          <w:lang w:val="en-GB"/>
        </w:rPr>
        <w:t>Nutrients</w:t>
      </w:r>
      <w:r w:rsidRPr="0D7638C3" w:rsidR="0ADB0ADA">
        <w:rPr>
          <w:rFonts w:ascii="Arial" w:hAnsi="Arial" w:eastAsia="Arial" w:cs="Arial"/>
          <w:noProof w:val="0"/>
          <w:color w:val="000000" w:themeColor="text1" w:themeTint="FF" w:themeShade="FF"/>
          <w:sz w:val="22"/>
          <w:szCs w:val="22"/>
          <w:lang w:val="en-GB"/>
        </w:rPr>
        <w:t>, 10(3), 373.</w:t>
      </w:r>
    </w:p>
    <w:p w:rsidR="0ADB0ADA" w:rsidP="0D7638C3" w:rsidRDefault="0ADB0ADA" w14:paraId="4FA967A9" w14:textId="2E2576B7">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Public Health England (PHE) (2021) </w:t>
      </w:r>
      <w:r w:rsidRPr="0D7638C3" w:rsidR="0ADB0ADA">
        <w:rPr>
          <w:rFonts w:ascii="Arial" w:hAnsi="Arial" w:eastAsia="Arial" w:cs="Arial"/>
          <w:i w:val="1"/>
          <w:iCs w:val="1"/>
          <w:noProof w:val="0"/>
          <w:color w:val="000000" w:themeColor="text1" w:themeTint="FF" w:themeShade="FF"/>
          <w:sz w:val="22"/>
          <w:szCs w:val="22"/>
          <w:lang w:val="en-GB"/>
        </w:rPr>
        <w:t>Health Matters: Preventing Type 2 Diabetes.</w:t>
      </w:r>
      <w:r w:rsidRPr="0D7638C3" w:rsidR="0ADB0ADA">
        <w:rPr>
          <w:rFonts w:ascii="Arial" w:hAnsi="Arial" w:eastAsia="Arial" w:cs="Arial"/>
          <w:noProof w:val="0"/>
          <w:color w:val="000000" w:themeColor="text1" w:themeTint="FF" w:themeShade="FF"/>
          <w:sz w:val="22"/>
          <w:szCs w:val="22"/>
          <w:lang w:val="en-GB"/>
        </w:rPr>
        <w:t xml:space="preserve"> London: PHE.</w:t>
      </w:r>
    </w:p>
    <w:p w:rsidR="0ADB0ADA" w:rsidP="0D7638C3" w:rsidRDefault="0ADB0ADA" w14:paraId="1535C433" w14:textId="258C2FC1">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Sherwood, L. (2021) </w:t>
      </w:r>
      <w:r w:rsidRPr="0D7638C3" w:rsidR="0ADB0ADA">
        <w:rPr>
          <w:rFonts w:ascii="Arial" w:hAnsi="Arial" w:eastAsia="Arial" w:cs="Arial"/>
          <w:i w:val="1"/>
          <w:iCs w:val="1"/>
          <w:noProof w:val="0"/>
          <w:color w:val="000000" w:themeColor="text1" w:themeTint="FF" w:themeShade="FF"/>
          <w:sz w:val="22"/>
          <w:szCs w:val="22"/>
          <w:lang w:val="en-GB"/>
        </w:rPr>
        <w:t>Human Physiology: From Cells to Systems.</w:t>
      </w:r>
      <w:r w:rsidRPr="0D7638C3" w:rsidR="0ADB0ADA">
        <w:rPr>
          <w:rFonts w:ascii="Arial" w:hAnsi="Arial" w:eastAsia="Arial" w:cs="Arial"/>
          <w:noProof w:val="0"/>
          <w:color w:val="000000" w:themeColor="text1" w:themeTint="FF" w:themeShade="FF"/>
          <w:sz w:val="22"/>
          <w:szCs w:val="22"/>
          <w:lang w:val="en-GB"/>
        </w:rPr>
        <w:t xml:space="preserve"> 10th </w:t>
      </w:r>
      <w:r w:rsidRPr="0D7638C3" w:rsidR="0ADB0ADA">
        <w:rPr>
          <w:rFonts w:ascii="Arial" w:hAnsi="Arial" w:eastAsia="Arial" w:cs="Arial"/>
          <w:noProof w:val="0"/>
          <w:color w:val="000000" w:themeColor="text1" w:themeTint="FF" w:themeShade="FF"/>
          <w:sz w:val="22"/>
          <w:szCs w:val="22"/>
          <w:lang w:val="en-GB"/>
        </w:rPr>
        <w:t>edn</w:t>
      </w:r>
      <w:r w:rsidRPr="0D7638C3" w:rsidR="0ADB0ADA">
        <w:rPr>
          <w:rFonts w:ascii="Arial" w:hAnsi="Arial" w:eastAsia="Arial" w:cs="Arial"/>
          <w:noProof w:val="0"/>
          <w:color w:val="000000" w:themeColor="text1" w:themeTint="FF" w:themeShade="FF"/>
          <w:sz w:val="22"/>
          <w:szCs w:val="22"/>
          <w:lang w:val="en-GB"/>
        </w:rPr>
        <w:t>. Boston: Cengage Learning.</w:t>
      </w:r>
    </w:p>
    <w:p w:rsidR="0ADB0ADA" w:rsidP="0D7638C3" w:rsidRDefault="0ADB0ADA" w14:paraId="5EDFEBCF" w14:textId="76BF3F94">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Waugh, A. and Grant, A. (2018) </w:t>
      </w:r>
      <w:r w:rsidRPr="0D7638C3" w:rsidR="0ADB0ADA">
        <w:rPr>
          <w:rFonts w:ascii="Arial" w:hAnsi="Arial" w:eastAsia="Arial" w:cs="Arial"/>
          <w:i w:val="1"/>
          <w:iCs w:val="1"/>
          <w:noProof w:val="0"/>
          <w:color w:val="000000" w:themeColor="text1" w:themeTint="FF" w:themeShade="FF"/>
          <w:sz w:val="22"/>
          <w:szCs w:val="22"/>
          <w:lang w:val="en-GB"/>
        </w:rPr>
        <w:t>Ross and Wilson Anatomy and Physiology in Health and Illness.</w:t>
      </w:r>
      <w:r w:rsidRPr="0D7638C3" w:rsidR="0ADB0ADA">
        <w:rPr>
          <w:rFonts w:ascii="Arial" w:hAnsi="Arial" w:eastAsia="Arial" w:cs="Arial"/>
          <w:noProof w:val="0"/>
          <w:color w:val="000000" w:themeColor="text1" w:themeTint="FF" w:themeShade="FF"/>
          <w:sz w:val="22"/>
          <w:szCs w:val="22"/>
          <w:lang w:val="en-GB"/>
        </w:rPr>
        <w:t xml:space="preserve"> 13th </w:t>
      </w:r>
      <w:r w:rsidRPr="0D7638C3" w:rsidR="0ADB0ADA">
        <w:rPr>
          <w:rFonts w:ascii="Arial" w:hAnsi="Arial" w:eastAsia="Arial" w:cs="Arial"/>
          <w:noProof w:val="0"/>
          <w:color w:val="000000" w:themeColor="text1" w:themeTint="FF" w:themeShade="FF"/>
          <w:sz w:val="22"/>
          <w:szCs w:val="22"/>
          <w:lang w:val="en-GB"/>
        </w:rPr>
        <w:t>edn</w:t>
      </w:r>
      <w:r w:rsidRPr="0D7638C3" w:rsidR="0ADB0ADA">
        <w:rPr>
          <w:rFonts w:ascii="Arial" w:hAnsi="Arial" w:eastAsia="Arial" w:cs="Arial"/>
          <w:noProof w:val="0"/>
          <w:color w:val="000000" w:themeColor="text1" w:themeTint="FF" w:themeShade="FF"/>
          <w:sz w:val="22"/>
          <w:szCs w:val="22"/>
          <w:lang w:val="en-GB"/>
        </w:rPr>
        <w:t>. London: Elsevier.</w:t>
      </w:r>
    </w:p>
    <w:p w:rsidR="0ADB0ADA" w:rsidP="0D7638C3" w:rsidRDefault="0ADB0ADA" w14:paraId="6AB3ED24" w14:textId="7A8CEC68">
      <w:pPr>
        <w:spacing w:before="240" w:beforeAutospacing="off" w:after="240" w:afterAutospacing="off"/>
        <w:rPr>
          <w:rFonts w:ascii="Arial" w:hAnsi="Arial" w:eastAsia="Arial" w:cs="Arial"/>
          <w:noProof w:val="0"/>
          <w:color w:val="000000" w:themeColor="text1" w:themeTint="FF" w:themeShade="FF"/>
          <w:sz w:val="22"/>
          <w:szCs w:val="22"/>
          <w:lang w:val="en-GB"/>
        </w:rPr>
      </w:pPr>
      <w:r w:rsidRPr="0D7638C3" w:rsidR="0ADB0ADA">
        <w:rPr>
          <w:rFonts w:ascii="Arial" w:hAnsi="Arial" w:eastAsia="Arial" w:cs="Arial"/>
          <w:noProof w:val="0"/>
          <w:color w:val="000000" w:themeColor="text1" w:themeTint="FF" w:themeShade="FF"/>
          <w:sz w:val="22"/>
          <w:szCs w:val="22"/>
          <w:lang w:val="en-GB"/>
        </w:rPr>
        <w:t xml:space="preserve">World Health Organization (WHO) (2022) </w:t>
      </w:r>
      <w:r w:rsidRPr="0D7638C3" w:rsidR="0ADB0ADA">
        <w:rPr>
          <w:rFonts w:ascii="Arial" w:hAnsi="Arial" w:eastAsia="Arial" w:cs="Arial"/>
          <w:i w:val="1"/>
          <w:iCs w:val="1"/>
          <w:noProof w:val="0"/>
          <w:color w:val="000000" w:themeColor="text1" w:themeTint="FF" w:themeShade="FF"/>
          <w:sz w:val="22"/>
          <w:szCs w:val="22"/>
          <w:lang w:val="en-GB"/>
        </w:rPr>
        <w:t>Diabetes Fact Sheet.</w:t>
      </w:r>
      <w:r w:rsidRPr="0D7638C3" w:rsidR="0ADB0ADA">
        <w:rPr>
          <w:rFonts w:ascii="Arial" w:hAnsi="Arial" w:eastAsia="Arial" w:cs="Arial"/>
          <w:noProof w:val="0"/>
          <w:color w:val="000000" w:themeColor="text1" w:themeTint="FF" w:themeShade="FF"/>
          <w:sz w:val="22"/>
          <w:szCs w:val="22"/>
          <w:lang w:val="en-GB"/>
        </w:rPr>
        <w:t xml:space="preserve"> Geneva: WHO.</w:t>
      </w:r>
    </w:p>
    <w:p w:rsidR="0D7638C3" w:rsidP="0D7638C3" w:rsidRDefault="0D7638C3" w14:paraId="6D124072" w14:textId="606DAAA6">
      <w:pPr>
        <w:pStyle w:val="Normal"/>
        <w:spacing w:before="240" w:beforeAutospacing="off" w:after="240" w:afterAutospacing="off" w:line="360" w:lineRule="auto"/>
        <w:rPr>
          <w:rFonts w:ascii="Arial" w:hAnsi="Arial" w:eastAsia="Arial" w:cs="Arial"/>
          <w:b w:val="1"/>
          <w:bCs w:val="1"/>
          <w:noProof w:val="0"/>
          <w:sz w:val="24"/>
          <w:szCs w:val="24"/>
          <w:lang w:val="en-GB"/>
        </w:rPr>
      </w:pPr>
    </w:p>
    <w:p w:rsidR="0D7638C3" w:rsidP="0D7638C3" w:rsidRDefault="0D7638C3" w14:paraId="104B72BF" w14:textId="01C04AE6">
      <w:pPr>
        <w:pStyle w:val="Normal"/>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5EkW+QP2GjBHK8" int2:id="4nza2qMX">
      <int2:state int2:type="spell" int2:value="Rejected"/>
    </int2:textHash>
    <int2:textHash int2:hashCode="ZMu/xXskFhlv/5" int2:id="zWCtLGaX">
      <int2:state int2:type="spell" int2:value="Rejected"/>
    </int2:textHash>
    <int2:textHash int2:hashCode="Yq3ZitOQ3uMKno" int2:id="7xRfYvYp">
      <int2:state int2:type="spell" int2:value="Rejected"/>
    </int2:textHash>
    <int2:textHash int2:hashCode="ZTZ7TXhHMSfEj2" int2:id="ggdpOebu">
      <int2:state int2:type="spell" int2:value="Rejected"/>
    </int2:textHash>
    <int2:textHash int2:hashCode="iZF3TTaDsZYjiz" int2:id="0CVLgNOd">
      <int2:state int2:type="spell" int2:value="Rejected"/>
    </int2:textHash>
    <int2:textHash int2:hashCode="JKFzPKi7CuRaP/" int2:id="ghOzelk2">
      <int2:state int2:type="spell" int2:value="Rejected"/>
    </int2:textHash>
    <int2:textHash int2:hashCode="Y7rxyEYEGk+h8X" int2:id="jG8y4L5h">
      <int2:state int2:type="spell" int2:value="Rejected"/>
    </int2:textHash>
    <int2:textHash int2:hashCode="6QAaziEoUTMCZJ" int2:id="lXHoKmlW">
      <int2:state int2:type="spell" int2:value="Rejected"/>
    </int2:textHash>
    <int2:textHash int2:hashCode="xcI6PfEaac/XA5" int2:id="Lb4QbnQH">
      <int2:state int2:type="spell" int2:value="Rejected"/>
    </int2:textHash>
    <int2:textHash int2:hashCode="811gayVsxlbaZh" int2:id="LjlgWLdm">
      <int2:state int2:type="spell" int2:value="Rejected"/>
    </int2:textHash>
    <int2:textHash int2:hashCode="OJkw78St/Bx+B6" int2:id="JprJnzty">
      <int2:state int2:type="spell" int2:value="Rejected"/>
    </int2:textHash>
    <int2:textHash int2:hashCode="N/BjxqaOC9NbDD" int2:id="xOtnx1uS">
      <int2:state int2:type="spell" int2:value="Rejected"/>
    </int2:textHash>
    <int2:textHash int2:hashCode="hJQn2qI4Wcb+2p" int2:id="GtTv6i90">
      <int2:state int2:type="spell" int2:value="Rejected"/>
    </int2:textHash>
    <int2:textHash int2:hashCode="pQCu6uf0wjAkjX" int2:id="02Ho8fpr">
      <int2:state int2:type="spell" int2:value="Rejected"/>
    </int2:textHash>
    <int2:textHash int2:hashCode="cYItIdaX4x8vzc" int2:id="Q6cjDqYj">
      <int2:state int2:type="spell" int2:value="Rejected"/>
    </int2:textHash>
    <int2:textHash int2:hashCode="/7XTca/6HhBZfB" int2:id="UwVmKWBd">
      <int2:state int2:type="spell" int2:value="Rejected"/>
    </int2:textHash>
    <int2:textHash int2:hashCode="hAlQtx7PLDud3G" int2:id="f2QlLlWh">
      <int2:state int2:type="spell" int2:value="Rejected"/>
    </int2:textHash>
    <int2:textHash int2:hashCode="JXKJycsgEokOye" int2:id="NffsdsQS">
      <int2:state int2:type="spell" int2:value="Rejected"/>
    </int2:textHash>
    <int2:textHash int2:hashCode="N9EACORbETvsWY" int2:id="gTQ0p7ld">
      <int2:state int2:type="spell" int2:value="Rejected"/>
    </int2:textHash>
    <int2:bookmark int2:bookmarkName="_Int_GGwycGXF" int2:invalidationBookmarkName="" int2:hashCode="Rb1C0FXHZAIeAk" int2:id="LyT0TiyZ">
      <int2:state int2:type="style" int2:value="Rejected"/>
    </int2:bookmark>
    <int2:bookmark int2:bookmarkName="_Int_QpYAK1uC" int2:invalidationBookmarkName="" int2:hashCode="Hx+zZ2Wa1AxG0O" int2:id="9vpKIWji">
      <int2:state int2:type="style" int2:value="Rejected"/>
    </int2:bookmark>
    <int2:bookmark int2:bookmarkName="_Int_bYmuYLJs" int2:invalidationBookmarkName="" int2:hashCode="dKozyZK0LS6PMU" int2:id="Uz9hFxYY">
      <int2:state int2:type="style" int2:value="Rejected"/>
    </int2:bookmark>
    <int2:bookmark int2:bookmarkName="_Int_Oev3sQmo" int2:invalidationBookmarkName="" int2:hashCode="NkPdJ9i9g1wpGP" int2:id="2b4PvpNk">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EED2BC"/>
    <w:rsid w:val="00F0192F"/>
    <w:rsid w:val="01033DCE"/>
    <w:rsid w:val="012E22A6"/>
    <w:rsid w:val="01F5804F"/>
    <w:rsid w:val="020DE07C"/>
    <w:rsid w:val="0541DEFB"/>
    <w:rsid w:val="0ADB0ADA"/>
    <w:rsid w:val="0BC3460D"/>
    <w:rsid w:val="0CCC7D78"/>
    <w:rsid w:val="0D7638C3"/>
    <w:rsid w:val="0DA0A234"/>
    <w:rsid w:val="0ED56053"/>
    <w:rsid w:val="0F188422"/>
    <w:rsid w:val="0FEED2BC"/>
    <w:rsid w:val="1134C8A6"/>
    <w:rsid w:val="11734050"/>
    <w:rsid w:val="118A722D"/>
    <w:rsid w:val="12052C6A"/>
    <w:rsid w:val="1353EA64"/>
    <w:rsid w:val="1494E403"/>
    <w:rsid w:val="14E0D8A9"/>
    <w:rsid w:val="150AA381"/>
    <w:rsid w:val="162F23FF"/>
    <w:rsid w:val="168F4625"/>
    <w:rsid w:val="176B4FAA"/>
    <w:rsid w:val="1A6D7066"/>
    <w:rsid w:val="1A972C8D"/>
    <w:rsid w:val="1C01382A"/>
    <w:rsid w:val="1C42DF2A"/>
    <w:rsid w:val="1E9ECCAA"/>
    <w:rsid w:val="1FD768A7"/>
    <w:rsid w:val="20A46244"/>
    <w:rsid w:val="20ED7F29"/>
    <w:rsid w:val="218E731F"/>
    <w:rsid w:val="21BE9CFD"/>
    <w:rsid w:val="223790EF"/>
    <w:rsid w:val="2277D4B7"/>
    <w:rsid w:val="232FE7F9"/>
    <w:rsid w:val="23F1B734"/>
    <w:rsid w:val="24BF519B"/>
    <w:rsid w:val="2627BC9D"/>
    <w:rsid w:val="2829B53E"/>
    <w:rsid w:val="288463E9"/>
    <w:rsid w:val="2897768D"/>
    <w:rsid w:val="299823F0"/>
    <w:rsid w:val="29D9F237"/>
    <w:rsid w:val="2B95073C"/>
    <w:rsid w:val="2D41AF1E"/>
    <w:rsid w:val="2DEE6824"/>
    <w:rsid w:val="2E4C1B4D"/>
    <w:rsid w:val="2FE99156"/>
    <w:rsid w:val="32B9FEBA"/>
    <w:rsid w:val="350B454D"/>
    <w:rsid w:val="35D5337E"/>
    <w:rsid w:val="36148DA4"/>
    <w:rsid w:val="3644A9DE"/>
    <w:rsid w:val="3669E859"/>
    <w:rsid w:val="36F50109"/>
    <w:rsid w:val="389948E8"/>
    <w:rsid w:val="390BCB50"/>
    <w:rsid w:val="3AEEB824"/>
    <w:rsid w:val="3B176A0F"/>
    <w:rsid w:val="3B1B58A6"/>
    <w:rsid w:val="3D5D2112"/>
    <w:rsid w:val="3D78F096"/>
    <w:rsid w:val="3E6EB40F"/>
    <w:rsid w:val="3EF8734D"/>
    <w:rsid w:val="42369D2D"/>
    <w:rsid w:val="42AE39CF"/>
    <w:rsid w:val="42C8AB20"/>
    <w:rsid w:val="4358273A"/>
    <w:rsid w:val="4461A0A2"/>
    <w:rsid w:val="45892D35"/>
    <w:rsid w:val="462A9DF0"/>
    <w:rsid w:val="4A4E147D"/>
    <w:rsid w:val="4AC8BA4B"/>
    <w:rsid w:val="4B0B6DAB"/>
    <w:rsid w:val="4B319C07"/>
    <w:rsid w:val="4ECF0F74"/>
    <w:rsid w:val="4F151EEB"/>
    <w:rsid w:val="51C0CF64"/>
    <w:rsid w:val="53207E1E"/>
    <w:rsid w:val="5530789C"/>
    <w:rsid w:val="55C7F7A4"/>
    <w:rsid w:val="56BA250E"/>
    <w:rsid w:val="57873F12"/>
    <w:rsid w:val="580151DE"/>
    <w:rsid w:val="5A403874"/>
    <w:rsid w:val="5D54D430"/>
    <w:rsid w:val="5F3D6B6D"/>
    <w:rsid w:val="6164B6D1"/>
    <w:rsid w:val="627F8392"/>
    <w:rsid w:val="62EDF983"/>
    <w:rsid w:val="62FFF149"/>
    <w:rsid w:val="63301F02"/>
    <w:rsid w:val="638195CB"/>
    <w:rsid w:val="63DAAE08"/>
    <w:rsid w:val="63FEA2C8"/>
    <w:rsid w:val="6434A535"/>
    <w:rsid w:val="65B4BD72"/>
    <w:rsid w:val="661408DF"/>
    <w:rsid w:val="6660FAF7"/>
    <w:rsid w:val="66AF01AE"/>
    <w:rsid w:val="680115C3"/>
    <w:rsid w:val="6BCC660B"/>
    <w:rsid w:val="6DA1A8EA"/>
    <w:rsid w:val="6DE59335"/>
    <w:rsid w:val="6E3B6FE7"/>
    <w:rsid w:val="6E545772"/>
    <w:rsid w:val="6E76C69E"/>
    <w:rsid w:val="6EB09981"/>
    <w:rsid w:val="6EF203D6"/>
    <w:rsid w:val="72FA4D5C"/>
    <w:rsid w:val="73B73201"/>
    <w:rsid w:val="750B959B"/>
    <w:rsid w:val="75760965"/>
    <w:rsid w:val="781DB40A"/>
    <w:rsid w:val="787310B6"/>
    <w:rsid w:val="79459BD8"/>
    <w:rsid w:val="7A012099"/>
    <w:rsid w:val="7A02D95B"/>
    <w:rsid w:val="7A8CAC5C"/>
    <w:rsid w:val="7B74CA8D"/>
    <w:rsid w:val="7BD129EC"/>
    <w:rsid w:val="7BD83F16"/>
    <w:rsid w:val="7C20ED32"/>
    <w:rsid w:val="7CC0C669"/>
    <w:rsid w:val="7D8DD793"/>
    <w:rsid w:val="7D9CC67A"/>
    <w:rsid w:val="7DCF02CA"/>
    <w:rsid w:val="7E86BC3F"/>
    <w:rsid w:val="7EB35EC4"/>
    <w:rsid w:val="7EB423F5"/>
    <w:rsid w:val="7ED7AE94"/>
    <w:rsid w:val="7FCD8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ED2BC"/>
  <w15:chartTrackingRefBased/>
  <w15:docId w15:val="{AAB8959B-FAEB-4B18-9843-8BAA87050C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D7638C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iabetes.org.uk/" TargetMode="External" Id="R5e86aeb9fe4a426f" /><Relationship Type="http://schemas.openxmlformats.org/officeDocument/2006/relationships/hyperlink" Target="https://www.nhs.uk/conditions/type-2-diabetes/" TargetMode="External" Id="Rc2fc2dad950f4c5a" /><Relationship Type="http://schemas.microsoft.com/office/2020/10/relationships/intelligence" Target="/word/intelligence2.xml" Id="Rb280d18bd4ff4d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2</revision>
  <dcterms:created xsi:type="dcterms:W3CDTF">2025-10-31T19:57:04.9817799Z</dcterms:created>
  <dcterms:modified xsi:type="dcterms:W3CDTF">2025-10-31T21:23:02.2045020Z</dcterms:modified>
</coreProperties>
</file>