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72ED2" w14:textId="77777777" w:rsidR="005C5B65" w:rsidRDefault="005C5B65" w:rsidP="00CF399E">
      <w:pPr>
        <w:jc w:val="center"/>
        <w:rPr>
          <w:rFonts w:ascii="Arial" w:hAnsi="Arial" w:cs="Arial"/>
          <w:b/>
          <w:bCs/>
          <w:sz w:val="40"/>
          <w:szCs w:val="40"/>
        </w:rPr>
      </w:pPr>
    </w:p>
    <w:p w14:paraId="6A5F156A" w14:textId="77777777" w:rsidR="005C5B65" w:rsidRDefault="005C5B65" w:rsidP="00CF399E">
      <w:pPr>
        <w:jc w:val="center"/>
        <w:rPr>
          <w:rFonts w:ascii="Arial" w:hAnsi="Arial" w:cs="Arial"/>
          <w:b/>
          <w:bCs/>
          <w:sz w:val="40"/>
          <w:szCs w:val="40"/>
        </w:rPr>
      </w:pPr>
    </w:p>
    <w:p w14:paraId="1D8C0F1F" w14:textId="77777777" w:rsidR="005C5B65" w:rsidRDefault="005C5B65" w:rsidP="00CF399E">
      <w:pPr>
        <w:jc w:val="center"/>
        <w:rPr>
          <w:rFonts w:ascii="Arial" w:hAnsi="Arial" w:cs="Arial"/>
          <w:b/>
          <w:bCs/>
          <w:sz w:val="40"/>
          <w:szCs w:val="40"/>
        </w:rPr>
      </w:pPr>
    </w:p>
    <w:p w14:paraId="536AAB76" w14:textId="77777777" w:rsidR="005C5B65" w:rsidRDefault="005C5B65" w:rsidP="00CF399E">
      <w:pPr>
        <w:jc w:val="center"/>
        <w:rPr>
          <w:rFonts w:ascii="Arial" w:hAnsi="Arial" w:cs="Arial"/>
          <w:b/>
          <w:bCs/>
          <w:sz w:val="40"/>
          <w:szCs w:val="40"/>
        </w:rPr>
      </w:pPr>
    </w:p>
    <w:p w14:paraId="54C735E3" w14:textId="77777777" w:rsidR="005C5B65" w:rsidRDefault="005C5B65" w:rsidP="00CF399E">
      <w:pPr>
        <w:jc w:val="center"/>
        <w:rPr>
          <w:rFonts w:ascii="Arial" w:hAnsi="Arial" w:cs="Arial"/>
          <w:b/>
          <w:bCs/>
          <w:sz w:val="40"/>
          <w:szCs w:val="40"/>
        </w:rPr>
      </w:pPr>
    </w:p>
    <w:p w14:paraId="1D7A4690" w14:textId="77777777" w:rsidR="005C5B65" w:rsidRDefault="005C5B65" w:rsidP="00CF399E">
      <w:pPr>
        <w:jc w:val="center"/>
        <w:rPr>
          <w:rFonts w:ascii="Arial" w:hAnsi="Arial" w:cs="Arial"/>
          <w:b/>
          <w:bCs/>
          <w:sz w:val="40"/>
          <w:szCs w:val="40"/>
        </w:rPr>
      </w:pPr>
    </w:p>
    <w:p w14:paraId="3375C56F" w14:textId="77777777" w:rsidR="005C5B65" w:rsidRDefault="005C5B65" w:rsidP="00CF399E">
      <w:pPr>
        <w:jc w:val="center"/>
        <w:rPr>
          <w:rFonts w:ascii="Arial" w:hAnsi="Arial" w:cs="Arial"/>
          <w:b/>
          <w:bCs/>
          <w:sz w:val="40"/>
          <w:szCs w:val="40"/>
        </w:rPr>
      </w:pPr>
    </w:p>
    <w:p w14:paraId="275C757D" w14:textId="77777777" w:rsidR="005C5B65" w:rsidRDefault="005C5B65" w:rsidP="00CF399E">
      <w:pPr>
        <w:jc w:val="center"/>
        <w:rPr>
          <w:rFonts w:ascii="Arial" w:hAnsi="Arial" w:cs="Arial"/>
          <w:b/>
          <w:bCs/>
          <w:sz w:val="40"/>
          <w:szCs w:val="40"/>
        </w:rPr>
      </w:pPr>
    </w:p>
    <w:p w14:paraId="660B4C34" w14:textId="4823FAE1" w:rsidR="00CF399E" w:rsidRPr="00CF399E" w:rsidRDefault="00CF399E" w:rsidP="00CF399E">
      <w:pPr>
        <w:jc w:val="center"/>
        <w:rPr>
          <w:rFonts w:ascii="Arial" w:hAnsi="Arial" w:cs="Arial"/>
          <w:b/>
          <w:bCs/>
          <w:sz w:val="40"/>
          <w:szCs w:val="40"/>
        </w:rPr>
      </w:pPr>
      <w:r w:rsidRPr="00CF399E">
        <w:rPr>
          <w:rFonts w:ascii="Arial" w:hAnsi="Arial" w:cs="Arial"/>
          <w:b/>
          <w:bCs/>
          <w:sz w:val="40"/>
          <w:szCs w:val="40"/>
        </w:rPr>
        <w:t>Financial Planning and Budgeting Analysis for Silver Stitch Ltd</w:t>
      </w:r>
    </w:p>
    <w:p w14:paraId="2A2D2992" w14:textId="77777777" w:rsidR="003F0D06" w:rsidRDefault="003F0D06">
      <w:pPr>
        <w:rPr>
          <w:rFonts w:ascii="Arial" w:hAnsi="Arial" w:cs="Arial"/>
        </w:rPr>
      </w:pPr>
    </w:p>
    <w:p w14:paraId="654F78BA" w14:textId="77777777" w:rsidR="00CF399E" w:rsidRDefault="00CF399E" w:rsidP="003F0D06">
      <w:pPr>
        <w:rPr>
          <w:rFonts w:ascii="Arial" w:hAnsi="Arial" w:cs="Arial"/>
        </w:rPr>
      </w:pPr>
    </w:p>
    <w:p w14:paraId="456BE305" w14:textId="77777777" w:rsidR="00CF399E" w:rsidRDefault="00CF399E" w:rsidP="003F0D06">
      <w:pPr>
        <w:rPr>
          <w:rFonts w:ascii="Arial" w:hAnsi="Arial" w:cs="Arial"/>
        </w:rPr>
      </w:pPr>
    </w:p>
    <w:p w14:paraId="7A607FF5" w14:textId="77777777" w:rsidR="00CF399E" w:rsidRDefault="00CF399E" w:rsidP="003F0D06">
      <w:pPr>
        <w:rPr>
          <w:rFonts w:ascii="Arial" w:hAnsi="Arial" w:cs="Arial"/>
        </w:rPr>
      </w:pPr>
    </w:p>
    <w:p w14:paraId="70598612" w14:textId="77777777" w:rsidR="00CF399E" w:rsidRDefault="00CF399E" w:rsidP="003F0D06">
      <w:pPr>
        <w:rPr>
          <w:rFonts w:ascii="Arial" w:hAnsi="Arial" w:cs="Arial"/>
        </w:rPr>
      </w:pPr>
    </w:p>
    <w:p w14:paraId="08C3F5EA" w14:textId="77777777" w:rsidR="00CF399E" w:rsidRDefault="00CF399E" w:rsidP="003F0D06">
      <w:pPr>
        <w:rPr>
          <w:rFonts w:ascii="Arial" w:hAnsi="Arial" w:cs="Arial"/>
        </w:rPr>
      </w:pPr>
    </w:p>
    <w:p w14:paraId="5DB9C7B7" w14:textId="77777777" w:rsidR="005C5B65" w:rsidRDefault="005C5B65" w:rsidP="003F0D06">
      <w:pPr>
        <w:rPr>
          <w:rFonts w:ascii="Arial" w:hAnsi="Arial" w:cs="Arial"/>
        </w:rPr>
      </w:pPr>
    </w:p>
    <w:p w14:paraId="2ACCE9A0" w14:textId="77777777" w:rsidR="005C5B65" w:rsidRDefault="005C5B65" w:rsidP="003F0D06">
      <w:pPr>
        <w:rPr>
          <w:rFonts w:ascii="Arial" w:hAnsi="Arial" w:cs="Arial"/>
        </w:rPr>
      </w:pPr>
    </w:p>
    <w:p w14:paraId="288A5061" w14:textId="77777777" w:rsidR="005C5B65" w:rsidRDefault="005C5B65" w:rsidP="003F0D06">
      <w:pPr>
        <w:rPr>
          <w:rFonts w:ascii="Arial" w:hAnsi="Arial" w:cs="Arial"/>
        </w:rPr>
      </w:pPr>
    </w:p>
    <w:p w14:paraId="23415BC3" w14:textId="77777777" w:rsidR="005C5B65" w:rsidRDefault="005C5B65" w:rsidP="003F0D06">
      <w:pPr>
        <w:rPr>
          <w:rFonts w:ascii="Arial" w:hAnsi="Arial" w:cs="Arial"/>
        </w:rPr>
      </w:pPr>
    </w:p>
    <w:p w14:paraId="0A2252D4" w14:textId="77777777" w:rsidR="005C5B65" w:rsidRDefault="005C5B65" w:rsidP="003F0D06">
      <w:pPr>
        <w:rPr>
          <w:rFonts w:ascii="Arial" w:hAnsi="Arial" w:cs="Arial"/>
        </w:rPr>
      </w:pPr>
    </w:p>
    <w:p w14:paraId="0DECC971" w14:textId="77777777" w:rsidR="005C5B65" w:rsidRDefault="005C5B65" w:rsidP="003F0D06">
      <w:pPr>
        <w:rPr>
          <w:rFonts w:ascii="Arial" w:hAnsi="Arial" w:cs="Arial"/>
        </w:rPr>
      </w:pPr>
    </w:p>
    <w:p w14:paraId="0F48AE5A" w14:textId="77777777" w:rsidR="005C5B65" w:rsidRDefault="005C5B65" w:rsidP="003F0D06">
      <w:pPr>
        <w:rPr>
          <w:rFonts w:ascii="Arial" w:hAnsi="Arial" w:cs="Arial"/>
        </w:rPr>
      </w:pPr>
    </w:p>
    <w:p w14:paraId="500425C1" w14:textId="77777777" w:rsidR="005C5B65" w:rsidRDefault="005C5B65" w:rsidP="003F0D06">
      <w:pPr>
        <w:rPr>
          <w:rFonts w:ascii="Arial" w:hAnsi="Arial" w:cs="Arial"/>
        </w:rPr>
      </w:pPr>
    </w:p>
    <w:p w14:paraId="2873543B" w14:textId="77777777" w:rsidR="005C5B65" w:rsidRDefault="005C5B65" w:rsidP="003F0D06">
      <w:pPr>
        <w:rPr>
          <w:rFonts w:ascii="Arial" w:hAnsi="Arial" w:cs="Arial"/>
        </w:rPr>
      </w:pPr>
    </w:p>
    <w:p w14:paraId="3B1DAF24" w14:textId="77777777" w:rsidR="005C5B65" w:rsidRDefault="005C5B65" w:rsidP="003F0D06">
      <w:pPr>
        <w:rPr>
          <w:rFonts w:ascii="Arial" w:hAnsi="Arial" w:cs="Arial"/>
        </w:rPr>
      </w:pPr>
    </w:p>
    <w:p w14:paraId="0A38850C" w14:textId="77777777" w:rsidR="005C5B65" w:rsidRDefault="005C5B65" w:rsidP="003F0D06">
      <w:pPr>
        <w:rPr>
          <w:rFonts w:ascii="Arial" w:hAnsi="Arial" w:cs="Arial"/>
        </w:rPr>
      </w:pPr>
    </w:p>
    <w:p w14:paraId="1477556A" w14:textId="77777777" w:rsidR="005C5B65" w:rsidRDefault="005C5B65" w:rsidP="003F0D06">
      <w:pPr>
        <w:rPr>
          <w:rFonts w:ascii="Arial" w:hAnsi="Arial" w:cs="Arial"/>
        </w:rPr>
      </w:pPr>
    </w:p>
    <w:p w14:paraId="321FC33C" w14:textId="3554E238" w:rsidR="003F0D06" w:rsidRDefault="003F0D06" w:rsidP="003F0D06">
      <w:pPr>
        <w:rPr>
          <w:rFonts w:ascii="Arial" w:hAnsi="Arial" w:cs="Arial"/>
        </w:rPr>
      </w:pPr>
      <w:r>
        <w:rPr>
          <w:rFonts w:ascii="Arial" w:hAnsi="Arial" w:cs="Arial"/>
        </w:rPr>
        <w:t>Module name: Principles and Concepts of Finance (BMSW5012_SWAN)</w:t>
      </w:r>
    </w:p>
    <w:p w14:paraId="44E522A3" w14:textId="68461025" w:rsidR="003F0D06" w:rsidRDefault="003F0D06">
      <w:pPr>
        <w:rPr>
          <w:rFonts w:ascii="Arial" w:hAnsi="Arial" w:cs="Arial"/>
        </w:rPr>
      </w:pPr>
      <w:r>
        <w:rPr>
          <w:rFonts w:ascii="Arial" w:hAnsi="Arial" w:cs="Arial"/>
        </w:rPr>
        <w:t>Student name: Ionela Catalina Simion</w:t>
      </w:r>
    </w:p>
    <w:p w14:paraId="44A155B2" w14:textId="21891863" w:rsidR="003F0D06" w:rsidRDefault="003F0D06">
      <w:pPr>
        <w:rPr>
          <w:rFonts w:ascii="Arial" w:hAnsi="Arial" w:cs="Arial"/>
        </w:rPr>
      </w:pPr>
      <w:r>
        <w:rPr>
          <w:rFonts w:ascii="Arial" w:hAnsi="Arial" w:cs="Arial"/>
        </w:rPr>
        <w:t>Student Number:2227035</w:t>
      </w:r>
    </w:p>
    <w:p w14:paraId="578F2EE2" w14:textId="77777777" w:rsidR="008C5DED" w:rsidRDefault="008C5DED">
      <w:pPr>
        <w:rPr>
          <w:rFonts w:ascii="Arial" w:hAnsi="Arial" w:cs="Arial"/>
        </w:rPr>
      </w:pPr>
    </w:p>
    <w:p w14:paraId="3021EED2" w14:textId="77777777" w:rsidR="008C5DED" w:rsidRDefault="008C5DED">
      <w:pPr>
        <w:rPr>
          <w:rFonts w:ascii="Arial" w:hAnsi="Arial" w:cs="Arial"/>
        </w:rPr>
      </w:pPr>
    </w:p>
    <w:p w14:paraId="74A0AEF7" w14:textId="77777777" w:rsidR="008C5DED" w:rsidRDefault="008C5DED">
      <w:pPr>
        <w:rPr>
          <w:rFonts w:ascii="Arial" w:hAnsi="Arial" w:cs="Arial"/>
        </w:rPr>
      </w:pPr>
    </w:p>
    <w:p w14:paraId="5B5A38FD" w14:textId="77777777" w:rsidR="005C5B65" w:rsidRDefault="005C5B65">
      <w:pPr>
        <w:rPr>
          <w:rFonts w:ascii="Arial" w:hAnsi="Arial" w:cs="Arial"/>
        </w:rPr>
      </w:pPr>
    </w:p>
    <w:p w14:paraId="24F0ACF2" w14:textId="77777777" w:rsidR="005C5B65" w:rsidRDefault="005C5B65">
      <w:pPr>
        <w:rPr>
          <w:rFonts w:ascii="Arial" w:hAnsi="Arial" w:cs="Arial"/>
        </w:rPr>
      </w:pPr>
    </w:p>
    <w:p w14:paraId="49427E4B" w14:textId="77777777" w:rsidR="005C5B65" w:rsidRDefault="005C5B65">
      <w:pPr>
        <w:rPr>
          <w:rFonts w:ascii="Arial" w:hAnsi="Arial" w:cs="Arial"/>
        </w:rPr>
      </w:pPr>
    </w:p>
    <w:p w14:paraId="279D2253" w14:textId="77777777" w:rsidR="005C5B65" w:rsidRDefault="005C5B65">
      <w:pPr>
        <w:rPr>
          <w:rFonts w:ascii="Arial" w:hAnsi="Arial" w:cs="Arial"/>
        </w:rPr>
      </w:pPr>
    </w:p>
    <w:p w14:paraId="2D8FC602" w14:textId="77777777" w:rsidR="005C5B65" w:rsidRDefault="005C5B65">
      <w:pPr>
        <w:rPr>
          <w:rFonts w:ascii="Arial" w:hAnsi="Arial" w:cs="Arial"/>
        </w:rPr>
      </w:pPr>
    </w:p>
    <w:p w14:paraId="06AF3B16" w14:textId="77777777" w:rsidR="005C5B65" w:rsidRDefault="005C5B65">
      <w:pPr>
        <w:rPr>
          <w:rFonts w:ascii="Arial" w:hAnsi="Arial" w:cs="Arial"/>
        </w:rPr>
      </w:pPr>
    </w:p>
    <w:p w14:paraId="7262C978" w14:textId="77777777" w:rsidR="005C5B65" w:rsidRDefault="005C5B65">
      <w:pPr>
        <w:rPr>
          <w:rFonts w:ascii="Arial" w:hAnsi="Arial" w:cs="Arial"/>
        </w:rPr>
      </w:pPr>
    </w:p>
    <w:p w14:paraId="0D83EE9C" w14:textId="77777777" w:rsidR="005C5B65" w:rsidRDefault="005C5B65">
      <w:pPr>
        <w:rPr>
          <w:rFonts w:ascii="Arial" w:hAnsi="Arial" w:cs="Arial"/>
        </w:rPr>
      </w:pPr>
    </w:p>
    <w:p w14:paraId="160BDBF3" w14:textId="77777777" w:rsidR="005C5B65" w:rsidRDefault="005C5B65">
      <w:pPr>
        <w:rPr>
          <w:rFonts w:ascii="Arial" w:hAnsi="Arial" w:cs="Arial"/>
        </w:rPr>
      </w:pPr>
    </w:p>
    <w:p w14:paraId="621B5A0D" w14:textId="77777777" w:rsidR="005C5B65" w:rsidRDefault="005C5B65">
      <w:pPr>
        <w:rPr>
          <w:rFonts w:ascii="Arial" w:hAnsi="Arial" w:cs="Arial"/>
        </w:rPr>
      </w:pPr>
    </w:p>
    <w:p w14:paraId="65B9D943" w14:textId="77777777" w:rsidR="005C5B65" w:rsidRDefault="005C5B65">
      <w:pPr>
        <w:rPr>
          <w:rFonts w:ascii="Arial" w:hAnsi="Arial" w:cs="Arial"/>
        </w:rPr>
      </w:pPr>
    </w:p>
    <w:p w14:paraId="55CCAF51" w14:textId="77777777" w:rsidR="005C5B65" w:rsidRDefault="005C5B65">
      <w:pPr>
        <w:rPr>
          <w:rFonts w:ascii="Arial" w:hAnsi="Arial" w:cs="Arial"/>
        </w:rPr>
      </w:pPr>
    </w:p>
    <w:p w14:paraId="3886C580" w14:textId="77777777" w:rsidR="005C5B65" w:rsidRDefault="005C5B65">
      <w:pPr>
        <w:rPr>
          <w:rFonts w:ascii="Arial" w:hAnsi="Arial" w:cs="Arial"/>
        </w:rPr>
      </w:pPr>
    </w:p>
    <w:p w14:paraId="1187E34B" w14:textId="77777777" w:rsidR="005C5B65" w:rsidRDefault="005C5B65">
      <w:pPr>
        <w:rPr>
          <w:rFonts w:ascii="Arial" w:hAnsi="Arial" w:cs="Arial"/>
        </w:rPr>
      </w:pPr>
    </w:p>
    <w:p w14:paraId="727E247D" w14:textId="77777777" w:rsidR="005C5B65" w:rsidRDefault="005C5B65">
      <w:pPr>
        <w:rPr>
          <w:rFonts w:ascii="Arial" w:hAnsi="Arial" w:cs="Arial"/>
        </w:rPr>
      </w:pPr>
    </w:p>
    <w:p w14:paraId="0DC6634E" w14:textId="77777777" w:rsidR="005C5B65" w:rsidRDefault="005C5B65">
      <w:pPr>
        <w:rPr>
          <w:rFonts w:ascii="Arial" w:hAnsi="Arial" w:cs="Arial"/>
        </w:rPr>
      </w:pPr>
    </w:p>
    <w:p w14:paraId="36A02EB8" w14:textId="77777777" w:rsidR="005C5B65" w:rsidRDefault="005C5B65">
      <w:pPr>
        <w:rPr>
          <w:rFonts w:ascii="Arial" w:hAnsi="Arial" w:cs="Arial"/>
        </w:rPr>
      </w:pPr>
    </w:p>
    <w:sdt>
      <w:sdtPr>
        <w:rPr>
          <w:rFonts w:ascii="Times New Roman" w:eastAsia="Times New Roman" w:hAnsi="Times New Roman" w:cs="Times New Roman"/>
          <w:color w:val="auto"/>
          <w:sz w:val="24"/>
          <w:szCs w:val="24"/>
          <w:lang w:val="en-GB" w:eastAsia="en-GB"/>
        </w:rPr>
        <w:id w:val="-312797398"/>
        <w:docPartObj>
          <w:docPartGallery w:val="Table of Contents"/>
          <w:docPartUnique/>
        </w:docPartObj>
      </w:sdtPr>
      <w:sdtEndPr>
        <w:rPr>
          <w:b/>
          <w:bCs/>
          <w:noProof/>
        </w:rPr>
      </w:sdtEndPr>
      <w:sdtContent>
        <w:p w14:paraId="7AFB5345" w14:textId="77777777" w:rsidR="0080409F" w:rsidRDefault="0080409F" w:rsidP="0080409F">
          <w:pPr>
            <w:pStyle w:val="TOCHeading"/>
          </w:pPr>
          <w:r>
            <w:t>Contents</w:t>
          </w:r>
        </w:p>
        <w:p w14:paraId="4F7C8E95" w14:textId="60796ACD" w:rsidR="00DC13E2" w:rsidRDefault="0080409F">
          <w:pPr>
            <w:pStyle w:val="TOC1"/>
            <w:tabs>
              <w:tab w:val="left" w:pos="480"/>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4757663" w:history="1">
            <w:r w:rsidR="00DC13E2" w:rsidRPr="00767383">
              <w:rPr>
                <w:rStyle w:val="Hyperlink"/>
                <w:noProof/>
              </w:rPr>
              <w:t>1.</w:t>
            </w:r>
            <w:r w:rsidR="00DC13E2">
              <w:rPr>
                <w:rFonts w:asciiTheme="minorHAnsi" w:eastAsiaTheme="minorEastAsia" w:hAnsiTheme="minorHAnsi" w:cstheme="minorBidi"/>
                <w:noProof/>
                <w:kern w:val="2"/>
                <w14:ligatures w14:val="standardContextual"/>
              </w:rPr>
              <w:tab/>
            </w:r>
            <w:r w:rsidR="00DC13E2" w:rsidRPr="00767383">
              <w:rPr>
                <w:rStyle w:val="Hyperlink"/>
                <w:noProof/>
              </w:rPr>
              <w:t>Executive Summary</w:t>
            </w:r>
            <w:r w:rsidR="00DC13E2">
              <w:rPr>
                <w:noProof/>
                <w:webHidden/>
              </w:rPr>
              <w:tab/>
            </w:r>
            <w:r w:rsidR="00DC13E2">
              <w:rPr>
                <w:noProof/>
                <w:webHidden/>
              </w:rPr>
              <w:fldChar w:fldCharType="begin"/>
            </w:r>
            <w:r w:rsidR="00DC13E2">
              <w:rPr>
                <w:noProof/>
                <w:webHidden/>
              </w:rPr>
              <w:instrText xml:space="preserve"> PAGEREF _Toc224757663 \h </w:instrText>
            </w:r>
            <w:r w:rsidR="00DC13E2">
              <w:rPr>
                <w:noProof/>
                <w:webHidden/>
              </w:rPr>
            </w:r>
            <w:r w:rsidR="00DC13E2">
              <w:rPr>
                <w:noProof/>
                <w:webHidden/>
              </w:rPr>
              <w:fldChar w:fldCharType="separate"/>
            </w:r>
            <w:r w:rsidR="00DC13E2">
              <w:rPr>
                <w:noProof/>
                <w:webHidden/>
              </w:rPr>
              <w:t>3</w:t>
            </w:r>
            <w:r w:rsidR="00DC13E2">
              <w:rPr>
                <w:noProof/>
                <w:webHidden/>
              </w:rPr>
              <w:fldChar w:fldCharType="end"/>
            </w:r>
          </w:hyperlink>
        </w:p>
        <w:p w14:paraId="7876D8A5" w14:textId="6D3A0FAF"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4" w:history="1">
            <w:r w:rsidRPr="00767383">
              <w:rPr>
                <w:rStyle w:val="Hyperlink"/>
                <w:noProof/>
              </w:rPr>
              <w:t>2. Introduction</w:t>
            </w:r>
            <w:r>
              <w:rPr>
                <w:noProof/>
                <w:webHidden/>
              </w:rPr>
              <w:tab/>
            </w:r>
            <w:r>
              <w:rPr>
                <w:noProof/>
                <w:webHidden/>
              </w:rPr>
              <w:fldChar w:fldCharType="begin"/>
            </w:r>
            <w:r>
              <w:rPr>
                <w:noProof/>
                <w:webHidden/>
              </w:rPr>
              <w:instrText xml:space="preserve"> PAGEREF _Toc224757664 \h </w:instrText>
            </w:r>
            <w:r>
              <w:rPr>
                <w:noProof/>
                <w:webHidden/>
              </w:rPr>
            </w:r>
            <w:r>
              <w:rPr>
                <w:noProof/>
                <w:webHidden/>
              </w:rPr>
              <w:fldChar w:fldCharType="separate"/>
            </w:r>
            <w:r>
              <w:rPr>
                <w:noProof/>
                <w:webHidden/>
              </w:rPr>
              <w:t>4</w:t>
            </w:r>
            <w:r>
              <w:rPr>
                <w:noProof/>
                <w:webHidden/>
              </w:rPr>
              <w:fldChar w:fldCharType="end"/>
            </w:r>
          </w:hyperlink>
        </w:p>
        <w:p w14:paraId="02622F13" w14:textId="1AD4081D"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5" w:history="1">
            <w:r w:rsidRPr="00767383">
              <w:rPr>
                <w:rStyle w:val="Hyperlink"/>
                <w:noProof/>
              </w:rPr>
              <w:t>SECTION A – FINANCIAL ANALYSIS</w:t>
            </w:r>
            <w:r>
              <w:rPr>
                <w:noProof/>
                <w:webHidden/>
              </w:rPr>
              <w:tab/>
            </w:r>
            <w:r>
              <w:rPr>
                <w:noProof/>
                <w:webHidden/>
              </w:rPr>
              <w:fldChar w:fldCharType="begin"/>
            </w:r>
            <w:r>
              <w:rPr>
                <w:noProof/>
                <w:webHidden/>
              </w:rPr>
              <w:instrText xml:space="preserve"> PAGEREF _Toc224757665 \h </w:instrText>
            </w:r>
            <w:r>
              <w:rPr>
                <w:noProof/>
                <w:webHidden/>
              </w:rPr>
            </w:r>
            <w:r>
              <w:rPr>
                <w:noProof/>
                <w:webHidden/>
              </w:rPr>
              <w:fldChar w:fldCharType="separate"/>
            </w:r>
            <w:r>
              <w:rPr>
                <w:noProof/>
                <w:webHidden/>
              </w:rPr>
              <w:t>5</w:t>
            </w:r>
            <w:r>
              <w:rPr>
                <w:noProof/>
                <w:webHidden/>
              </w:rPr>
              <w:fldChar w:fldCharType="end"/>
            </w:r>
          </w:hyperlink>
        </w:p>
        <w:p w14:paraId="0BB4AC92" w14:textId="0EC156B7"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6" w:history="1">
            <w:r w:rsidRPr="00767383">
              <w:rPr>
                <w:rStyle w:val="Hyperlink"/>
                <w:noProof/>
              </w:rPr>
              <w:t>3. Preparation of Budgets</w:t>
            </w:r>
            <w:r>
              <w:rPr>
                <w:noProof/>
                <w:webHidden/>
              </w:rPr>
              <w:tab/>
            </w:r>
            <w:r>
              <w:rPr>
                <w:noProof/>
                <w:webHidden/>
              </w:rPr>
              <w:fldChar w:fldCharType="begin"/>
            </w:r>
            <w:r>
              <w:rPr>
                <w:noProof/>
                <w:webHidden/>
              </w:rPr>
              <w:instrText xml:space="preserve"> PAGEREF _Toc224757666 \h </w:instrText>
            </w:r>
            <w:r>
              <w:rPr>
                <w:noProof/>
                <w:webHidden/>
              </w:rPr>
            </w:r>
            <w:r>
              <w:rPr>
                <w:noProof/>
                <w:webHidden/>
              </w:rPr>
              <w:fldChar w:fldCharType="separate"/>
            </w:r>
            <w:r>
              <w:rPr>
                <w:noProof/>
                <w:webHidden/>
              </w:rPr>
              <w:t>5</w:t>
            </w:r>
            <w:r>
              <w:rPr>
                <w:noProof/>
                <w:webHidden/>
              </w:rPr>
              <w:fldChar w:fldCharType="end"/>
            </w:r>
          </w:hyperlink>
        </w:p>
        <w:p w14:paraId="2D4D0727" w14:textId="6C0D9621"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7" w:history="1">
            <w:r w:rsidRPr="00767383">
              <w:rPr>
                <w:rStyle w:val="Hyperlink"/>
                <w:noProof/>
              </w:rPr>
              <w:t>3.1 Stock Budget</w:t>
            </w:r>
            <w:r>
              <w:rPr>
                <w:noProof/>
                <w:webHidden/>
              </w:rPr>
              <w:tab/>
            </w:r>
            <w:r>
              <w:rPr>
                <w:noProof/>
                <w:webHidden/>
              </w:rPr>
              <w:fldChar w:fldCharType="begin"/>
            </w:r>
            <w:r>
              <w:rPr>
                <w:noProof/>
                <w:webHidden/>
              </w:rPr>
              <w:instrText xml:space="preserve"> PAGEREF _Toc224757667 \h </w:instrText>
            </w:r>
            <w:r>
              <w:rPr>
                <w:noProof/>
                <w:webHidden/>
              </w:rPr>
            </w:r>
            <w:r>
              <w:rPr>
                <w:noProof/>
                <w:webHidden/>
              </w:rPr>
              <w:fldChar w:fldCharType="separate"/>
            </w:r>
            <w:r>
              <w:rPr>
                <w:noProof/>
                <w:webHidden/>
              </w:rPr>
              <w:t>5</w:t>
            </w:r>
            <w:r>
              <w:rPr>
                <w:noProof/>
                <w:webHidden/>
              </w:rPr>
              <w:fldChar w:fldCharType="end"/>
            </w:r>
          </w:hyperlink>
        </w:p>
        <w:p w14:paraId="7F1830C8" w14:textId="5DCC34B9"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8" w:history="1">
            <w:r w:rsidRPr="00767383">
              <w:rPr>
                <w:rStyle w:val="Hyperlink"/>
                <w:noProof/>
              </w:rPr>
              <w:t>3.2 Cash Budget</w:t>
            </w:r>
            <w:r>
              <w:rPr>
                <w:noProof/>
                <w:webHidden/>
              </w:rPr>
              <w:tab/>
            </w:r>
            <w:r>
              <w:rPr>
                <w:noProof/>
                <w:webHidden/>
              </w:rPr>
              <w:fldChar w:fldCharType="begin"/>
            </w:r>
            <w:r>
              <w:rPr>
                <w:noProof/>
                <w:webHidden/>
              </w:rPr>
              <w:instrText xml:space="preserve"> PAGEREF _Toc224757668 \h </w:instrText>
            </w:r>
            <w:r>
              <w:rPr>
                <w:noProof/>
                <w:webHidden/>
              </w:rPr>
            </w:r>
            <w:r>
              <w:rPr>
                <w:noProof/>
                <w:webHidden/>
              </w:rPr>
              <w:fldChar w:fldCharType="separate"/>
            </w:r>
            <w:r>
              <w:rPr>
                <w:noProof/>
                <w:webHidden/>
              </w:rPr>
              <w:t>7</w:t>
            </w:r>
            <w:r>
              <w:rPr>
                <w:noProof/>
                <w:webHidden/>
              </w:rPr>
              <w:fldChar w:fldCharType="end"/>
            </w:r>
          </w:hyperlink>
        </w:p>
        <w:p w14:paraId="5E146081" w14:textId="34E35BAD"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69" w:history="1">
            <w:r w:rsidRPr="00767383">
              <w:rPr>
                <w:rStyle w:val="Hyperlink"/>
                <w:noProof/>
              </w:rPr>
              <w:t>3.3 Budgeted Profit and Loss Statement</w:t>
            </w:r>
            <w:r>
              <w:rPr>
                <w:noProof/>
                <w:webHidden/>
              </w:rPr>
              <w:tab/>
            </w:r>
            <w:r>
              <w:rPr>
                <w:noProof/>
                <w:webHidden/>
              </w:rPr>
              <w:fldChar w:fldCharType="begin"/>
            </w:r>
            <w:r>
              <w:rPr>
                <w:noProof/>
                <w:webHidden/>
              </w:rPr>
              <w:instrText xml:space="preserve"> PAGEREF _Toc224757669 \h </w:instrText>
            </w:r>
            <w:r>
              <w:rPr>
                <w:noProof/>
                <w:webHidden/>
              </w:rPr>
            </w:r>
            <w:r>
              <w:rPr>
                <w:noProof/>
                <w:webHidden/>
              </w:rPr>
              <w:fldChar w:fldCharType="separate"/>
            </w:r>
            <w:r>
              <w:rPr>
                <w:noProof/>
                <w:webHidden/>
              </w:rPr>
              <w:t>9</w:t>
            </w:r>
            <w:r>
              <w:rPr>
                <w:noProof/>
                <w:webHidden/>
              </w:rPr>
              <w:fldChar w:fldCharType="end"/>
            </w:r>
          </w:hyperlink>
        </w:p>
        <w:p w14:paraId="4EC7100D" w14:textId="7D0DECBB"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0" w:history="1">
            <w:r w:rsidRPr="00767383">
              <w:rPr>
                <w:rStyle w:val="Hyperlink"/>
                <w:noProof/>
              </w:rPr>
              <w:t>SECTION B – ANALYSIS &amp; MANAGEMENT RESPONSE</w:t>
            </w:r>
            <w:r>
              <w:rPr>
                <w:noProof/>
                <w:webHidden/>
              </w:rPr>
              <w:tab/>
            </w:r>
            <w:r>
              <w:rPr>
                <w:noProof/>
                <w:webHidden/>
              </w:rPr>
              <w:fldChar w:fldCharType="begin"/>
            </w:r>
            <w:r>
              <w:rPr>
                <w:noProof/>
                <w:webHidden/>
              </w:rPr>
              <w:instrText xml:space="preserve"> PAGEREF _Toc224757670 \h </w:instrText>
            </w:r>
            <w:r>
              <w:rPr>
                <w:noProof/>
                <w:webHidden/>
              </w:rPr>
            </w:r>
            <w:r>
              <w:rPr>
                <w:noProof/>
                <w:webHidden/>
              </w:rPr>
              <w:fldChar w:fldCharType="separate"/>
            </w:r>
            <w:r>
              <w:rPr>
                <w:noProof/>
                <w:webHidden/>
              </w:rPr>
              <w:t>10</w:t>
            </w:r>
            <w:r>
              <w:rPr>
                <w:noProof/>
                <w:webHidden/>
              </w:rPr>
              <w:fldChar w:fldCharType="end"/>
            </w:r>
          </w:hyperlink>
        </w:p>
        <w:p w14:paraId="45BF9EBC" w14:textId="193B9F28"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1" w:history="1">
            <w:r w:rsidRPr="00767383">
              <w:rPr>
                <w:rStyle w:val="Hyperlink"/>
                <w:noProof/>
              </w:rPr>
              <w:t>4. Financial Problems and Management Actions</w:t>
            </w:r>
            <w:r>
              <w:rPr>
                <w:noProof/>
                <w:webHidden/>
              </w:rPr>
              <w:tab/>
            </w:r>
            <w:r>
              <w:rPr>
                <w:noProof/>
                <w:webHidden/>
              </w:rPr>
              <w:fldChar w:fldCharType="begin"/>
            </w:r>
            <w:r>
              <w:rPr>
                <w:noProof/>
                <w:webHidden/>
              </w:rPr>
              <w:instrText xml:space="preserve"> PAGEREF _Toc224757671 \h </w:instrText>
            </w:r>
            <w:r>
              <w:rPr>
                <w:noProof/>
                <w:webHidden/>
              </w:rPr>
            </w:r>
            <w:r>
              <w:rPr>
                <w:noProof/>
                <w:webHidden/>
              </w:rPr>
              <w:fldChar w:fldCharType="separate"/>
            </w:r>
            <w:r>
              <w:rPr>
                <w:noProof/>
                <w:webHidden/>
              </w:rPr>
              <w:t>10</w:t>
            </w:r>
            <w:r>
              <w:rPr>
                <w:noProof/>
                <w:webHidden/>
              </w:rPr>
              <w:fldChar w:fldCharType="end"/>
            </w:r>
          </w:hyperlink>
        </w:p>
        <w:p w14:paraId="63396E3B" w14:textId="2E84A7BC"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2" w:history="1">
            <w:r w:rsidRPr="00767383">
              <w:rPr>
                <w:rStyle w:val="Hyperlink"/>
                <w:rFonts w:eastAsiaTheme="minorHAnsi"/>
                <w:noProof/>
              </w:rPr>
              <w:t>SECTION C – BUDGETING AND BEHAVIOURAL FACTORS</w:t>
            </w:r>
            <w:r>
              <w:rPr>
                <w:noProof/>
                <w:webHidden/>
              </w:rPr>
              <w:tab/>
            </w:r>
            <w:r>
              <w:rPr>
                <w:noProof/>
                <w:webHidden/>
              </w:rPr>
              <w:fldChar w:fldCharType="begin"/>
            </w:r>
            <w:r>
              <w:rPr>
                <w:noProof/>
                <w:webHidden/>
              </w:rPr>
              <w:instrText xml:space="preserve"> PAGEREF _Toc224757672 \h </w:instrText>
            </w:r>
            <w:r>
              <w:rPr>
                <w:noProof/>
                <w:webHidden/>
              </w:rPr>
            </w:r>
            <w:r>
              <w:rPr>
                <w:noProof/>
                <w:webHidden/>
              </w:rPr>
              <w:fldChar w:fldCharType="separate"/>
            </w:r>
            <w:r>
              <w:rPr>
                <w:noProof/>
                <w:webHidden/>
              </w:rPr>
              <w:t>12</w:t>
            </w:r>
            <w:r>
              <w:rPr>
                <w:noProof/>
                <w:webHidden/>
              </w:rPr>
              <w:fldChar w:fldCharType="end"/>
            </w:r>
          </w:hyperlink>
        </w:p>
        <w:p w14:paraId="2D46C8C4" w14:textId="1A7569C0"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3" w:history="1">
            <w:r w:rsidRPr="00767383">
              <w:rPr>
                <w:rStyle w:val="Hyperlink"/>
                <w:rFonts w:eastAsiaTheme="minorHAnsi"/>
                <w:noProof/>
              </w:rPr>
              <w:t>5. Conditions for Successful Budgeting</w:t>
            </w:r>
            <w:r>
              <w:rPr>
                <w:noProof/>
                <w:webHidden/>
              </w:rPr>
              <w:tab/>
            </w:r>
            <w:r>
              <w:rPr>
                <w:noProof/>
                <w:webHidden/>
              </w:rPr>
              <w:fldChar w:fldCharType="begin"/>
            </w:r>
            <w:r>
              <w:rPr>
                <w:noProof/>
                <w:webHidden/>
              </w:rPr>
              <w:instrText xml:space="preserve"> PAGEREF _Toc224757673 \h </w:instrText>
            </w:r>
            <w:r>
              <w:rPr>
                <w:noProof/>
                <w:webHidden/>
              </w:rPr>
            </w:r>
            <w:r>
              <w:rPr>
                <w:noProof/>
                <w:webHidden/>
              </w:rPr>
              <w:fldChar w:fldCharType="separate"/>
            </w:r>
            <w:r>
              <w:rPr>
                <w:noProof/>
                <w:webHidden/>
              </w:rPr>
              <w:t>12</w:t>
            </w:r>
            <w:r>
              <w:rPr>
                <w:noProof/>
                <w:webHidden/>
              </w:rPr>
              <w:fldChar w:fldCharType="end"/>
            </w:r>
          </w:hyperlink>
        </w:p>
        <w:p w14:paraId="0F90E04C" w14:textId="6BDC93BC"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4" w:history="1">
            <w:r w:rsidRPr="00767383">
              <w:rPr>
                <w:rStyle w:val="Hyperlink"/>
                <w:rFonts w:eastAsiaTheme="minorHAnsi"/>
                <w:noProof/>
              </w:rPr>
              <w:t>6. Behavioural Issues in Budgetary Control</w:t>
            </w:r>
            <w:r>
              <w:rPr>
                <w:noProof/>
                <w:webHidden/>
              </w:rPr>
              <w:tab/>
            </w:r>
            <w:r>
              <w:rPr>
                <w:noProof/>
                <w:webHidden/>
              </w:rPr>
              <w:fldChar w:fldCharType="begin"/>
            </w:r>
            <w:r>
              <w:rPr>
                <w:noProof/>
                <w:webHidden/>
              </w:rPr>
              <w:instrText xml:space="preserve"> PAGEREF _Toc224757674 \h </w:instrText>
            </w:r>
            <w:r>
              <w:rPr>
                <w:noProof/>
                <w:webHidden/>
              </w:rPr>
            </w:r>
            <w:r>
              <w:rPr>
                <w:noProof/>
                <w:webHidden/>
              </w:rPr>
              <w:fldChar w:fldCharType="separate"/>
            </w:r>
            <w:r>
              <w:rPr>
                <w:noProof/>
                <w:webHidden/>
              </w:rPr>
              <w:t>14</w:t>
            </w:r>
            <w:r>
              <w:rPr>
                <w:noProof/>
                <w:webHidden/>
              </w:rPr>
              <w:fldChar w:fldCharType="end"/>
            </w:r>
          </w:hyperlink>
        </w:p>
        <w:p w14:paraId="43F975F6" w14:textId="4643017F"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5" w:history="1">
            <w:r w:rsidRPr="00767383">
              <w:rPr>
                <w:rStyle w:val="Hyperlink"/>
                <w:noProof/>
              </w:rPr>
              <w:t>7. Critique of Traditional Budgeting in Fast-Changing Environments</w:t>
            </w:r>
            <w:r>
              <w:rPr>
                <w:noProof/>
                <w:webHidden/>
              </w:rPr>
              <w:tab/>
            </w:r>
            <w:r>
              <w:rPr>
                <w:noProof/>
                <w:webHidden/>
              </w:rPr>
              <w:fldChar w:fldCharType="begin"/>
            </w:r>
            <w:r>
              <w:rPr>
                <w:noProof/>
                <w:webHidden/>
              </w:rPr>
              <w:instrText xml:space="preserve"> PAGEREF _Toc224757675 \h </w:instrText>
            </w:r>
            <w:r>
              <w:rPr>
                <w:noProof/>
                <w:webHidden/>
              </w:rPr>
            </w:r>
            <w:r>
              <w:rPr>
                <w:noProof/>
                <w:webHidden/>
              </w:rPr>
              <w:fldChar w:fldCharType="separate"/>
            </w:r>
            <w:r>
              <w:rPr>
                <w:noProof/>
                <w:webHidden/>
              </w:rPr>
              <w:t>16</w:t>
            </w:r>
            <w:r>
              <w:rPr>
                <w:noProof/>
                <w:webHidden/>
              </w:rPr>
              <w:fldChar w:fldCharType="end"/>
            </w:r>
          </w:hyperlink>
        </w:p>
        <w:p w14:paraId="542F3A9A" w14:textId="1506D1A8"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6" w:history="1">
            <w:r w:rsidRPr="00767383">
              <w:rPr>
                <w:rStyle w:val="Hyperlink"/>
                <w:noProof/>
              </w:rPr>
              <w:t>8. Conclusion</w:t>
            </w:r>
            <w:r>
              <w:rPr>
                <w:noProof/>
                <w:webHidden/>
              </w:rPr>
              <w:tab/>
            </w:r>
            <w:r>
              <w:rPr>
                <w:noProof/>
                <w:webHidden/>
              </w:rPr>
              <w:fldChar w:fldCharType="begin"/>
            </w:r>
            <w:r>
              <w:rPr>
                <w:noProof/>
                <w:webHidden/>
              </w:rPr>
              <w:instrText xml:space="preserve"> PAGEREF _Toc224757676 \h </w:instrText>
            </w:r>
            <w:r>
              <w:rPr>
                <w:noProof/>
                <w:webHidden/>
              </w:rPr>
            </w:r>
            <w:r>
              <w:rPr>
                <w:noProof/>
                <w:webHidden/>
              </w:rPr>
              <w:fldChar w:fldCharType="separate"/>
            </w:r>
            <w:r>
              <w:rPr>
                <w:noProof/>
                <w:webHidden/>
              </w:rPr>
              <w:t>18</w:t>
            </w:r>
            <w:r>
              <w:rPr>
                <w:noProof/>
                <w:webHidden/>
              </w:rPr>
              <w:fldChar w:fldCharType="end"/>
            </w:r>
          </w:hyperlink>
        </w:p>
        <w:p w14:paraId="32E816CA" w14:textId="10FAA3B4" w:rsidR="00DC13E2" w:rsidRDefault="00DC13E2">
          <w:pPr>
            <w:pStyle w:val="TOC1"/>
            <w:tabs>
              <w:tab w:val="right" w:leader="dot" w:pos="9016"/>
            </w:tabs>
            <w:rPr>
              <w:rFonts w:asciiTheme="minorHAnsi" w:eastAsiaTheme="minorEastAsia" w:hAnsiTheme="minorHAnsi" w:cstheme="minorBidi"/>
              <w:noProof/>
              <w:kern w:val="2"/>
              <w14:ligatures w14:val="standardContextual"/>
            </w:rPr>
          </w:pPr>
          <w:hyperlink w:anchor="_Toc224757677" w:history="1">
            <w:r w:rsidRPr="00767383">
              <w:rPr>
                <w:rStyle w:val="Hyperlink"/>
                <w:noProof/>
              </w:rPr>
              <w:t>Reference list :</w:t>
            </w:r>
            <w:r>
              <w:rPr>
                <w:noProof/>
                <w:webHidden/>
              </w:rPr>
              <w:tab/>
            </w:r>
            <w:r>
              <w:rPr>
                <w:noProof/>
                <w:webHidden/>
              </w:rPr>
              <w:fldChar w:fldCharType="begin"/>
            </w:r>
            <w:r>
              <w:rPr>
                <w:noProof/>
                <w:webHidden/>
              </w:rPr>
              <w:instrText xml:space="preserve"> PAGEREF _Toc224757677 \h </w:instrText>
            </w:r>
            <w:r>
              <w:rPr>
                <w:noProof/>
                <w:webHidden/>
              </w:rPr>
            </w:r>
            <w:r>
              <w:rPr>
                <w:noProof/>
                <w:webHidden/>
              </w:rPr>
              <w:fldChar w:fldCharType="separate"/>
            </w:r>
            <w:r>
              <w:rPr>
                <w:noProof/>
                <w:webHidden/>
              </w:rPr>
              <w:t>19</w:t>
            </w:r>
            <w:r>
              <w:rPr>
                <w:noProof/>
                <w:webHidden/>
              </w:rPr>
              <w:fldChar w:fldCharType="end"/>
            </w:r>
          </w:hyperlink>
        </w:p>
        <w:p w14:paraId="04BB233D" w14:textId="0CBF0BFE" w:rsidR="0080409F" w:rsidRDefault="0080409F" w:rsidP="0080409F">
          <w:pPr>
            <w:rPr>
              <w:b/>
              <w:bCs/>
              <w:noProof/>
            </w:rPr>
          </w:pPr>
          <w:r>
            <w:rPr>
              <w:b/>
              <w:bCs/>
              <w:noProof/>
            </w:rPr>
            <w:fldChar w:fldCharType="end"/>
          </w:r>
        </w:p>
      </w:sdtContent>
    </w:sdt>
    <w:p w14:paraId="6E0EC279" w14:textId="77777777" w:rsidR="005C5B65" w:rsidRDefault="005C5B65">
      <w:pPr>
        <w:rPr>
          <w:rFonts w:ascii="Arial" w:hAnsi="Arial" w:cs="Arial"/>
        </w:rPr>
      </w:pPr>
    </w:p>
    <w:p w14:paraId="1D05D345" w14:textId="77777777" w:rsidR="005C5B65" w:rsidRDefault="005C5B65">
      <w:pPr>
        <w:rPr>
          <w:rFonts w:ascii="Arial" w:hAnsi="Arial" w:cs="Arial"/>
        </w:rPr>
      </w:pPr>
    </w:p>
    <w:p w14:paraId="648EEE0D" w14:textId="77777777" w:rsidR="005C5B65" w:rsidRDefault="005C5B65">
      <w:pPr>
        <w:rPr>
          <w:rFonts w:ascii="Arial" w:hAnsi="Arial" w:cs="Arial"/>
        </w:rPr>
      </w:pPr>
    </w:p>
    <w:p w14:paraId="2EA23583" w14:textId="77777777" w:rsidR="005C5B65" w:rsidRDefault="005C5B65">
      <w:pPr>
        <w:rPr>
          <w:rFonts w:ascii="Arial" w:hAnsi="Arial" w:cs="Arial"/>
        </w:rPr>
      </w:pPr>
    </w:p>
    <w:p w14:paraId="2D8F68D7" w14:textId="77777777" w:rsidR="005C5B65" w:rsidRDefault="005C5B65">
      <w:pPr>
        <w:rPr>
          <w:rFonts w:ascii="Arial" w:hAnsi="Arial" w:cs="Arial"/>
        </w:rPr>
      </w:pPr>
    </w:p>
    <w:p w14:paraId="63D97FBD" w14:textId="77777777" w:rsidR="005C5B65" w:rsidRDefault="005C5B65">
      <w:pPr>
        <w:rPr>
          <w:rFonts w:ascii="Arial" w:hAnsi="Arial" w:cs="Arial"/>
        </w:rPr>
      </w:pPr>
    </w:p>
    <w:p w14:paraId="4FF3A9DC" w14:textId="77777777" w:rsidR="005C5B65" w:rsidRDefault="005C5B65">
      <w:pPr>
        <w:rPr>
          <w:rFonts w:ascii="Arial" w:hAnsi="Arial" w:cs="Arial"/>
        </w:rPr>
      </w:pPr>
    </w:p>
    <w:p w14:paraId="0A5F57B4" w14:textId="77777777" w:rsidR="005C5B65" w:rsidRDefault="005C5B65">
      <w:pPr>
        <w:rPr>
          <w:rFonts w:ascii="Arial" w:hAnsi="Arial" w:cs="Arial"/>
        </w:rPr>
      </w:pPr>
    </w:p>
    <w:p w14:paraId="4D585FC5" w14:textId="77777777" w:rsidR="005C5B65" w:rsidRDefault="005C5B65">
      <w:pPr>
        <w:rPr>
          <w:rFonts w:ascii="Arial" w:hAnsi="Arial" w:cs="Arial"/>
        </w:rPr>
      </w:pPr>
    </w:p>
    <w:p w14:paraId="1B65D55F" w14:textId="77777777" w:rsidR="005C5B65" w:rsidRDefault="005C5B65">
      <w:pPr>
        <w:rPr>
          <w:rFonts w:ascii="Arial" w:hAnsi="Arial" w:cs="Arial"/>
        </w:rPr>
      </w:pPr>
    </w:p>
    <w:p w14:paraId="12B8A869" w14:textId="77777777" w:rsidR="005C5B65" w:rsidRDefault="005C5B65">
      <w:pPr>
        <w:rPr>
          <w:rFonts w:ascii="Arial" w:hAnsi="Arial" w:cs="Arial"/>
        </w:rPr>
      </w:pPr>
    </w:p>
    <w:p w14:paraId="0AA3AFB3" w14:textId="77777777" w:rsidR="005C5B65" w:rsidRDefault="005C5B65">
      <w:pPr>
        <w:rPr>
          <w:rFonts w:ascii="Arial" w:hAnsi="Arial" w:cs="Arial"/>
        </w:rPr>
      </w:pPr>
    </w:p>
    <w:p w14:paraId="1828D1C8" w14:textId="77777777" w:rsidR="005C5B65" w:rsidRDefault="005C5B65">
      <w:pPr>
        <w:rPr>
          <w:rFonts w:ascii="Arial" w:hAnsi="Arial" w:cs="Arial"/>
        </w:rPr>
      </w:pPr>
    </w:p>
    <w:p w14:paraId="5B1FA03E" w14:textId="77777777" w:rsidR="005C5B65" w:rsidRDefault="005C5B65">
      <w:pPr>
        <w:rPr>
          <w:rFonts w:ascii="Arial" w:hAnsi="Arial" w:cs="Arial"/>
        </w:rPr>
      </w:pPr>
    </w:p>
    <w:p w14:paraId="02DF5987" w14:textId="77777777" w:rsidR="005C5B65" w:rsidRDefault="005C5B65">
      <w:pPr>
        <w:rPr>
          <w:rFonts w:ascii="Arial" w:hAnsi="Arial" w:cs="Arial"/>
        </w:rPr>
      </w:pPr>
    </w:p>
    <w:p w14:paraId="6540E537" w14:textId="77777777" w:rsidR="005C5B65" w:rsidRDefault="005C5B65">
      <w:pPr>
        <w:rPr>
          <w:rFonts w:ascii="Arial" w:hAnsi="Arial" w:cs="Arial"/>
        </w:rPr>
      </w:pPr>
    </w:p>
    <w:p w14:paraId="59977730" w14:textId="77777777" w:rsidR="005C5B65" w:rsidRDefault="005C5B65">
      <w:pPr>
        <w:rPr>
          <w:rFonts w:ascii="Arial" w:hAnsi="Arial" w:cs="Arial"/>
        </w:rPr>
      </w:pPr>
    </w:p>
    <w:p w14:paraId="728C9BFA" w14:textId="5A733653" w:rsidR="00BE042E" w:rsidRPr="00BE042E" w:rsidRDefault="00BE042E" w:rsidP="00BE042E">
      <w:pPr>
        <w:pStyle w:val="TOCHeading"/>
      </w:pPr>
    </w:p>
    <w:p w14:paraId="2F9BA8B2" w14:textId="708FC6A0" w:rsidR="0080409F" w:rsidRPr="0080409F" w:rsidRDefault="00DC13E2" w:rsidP="00DC13E2">
      <w:pPr>
        <w:pStyle w:val="Heading1"/>
        <w:numPr>
          <w:ilvl w:val="0"/>
          <w:numId w:val="4"/>
        </w:numPr>
      </w:pPr>
      <w:bookmarkStart w:id="0" w:name="_Toc224757663"/>
      <w:r>
        <w:t>E</w:t>
      </w:r>
      <w:r w:rsidR="0080409F" w:rsidRPr="0080409F">
        <w:t>xecutive Summary</w:t>
      </w:r>
      <w:bookmarkEnd w:id="0"/>
      <w:r w:rsidR="0080409F" w:rsidRPr="0080409F">
        <w:t xml:space="preserve"> </w:t>
      </w:r>
    </w:p>
    <w:p w14:paraId="749B5634" w14:textId="396D4277" w:rsidR="00B27812" w:rsidRPr="00B27812" w:rsidRDefault="00B27812" w:rsidP="00B27812">
      <w:pPr>
        <w:spacing w:after="160" w:line="259" w:lineRule="auto"/>
        <w:rPr>
          <w:rFonts w:ascii="Arial" w:hAnsi="Arial" w:cs="Arial"/>
        </w:rPr>
      </w:pPr>
      <w:r w:rsidRPr="00B27812">
        <w:rPr>
          <w:rFonts w:ascii="Arial" w:hAnsi="Arial" w:cs="Arial"/>
        </w:rPr>
        <w:t>This report evaluates the financial position of Silver Stitch Ltd through the preparation and interpretation of forecast budgets and examines the role of budgeting systems in organisational decision-making. The purpose is to assess the company’s financial outlook over the six-month planning period and identify potential operational and financial risks.</w:t>
      </w:r>
    </w:p>
    <w:p w14:paraId="0646F4B7" w14:textId="77777777" w:rsidR="00B27812" w:rsidRPr="00B27812" w:rsidRDefault="00B27812" w:rsidP="00B27812">
      <w:pPr>
        <w:spacing w:after="160" w:line="259" w:lineRule="auto"/>
        <w:rPr>
          <w:rFonts w:ascii="Arial" w:hAnsi="Arial" w:cs="Arial"/>
        </w:rPr>
      </w:pPr>
      <w:r w:rsidRPr="00B27812">
        <w:rPr>
          <w:rFonts w:ascii="Arial" w:hAnsi="Arial" w:cs="Arial"/>
        </w:rPr>
        <w:t>The analysis is based on a stock budget, cash budget and forecast profit and loss statement for the period July to December. The stock budget shows a steady increase in inventory levels, suggesting a potential build-up of stock. While adequate inventory supports sales across the company’s twelve retail stores, excessive stock may create working capital pressure and increase the risk of obsolescence.</w:t>
      </w:r>
    </w:p>
    <w:p w14:paraId="6B26D2A4" w14:textId="77777777" w:rsidR="00B27812" w:rsidRPr="00B27812" w:rsidRDefault="00B27812" w:rsidP="00B27812">
      <w:pPr>
        <w:spacing w:after="160" w:line="259" w:lineRule="auto"/>
        <w:rPr>
          <w:rFonts w:ascii="Arial" w:hAnsi="Arial" w:cs="Arial"/>
        </w:rPr>
      </w:pPr>
      <w:r w:rsidRPr="00B27812">
        <w:rPr>
          <w:rFonts w:ascii="Arial" w:hAnsi="Arial" w:cs="Arial"/>
        </w:rPr>
        <w:t>The cash budget highlights the company’s liquidity position. Silver Stitch Ltd begins the period with a £30,000 overdraft, which must be eliminated by December. Although forecast sales generate positive cash inflows, significant outflows such as inventory purchases, operating expenses, loan repayments, taxation and refurbishment costs may create short-term liquidity pressure.</w:t>
      </w:r>
    </w:p>
    <w:p w14:paraId="4B6BC654" w14:textId="77777777" w:rsidR="00B27812" w:rsidRPr="00B27812" w:rsidRDefault="00B27812" w:rsidP="00B27812">
      <w:pPr>
        <w:spacing w:after="160" w:line="259" w:lineRule="auto"/>
        <w:rPr>
          <w:rFonts w:ascii="Arial" w:hAnsi="Arial" w:cs="Arial"/>
        </w:rPr>
      </w:pPr>
      <w:r w:rsidRPr="00B27812">
        <w:rPr>
          <w:rFonts w:ascii="Arial" w:hAnsi="Arial" w:cs="Arial"/>
        </w:rPr>
        <w:t>The analysis therefore indicates that the key financial challenge facing the company is liquidity management rather than profitability. While the business is expected to remain profitable, effective working capital management will be required to eliminate the overdraft.</w:t>
      </w:r>
    </w:p>
    <w:p w14:paraId="00A45BF6" w14:textId="77777777" w:rsidR="00B27812" w:rsidRPr="00B27812" w:rsidRDefault="00B27812" w:rsidP="00B27812">
      <w:pPr>
        <w:spacing w:after="160" w:line="259" w:lineRule="auto"/>
        <w:rPr>
          <w:rFonts w:ascii="Arial" w:hAnsi="Arial" w:cs="Arial"/>
        </w:rPr>
      </w:pPr>
      <w:r w:rsidRPr="00B27812">
        <w:rPr>
          <w:rFonts w:ascii="Arial" w:hAnsi="Arial" w:cs="Arial"/>
        </w:rPr>
        <w:t>Management actions recommended include tighter inventory control, postponing non-essential capital expenditure and renegotiating supplier credit terms. The report also highlights limitations of traditional budgeting systems, particularly their lack of flexibility in dynamic business environments, suggesting that organisations may benefit from more adaptive approaches such as rolling forecasts.</w:t>
      </w:r>
    </w:p>
    <w:p w14:paraId="29413081" w14:textId="77777777" w:rsidR="00B27812" w:rsidRPr="00B27812" w:rsidRDefault="00B27812" w:rsidP="008C5DED">
      <w:pPr>
        <w:spacing w:after="160" w:line="259" w:lineRule="auto"/>
        <w:rPr>
          <w:rFonts w:ascii="Arial" w:hAnsi="Arial" w:cs="Arial"/>
        </w:rPr>
      </w:pPr>
    </w:p>
    <w:p w14:paraId="6504192B" w14:textId="77777777" w:rsidR="00C71CBC" w:rsidRDefault="00C71CBC" w:rsidP="008C5DED">
      <w:pPr>
        <w:spacing w:after="160" w:line="259" w:lineRule="auto"/>
        <w:rPr>
          <w:rFonts w:ascii="Arial" w:hAnsi="Arial" w:cs="Arial"/>
          <w:b/>
          <w:bCs/>
        </w:rPr>
      </w:pPr>
    </w:p>
    <w:p w14:paraId="4C1D5E78" w14:textId="77777777" w:rsidR="00C71CBC" w:rsidRDefault="00C71CBC" w:rsidP="008C5DED">
      <w:pPr>
        <w:spacing w:after="160" w:line="259" w:lineRule="auto"/>
        <w:rPr>
          <w:rFonts w:ascii="Arial" w:hAnsi="Arial" w:cs="Arial"/>
          <w:b/>
          <w:bCs/>
        </w:rPr>
      </w:pPr>
    </w:p>
    <w:p w14:paraId="7F05D772" w14:textId="77777777" w:rsidR="00B27812" w:rsidRDefault="00B27812" w:rsidP="008C5DED">
      <w:pPr>
        <w:spacing w:after="160" w:line="259" w:lineRule="auto"/>
        <w:rPr>
          <w:rFonts w:ascii="Arial" w:hAnsi="Arial" w:cs="Arial"/>
          <w:b/>
          <w:bCs/>
        </w:rPr>
      </w:pPr>
    </w:p>
    <w:p w14:paraId="5E0E4B56" w14:textId="77777777" w:rsidR="00B27812" w:rsidRDefault="00B27812" w:rsidP="008C5DED">
      <w:pPr>
        <w:spacing w:after="160" w:line="259" w:lineRule="auto"/>
        <w:rPr>
          <w:rFonts w:ascii="Arial" w:hAnsi="Arial" w:cs="Arial"/>
          <w:b/>
          <w:bCs/>
        </w:rPr>
      </w:pPr>
    </w:p>
    <w:p w14:paraId="2470BC60" w14:textId="77777777" w:rsidR="00B27812" w:rsidRDefault="00B27812" w:rsidP="008C5DED">
      <w:pPr>
        <w:spacing w:after="160" w:line="259" w:lineRule="auto"/>
        <w:rPr>
          <w:rFonts w:ascii="Arial" w:hAnsi="Arial" w:cs="Arial"/>
          <w:b/>
          <w:bCs/>
        </w:rPr>
      </w:pPr>
    </w:p>
    <w:p w14:paraId="1847DD0C" w14:textId="77777777" w:rsidR="00B27812" w:rsidRDefault="00B27812" w:rsidP="008C5DED">
      <w:pPr>
        <w:spacing w:after="160" w:line="259" w:lineRule="auto"/>
        <w:rPr>
          <w:rFonts w:ascii="Arial" w:hAnsi="Arial" w:cs="Arial"/>
          <w:b/>
          <w:bCs/>
        </w:rPr>
      </w:pPr>
    </w:p>
    <w:p w14:paraId="17E36B4A" w14:textId="77777777" w:rsidR="00B27812" w:rsidRDefault="00B27812" w:rsidP="008C5DED">
      <w:pPr>
        <w:spacing w:after="160" w:line="259" w:lineRule="auto"/>
        <w:rPr>
          <w:rFonts w:ascii="Arial" w:hAnsi="Arial" w:cs="Arial"/>
          <w:b/>
          <w:bCs/>
        </w:rPr>
      </w:pPr>
    </w:p>
    <w:p w14:paraId="7699A7FB" w14:textId="77777777" w:rsidR="00B27812" w:rsidRDefault="00B27812" w:rsidP="008C5DED">
      <w:pPr>
        <w:spacing w:after="160" w:line="259" w:lineRule="auto"/>
        <w:rPr>
          <w:rFonts w:ascii="Arial" w:hAnsi="Arial" w:cs="Arial"/>
          <w:b/>
          <w:bCs/>
        </w:rPr>
      </w:pPr>
    </w:p>
    <w:p w14:paraId="19010815" w14:textId="77777777" w:rsidR="005C5B65" w:rsidRDefault="005C5B65" w:rsidP="008C5DED">
      <w:pPr>
        <w:spacing w:after="160" w:line="259" w:lineRule="auto"/>
        <w:rPr>
          <w:rFonts w:ascii="Arial" w:hAnsi="Arial" w:cs="Arial"/>
          <w:b/>
          <w:bCs/>
        </w:rPr>
      </w:pPr>
    </w:p>
    <w:p w14:paraId="265E3EE1" w14:textId="77777777" w:rsidR="005C5B65" w:rsidRDefault="005C5B65" w:rsidP="008C5DED">
      <w:pPr>
        <w:spacing w:after="160" w:line="259" w:lineRule="auto"/>
        <w:rPr>
          <w:rFonts w:ascii="Arial" w:hAnsi="Arial" w:cs="Arial"/>
          <w:b/>
          <w:bCs/>
        </w:rPr>
      </w:pPr>
    </w:p>
    <w:p w14:paraId="2564882D" w14:textId="579FBE8E" w:rsidR="008C5DED" w:rsidRPr="00CF399E" w:rsidRDefault="00C71CBC" w:rsidP="006D3194">
      <w:pPr>
        <w:pStyle w:val="Heading1"/>
      </w:pPr>
      <w:bookmarkStart w:id="1" w:name="_Toc224757664"/>
      <w:r w:rsidRPr="005C5B65">
        <w:t>2</w:t>
      </w:r>
      <w:r w:rsidR="008C5DED" w:rsidRPr="00CF399E">
        <w:t>. Introduction</w:t>
      </w:r>
      <w:bookmarkEnd w:id="1"/>
      <w:r w:rsidR="008C5DED" w:rsidRPr="00CF399E">
        <w:t xml:space="preserve"> </w:t>
      </w:r>
    </w:p>
    <w:p w14:paraId="5847723B" w14:textId="77777777" w:rsidR="005C5B65" w:rsidRDefault="005C5B65" w:rsidP="008C5DED">
      <w:pPr>
        <w:spacing w:after="160" w:line="259" w:lineRule="auto"/>
        <w:rPr>
          <w:rFonts w:ascii="Arial" w:hAnsi="Arial" w:cs="Arial"/>
        </w:rPr>
      </w:pPr>
    </w:p>
    <w:p w14:paraId="1CC8FF11" w14:textId="089F09CB" w:rsidR="008C5DED" w:rsidRPr="00CF399E" w:rsidRDefault="008C5DED" w:rsidP="008C5DED">
      <w:pPr>
        <w:spacing w:after="160" w:line="259" w:lineRule="auto"/>
        <w:rPr>
          <w:rFonts w:ascii="Arial" w:hAnsi="Arial" w:cs="Arial"/>
        </w:rPr>
      </w:pPr>
      <w:r w:rsidRPr="00CF399E">
        <w:rPr>
          <w:rFonts w:ascii="Arial" w:hAnsi="Arial" w:cs="Arial"/>
        </w:rPr>
        <w:t>Budgeting is a fundamental component of management accounting and plays a crucial role in organisational planning, control and decision-making. A budget can be defined as a financial plan that outlines expected revenues, costs and resource allocations over a specified future period (Drury, 2018). Through the budgeting process, organisations translate strategic objectives into measurable financial targets that guide operational activities and enable performance evaluation. Budgetary control involves comparing actual results with budgeted figures and taking corrective actions where necessary (Horngren et al., 2014).</w:t>
      </w:r>
    </w:p>
    <w:p w14:paraId="65EDE50C" w14:textId="77777777" w:rsidR="008C5DED" w:rsidRPr="00CF399E" w:rsidRDefault="008C5DED" w:rsidP="008C5DED">
      <w:pPr>
        <w:spacing w:after="160" w:line="259" w:lineRule="auto"/>
        <w:rPr>
          <w:rFonts w:ascii="Arial" w:hAnsi="Arial" w:cs="Arial"/>
        </w:rPr>
      </w:pPr>
      <w:r w:rsidRPr="00CF399E">
        <w:rPr>
          <w:rFonts w:ascii="Arial" w:hAnsi="Arial" w:cs="Arial"/>
        </w:rPr>
        <w:t>Within modern organisations, budgeting provides several important benefits. First, it supports strategic planning by ensuring that financial resources are allocated in line with organisational objectives. Second, budgets help coordinate activities across departments, allowing managers to align sales, production, purchasing and marketing decisions (</w:t>
      </w:r>
      <w:proofErr w:type="spellStart"/>
      <w:r w:rsidRPr="00CF399E">
        <w:rPr>
          <w:rFonts w:ascii="Arial" w:hAnsi="Arial" w:cs="Arial"/>
        </w:rPr>
        <w:t>Atrill</w:t>
      </w:r>
      <w:proofErr w:type="spellEnd"/>
      <w:r w:rsidRPr="00CF399E">
        <w:rPr>
          <w:rFonts w:ascii="Arial" w:hAnsi="Arial" w:cs="Arial"/>
        </w:rPr>
        <w:t xml:space="preserve"> and McLaney, 2022). Third, budgets act as performance benchmarks, enabling management to monitor efficiency and identify areas where improvements may be required.</w:t>
      </w:r>
    </w:p>
    <w:p w14:paraId="7278EE33" w14:textId="77777777" w:rsidR="008C5DED" w:rsidRPr="00CF399E" w:rsidRDefault="008C5DED" w:rsidP="008C5DED">
      <w:pPr>
        <w:spacing w:after="160" w:line="259" w:lineRule="auto"/>
        <w:rPr>
          <w:rFonts w:ascii="Arial" w:hAnsi="Arial" w:cs="Arial"/>
        </w:rPr>
      </w:pPr>
      <w:r w:rsidRPr="00CF399E">
        <w:rPr>
          <w:rFonts w:ascii="Arial" w:hAnsi="Arial" w:cs="Arial"/>
        </w:rPr>
        <w:t xml:space="preserve">Budgeting also plays an important role in </w:t>
      </w:r>
      <w:r w:rsidRPr="00CF399E">
        <w:rPr>
          <w:rFonts w:ascii="Arial" w:eastAsiaTheme="majorEastAsia" w:hAnsi="Arial" w:cs="Arial"/>
        </w:rPr>
        <w:t>managerial decision-making</w:t>
      </w:r>
      <w:r w:rsidRPr="00CF399E">
        <w:rPr>
          <w:rFonts w:ascii="Arial" w:hAnsi="Arial" w:cs="Arial"/>
        </w:rPr>
        <w:t>. Financial forecasts provide information that managers use when evaluating investment opportunities, controlling operating costs and managing liquidity. In the context of accounting for decision making, budgets allow managers to anticipate financial outcomes and assess the potential impact of alternative strategies before implementing them (Kaplan and Atkinson, 2015). This forward-looking perspective enables organisations to manage risk and improve resource allocation.</w:t>
      </w:r>
    </w:p>
    <w:p w14:paraId="24570980" w14:textId="77777777" w:rsidR="008C5DED" w:rsidRPr="00CF399E" w:rsidRDefault="008C5DED" w:rsidP="008C5DED">
      <w:pPr>
        <w:spacing w:after="160" w:line="259" w:lineRule="auto"/>
        <w:rPr>
          <w:rFonts w:ascii="Arial" w:hAnsi="Arial" w:cs="Arial"/>
        </w:rPr>
      </w:pPr>
      <w:r w:rsidRPr="00CF399E">
        <w:rPr>
          <w:rFonts w:ascii="Arial" w:hAnsi="Arial" w:cs="Arial"/>
        </w:rPr>
        <w:t>Despite these advantages, traditional budgeting systems have increasingly been criticised in recent years. Many scholars argue that conventional annual budgets are often inflexible, time-consuming and heavily reliant on historical data (Hope and Fraser, 2003). In dynamic and competitive business environments, organisations may require more adaptable planning tools that allow them to respond quickly to changing market conditions. As a result, alternative approaches such as rolling forecasts, activity-based budgeting and beyond-budgeting frameworks have emerged as potential replacements or supplements to traditional budgeting practices (</w:t>
      </w:r>
      <w:proofErr w:type="spellStart"/>
      <w:r w:rsidRPr="00CF399E">
        <w:rPr>
          <w:rFonts w:ascii="Arial" w:hAnsi="Arial" w:cs="Arial"/>
        </w:rPr>
        <w:t>Bogsnes</w:t>
      </w:r>
      <w:proofErr w:type="spellEnd"/>
      <w:r w:rsidRPr="00CF399E">
        <w:rPr>
          <w:rFonts w:ascii="Arial" w:hAnsi="Arial" w:cs="Arial"/>
        </w:rPr>
        <w:t>, 2016).</w:t>
      </w:r>
    </w:p>
    <w:p w14:paraId="3A14276D" w14:textId="77777777" w:rsidR="008C5DED" w:rsidRPr="00CF399E" w:rsidRDefault="008C5DED" w:rsidP="008C5DED">
      <w:pPr>
        <w:spacing w:after="160" w:line="259" w:lineRule="auto"/>
        <w:rPr>
          <w:rFonts w:ascii="Arial" w:hAnsi="Arial" w:cs="Arial"/>
        </w:rPr>
      </w:pPr>
      <w:r w:rsidRPr="00CF399E">
        <w:rPr>
          <w:rFonts w:ascii="Arial" w:hAnsi="Arial" w:cs="Arial"/>
        </w:rPr>
        <w:t>Silver Stitch Ltd, a retailer operating twelve stores selling premium casual clothing, is currently facing financial pressures as it begins the planning period with an overdraft of £30,000. The bank has requested that this overdraft be eliminated by the end of December, requiring management to carefully review the company’s financial plans and operating budgets.</w:t>
      </w:r>
    </w:p>
    <w:p w14:paraId="31EA362B" w14:textId="77777777" w:rsidR="008C5DED" w:rsidRPr="00CF399E" w:rsidRDefault="008C5DED" w:rsidP="008C5DED">
      <w:pPr>
        <w:rPr>
          <w:rFonts w:ascii="Arial" w:hAnsi="Arial" w:cs="Arial"/>
        </w:rPr>
      </w:pPr>
    </w:p>
    <w:p w14:paraId="158AAB6A" w14:textId="77777777" w:rsidR="008C5DED" w:rsidRPr="00CF399E" w:rsidRDefault="008C5DED" w:rsidP="008C5DED">
      <w:pPr>
        <w:rPr>
          <w:rFonts w:ascii="Arial" w:hAnsi="Arial" w:cs="Arial"/>
        </w:rPr>
      </w:pPr>
    </w:p>
    <w:p w14:paraId="152D728E" w14:textId="77777777" w:rsidR="008C5DED" w:rsidRPr="00CF399E" w:rsidRDefault="008C5DED" w:rsidP="008C5DED">
      <w:pPr>
        <w:rPr>
          <w:rFonts w:ascii="Arial" w:hAnsi="Arial" w:cs="Arial"/>
        </w:rPr>
      </w:pPr>
    </w:p>
    <w:p w14:paraId="6A5DC215" w14:textId="77777777" w:rsidR="008C5DED" w:rsidRPr="00CF399E" w:rsidRDefault="008C5DED" w:rsidP="008C5DED">
      <w:pPr>
        <w:rPr>
          <w:rFonts w:ascii="Arial" w:hAnsi="Arial" w:cs="Arial"/>
        </w:rPr>
      </w:pPr>
    </w:p>
    <w:p w14:paraId="1DF05127" w14:textId="77777777" w:rsidR="00C71CBC" w:rsidRPr="00CF399E" w:rsidRDefault="00C71CBC" w:rsidP="008C5DED">
      <w:pPr>
        <w:spacing w:after="160" w:line="259" w:lineRule="auto"/>
        <w:rPr>
          <w:rFonts w:ascii="Arial" w:hAnsi="Arial" w:cs="Arial"/>
        </w:rPr>
      </w:pPr>
    </w:p>
    <w:p w14:paraId="0EF218C1" w14:textId="77777777" w:rsidR="00C71CBC" w:rsidRPr="00CF399E" w:rsidRDefault="00C71CBC" w:rsidP="008C5DED">
      <w:pPr>
        <w:spacing w:after="160" w:line="259" w:lineRule="auto"/>
        <w:rPr>
          <w:rFonts w:ascii="Arial" w:hAnsi="Arial" w:cs="Arial"/>
        </w:rPr>
      </w:pPr>
    </w:p>
    <w:p w14:paraId="534BD309" w14:textId="2765FEF1" w:rsidR="008C5DED" w:rsidRPr="00CF399E" w:rsidRDefault="008C5DED" w:rsidP="006D3194">
      <w:pPr>
        <w:pStyle w:val="Heading1"/>
      </w:pPr>
      <w:bookmarkStart w:id="2" w:name="_Toc224757665"/>
      <w:r w:rsidRPr="00CF399E">
        <w:t>SECTION A – FINANCIAL ANALYSIS</w:t>
      </w:r>
      <w:bookmarkEnd w:id="2"/>
    </w:p>
    <w:p w14:paraId="1EEBF4B6" w14:textId="77777777" w:rsidR="008C5DED" w:rsidRPr="00CF399E" w:rsidRDefault="008C5DED" w:rsidP="006D3194">
      <w:pPr>
        <w:pStyle w:val="Heading1"/>
      </w:pPr>
      <w:bookmarkStart w:id="3" w:name="_Toc224757666"/>
      <w:r w:rsidRPr="00CF399E">
        <w:t>3. Preparation of Budgets</w:t>
      </w:r>
      <w:bookmarkEnd w:id="3"/>
    </w:p>
    <w:p w14:paraId="5D17A7EE" w14:textId="77777777" w:rsidR="008C5DED" w:rsidRPr="00CF399E" w:rsidRDefault="008C5DED" w:rsidP="006D3194">
      <w:pPr>
        <w:pStyle w:val="Heading1"/>
      </w:pPr>
      <w:bookmarkStart w:id="4" w:name="_Toc224757667"/>
      <w:r w:rsidRPr="00CF399E">
        <w:t>3.1 Stock Budget</w:t>
      </w:r>
      <w:bookmarkEnd w:id="4"/>
    </w:p>
    <w:p w14:paraId="6F92500B" w14:textId="77777777" w:rsidR="008C5DED" w:rsidRPr="00CF399E" w:rsidRDefault="008C5DED" w:rsidP="008C5DED">
      <w:pPr>
        <w:spacing w:after="160" w:line="259" w:lineRule="auto"/>
        <w:rPr>
          <w:rFonts w:ascii="Arial" w:hAnsi="Arial" w:cs="Arial"/>
        </w:rPr>
      </w:pPr>
      <w:r w:rsidRPr="00CF399E">
        <w:rPr>
          <w:rFonts w:ascii="Arial" w:hAnsi="Arial" w:cs="Arial"/>
        </w:rPr>
        <w:t>Inventory management is a critical aspect of financial planning for retail organisations. A stock budget estimates the level of inventory that a business needs to purchase and maintain in order to meet expected sales demand while avoiding stock shortages or excessive inventory accumulation (Drury, 2018). For Silver Stitch Ltd, the stock budget is particularly important because the business operates multiple retail outlets selling fashion clothing, where product availability directly influences sales performance.</w:t>
      </w:r>
    </w:p>
    <w:p w14:paraId="5B159621" w14:textId="77777777" w:rsidR="008C5DED" w:rsidRPr="00CF399E" w:rsidRDefault="008C5DED" w:rsidP="008C5DED">
      <w:pPr>
        <w:spacing w:after="160" w:line="259" w:lineRule="auto"/>
        <w:rPr>
          <w:rFonts w:ascii="Arial" w:hAnsi="Arial" w:cs="Arial"/>
        </w:rPr>
      </w:pPr>
      <w:r w:rsidRPr="00CF399E">
        <w:rPr>
          <w:rFonts w:ascii="Arial" w:hAnsi="Arial" w:cs="Arial"/>
        </w:rPr>
        <w:t xml:space="preserve">The preparation of the stock budget begins with the calculation of the </w:t>
      </w:r>
      <w:r w:rsidRPr="00CF399E">
        <w:rPr>
          <w:rFonts w:ascii="Arial" w:eastAsiaTheme="majorEastAsia" w:hAnsi="Arial" w:cs="Arial"/>
        </w:rPr>
        <w:t>cost of sales</w:t>
      </w:r>
      <w:r w:rsidRPr="00CF399E">
        <w:rPr>
          <w:rFonts w:ascii="Arial" w:hAnsi="Arial" w:cs="Arial"/>
        </w:rPr>
        <w:t xml:space="preserve">, which is derived from the gross profit margin. The company operates with a </w:t>
      </w:r>
      <w:r w:rsidRPr="00CF399E">
        <w:rPr>
          <w:rFonts w:ascii="Arial" w:eastAsiaTheme="majorEastAsia" w:hAnsi="Arial" w:cs="Arial"/>
        </w:rPr>
        <w:t>gross profit margin of 40%</w:t>
      </w:r>
      <w:r w:rsidRPr="00CF399E">
        <w:rPr>
          <w:rFonts w:ascii="Arial" w:hAnsi="Arial" w:cs="Arial"/>
        </w:rPr>
        <w:t xml:space="preserve">, meaning that the cost of goods sold represents </w:t>
      </w:r>
      <w:r w:rsidRPr="00CF399E">
        <w:rPr>
          <w:rFonts w:ascii="Arial" w:eastAsiaTheme="majorEastAsia" w:hAnsi="Arial" w:cs="Arial"/>
        </w:rPr>
        <w:t>60% of sales revenue</w:t>
      </w:r>
      <w:r w:rsidRPr="00CF399E">
        <w:rPr>
          <w:rFonts w:ascii="Arial" w:hAnsi="Arial" w:cs="Arial"/>
        </w:rPr>
        <w:t>. This relationship allows management to estimate the cost of inventory required to support forecast sales levels. By applying this percentage to the projected sales figures for each month, the estimated cost of goods sold can be determined.</w:t>
      </w:r>
    </w:p>
    <w:p w14:paraId="662D4BA0" w14:textId="77777777" w:rsidR="008C5DED" w:rsidRPr="00CF399E" w:rsidRDefault="008C5DED" w:rsidP="008C5DED">
      <w:pPr>
        <w:rPr>
          <w:rFonts w:ascii="Arial" w:hAnsi="Arial" w:cs="Arial"/>
        </w:rPr>
      </w:pPr>
      <w:r w:rsidRPr="00CF399E">
        <w:rPr>
          <w:rFonts w:ascii="Arial" w:hAnsi="Arial" w:cs="Arial"/>
        </w:rPr>
        <w:t xml:space="preserve">The stock budget also incorporates the company’s opening stock balance and the minimum stock level that management wishes to maintain. Silver Stitch Ltd began the period with </w:t>
      </w:r>
      <w:r w:rsidRPr="00CF399E">
        <w:rPr>
          <w:rFonts w:ascii="Arial" w:eastAsiaTheme="majorEastAsia" w:hAnsi="Arial" w:cs="Arial"/>
        </w:rPr>
        <w:t>opening stock of £100,000</w:t>
      </w:r>
      <w:r w:rsidRPr="00CF399E">
        <w:rPr>
          <w:rFonts w:ascii="Arial" w:hAnsi="Arial" w:cs="Arial"/>
        </w:rPr>
        <w:t xml:space="preserve"> and aims to maintain a </w:t>
      </w:r>
      <w:r w:rsidRPr="00CF399E">
        <w:rPr>
          <w:rFonts w:ascii="Arial" w:eastAsiaTheme="majorEastAsia" w:hAnsi="Arial" w:cs="Arial"/>
        </w:rPr>
        <w:t>minimum stock level of £50,000</w:t>
      </w:r>
      <w:r w:rsidRPr="00CF399E">
        <w:rPr>
          <w:rFonts w:ascii="Arial" w:hAnsi="Arial" w:cs="Arial"/>
        </w:rPr>
        <w:t xml:space="preserve"> to ensure that stores can satisfy customer demand. Maintaining adequate stock levels is essential for retailers, as stock shortages can lead to lost sales and dissatisfied customers (</w:t>
      </w:r>
      <w:proofErr w:type="spellStart"/>
      <w:r w:rsidRPr="00CF399E">
        <w:rPr>
          <w:rFonts w:ascii="Arial" w:hAnsi="Arial" w:cs="Arial"/>
        </w:rPr>
        <w:t>Atrill</w:t>
      </w:r>
      <w:proofErr w:type="spellEnd"/>
      <w:r w:rsidRPr="00CF399E">
        <w:rPr>
          <w:rFonts w:ascii="Arial" w:hAnsi="Arial" w:cs="Arial"/>
        </w:rPr>
        <w:t xml:space="preserve"> and McLaney, 2022).</w:t>
      </w:r>
    </w:p>
    <w:p w14:paraId="2B20D558" w14:textId="1A5F1A59" w:rsidR="008C5DED" w:rsidRPr="00CF399E" w:rsidRDefault="008C5DED" w:rsidP="008C5DED">
      <w:pPr>
        <w:spacing w:after="160" w:line="259" w:lineRule="auto"/>
        <w:rPr>
          <w:rFonts w:ascii="Arial" w:hAnsi="Arial" w:cs="Arial"/>
        </w:rPr>
      </w:pPr>
      <w:r w:rsidRPr="00CF399E">
        <w:rPr>
          <w:rFonts w:ascii="Arial" w:hAnsi="Arial" w:cs="Arial"/>
        </w:rPr>
        <w:t>Using the standard stock budgeting formula:</w:t>
      </w:r>
      <w:r w:rsidR="00C31200" w:rsidRPr="00CF399E">
        <w:rPr>
          <w:rFonts w:ascii="Arial" w:hAnsi="Arial" w:cs="Arial"/>
        </w:rPr>
        <w:t xml:space="preserve"> “</w:t>
      </w:r>
      <w:r w:rsidRPr="00CF399E">
        <w:rPr>
          <w:rFonts w:ascii="Arial" w:hAnsi="Arial" w:cs="Arial"/>
        </w:rPr>
        <w:t>Opening Stock + Purchases – Cost of Sales = Closing Stock</w:t>
      </w:r>
      <w:r w:rsidR="00C31200" w:rsidRPr="00CF399E">
        <w:rPr>
          <w:rFonts w:ascii="Arial" w:hAnsi="Arial" w:cs="Arial"/>
        </w:rPr>
        <w:t xml:space="preserve">”  </w:t>
      </w:r>
      <w:r w:rsidRPr="00CF399E">
        <w:rPr>
          <w:rFonts w:ascii="Arial" w:hAnsi="Arial" w:cs="Arial"/>
        </w:rPr>
        <w:t>management can determine the expected closing inventory for each month. This calculation ensures that sufficient inventory is available to meet sales demand while also allowing the company to monitor how much capital is tied up in stock.</w:t>
      </w:r>
    </w:p>
    <w:p w14:paraId="154C7097" w14:textId="77777777" w:rsidR="00CF399E" w:rsidRDefault="00CF399E" w:rsidP="008C5DED">
      <w:pPr>
        <w:spacing w:after="160" w:line="259" w:lineRule="auto"/>
        <w:rPr>
          <w:rFonts w:ascii="Arial" w:hAnsi="Arial" w:cs="Arial"/>
        </w:rPr>
      </w:pPr>
    </w:p>
    <w:p w14:paraId="6EC74F47" w14:textId="77777777" w:rsidR="00CF399E" w:rsidRDefault="00CF399E" w:rsidP="008C5DED">
      <w:pPr>
        <w:spacing w:after="160" w:line="259" w:lineRule="auto"/>
        <w:rPr>
          <w:rFonts w:ascii="Arial" w:hAnsi="Arial" w:cs="Arial"/>
        </w:rPr>
      </w:pPr>
    </w:p>
    <w:p w14:paraId="4BD6AC2E" w14:textId="77777777" w:rsidR="005C5B65" w:rsidRDefault="005C5B65" w:rsidP="008C5DED">
      <w:pPr>
        <w:spacing w:after="160" w:line="259" w:lineRule="auto"/>
        <w:rPr>
          <w:rFonts w:ascii="Arial" w:hAnsi="Arial" w:cs="Arial"/>
        </w:rPr>
      </w:pPr>
    </w:p>
    <w:p w14:paraId="3F0D623C" w14:textId="77777777" w:rsidR="005C5B65" w:rsidRDefault="005C5B65" w:rsidP="008C5DED">
      <w:pPr>
        <w:spacing w:after="160" w:line="259" w:lineRule="auto"/>
        <w:rPr>
          <w:rFonts w:ascii="Arial" w:hAnsi="Arial" w:cs="Arial"/>
        </w:rPr>
      </w:pPr>
    </w:p>
    <w:p w14:paraId="31FF7EB2" w14:textId="77777777" w:rsidR="005C5B65" w:rsidRDefault="005C5B65" w:rsidP="008C5DED">
      <w:pPr>
        <w:spacing w:after="160" w:line="259" w:lineRule="auto"/>
        <w:rPr>
          <w:rFonts w:ascii="Arial" w:hAnsi="Arial" w:cs="Arial"/>
        </w:rPr>
      </w:pPr>
    </w:p>
    <w:p w14:paraId="3A2DC077" w14:textId="77777777" w:rsidR="005C5B65" w:rsidRDefault="005C5B65" w:rsidP="008C5DED">
      <w:pPr>
        <w:spacing w:after="160" w:line="259" w:lineRule="auto"/>
        <w:rPr>
          <w:rFonts w:ascii="Arial" w:hAnsi="Arial" w:cs="Arial"/>
        </w:rPr>
      </w:pPr>
    </w:p>
    <w:p w14:paraId="3967855D" w14:textId="77777777" w:rsidR="005C5B65" w:rsidRDefault="005C5B65" w:rsidP="008C5DED">
      <w:pPr>
        <w:spacing w:after="160" w:line="259" w:lineRule="auto"/>
        <w:rPr>
          <w:rFonts w:ascii="Arial" w:hAnsi="Arial" w:cs="Arial"/>
        </w:rPr>
      </w:pPr>
    </w:p>
    <w:p w14:paraId="291FB2EF" w14:textId="77777777" w:rsidR="005C5B65" w:rsidRDefault="005C5B65" w:rsidP="008C5DED">
      <w:pPr>
        <w:spacing w:after="160" w:line="259" w:lineRule="auto"/>
        <w:rPr>
          <w:rFonts w:ascii="Arial" w:hAnsi="Arial" w:cs="Arial"/>
        </w:rPr>
      </w:pPr>
    </w:p>
    <w:p w14:paraId="332911C2" w14:textId="77777777" w:rsidR="005C5B65" w:rsidRDefault="005C5B65" w:rsidP="008C5DED">
      <w:pPr>
        <w:spacing w:after="160" w:line="259" w:lineRule="auto"/>
        <w:rPr>
          <w:rFonts w:ascii="Arial" w:hAnsi="Arial" w:cs="Arial"/>
        </w:rPr>
      </w:pPr>
    </w:p>
    <w:p w14:paraId="25A55D9F" w14:textId="30880F7F" w:rsidR="008C5DED" w:rsidRPr="00CF399E" w:rsidRDefault="008C5DED" w:rsidP="008C5DED">
      <w:pPr>
        <w:spacing w:after="160" w:line="259" w:lineRule="auto"/>
        <w:rPr>
          <w:rFonts w:ascii="Arial" w:hAnsi="Arial" w:cs="Arial"/>
        </w:rPr>
      </w:pPr>
      <w:r w:rsidRPr="00CF399E">
        <w:rPr>
          <w:rFonts w:ascii="Arial" w:hAnsi="Arial" w:cs="Arial"/>
        </w:rPr>
        <w:t>Stock Budget Table (£000)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
        <w:gridCol w:w="1635"/>
        <w:gridCol w:w="1194"/>
        <w:gridCol w:w="2195"/>
        <w:gridCol w:w="1543"/>
      </w:tblGrid>
      <w:tr w:rsidR="008C5DED" w:rsidRPr="00CF399E" w14:paraId="13098B47" w14:textId="77777777">
        <w:trPr>
          <w:tblHeader/>
          <w:tblCellSpacing w:w="15" w:type="dxa"/>
        </w:trPr>
        <w:tc>
          <w:tcPr>
            <w:tcW w:w="0" w:type="auto"/>
            <w:vAlign w:val="center"/>
            <w:hideMark/>
          </w:tcPr>
          <w:p w14:paraId="54056FA2" w14:textId="77777777" w:rsidR="008C5DED" w:rsidRPr="00CF399E" w:rsidRDefault="008C5DED" w:rsidP="008C5DED">
            <w:pPr>
              <w:spacing w:after="160" w:line="259" w:lineRule="auto"/>
              <w:rPr>
                <w:rFonts w:ascii="Arial" w:hAnsi="Arial" w:cs="Arial"/>
              </w:rPr>
            </w:pPr>
            <w:r w:rsidRPr="00CF399E">
              <w:rPr>
                <w:rFonts w:ascii="Arial" w:hAnsi="Arial" w:cs="Arial"/>
              </w:rPr>
              <w:t>Month</w:t>
            </w:r>
          </w:p>
        </w:tc>
        <w:tc>
          <w:tcPr>
            <w:tcW w:w="0" w:type="auto"/>
            <w:vAlign w:val="center"/>
            <w:hideMark/>
          </w:tcPr>
          <w:p w14:paraId="6F986FA4" w14:textId="77777777" w:rsidR="008C5DED" w:rsidRPr="00CF399E" w:rsidRDefault="008C5DED" w:rsidP="008C5DED">
            <w:pPr>
              <w:spacing w:after="160" w:line="259" w:lineRule="auto"/>
              <w:rPr>
                <w:rFonts w:ascii="Arial" w:hAnsi="Arial" w:cs="Arial"/>
              </w:rPr>
            </w:pPr>
            <w:r w:rsidRPr="00CF399E">
              <w:rPr>
                <w:rFonts w:ascii="Arial" w:hAnsi="Arial" w:cs="Arial"/>
              </w:rPr>
              <w:t>Opening Stock</w:t>
            </w:r>
          </w:p>
        </w:tc>
        <w:tc>
          <w:tcPr>
            <w:tcW w:w="0" w:type="auto"/>
            <w:vAlign w:val="center"/>
            <w:hideMark/>
          </w:tcPr>
          <w:p w14:paraId="45FFE5F5" w14:textId="77777777" w:rsidR="008C5DED" w:rsidRPr="00CF399E" w:rsidRDefault="008C5DED" w:rsidP="008C5DED">
            <w:pPr>
              <w:spacing w:after="160" w:line="259" w:lineRule="auto"/>
              <w:rPr>
                <w:rFonts w:ascii="Arial" w:hAnsi="Arial" w:cs="Arial"/>
              </w:rPr>
            </w:pPr>
            <w:r w:rsidRPr="00CF399E">
              <w:rPr>
                <w:rFonts w:ascii="Arial" w:hAnsi="Arial" w:cs="Arial"/>
              </w:rPr>
              <w:t>Purchases</w:t>
            </w:r>
          </w:p>
        </w:tc>
        <w:tc>
          <w:tcPr>
            <w:tcW w:w="0" w:type="auto"/>
            <w:vAlign w:val="center"/>
            <w:hideMark/>
          </w:tcPr>
          <w:p w14:paraId="0525B9C1" w14:textId="77777777" w:rsidR="008C5DED" w:rsidRPr="00CF399E" w:rsidRDefault="008C5DED" w:rsidP="008C5DED">
            <w:pPr>
              <w:spacing w:after="160" w:line="259" w:lineRule="auto"/>
              <w:rPr>
                <w:rFonts w:ascii="Arial" w:hAnsi="Arial" w:cs="Arial"/>
              </w:rPr>
            </w:pPr>
            <w:r w:rsidRPr="00CF399E">
              <w:rPr>
                <w:rFonts w:ascii="Arial" w:hAnsi="Arial" w:cs="Arial"/>
              </w:rPr>
              <w:t>Cost of Sales (60%)</w:t>
            </w:r>
          </w:p>
        </w:tc>
        <w:tc>
          <w:tcPr>
            <w:tcW w:w="0" w:type="auto"/>
            <w:vAlign w:val="center"/>
            <w:hideMark/>
          </w:tcPr>
          <w:p w14:paraId="1353DB1C" w14:textId="77777777" w:rsidR="008C5DED" w:rsidRPr="00CF399E" w:rsidRDefault="008C5DED" w:rsidP="008C5DED">
            <w:pPr>
              <w:spacing w:after="160" w:line="259" w:lineRule="auto"/>
              <w:rPr>
                <w:rFonts w:ascii="Arial" w:hAnsi="Arial" w:cs="Arial"/>
              </w:rPr>
            </w:pPr>
            <w:r w:rsidRPr="00CF399E">
              <w:rPr>
                <w:rFonts w:ascii="Arial" w:hAnsi="Arial" w:cs="Arial"/>
              </w:rPr>
              <w:t>Closing Stock</w:t>
            </w:r>
          </w:p>
        </w:tc>
      </w:tr>
      <w:tr w:rsidR="008C5DED" w:rsidRPr="00CF399E" w14:paraId="4E8B4B4E" w14:textId="77777777">
        <w:trPr>
          <w:tblCellSpacing w:w="15" w:type="dxa"/>
        </w:trPr>
        <w:tc>
          <w:tcPr>
            <w:tcW w:w="0" w:type="auto"/>
            <w:vAlign w:val="center"/>
            <w:hideMark/>
          </w:tcPr>
          <w:p w14:paraId="7030EEEB" w14:textId="77777777" w:rsidR="008C5DED" w:rsidRPr="00CF399E" w:rsidRDefault="008C5DED" w:rsidP="008C5DED">
            <w:pPr>
              <w:spacing w:after="160" w:line="259" w:lineRule="auto"/>
              <w:rPr>
                <w:rFonts w:ascii="Arial" w:hAnsi="Arial" w:cs="Arial"/>
              </w:rPr>
            </w:pPr>
            <w:r w:rsidRPr="00CF399E">
              <w:rPr>
                <w:rFonts w:ascii="Arial" w:hAnsi="Arial" w:cs="Arial"/>
              </w:rPr>
              <w:t>July</w:t>
            </w:r>
          </w:p>
        </w:tc>
        <w:tc>
          <w:tcPr>
            <w:tcW w:w="0" w:type="auto"/>
            <w:vAlign w:val="center"/>
            <w:hideMark/>
          </w:tcPr>
          <w:p w14:paraId="204A9C31" w14:textId="77777777" w:rsidR="008C5DED" w:rsidRPr="00CF399E" w:rsidRDefault="008C5DED" w:rsidP="008C5DED">
            <w:pPr>
              <w:spacing w:after="160" w:line="259" w:lineRule="auto"/>
              <w:rPr>
                <w:rFonts w:ascii="Arial" w:hAnsi="Arial" w:cs="Arial"/>
              </w:rPr>
            </w:pPr>
            <w:r w:rsidRPr="00CF399E">
              <w:rPr>
                <w:rFonts w:ascii="Arial" w:hAnsi="Arial" w:cs="Arial"/>
              </w:rPr>
              <w:t>100</w:t>
            </w:r>
          </w:p>
        </w:tc>
        <w:tc>
          <w:tcPr>
            <w:tcW w:w="0" w:type="auto"/>
            <w:vAlign w:val="center"/>
            <w:hideMark/>
          </w:tcPr>
          <w:p w14:paraId="6956D027" w14:textId="77777777" w:rsidR="008C5DED" w:rsidRPr="00CF399E" w:rsidRDefault="008C5DED" w:rsidP="008C5DED">
            <w:pPr>
              <w:spacing w:after="160" w:line="259" w:lineRule="auto"/>
              <w:rPr>
                <w:rFonts w:ascii="Arial" w:hAnsi="Arial" w:cs="Arial"/>
              </w:rPr>
            </w:pPr>
            <w:r w:rsidRPr="00CF399E">
              <w:rPr>
                <w:rFonts w:ascii="Arial" w:hAnsi="Arial" w:cs="Arial"/>
              </w:rPr>
              <w:t>180</w:t>
            </w:r>
          </w:p>
        </w:tc>
        <w:tc>
          <w:tcPr>
            <w:tcW w:w="0" w:type="auto"/>
            <w:vAlign w:val="center"/>
            <w:hideMark/>
          </w:tcPr>
          <w:p w14:paraId="427C4587" w14:textId="77777777" w:rsidR="008C5DED" w:rsidRPr="00CF399E" w:rsidRDefault="008C5DED" w:rsidP="008C5DED">
            <w:pPr>
              <w:spacing w:after="160" w:line="259" w:lineRule="auto"/>
              <w:rPr>
                <w:rFonts w:ascii="Arial" w:hAnsi="Arial" w:cs="Arial"/>
              </w:rPr>
            </w:pPr>
            <w:r w:rsidRPr="00CF399E">
              <w:rPr>
                <w:rFonts w:ascii="Arial" w:hAnsi="Arial" w:cs="Arial"/>
              </w:rPr>
              <w:t>126</w:t>
            </w:r>
          </w:p>
        </w:tc>
        <w:tc>
          <w:tcPr>
            <w:tcW w:w="0" w:type="auto"/>
            <w:vAlign w:val="center"/>
            <w:hideMark/>
          </w:tcPr>
          <w:p w14:paraId="34843252" w14:textId="77777777" w:rsidR="008C5DED" w:rsidRPr="00CF399E" w:rsidRDefault="008C5DED" w:rsidP="008C5DED">
            <w:pPr>
              <w:spacing w:after="160" w:line="259" w:lineRule="auto"/>
              <w:rPr>
                <w:rFonts w:ascii="Arial" w:hAnsi="Arial" w:cs="Arial"/>
              </w:rPr>
            </w:pPr>
            <w:r w:rsidRPr="00CF399E">
              <w:rPr>
                <w:rFonts w:ascii="Arial" w:hAnsi="Arial" w:cs="Arial"/>
              </w:rPr>
              <w:t>154</w:t>
            </w:r>
          </w:p>
        </w:tc>
      </w:tr>
      <w:tr w:rsidR="008C5DED" w:rsidRPr="00CF399E" w14:paraId="3FA2282E" w14:textId="77777777">
        <w:trPr>
          <w:tblCellSpacing w:w="15" w:type="dxa"/>
        </w:trPr>
        <w:tc>
          <w:tcPr>
            <w:tcW w:w="0" w:type="auto"/>
            <w:vAlign w:val="center"/>
            <w:hideMark/>
          </w:tcPr>
          <w:p w14:paraId="50D4CF2B" w14:textId="77777777" w:rsidR="008C5DED" w:rsidRPr="00CF399E" w:rsidRDefault="008C5DED" w:rsidP="008C5DED">
            <w:pPr>
              <w:spacing w:after="160" w:line="259" w:lineRule="auto"/>
              <w:rPr>
                <w:rFonts w:ascii="Arial" w:hAnsi="Arial" w:cs="Arial"/>
              </w:rPr>
            </w:pPr>
            <w:r w:rsidRPr="00CF399E">
              <w:rPr>
                <w:rFonts w:ascii="Arial" w:hAnsi="Arial" w:cs="Arial"/>
              </w:rPr>
              <w:t>Aug</w:t>
            </w:r>
          </w:p>
        </w:tc>
        <w:tc>
          <w:tcPr>
            <w:tcW w:w="0" w:type="auto"/>
            <w:vAlign w:val="center"/>
            <w:hideMark/>
          </w:tcPr>
          <w:p w14:paraId="0F1C8AAD" w14:textId="77777777" w:rsidR="008C5DED" w:rsidRPr="00CF399E" w:rsidRDefault="008C5DED" w:rsidP="008C5DED">
            <w:pPr>
              <w:spacing w:after="160" w:line="259" w:lineRule="auto"/>
              <w:rPr>
                <w:rFonts w:ascii="Arial" w:hAnsi="Arial" w:cs="Arial"/>
              </w:rPr>
            </w:pPr>
            <w:r w:rsidRPr="00CF399E">
              <w:rPr>
                <w:rFonts w:ascii="Arial" w:hAnsi="Arial" w:cs="Arial"/>
              </w:rPr>
              <w:t>154</w:t>
            </w:r>
          </w:p>
        </w:tc>
        <w:tc>
          <w:tcPr>
            <w:tcW w:w="0" w:type="auto"/>
            <w:vAlign w:val="center"/>
            <w:hideMark/>
          </w:tcPr>
          <w:p w14:paraId="5500D175" w14:textId="77777777" w:rsidR="008C5DED" w:rsidRPr="00CF399E" w:rsidRDefault="008C5DED" w:rsidP="008C5DED">
            <w:pPr>
              <w:spacing w:after="160" w:line="259" w:lineRule="auto"/>
              <w:rPr>
                <w:rFonts w:ascii="Arial" w:hAnsi="Arial" w:cs="Arial"/>
              </w:rPr>
            </w:pPr>
            <w:r w:rsidRPr="00CF399E">
              <w:rPr>
                <w:rFonts w:ascii="Arial" w:hAnsi="Arial" w:cs="Arial"/>
              </w:rPr>
              <w:t>170</w:t>
            </w:r>
          </w:p>
        </w:tc>
        <w:tc>
          <w:tcPr>
            <w:tcW w:w="0" w:type="auto"/>
            <w:vAlign w:val="center"/>
            <w:hideMark/>
          </w:tcPr>
          <w:p w14:paraId="1B7061B4" w14:textId="77777777" w:rsidR="008C5DED" w:rsidRPr="00CF399E" w:rsidRDefault="008C5DED" w:rsidP="008C5DED">
            <w:pPr>
              <w:spacing w:after="160" w:line="259" w:lineRule="auto"/>
              <w:rPr>
                <w:rFonts w:ascii="Arial" w:hAnsi="Arial" w:cs="Arial"/>
              </w:rPr>
            </w:pPr>
            <w:r w:rsidRPr="00CF399E">
              <w:rPr>
                <w:rFonts w:ascii="Arial" w:hAnsi="Arial" w:cs="Arial"/>
              </w:rPr>
              <w:t>138</w:t>
            </w:r>
          </w:p>
        </w:tc>
        <w:tc>
          <w:tcPr>
            <w:tcW w:w="0" w:type="auto"/>
            <w:vAlign w:val="center"/>
            <w:hideMark/>
          </w:tcPr>
          <w:p w14:paraId="4160F4F5" w14:textId="77777777" w:rsidR="008C5DED" w:rsidRPr="00CF399E" w:rsidRDefault="008C5DED" w:rsidP="008C5DED">
            <w:pPr>
              <w:spacing w:after="160" w:line="259" w:lineRule="auto"/>
              <w:rPr>
                <w:rFonts w:ascii="Arial" w:hAnsi="Arial" w:cs="Arial"/>
              </w:rPr>
            </w:pPr>
            <w:r w:rsidRPr="00CF399E">
              <w:rPr>
                <w:rFonts w:ascii="Arial" w:hAnsi="Arial" w:cs="Arial"/>
              </w:rPr>
              <w:t>186</w:t>
            </w:r>
          </w:p>
        </w:tc>
      </w:tr>
      <w:tr w:rsidR="008C5DED" w:rsidRPr="00CF399E" w14:paraId="011ED73D" w14:textId="77777777">
        <w:trPr>
          <w:tblCellSpacing w:w="15" w:type="dxa"/>
        </w:trPr>
        <w:tc>
          <w:tcPr>
            <w:tcW w:w="0" w:type="auto"/>
            <w:vAlign w:val="center"/>
            <w:hideMark/>
          </w:tcPr>
          <w:p w14:paraId="4AEC49FF" w14:textId="77777777" w:rsidR="008C5DED" w:rsidRPr="00CF399E" w:rsidRDefault="008C5DED" w:rsidP="008C5DED">
            <w:pPr>
              <w:spacing w:after="160" w:line="259" w:lineRule="auto"/>
              <w:rPr>
                <w:rFonts w:ascii="Arial" w:hAnsi="Arial" w:cs="Arial"/>
              </w:rPr>
            </w:pPr>
            <w:r w:rsidRPr="00CF399E">
              <w:rPr>
                <w:rFonts w:ascii="Arial" w:hAnsi="Arial" w:cs="Arial"/>
              </w:rPr>
              <w:t>Sept</w:t>
            </w:r>
          </w:p>
        </w:tc>
        <w:tc>
          <w:tcPr>
            <w:tcW w:w="0" w:type="auto"/>
            <w:vAlign w:val="center"/>
            <w:hideMark/>
          </w:tcPr>
          <w:p w14:paraId="65DF9AF2" w14:textId="77777777" w:rsidR="008C5DED" w:rsidRPr="00CF399E" w:rsidRDefault="008C5DED" w:rsidP="008C5DED">
            <w:pPr>
              <w:spacing w:after="160" w:line="259" w:lineRule="auto"/>
              <w:rPr>
                <w:rFonts w:ascii="Arial" w:hAnsi="Arial" w:cs="Arial"/>
              </w:rPr>
            </w:pPr>
            <w:r w:rsidRPr="00CF399E">
              <w:rPr>
                <w:rFonts w:ascii="Arial" w:hAnsi="Arial" w:cs="Arial"/>
              </w:rPr>
              <w:t>186</w:t>
            </w:r>
          </w:p>
        </w:tc>
        <w:tc>
          <w:tcPr>
            <w:tcW w:w="0" w:type="auto"/>
            <w:vAlign w:val="center"/>
            <w:hideMark/>
          </w:tcPr>
          <w:p w14:paraId="4E48118D" w14:textId="77777777" w:rsidR="008C5DED" w:rsidRPr="00CF399E" w:rsidRDefault="008C5DED" w:rsidP="008C5DED">
            <w:pPr>
              <w:spacing w:after="160" w:line="259" w:lineRule="auto"/>
              <w:rPr>
                <w:rFonts w:ascii="Arial" w:hAnsi="Arial" w:cs="Arial"/>
              </w:rPr>
            </w:pPr>
            <w:r w:rsidRPr="00CF399E">
              <w:rPr>
                <w:rFonts w:ascii="Arial" w:hAnsi="Arial" w:cs="Arial"/>
              </w:rPr>
              <w:t>200</w:t>
            </w:r>
          </w:p>
        </w:tc>
        <w:tc>
          <w:tcPr>
            <w:tcW w:w="0" w:type="auto"/>
            <w:vAlign w:val="center"/>
            <w:hideMark/>
          </w:tcPr>
          <w:p w14:paraId="3DD62DAF" w14:textId="77777777" w:rsidR="008C5DED" w:rsidRPr="00CF399E" w:rsidRDefault="008C5DED" w:rsidP="008C5DED">
            <w:pPr>
              <w:spacing w:after="160" w:line="259" w:lineRule="auto"/>
              <w:rPr>
                <w:rFonts w:ascii="Arial" w:hAnsi="Arial" w:cs="Arial"/>
              </w:rPr>
            </w:pPr>
            <w:r w:rsidRPr="00CF399E">
              <w:rPr>
                <w:rFonts w:ascii="Arial" w:hAnsi="Arial" w:cs="Arial"/>
              </w:rPr>
              <w:t>156</w:t>
            </w:r>
          </w:p>
        </w:tc>
        <w:tc>
          <w:tcPr>
            <w:tcW w:w="0" w:type="auto"/>
            <w:vAlign w:val="center"/>
            <w:hideMark/>
          </w:tcPr>
          <w:p w14:paraId="5CA355C9" w14:textId="77777777" w:rsidR="008C5DED" w:rsidRPr="00CF399E" w:rsidRDefault="008C5DED" w:rsidP="008C5DED">
            <w:pPr>
              <w:spacing w:after="160" w:line="259" w:lineRule="auto"/>
              <w:rPr>
                <w:rFonts w:ascii="Arial" w:hAnsi="Arial" w:cs="Arial"/>
              </w:rPr>
            </w:pPr>
            <w:r w:rsidRPr="00CF399E">
              <w:rPr>
                <w:rFonts w:ascii="Arial" w:hAnsi="Arial" w:cs="Arial"/>
              </w:rPr>
              <w:t>230</w:t>
            </w:r>
          </w:p>
        </w:tc>
      </w:tr>
      <w:tr w:rsidR="008C5DED" w:rsidRPr="00CF399E" w14:paraId="75B41564" w14:textId="77777777">
        <w:trPr>
          <w:tblCellSpacing w:w="15" w:type="dxa"/>
        </w:trPr>
        <w:tc>
          <w:tcPr>
            <w:tcW w:w="0" w:type="auto"/>
            <w:vAlign w:val="center"/>
            <w:hideMark/>
          </w:tcPr>
          <w:p w14:paraId="1734031F" w14:textId="77777777" w:rsidR="008C5DED" w:rsidRPr="00CF399E" w:rsidRDefault="008C5DED" w:rsidP="008C5DED">
            <w:pPr>
              <w:spacing w:after="160" w:line="259" w:lineRule="auto"/>
              <w:rPr>
                <w:rFonts w:ascii="Arial" w:hAnsi="Arial" w:cs="Arial"/>
              </w:rPr>
            </w:pPr>
            <w:r w:rsidRPr="00CF399E">
              <w:rPr>
                <w:rFonts w:ascii="Arial" w:hAnsi="Arial" w:cs="Arial"/>
              </w:rPr>
              <w:t>Oct</w:t>
            </w:r>
          </w:p>
        </w:tc>
        <w:tc>
          <w:tcPr>
            <w:tcW w:w="0" w:type="auto"/>
            <w:vAlign w:val="center"/>
            <w:hideMark/>
          </w:tcPr>
          <w:p w14:paraId="41688C70" w14:textId="77777777" w:rsidR="008C5DED" w:rsidRPr="00CF399E" w:rsidRDefault="008C5DED" w:rsidP="008C5DED">
            <w:pPr>
              <w:spacing w:after="160" w:line="259" w:lineRule="auto"/>
              <w:rPr>
                <w:rFonts w:ascii="Arial" w:hAnsi="Arial" w:cs="Arial"/>
              </w:rPr>
            </w:pPr>
            <w:r w:rsidRPr="00CF399E">
              <w:rPr>
                <w:rFonts w:ascii="Arial" w:hAnsi="Arial" w:cs="Arial"/>
              </w:rPr>
              <w:t>230</w:t>
            </w:r>
          </w:p>
        </w:tc>
        <w:tc>
          <w:tcPr>
            <w:tcW w:w="0" w:type="auto"/>
            <w:vAlign w:val="center"/>
            <w:hideMark/>
          </w:tcPr>
          <w:p w14:paraId="62E0714D" w14:textId="77777777" w:rsidR="008C5DED" w:rsidRPr="00CF399E" w:rsidRDefault="008C5DED" w:rsidP="008C5DED">
            <w:pPr>
              <w:spacing w:after="160" w:line="259" w:lineRule="auto"/>
              <w:rPr>
                <w:rFonts w:ascii="Arial" w:hAnsi="Arial" w:cs="Arial"/>
              </w:rPr>
            </w:pPr>
            <w:r w:rsidRPr="00CF399E">
              <w:rPr>
                <w:rFonts w:ascii="Arial" w:hAnsi="Arial" w:cs="Arial"/>
              </w:rPr>
              <w:t>210</w:t>
            </w:r>
          </w:p>
        </w:tc>
        <w:tc>
          <w:tcPr>
            <w:tcW w:w="0" w:type="auto"/>
            <w:vAlign w:val="center"/>
            <w:hideMark/>
          </w:tcPr>
          <w:p w14:paraId="57677994" w14:textId="77777777" w:rsidR="008C5DED" w:rsidRPr="00CF399E" w:rsidRDefault="008C5DED" w:rsidP="008C5DED">
            <w:pPr>
              <w:spacing w:after="160" w:line="259" w:lineRule="auto"/>
              <w:rPr>
                <w:rFonts w:ascii="Arial" w:hAnsi="Arial" w:cs="Arial"/>
              </w:rPr>
            </w:pPr>
            <w:r w:rsidRPr="00CF399E">
              <w:rPr>
                <w:rFonts w:ascii="Arial" w:hAnsi="Arial" w:cs="Arial"/>
              </w:rPr>
              <w:t>144</w:t>
            </w:r>
          </w:p>
        </w:tc>
        <w:tc>
          <w:tcPr>
            <w:tcW w:w="0" w:type="auto"/>
            <w:vAlign w:val="center"/>
            <w:hideMark/>
          </w:tcPr>
          <w:p w14:paraId="37AFFE1B" w14:textId="77777777" w:rsidR="008C5DED" w:rsidRPr="00CF399E" w:rsidRDefault="008C5DED" w:rsidP="008C5DED">
            <w:pPr>
              <w:spacing w:after="160" w:line="259" w:lineRule="auto"/>
              <w:rPr>
                <w:rFonts w:ascii="Arial" w:hAnsi="Arial" w:cs="Arial"/>
              </w:rPr>
            </w:pPr>
            <w:r w:rsidRPr="00CF399E">
              <w:rPr>
                <w:rFonts w:ascii="Arial" w:hAnsi="Arial" w:cs="Arial"/>
              </w:rPr>
              <w:t>296</w:t>
            </w:r>
          </w:p>
        </w:tc>
      </w:tr>
      <w:tr w:rsidR="008C5DED" w:rsidRPr="00CF399E" w14:paraId="3EAE14F4" w14:textId="77777777">
        <w:trPr>
          <w:tblCellSpacing w:w="15" w:type="dxa"/>
        </w:trPr>
        <w:tc>
          <w:tcPr>
            <w:tcW w:w="0" w:type="auto"/>
            <w:vAlign w:val="center"/>
            <w:hideMark/>
          </w:tcPr>
          <w:p w14:paraId="18A59764" w14:textId="77777777" w:rsidR="008C5DED" w:rsidRPr="00CF399E" w:rsidRDefault="008C5DED" w:rsidP="008C5DED">
            <w:pPr>
              <w:spacing w:after="160" w:line="259" w:lineRule="auto"/>
              <w:rPr>
                <w:rFonts w:ascii="Arial" w:hAnsi="Arial" w:cs="Arial"/>
              </w:rPr>
            </w:pPr>
            <w:r w:rsidRPr="00CF399E">
              <w:rPr>
                <w:rFonts w:ascii="Arial" w:hAnsi="Arial" w:cs="Arial"/>
              </w:rPr>
              <w:t>Nov</w:t>
            </w:r>
          </w:p>
        </w:tc>
        <w:tc>
          <w:tcPr>
            <w:tcW w:w="0" w:type="auto"/>
            <w:vAlign w:val="center"/>
            <w:hideMark/>
          </w:tcPr>
          <w:p w14:paraId="23AD86C3" w14:textId="77777777" w:rsidR="008C5DED" w:rsidRPr="00CF399E" w:rsidRDefault="008C5DED" w:rsidP="008C5DED">
            <w:pPr>
              <w:spacing w:after="160" w:line="259" w:lineRule="auto"/>
              <w:rPr>
                <w:rFonts w:ascii="Arial" w:hAnsi="Arial" w:cs="Arial"/>
              </w:rPr>
            </w:pPr>
            <w:r w:rsidRPr="00CF399E">
              <w:rPr>
                <w:rFonts w:ascii="Arial" w:hAnsi="Arial" w:cs="Arial"/>
              </w:rPr>
              <w:t>296</w:t>
            </w:r>
          </w:p>
        </w:tc>
        <w:tc>
          <w:tcPr>
            <w:tcW w:w="0" w:type="auto"/>
            <w:vAlign w:val="center"/>
            <w:hideMark/>
          </w:tcPr>
          <w:p w14:paraId="5317997E" w14:textId="77777777" w:rsidR="008C5DED" w:rsidRPr="00CF399E" w:rsidRDefault="008C5DED" w:rsidP="008C5DED">
            <w:pPr>
              <w:spacing w:after="160" w:line="259" w:lineRule="auto"/>
              <w:rPr>
                <w:rFonts w:ascii="Arial" w:hAnsi="Arial" w:cs="Arial"/>
              </w:rPr>
            </w:pPr>
            <w:r w:rsidRPr="00CF399E">
              <w:rPr>
                <w:rFonts w:ascii="Arial" w:hAnsi="Arial" w:cs="Arial"/>
              </w:rPr>
              <w:t>190</w:t>
            </w:r>
          </w:p>
        </w:tc>
        <w:tc>
          <w:tcPr>
            <w:tcW w:w="0" w:type="auto"/>
            <w:vAlign w:val="center"/>
            <w:hideMark/>
          </w:tcPr>
          <w:p w14:paraId="4B684885" w14:textId="77777777" w:rsidR="008C5DED" w:rsidRPr="00CF399E" w:rsidRDefault="008C5DED" w:rsidP="008C5DED">
            <w:pPr>
              <w:spacing w:after="160" w:line="259" w:lineRule="auto"/>
              <w:rPr>
                <w:rFonts w:ascii="Arial" w:hAnsi="Arial" w:cs="Arial"/>
              </w:rPr>
            </w:pPr>
            <w:r w:rsidRPr="00CF399E">
              <w:rPr>
                <w:rFonts w:ascii="Arial" w:hAnsi="Arial" w:cs="Arial"/>
              </w:rPr>
              <w:t>150</w:t>
            </w:r>
          </w:p>
        </w:tc>
        <w:tc>
          <w:tcPr>
            <w:tcW w:w="0" w:type="auto"/>
            <w:vAlign w:val="center"/>
            <w:hideMark/>
          </w:tcPr>
          <w:p w14:paraId="7AB2F6AC" w14:textId="77777777" w:rsidR="008C5DED" w:rsidRPr="00CF399E" w:rsidRDefault="008C5DED" w:rsidP="008C5DED">
            <w:pPr>
              <w:spacing w:after="160" w:line="259" w:lineRule="auto"/>
              <w:rPr>
                <w:rFonts w:ascii="Arial" w:hAnsi="Arial" w:cs="Arial"/>
              </w:rPr>
            </w:pPr>
            <w:r w:rsidRPr="00CF399E">
              <w:rPr>
                <w:rFonts w:ascii="Arial" w:hAnsi="Arial" w:cs="Arial"/>
              </w:rPr>
              <w:t>336</w:t>
            </w:r>
          </w:p>
        </w:tc>
      </w:tr>
      <w:tr w:rsidR="008C5DED" w:rsidRPr="00CF399E" w14:paraId="57BAA9CB" w14:textId="77777777">
        <w:trPr>
          <w:tblCellSpacing w:w="15" w:type="dxa"/>
        </w:trPr>
        <w:tc>
          <w:tcPr>
            <w:tcW w:w="0" w:type="auto"/>
            <w:vAlign w:val="center"/>
            <w:hideMark/>
          </w:tcPr>
          <w:p w14:paraId="3766A0D8" w14:textId="77777777" w:rsidR="008C5DED" w:rsidRPr="00CF399E" w:rsidRDefault="008C5DED" w:rsidP="008C5DED">
            <w:pPr>
              <w:spacing w:after="160" w:line="259" w:lineRule="auto"/>
              <w:rPr>
                <w:rFonts w:ascii="Arial" w:hAnsi="Arial" w:cs="Arial"/>
              </w:rPr>
            </w:pPr>
            <w:r w:rsidRPr="00CF399E">
              <w:rPr>
                <w:rFonts w:ascii="Arial" w:hAnsi="Arial" w:cs="Arial"/>
              </w:rPr>
              <w:t>Dec</w:t>
            </w:r>
          </w:p>
        </w:tc>
        <w:tc>
          <w:tcPr>
            <w:tcW w:w="0" w:type="auto"/>
            <w:vAlign w:val="center"/>
            <w:hideMark/>
          </w:tcPr>
          <w:p w14:paraId="77354DE4" w14:textId="77777777" w:rsidR="008C5DED" w:rsidRPr="00CF399E" w:rsidRDefault="008C5DED" w:rsidP="008C5DED">
            <w:pPr>
              <w:spacing w:after="160" w:line="259" w:lineRule="auto"/>
              <w:rPr>
                <w:rFonts w:ascii="Arial" w:hAnsi="Arial" w:cs="Arial"/>
              </w:rPr>
            </w:pPr>
            <w:r w:rsidRPr="00CF399E">
              <w:rPr>
                <w:rFonts w:ascii="Arial" w:hAnsi="Arial" w:cs="Arial"/>
              </w:rPr>
              <w:t>336</w:t>
            </w:r>
          </w:p>
        </w:tc>
        <w:tc>
          <w:tcPr>
            <w:tcW w:w="0" w:type="auto"/>
            <w:vAlign w:val="center"/>
            <w:hideMark/>
          </w:tcPr>
          <w:p w14:paraId="52FA1259" w14:textId="77777777" w:rsidR="008C5DED" w:rsidRPr="00CF399E" w:rsidRDefault="008C5DED" w:rsidP="008C5DED">
            <w:pPr>
              <w:spacing w:after="160" w:line="259" w:lineRule="auto"/>
              <w:rPr>
                <w:rFonts w:ascii="Arial" w:hAnsi="Arial" w:cs="Arial"/>
              </w:rPr>
            </w:pPr>
            <w:r w:rsidRPr="00CF399E">
              <w:rPr>
                <w:rFonts w:ascii="Arial" w:hAnsi="Arial" w:cs="Arial"/>
              </w:rPr>
              <w:t>220</w:t>
            </w:r>
          </w:p>
        </w:tc>
        <w:tc>
          <w:tcPr>
            <w:tcW w:w="0" w:type="auto"/>
            <w:vAlign w:val="center"/>
            <w:hideMark/>
          </w:tcPr>
          <w:p w14:paraId="5E9EB72C" w14:textId="77777777" w:rsidR="008C5DED" w:rsidRPr="00CF399E" w:rsidRDefault="008C5DED" w:rsidP="008C5DED">
            <w:pPr>
              <w:spacing w:after="160" w:line="259" w:lineRule="auto"/>
              <w:rPr>
                <w:rFonts w:ascii="Arial" w:hAnsi="Arial" w:cs="Arial"/>
              </w:rPr>
            </w:pPr>
            <w:r w:rsidRPr="00CF399E">
              <w:rPr>
                <w:rFonts w:ascii="Arial" w:hAnsi="Arial" w:cs="Arial"/>
              </w:rPr>
              <w:t>168</w:t>
            </w:r>
          </w:p>
        </w:tc>
        <w:tc>
          <w:tcPr>
            <w:tcW w:w="0" w:type="auto"/>
            <w:vAlign w:val="center"/>
            <w:hideMark/>
          </w:tcPr>
          <w:p w14:paraId="09E600D5" w14:textId="77777777" w:rsidR="008C5DED" w:rsidRPr="00CF399E" w:rsidRDefault="008C5DED" w:rsidP="008C5DED">
            <w:pPr>
              <w:spacing w:after="160" w:line="259" w:lineRule="auto"/>
              <w:rPr>
                <w:rFonts w:ascii="Arial" w:hAnsi="Arial" w:cs="Arial"/>
              </w:rPr>
            </w:pPr>
            <w:r w:rsidRPr="00CF399E">
              <w:rPr>
                <w:rFonts w:ascii="Arial" w:hAnsi="Arial" w:cs="Arial"/>
              </w:rPr>
              <w:t>388</w:t>
            </w:r>
          </w:p>
        </w:tc>
      </w:tr>
    </w:tbl>
    <w:p w14:paraId="22F9B8AF" w14:textId="77777777" w:rsidR="00C31200" w:rsidRPr="00CF399E" w:rsidRDefault="00C31200" w:rsidP="008C5DED">
      <w:pPr>
        <w:spacing w:after="160" w:line="259" w:lineRule="auto"/>
        <w:rPr>
          <w:rFonts w:ascii="Arial" w:hAnsi="Arial" w:cs="Arial"/>
        </w:rPr>
      </w:pPr>
    </w:p>
    <w:p w14:paraId="2C62F2D1" w14:textId="7B5BC7AF" w:rsidR="00C31200" w:rsidRPr="00CF399E" w:rsidRDefault="00C31200" w:rsidP="00C31200">
      <w:pPr>
        <w:spacing w:after="160" w:line="259" w:lineRule="auto"/>
        <w:rPr>
          <w:rFonts w:ascii="Arial" w:hAnsi="Arial" w:cs="Arial"/>
        </w:rPr>
      </w:pPr>
      <w:r w:rsidRPr="00CF399E">
        <w:rPr>
          <w:rFonts w:ascii="Arial" w:hAnsi="Arial" w:cs="Arial"/>
        </w:rPr>
        <w:t>While the budget confirms that the minimum stock level is maintained throughout the planning period, it also reveals a steady increase in closing inventory. From a financial perspective, this trend raises an important concern. Although holding sufficient stock supports sales, excessive inventory can tie up working capital and reduce organisational liquidity.</w:t>
      </w:r>
      <w:r w:rsidR="005C2613" w:rsidRPr="00CF399E">
        <w:rPr>
          <w:rFonts w:ascii="Arial" w:hAnsi="Arial" w:cs="Arial"/>
        </w:rPr>
        <w:t xml:space="preserve"> High inventory levels can create working capital pressures because funds become tied up in unsold goods (Shim and Siegel, 2009).</w:t>
      </w:r>
    </w:p>
    <w:p w14:paraId="6B0A0CB2" w14:textId="77777777" w:rsidR="00C31200" w:rsidRPr="00CF399E" w:rsidRDefault="00C31200" w:rsidP="00C31200">
      <w:pPr>
        <w:spacing w:after="160" w:line="259" w:lineRule="auto"/>
        <w:rPr>
          <w:rFonts w:ascii="Arial" w:hAnsi="Arial" w:cs="Arial"/>
        </w:rPr>
      </w:pPr>
      <w:r w:rsidRPr="00CF399E">
        <w:rPr>
          <w:rFonts w:ascii="Arial" w:hAnsi="Arial" w:cs="Arial"/>
        </w:rPr>
        <w:t>This issue is particularly relevant in the fashion retail industry, where product life cycles are relatively short. Unsold clothing items may quickly become outdated as consumer preferences change, which can result in discounting or write-downs. As a result, managers must carefully balance the need for product availability with the financial risks associated with holding large quantities of stock.</w:t>
      </w:r>
    </w:p>
    <w:p w14:paraId="7B960185" w14:textId="77777777" w:rsidR="00C31200" w:rsidRPr="00CF399E" w:rsidRDefault="00C31200" w:rsidP="00C31200">
      <w:pPr>
        <w:spacing w:after="160" w:line="259" w:lineRule="auto"/>
        <w:rPr>
          <w:rFonts w:ascii="Arial" w:hAnsi="Arial" w:cs="Arial"/>
        </w:rPr>
      </w:pPr>
      <w:r w:rsidRPr="00CF399E">
        <w:rPr>
          <w:rFonts w:ascii="Arial" w:hAnsi="Arial" w:cs="Arial"/>
        </w:rPr>
        <w:t xml:space="preserve">From a theoretical perspective, this situation reflects the importance of </w:t>
      </w:r>
      <w:r w:rsidRPr="00CF399E">
        <w:rPr>
          <w:rFonts w:ascii="Arial" w:eastAsiaTheme="majorEastAsia" w:hAnsi="Arial" w:cs="Arial"/>
        </w:rPr>
        <w:t>working capital management</w:t>
      </w:r>
      <w:r w:rsidRPr="00CF399E">
        <w:rPr>
          <w:rFonts w:ascii="Arial" w:hAnsi="Arial" w:cs="Arial"/>
        </w:rPr>
        <w:t>, which focuses on managing short-term assets such as inventory and receivables (</w:t>
      </w:r>
      <w:proofErr w:type="spellStart"/>
      <w:r w:rsidRPr="00CF399E">
        <w:rPr>
          <w:rFonts w:ascii="Arial" w:hAnsi="Arial" w:cs="Arial"/>
        </w:rPr>
        <w:t>Atrill</w:t>
      </w:r>
      <w:proofErr w:type="spellEnd"/>
      <w:r w:rsidRPr="00CF399E">
        <w:rPr>
          <w:rFonts w:ascii="Arial" w:hAnsi="Arial" w:cs="Arial"/>
        </w:rPr>
        <w:t xml:space="preserve"> and McLaney, 2022). If too much capital is tied up in inventory, the organisation may face liquidity constraints even if it is profitable. Consequently, management should continuously review purchasing decisions and consider adopting more responsive inventory management techniques, such as improved demand forecasting or smaller but more frequent supplier orders.</w:t>
      </w:r>
    </w:p>
    <w:p w14:paraId="22A37445" w14:textId="77777777" w:rsidR="008C5DED" w:rsidRPr="00CF399E" w:rsidRDefault="008C5DED" w:rsidP="008C5DED">
      <w:pPr>
        <w:spacing w:after="160" w:line="259" w:lineRule="auto"/>
        <w:rPr>
          <w:rFonts w:ascii="Arial" w:hAnsi="Arial" w:cs="Arial"/>
        </w:rPr>
      </w:pPr>
    </w:p>
    <w:p w14:paraId="5DB40F45" w14:textId="77777777" w:rsidR="005C5B65" w:rsidRDefault="005C5B65" w:rsidP="008C5DED">
      <w:pPr>
        <w:spacing w:after="160" w:line="259" w:lineRule="auto"/>
        <w:rPr>
          <w:rFonts w:ascii="Arial" w:hAnsi="Arial" w:cs="Arial"/>
          <w:b/>
          <w:bCs/>
        </w:rPr>
      </w:pPr>
    </w:p>
    <w:p w14:paraId="17D27A13" w14:textId="77777777" w:rsidR="005C5B65" w:rsidRDefault="005C5B65" w:rsidP="008C5DED">
      <w:pPr>
        <w:spacing w:after="160" w:line="259" w:lineRule="auto"/>
        <w:rPr>
          <w:rFonts w:ascii="Arial" w:hAnsi="Arial" w:cs="Arial"/>
          <w:b/>
          <w:bCs/>
        </w:rPr>
      </w:pPr>
    </w:p>
    <w:p w14:paraId="5E9D6CBC" w14:textId="77777777" w:rsidR="005C5B65" w:rsidRDefault="005C5B65" w:rsidP="008C5DED">
      <w:pPr>
        <w:spacing w:after="160" w:line="259" w:lineRule="auto"/>
        <w:rPr>
          <w:rFonts w:ascii="Arial" w:hAnsi="Arial" w:cs="Arial"/>
          <w:b/>
          <w:bCs/>
        </w:rPr>
      </w:pPr>
    </w:p>
    <w:p w14:paraId="27864698" w14:textId="77777777" w:rsidR="005C5B65" w:rsidRDefault="005C5B65" w:rsidP="008C5DED">
      <w:pPr>
        <w:spacing w:after="160" w:line="259" w:lineRule="auto"/>
        <w:rPr>
          <w:rFonts w:ascii="Arial" w:hAnsi="Arial" w:cs="Arial"/>
          <w:b/>
          <w:bCs/>
        </w:rPr>
      </w:pPr>
    </w:p>
    <w:p w14:paraId="1FDA1F7C" w14:textId="77777777" w:rsidR="005C5B65" w:rsidRDefault="005C5B65" w:rsidP="008C5DED">
      <w:pPr>
        <w:spacing w:after="160" w:line="259" w:lineRule="auto"/>
        <w:rPr>
          <w:rFonts w:ascii="Arial" w:hAnsi="Arial" w:cs="Arial"/>
          <w:b/>
          <w:bCs/>
        </w:rPr>
      </w:pPr>
    </w:p>
    <w:p w14:paraId="480571D3" w14:textId="77777777" w:rsidR="005C5B65" w:rsidRDefault="005C5B65" w:rsidP="008C5DED">
      <w:pPr>
        <w:spacing w:after="160" w:line="259" w:lineRule="auto"/>
        <w:rPr>
          <w:rFonts w:ascii="Arial" w:hAnsi="Arial" w:cs="Arial"/>
          <w:b/>
          <w:bCs/>
        </w:rPr>
      </w:pPr>
    </w:p>
    <w:p w14:paraId="7273F3D5" w14:textId="77777777" w:rsidR="005C5B65" w:rsidRDefault="005C5B65" w:rsidP="008C5DED">
      <w:pPr>
        <w:spacing w:after="160" w:line="259" w:lineRule="auto"/>
        <w:rPr>
          <w:rFonts w:ascii="Arial" w:hAnsi="Arial" w:cs="Arial"/>
          <w:b/>
          <w:bCs/>
        </w:rPr>
      </w:pPr>
    </w:p>
    <w:p w14:paraId="001876F1" w14:textId="13EC7C94" w:rsidR="008C5DED" w:rsidRPr="00CF399E" w:rsidRDefault="008C5DED" w:rsidP="006D3194">
      <w:pPr>
        <w:pStyle w:val="Heading1"/>
      </w:pPr>
      <w:bookmarkStart w:id="5" w:name="_Toc224757668"/>
      <w:r w:rsidRPr="00CF399E">
        <w:t>3.2 Cash Budget</w:t>
      </w:r>
      <w:bookmarkEnd w:id="5"/>
    </w:p>
    <w:p w14:paraId="4597B120" w14:textId="2592E3C9" w:rsidR="008C5DED" w:rsidRPr="00CF399E" w:rsidRDefault="008C5DED" w:rsidP="008C5DED">
      <w:pPr>
        <w:spacing w:after="160" w:line="259" w:lineRule="auto"/>
        <w:rPr>
          <w:rFonts w:ascii="Arial" w:hAnsi="Arial" w:cs="Arial"/>
        </w:rPr>
      </w:pPr>
      <w:r w:rsidRPr="00CF399E">
        <w:rPr>
          <w:rFonts w:ascii="Arial" w:hAnsi="Arial" w:cs="Arial"/>
        </w:rPr>
        <w:t xml:space="preserve">A cash budget is one of the most important financial planning tools used by organisations. It forecasts expected cash inflows and outflows over a specific period, enabling management to monitor liquidity and ensure that sufficient funds are available to meet financial obligations (Horngren et al., 2014). </w:t>
      </w:r>
      <w:r w:rsidR="00A17CB1" w:rsidRPr="00CF399E">
        <w:rPr>
          <w:rFonts w:ascii="Arial" w:hAnsi="Arial" w:cs="Arial"/>
        </w:rPr>
        <w:t>While profit-based statements provide useful information about overall financial performance, they do not necessarily reflect the timing of cash movements. For this reason, the cash budget is essential for identifying potential liquidity risks (Drury, 2018).</w:t>
      </w:r>
    </w:p>
    <w:p w14:paraId="6772ED98" w14:textId="77777777" w:rsidR="008C5DED" w:rsidRPr="00CF399E" w:rsidRDefault="008C5DED" w:rsidP="008C5DED">
      <w:pPr>
        <w:spacing w:after="160" w:line="259" w:lineRule="auto"/>
        <w:rPr>
          <w:rFonts w:ascii="Arial" w:hAnsi="Arial" w:cs="Arial"/>
        </w:rPr>
      </w:pPr>
      <w:r w:rsidRPr="00CF399E">
        <w:rPr>
          <w:rFonts w:ascii="Arial" w:hAnsi="Arial" w:cs="Arial"/>
        </w:rPr>
        <w:t xml:space="preserve">Silver Stitch Ltd begins the planning period with an </w:t>
      </w:r>
      <w:r w:rsidRPr="00CF399E">
        <w:rPr>
          <w:rFonts w:ascii="Arial" w:eastAsiaTheme="majorEastAsia" w:hAnsi="Arial" w:cs="Arial"/>
        </w:rPr>
        <w:t>opening bank overdraft of £30,000</w:t>
      </w:r>
      <w:r w:rsidRPr="00CF399E">
        <w:rPr>
          <w:rFonts w:ascii="Arial" w:hAnsi="Arial" w:cs="Arial"/>
        </w:rPr>
        <w:t>, which the bank has requested be eliminated by the end of December. This requirement makes the preparation of an accurate cash budget especially important because it allows management to evaluate whether existing financial plans will generate sufficient cash to repay the overdraft.</w:t>
      </w:r>
    </w:p>
    <w:p w14:paraId="3F11C6F2" w14:textId="6247E538" w:rsidR="008C5DED" w:rsidRPr="00CF399E" w:rsidRDefault="008C5DED" w:rsidP="008C5DED">
      <w:pPr>
        <w:spacing w:after="160" w:line="259" w:lineRule="auto"/>
        <w:rPr>
          <w:rFonts w:ascii="Arial" w:hAnsi="Arial" w:cs="Arial"/>
        </w:rPr>
      </w:pPr>
      <w:r w:rsidRPr="00CF399E">
        <w:rPr>
          <w:rFonts w:ascii="Arial" w:hAnsi="Arial" w:cs="Arial"/>
        </w:rPr>
        <w:t xml:space="preserve">Several factors influence the company’s cash inflows and outflows. First, all sales revenue is received in the month of sale. However, </w:t>
      </w:r>
      <w:r w:rsidRPr="00CF399E">
        <w:rPr>
          <w:rFonts w:ascii="Arial" w:eastAsiaTheme="majorEastAsia" w:hAnsi="Arial" w:cs="Arial"/>
        </w:rPr>
        <w:t>35% of customers pay using credit cards</w:t>
      </w:r>
      <w:r w:rsidRPr="00CF399E">
        <w:rPr>
          <w:rFonts w:ascii="Arial" w:hAnsi="Arial" w:cs="Arial"/>
        </w:rPr>
        <w:t xml:space="preserve">, and the credit card provider charges the company </w:t>
      </w:r>
      <w:r w:rsidRPr="00CF399E">
        <w:rPr>
          <w:rFonts w:ascii="Arial" w:eastAsiaTheme="majorEastAsia" w:hAnsi="Arial" w:cs="Arial"/>
        </w:rPr>
        <w:t>2.5% of the transaction value</w:t>
      </w:r>
      <w:r w:rsidRPr="00CF399E">
        <w:rPr>
          <w:rFonts w:ascii="Arial" w:hAnsi="Arial" w:cs="Arial"/>
        </w:rPr>
        <w:t xml:space="preserve">. </w:t>
      </w:r>
      <w:r w:rsidR="00A17CB1" w:rsidRPr="00CF399E">
        <w:rPr>
          <w:rFonts w:ascii="Arial" w:hAnsi="Arial" w:cs="Arial"/>
        </w:rPr>
        <w:t>Although this fee may appear relatively small, it reduces the total cash received by the company and therefore needs to be incorporated into the cash budget.</w:t>
      </w:r>
      <w:r w:rsidRPr="00CF399E">
        <w:rPr>
          <w:rFonts w:ascii="Arial" w:hAnsi="Arial" w:cs="Arial"/>
        </w:rPr>
        <w:t xml:space="preserve"> For example, the effective deduction from total sales revenue is </w:t>
      </w:r>
      <w:r w:rsidRPr="00CF399E">
        <w:rPr>
          <w:rFonts w:ascii="Arial" w:eastAsiaTheme="majorEastAsia" w:hAnsi="Arial" w:cs="Arial"/>
        </w:rPr>
        <w:t>0.875% of sales</w:t>
      </w:r>
      <w:r w:rsidRPr="00CF399E">
        <w:rPr>
          <w:rFonts w:ascii="Arial" w:hAnsi="Arial" w:cs="Arial"/>
        </w:rPr>
        <w:t xml:space="preserve"> (35% × 2.5%).</w:t>
      </w:r>
    </w:p>
    <w:p w14:paraId="280A0CE1" w14:textId="77777777" w:rsidR="008C5DED" w:rsidRPr="00CF399E" w:rsidRDefault="008C5DED" w:rsidP="008C5DED">
      <w:pPr>
        <w:spacing w:after="160" w:line="259" w:lineRule="auto"/>
        <w:rPr>
          <w:rFonts w:ascii="Arial" w:hAnsi="Arial" w:cs="Arial"/>
        </w:rPr>
      </w:pPr>
      <w:r w:rsidRPr="00CF399E">
        <w:rPr>
          <w:rFonts w:ascii="Arial" w:hAnsi="Arial" w:cs="Arial"/>
        </w:rPr>
        <w:t xml:space="preserve">On the payments side, the company benefits from </w:t>
      </w:r>
      <w:r w:rsidRPr="00CF399E">
        <w:rPr>
          <w:rFonts w:ascii="Arial" w:eastAsiaTheme="majorEastAsia" w:hAnsi="Arial" w:cs="Arial"/>
        </w:rPr>
        <w:t>one month of credit from suppliers</w:t>
      </w:r>
      <w:r w:rsidRPr="00CF399E">
        <w:rPr>
          <w:rFonts w:ascii="Arial" w:hAnsi="Arial" w:cs="Arial"/>
        </w:rPr>
        <w:t xml:space="preserve">, meaning that inventory purchases are paid for in the following month. This delay improves short-term liquidity by postponing cash outflows. However, other expenses must be paid according to specific schedules. Administration expenses are paid in the same month they are incurred, although they include </w:t>
      </w:r>
      <w:r w:rsidRPr="00CF399E">
        <w:rPr>
          <w:rFonts w:ascii="Arial" w:eastAsiaTheme="majorEastAsia" w:hAnsi="Arial" w:cs="Arial"/>
        </w:rPr>
        <w:t>depreciation of £7,000</w:t>
      </w:r>
      <w:r w:rsidRPr="00CF399E">
        <w:rPr>
          <w:rFonts w:ascii="Arial" w:hAnsi="Arial" w:cs="Arial"/>
        </w:rPr>
        <w:t>, which is a non-cash expense and must therefore be removed from the cash budget.</w:t>
      </w:r>
    </w:p>
    <w:p w14:paraId="249CDAD9" w14:textId="77777777" w:rsidR="008C5DED" w:rsidRPr="00CF399E" w:rsidRDefault="008C5DED" w:rsidP="008C5DED">
      <w:pPr>
        <w:spacing w:after="160" w:line="259" w:lineRule="auto"/>
        <w:rPr>
          <w:rFonts w:ascii="Arial" w:hAnsi="Arial" w:cs="Arial"/>
        </w:rPr>
      </w:pPr>
      <w:r w:rsidRPr="00CF399E">
        <w:rPr>
          <w:rFonts w:ascii="Arial" w:hAnsi="Arial" w:cs="Arial"/>
        </w:rPr>
        <w:t xml:space="preserve">Selling expenses are paid one month in arrears, meaning that the payment in each month relates to the previous month’s expense. In addition, the company makes monthly loan repayments of </w:t>
      </w:r>
      <w:r w:rsidRPr="00CF399E">
        <w:rPr>
          <w:rFonts w:ascii="Arial" w:eastAsiaTheme="majorEastAsia" w:hAnsi="Arial" w:cs="Arial"/>
        </w:rPr>
        <w:t>£5,000</w:t>
      </w:r>
      <w:r w:rsidRPr="00CF399E">
        <w:rPr>
          <w:rFonts w:ascii="Arial" w:hAnsi="Arial" w:cs="Arial"/>
        </w:rPr>
        <w:t xml:space="preserve">, of which </w:t>
      </w:r>
      <w:r w:rsidRPr="00CF399E">
        <w:rPr>
          <w:rFonts w:ascii="Arial" w:eastAsiaTheme="majorEastAsia" w:hAnsi="Arial" w:cs="Arial"/>
        </w:rPr>
        <w:t>£1,000 represents interest</w:t>
      </w:r>
      <w:r w:rsidRPr="00CF399E">
        <w:rPr>
          <w:rFonts w:ascii="Arial" w:hAnsi="Arial" w:cs="Arial"/>
        </w:rPr>
        <w:t xml:space="preserve"> and </w:t>
      </w:r>
      <w:r w:rsidRPr="00CF399E">
        <w:rPr>
          <w:rFonts w:ascii="Arial" w:eastAsiaTheme="majorEastAsia" w:hAnsi="Arial" w:cs="Arial"/>
        </w:rPr>
        <w:t>£4,000 represents principal repayment</w:t>
      </w:r>
      <w:r w:rsidRPr="00CF399E">
        <w:rPr>
          <w:rFonts w:ascii="Arial" w:hAnsi="Arial" w:cs="Arial"/>
        </w:rPr>
        <w:t>. Store refurbishment costs and a tax payment in September also create additional cash outflows during the period.</w:t>
      </w:r>
    </w:p>
    <w:p w14:paraId="2AB979FB" w14:textId="77777777" w:rsidR="006D3194" w:rsidRDefault="006D3194" w:rsidP="008C5DED">
      <w:pPr>
        <w:spacing w:after="160" w:line="259" w:lineRule="auto"/>
        <w:rPr>
          <w:rFonts w:ascii="Arial" w:hAnsi="Arial" w:cs="Arial"/>
        </w:rPr>
      </w:pPr>
    </w:p>
    <w:p w14:paraId="3B07B398" w14:textId="77777777" w:rsidR="006D3194" w:rsidRDefault="006D3194" w:rsidP="008C5DED">
      <w:pPr>
        <w:spacing w:after="160" w:line="259" w:lineRule="auto"/>
        <w:rPr>
          <w:rFonts w:ascii="Arial" w:hAnsi="Arial" w:cs="Arial"/>
        </w:rPr>
      </w:pPr>
    </w:p>
    <w:p w14:paraId="54CBA81F" w14:textId="77777777" w:rsidR="006D3194" w:rsidRDefault="006D3194" w:rsidP="008C5DED">
      <w:pPr>
        <w:spacing w:after="160" w:line="259" w:lineRule="auto"/>
        <w:rPr>
          <w:rFonts w:ascii="Arial" w:hAnsi="Arial" w:cs="Arial"/>
        </w:rPr>
      </w:pPr>
    </w:p>
    <w:p w14:paraId="52C9E45F" w14:textId="77777777" w:rsidR="006D3194" w:rsidRDefault="006D3194" w:rsidP="008C5DED">
      <w:pPr>
        <w:spacing w:after="160" w:line="259" w:lineRule="auto"/>
        <w:rPr>
          <w:rFonts w:ascii="Arial" w:hAnsi="Arial" w:cs="Arial"/>
        </w:rPr>
      </w:pPr>
    </w:p>
    <w:p w14:paraId="24AB3DBF" w14:textId="77777777" w:rsidR="006D3194" w:rsidRDefault="006D3194" w:rsidP="008C5DED">
      <w:pPr>
        <w:spacing w:after="160" w:line="259" w:lineRule="auto"/>
        <w:rPr>
          <w:rFonts w:ascii="Arial" w:hAnsi="Arial" w:cs="Arial"/>
        </w:rPr>
      </w:pPr>
    </w:p>
    <w:p w14:paraId="57D53C8E" w14:textId="77777777" w:rsidR="006D3194" w:rsidRDefault="006D3194" w:rsidP="008C5DED">
      <w:pPr>
        <w:spacing w:after="160" w:line="259" w:lineRule="auto"/>
        <w:rPr>
          <w:rFonts w:ascii="Arial" w:hAnsi="Arial" w:cs="Arial"/>
        </w:rPr>
      </w:pPr>
    </w:p>
    <w:p w14:paraId="3182A4DB" w14:textId="77777777" w:rsidR="006D3194" w:rsidRDefault="006D3194" w:rsidP="008C5DED">
      <w:pPr>
        <w:spacing w:after="160" w:line="259" w:lineRule="auto"/>
        <w:rPr>
          <w:rFonts w:ascii="Arial" w:hAnsi="Arial" w:cs="Arial"/>
        </w:rPr>
      </w:pPr>
    </w:p>
    <w:p w14:paraId="0A84752A" w14:textId="7BFB2146" w:rsidR="008C5DED" w:rsidRPr="00CF399E" w:rsidRDefault="008C5DED" w:rsidP="008C5DED">
      <w:pPr>
        <w:spacing w:after="160" w:line="259" w:lineRule="auto"/>
        <w:rPr>
          <w:rFonts w:ascii="Arial" w:hAnsi="Arial" w:cs="Arial"/>
        </w:rPr>
      </w:pPr>
      <w:r w:rsidRPr="00CF399E">
        <w:rPr>
          <w:rFonts w:ascii="Arial" w:hAnsi="Arial" w:cs="Arial"/>
        </w:rPr>
        <w:t>Cash Budget (£000)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
        <w:gridCol w:w="1434"/>
        <w:gridCol w:w="1621"/>
        <w:gridCol w:w="1649"/>
      </w:tblGrid>
      <w:tr w:rsidR="008C5DED" w:rsidRPr="00CF399E" w14:paraId="7B17D17D" w14:textId="77777777">
        <w:trPr>
          <w:tblHeader/>
          <w:tblCellSpacing w:w="15" w:type="dxa"/>
        </w:trPr>
        <w:tc>
          <w:tcPr>
            <w:tcW w:w="0" w:type="auto"/>
            <w:vAlign w:val="center"/>
            <w:hideMark/>
          </w:tcPr>
          <w:p w14:paraId="168F7EFD" w14:textId="77777777" w:rsidR="008C5DED" w:rsidRPr="00CF399E" w:rsidRDefault="008C5DED" w:rsidP="008C5DED">
            <w:pPr>
              <w:spacing w:after="160" w:line="259" w:lineRule="auto"/>
              <w:rPr>
                <w:rFonts w:ascii="Arial" w:hAnsi="Arial" w:cs="Arial"/>
              </w:rPr>
            </w:pPr>
            <w:r w:rsidRPr="00CF399E">
              <w:rPr>
                <w:rFonts w:ascii="Arial" w:hAnsi="Arial" w:cs="Arial"/>
              </w:rPr>
              <w:t>Month</w:t>
            </w:r>
          </w:p>
        </w:tc>
        <w:tc>
          <w:tcPr>
            <w:tcW w:w="0" w:type="auto"/>
            <w:vAlign w:val="center"/>
            <w:hideMark/>
          </w:tcPr>
          <w:p w14:paraId="1A076244" w14:textId="77777777" w:rsidR="008C5DED" w:rsidRPr="00CF399E" w:rsidRDefault="008C5DED" w:rsidP="008C5DED">
            <w:pPr>
              <w:spacing w:after="160" w:line="259" w:lineRule="auto"/>
              <w:rPr>
                <w:rFonts w:ascii="Arial" w:hAnsi="Arial" w:cs="Arial"/>
              </w:rPr>
            </w:pPr>
            <w:r w:rsidRPr="00CF399E">
              <w:rPr>
                <w:rFonts w:ascii="Arial" w:hAnsi="Arial" w:cs="Arial"/>
              </w:rPr>
              <w:t>Cash Inflows</w:t>
            </w:r>
          </w:p>
        </w:tc>
        <w:tc>
          <w:tcPr>
            <w:tcW w:w="0" w:type="auto"/>
            <w:vAlign w:val="center"/>
            <w:hideMark/>
          </w:tcPr>
          <w:p w14:paraId="28518094" w14:textId="77777777" w:rsidR="008C5DED" w:rsidRPr="00CF399E" w:rsidRDefault="008C5DED" w:rsidP="008C5DED">
            <w:pPr>
              <w:spacing w:after="160" w:line="259" w:lineRule="auto"/>
              <w:rPr>
                <w:rFonts w:ascii="Arial" w:hAnsi="Arial" w:cs="Arial"/>
              </w:rPr>
            </w:pPr>
            <w:r w:rsidRPr="00CF399E">
              <w:rPr>
                <w:rFonts w:ascii="Arial" w:hAnsi="Arial" w:cs="Arial"/>
              </w:rPr>
              <w:t>Cash Outflows</w:t>
            </w:r>
          </w:p>
        </w:tc>
        <w:tc>
          <w:tcPr>
            <w:tcW w:w="0" w:type="auto"/>
            <w:vAlign w:val="center"/>
            <w:hideMark/>
          </w:tcPr>
          <w:p w14:paraId="59BE783E" w14:textId="77777777" w:rsidR="008C5DED" w:rsidRPr="00CF399E" w:rsidRDefault="008C5DED" w:rsidP="008C5DED">
            <w:pPr>
              <w:spacing w:after="160" w:line="259" w:lineRule="auto"/>
              <w:rPr>
                <w:rFonts w:ascii="Arial" w:hAnsi="Arial" w:cs="Arial"/>
              </w:rPr>
            </w:pPr>
            <w:r w:rsidRPr="00CF399E">
              <w:rPr>
                <w:rFonts w:ascii="Arial" w:hAnsi="Arial" w:cs="Arial"/>
              </w:rPr>
              <w:t>Net Cash Flow</w:t>
            </w:r>
          </w:p>
        </w:tc>
      </w:tr>
      <w:tr w:rsidR="008C5DED" w:rsidRPr="00CF399E" w14:paraId="258556B8" w14:textId="77777777">
        <w:trPr>
          <w:tblCellSpacing w:w="15" w:type="dxa"/>
        </w:trPr>
        <w:tc>
          <w:tcPr>
            <w:tcW w:w="0" w:type="auto"/>
            <w:vAlign w:val="center"/>
            <w:hideMark/>
          </w:tcPr>
          <w:p w14:paraId="5BCCA8FC" w14:textId="77777777" w:rsidR="008C5DED" w:rsidRPr="00CF399E" w:rsidRDefault="008C5DED" w:rsidP="008C5DED">
            <w:pPr>
              <w:spacing w:after="160" w:line="259" w:lineRule="auto"/>
              <w:rPr>
                <w:rFonts w:ascii="Arial" w:hAnsi="Arial" w:cs="Arial"/>
              </w:rPr>
            </w:pPr>
            <w:r w:rsidRPr="00CF399E">
              <w:rPr>
                <w:rFonts w:ascii="Arial" w:hAnsi="Arial" w:cs="Arial"/>
              </w:rPr>
              <w:t>July</w:t>
            </w:r>
          </w:p>
        </w:tc>
        <w:tc>
          <w:tcPr>
            <w:tcW w:w="0" w:type="auto"/>
            <w:vAlign w:val="center"/>
            <w:hideMark/>
          </w:tcPr>
          <w:p w14:paraId="557BC00F" w14:textId="77777777" w:rsidR="008C5DED" w:rsidRPr="00CF399E" w:rsidRDefault="008C5DED" w:rsidP="008C5DED">
            <w:pPr>
              <w:spacing w:after="160" w:line="259" w:lineRule="auto"/>
              <w:rPr>
                <w:rFonts w:ascii="Arial" w:hAnsi="Arial" w:cs="Arial"/>
              </w:rPr>
            </w:pPr>
            <w:r w:rsidRPr="00CF399E">
              <w:rPr>
                <w:rFonts w:ascii="Arial" w:hAnsi="Arial" w:cs="Arial"/>
              </w:rPr>
              <w:t>208</w:t>
            </w:r>
          </w:p>
        </w:tc>
        <w:tc>
          <w:tcPr>
            <w:tcW w:w="0" w:type="auto"/>
            <w:vAlign w:val="center"/>
            <w:hideMark/>
          </w:tcPr>
          <w:p w14:paraId="0783EA9A" w14:textId="77777777" w:rsidR="008C5DED" w:rsidRPr="00CF399E" w:rsidRDefault="008C5DED" w:rsidP="008C5DED">
            <w:pPr>
              <w:spacing w:after="160" w:line="259" w:lineRule="auto"/>
              <w:rPr>
                <w:rFonts w:ascii="Arial" w:hAnsi="Arial" w:cs="Arial"/>
              </w:rPr>
            </w:pPr>
            <w:r w:rsidRPr="00CF399E">
              <w:rPr>
                <w:rFonts w:ascii="Arial" w:hAnsi="Arial" w:cs="Arial"/>
              </w:rPr>
              <w:t>193</w:t>
            </w:r>
          </w:p>
        </w:tc>
        <w:tc>
          <w:tcPr>
            <w:tcW w:w="0" w:type="auto"/>
            <w:vAlign w:val="center"/>
            <w:hideMark/>
          </w:tcPr>
          <w:p w14:paraId="6ACBBFAE" w14:textId="77777777" w:rsidR="008C5DED" w:rsidRPr="00CF399E" w:rsidRDefault="008C5DED" w:rsidP="008C5DED">
            <w:pPr>
              <w:spacing w:after="160" w:line="259" w:lineRule="auto"/>
              <w:rPr>
                <w:rFonts w:ascii="Arial" w:hAnsi="Arial" w:cs="Arial"/>
              </w:rPr>
            </w:pPr>
            <w:r w:rsidRPr="00CF399E">
              <w:rPr>
                <w:rFonts w:ascii="Arial" w:hAnsi="Arial" w:cs="Arial"/>
              </w:rPr>
              <w:t>15</w:t>
            </w:r>
          </w:p>
        </w:tc>
      </w:tr>
      <w:tr w:rsidR="008C5DED" w:rsidRPr="00CF399E" w14:paraId="61F3DFB6" w14:textId="77777777">
        <w:trPr>
          <w:tblCellSpacing w:w="15" w:type="dxa"/>
        </w:trPr>
        <w:tc>
          <w:tcPr>
            <w:tcW w:w="0" w:type="auto"/>
            <w:vAlign w:val="center"/>
            <w:hideMark/>
          </w:tcPr>
          <w:p w14:paraId="075CA8E3" w14:textId="77777777" w:rsidR="008C5DED" w:rsidRPr="00CF399E" w:rsidRDefault="008C5DED" w:rsidP="008C5DED">
            <w:pPr>
              <w:spacing w:after="160" w:line="259" w:lineRule="auto"/>
              <w:rPr>
                <w:rFonts w:ascii="Arial" w:hAnsi="Arial" w:cs="Arial"/>
              </w:rPr>
            </w:pPr>
            <w:r w:rsidRPr="00CF399E">
              <w:rPr>
                <w:rFonts w:ascii="Arial" w:hAnsi="Arial" w:cs="Arial"/>
              </w:rPr>
              <w:t>Aug</w:t>
            </w:r>
          </w:p>
        </w:tc>
        <w:tc>
          <w:tcPr>
            <w:tcW w:w="0" w:type="auto"/>
            <w:vAlign w:val="center"/>
            <w:hideMark/>
          </w:tcPr>
          <w:p w14:paraId="08C7D05B" w14:textId="77777777" w:rsidR="008C5DED" w:rsidRPr="00CF399E" w:rsidRDefault="008C5DED" w:rsidP="008C5DED">
            <w:pPr>
              <w:spacing w:after="160" w:line="259" w:lineRule="auto"/>
              <w:rPr>
                <w:rFonts w:ascii="Arial" w:hAnsi="Arial" w:cs="Arial"/>
              </w:rPr>
            </w:pPr>
            <w:r w:rsidRPr="00CF399E">
              <w:rPr>
                <w:rFonts w:ascii="Arial" w:hAnsi="Arial" w:cs="Arial"/>
              </w:rPr>
              <w:t>228</w:t>
            </w:r>
          </w:p>
        </w:tc>
        <w:tc>
          <w:tcPr>
            <w:tcW w:w="0" w:type="auto"/>
            <w:vAlign w:val="center"/>
            <w:hideMark/>
          </w:tcPr>
          <w:p w14:paraId="7490D5E6" w14:textId="77777777" w:rsidR="008C5DED" w:rsidRPr="00CF399E" w:rsidRDefault="008C5DED" w:rsidP="008C5DED">
            <w:pPr>
              <w:spacing w:after="160" w:line="259" w:lineRule="auto"/>
              <w:rPr>
                <w:rFonts w:ascii="Arial" w:hAnsi="Arial" w:cs="Arial"/>
              </w:rPr>
            </w:pPr>
            <w:r w:rsidRPr="00CF399E">
              <w:rPr>
                <w:rFonts w:ascii="Arial" w:hAnsi="Arial" w:cs="Arial"/>
              </w:rPr>
              <w:t>222</w:t>
            </w:r>
          </w:p>
        </w:tc>
        <w:tc>
          <w:tcPr>
            <w:tcW w:w="0" w:type="auto"/>
            <w:vAlign w:val="center"/>
            <w:hideMark/>
          </w:tcPr>
          <w:p w14:paraId="736AC426" w14:textId="77777777" w:rsidR="008C5DED" w:rsidRPr="00CF399E" w:rsidRDefault="008C5DED" w:rsidP="008C5DED">
            <w:pPr>
              <w:spacing w:after="160" w:line="259" w:lineRule="auto"/>
              <w:rPr>
                <w:rFonts w:ascii="Arial" w:hAnsi="Arial" w:cs="Arial"/>
              </w:rPr>
            </w:pPr>
            <w:r w:rsidRPr="00CF399E">
              <w:rPr>
                <w:rFonts w:ascii="Arial" w:hAnsi="Arial" w:cs="Arial"/>
              </w:rPr>
              <w:t>6</w:t>
            </w:r>
          </w:p>
        </w:tc>
      </w:tr>
      <w:tr w:rsidR="008C5DED" w:rsidRPr="00CF399E" w14:paraId="45804016" w14:textId="77777777">
        <w:trPr>
          <w:tblCellSpacing w:w="15" w:type="dxa"/>
        </w:trPr>
        <w:tc>
          <w:tcPr>
            <w:tcW w:w="0" w:type="auto"/>
            <w:vAlign w:val="center"/>
            <w:hideMark/>
          </w:tcPr>
          <w:p w14:paraId="63DA3756" w14:textId="77777777" w:rsidR="008C5DED" w:rsidRPr="00CF399E" w:rsidRDefault="008C5DED" w:rsidP="008C5DED">
            <w:pPr>
              <w:spacing w:after="160" w:line="259" w:lineRule="auto"/>
              <w:rPr>
                <w:rFonts w:ascii="Arial" w:hAnsi="Arial" w:cs="Arial"/>
              </w:rPr>
            </w:pPr>
            <w:r w:rsidRPr="00CF399E">
              <w:rPr>
                <w:rFonts w:ascii="Arial" w:hAnsi="Arial" w:cs="Arial"/>
              </w:rPr>
              <w:t>Sept</w:t>
            </w:r>
          </w:p>
        </w:tc>
        <w:tc>
          <w:tcPr>
            <w:tcW w:w="0" w:type="auto"/>
            <w:vAlign w:val="center"/>
            <w:hideMark/>
          </w:tcPr>
          <w:p w14:paraId="4589BF80" w14:textId="77777777" w:rsidR="008C5DED" w:rsidRPr="00CF399E" w:rsidRDefault="008C5DED" w:rsidP="008C5DED">
            <w:pPr>
              <w:spacing w:after="160" w:line="259" w:lineRule="auto"/>
              <w:rPr>
                <w:rFonts w:ascii="Arial" w:hAnsi="Arial" w:cs="Arial"/>
              </w:rPr>
            </w:pPr>
            <w:r w:rsidRPr="00CF399E">
              <w:rPr>
                <w:rFonts w:ascii="Arial" w:hAnsi="Arial" w:cs="Arial"/>
              </w:rPr>
              <w:t>258</w:t>
            </w:r>
          </w:p>
        </w:tc>
        <w:tc>
          <w:tcPr>
            <w:tcW w:w="0" w:type="auto"/>
            <w:vAlign w:val="center"/>
            <w:hideMark/>
          </w:tcPr>
          <w:p w14:paraId="5084627F" w14:textId="77777777" w:rsidR="008C5DED" w:rsidRPr="00CF399E" w:rsidRDefault="008C5DED" w:rsidP="008C5DED">
            <w:pPr>
              <w:spacing w:after="160" w:line="259" w:lineRule="auto"/>
              <w:rPr>
                <w:rFonts w:ascii="Arial" w:hAnsi="Arial" w:cs="Arial"/>
              </w:rPr>
            </w:pPr>
            <w:r w:rsidRPr="00CF399E">
              <w:rPr>
                <w:rFonts w:ascii="Arial" w:hAnsi="Arial" w:cs="Arial"/>
              </w:rPr>
              <w:t>230</w:t>
            </w:r>
          </w:p>
        </w:tc>
        <w:tc>
          <w:tcPr>
            <w:tcW w:w="0" w:type="auto"/>
            <w:vAlign w:val="center"/>
            <w:hideMark/>
          </w:tcPr>
          <w:p w14:paraId="01C3898B" w14:textId="77777777" w:rsidR="008C5DED" w:rsidRPr="00CF399E" w:rsidRDefault="008C5DED" w:rsidP="008C5DED">
            <w:pPr>
              <w:spacing w:after="160" w:line="259" w:lineRule="auto"/>
              <w:rPr>
                <w:rFonts w:ascii="Arial" w:hAnsi="Arial" w:cs="Arial"/>
              </w:rPr>
            </w:pPr>
            <w:r w:rsidRPr="00CF399E">
              <w:rPr>
                <w:rFonts w:ascii="Arial" w:hAnsi="Arial" w:cs="Arial"/>
              </w:rPr>
              <w:t>28</w:t>
            </w:r>
          </w:p>
        </w:tc>
      </w:tr>
      <w:tr w:rsidR="008C5DED" w:rsidRPr="00CF399E" w14:paraId="47B74DDE" w14:textId="77777777">
        <w:trPr>
          <w:tblCellSpacing w:w="15" w:type="dxa"/>
        </w:trPr>
        <w:tc>
          <w:tcPr>
            <w:tcW w:w="0" w:type="auto"/>
            <w:vAlign w:val="center"/>
            <w:hideMark/>
          </w:tcPr>
          <w:p w14:paraId="64275460" w14:textId="77777777" w:rsidR="008C5DED" w:rsidRPr="00CF399E" w:rsidRDefault="008C5DED" w:rsidP="008C5DED">
            <w:pPr>
              <w:spacing w:after="160" w:line="259" w:lineRule="auto"/>
              <w:rPr>
                <w:rFonts w:ascii="Arial" w:hAnsi="Arial" w:cs="Arial"/>
              </w:rPr>
            </w:pPr>
            <w:r w:rsidRPr="00CF399E">
              <w:rPr>
                <w:rFonts w:ascii="Arial" w:hAnsi="Arial" w:cs="Arial"/>
              </w:rPr>
              <w:t>Oct</w:t>
            </w:r>
          </w:p>
        </w:tc>
        <w:tc>
          <w:tcPr>
            <w:tcW w:w="0" w:type="auto"/>
            <w:vAlign w:val="center"/>
            <w:hideMark/>
          </w:tcPr>
          <w:p w14:paraId="53DCC330" w14:textId="77777777" w:rsidR="008C5DED" w:rsidRPr="00CF399E" w:rsidRDefault="008C5DED" w:rsidP="008C5DED">
            <w:pPr>
              <w:spacing w:after="160" w:line="259" w:lineRule="auto"/>
              <w:rPr>
                <w:rFonts w:ascii="Arial" w:hAnsi="Arial" w:cs="Arial"/>
              </w:rPr>
            </w:pPr>
            <w:r w:rsidRPr="00CF399E">
              <w:rPr>
                <w:rFonts w:ascii="Arial" w:hAnsi="Arial" w:cs="Arial"/>
              </w:rPr>
              <w:t>238</w:t>
            </w:r>
          </w:p>
        </w:tc>
        <w:tc>
          <w:tcPr>
            <w:tcW w:w="0" w:type="auto"/>
            <w:vAlign w:val="center"/>
            <w:hideMark/>
          </w:tcPr>
          <w:p w14:paraId="5738D9E2" w14:textId="77777777" w:rsidR="008C5DED" w:rsidRPr="00CF399E" w:rsidRDefault="008C5DED" w:rsidP="008C5DED">
            <w:pPr>
              <w:spacing w:after="160" w:line="259" w:lineRule="auto"/>
              <w:rPr>
                <w:rFonts w:ascii="Arial" w:hAnsi="Arial" w:cs="Arial"/>
              </w:rPr>
            </w:pPr>
            <w:r w:rsidRPr="00CF399E">
              <w:rPr>
                <w:rFonts w:ascii="Arial" w:hAnsi="Arial" w:cs="Arial"/>
              </w:rPr>
              <w:t>234</w:t>
            </w:r>
          </w:p>
        </w:tc>
        <w:tc>
          <w:tcPr>
            <w:tcW w:w="0" w:type="auto"/>
            <w:vAlign w:val="center"/>
            <w:hideMark/>
          </w:tcPr>
          <w:p w14:paraId="3B0B9DF3" w14:textId="77777777" w:rsidR="008C5DED" w:rsidRPr="00CF399E" w:rsidRDefault="008C5DED" w:rsidP="008C5DED">
            <w:pPr>
              <w:spacing w:after="160" w:line="259" w:lineRule="auto"/>
              <w:rPr>
                <w:rFonts w:ascii="Arial" w:hAnsi="Arial" w:cs="Arial"/>
              </w:rPr>
            </w:pPr>
            <w:r w:rsidRPr="00CF399E">
              <w:rPr>
                <w:rFonts w:ascii="Arial" w:hAnsi="Arial" w:cs="Arial"/>
              </w:rPr>
              <w:t>4</w:t>
            </w:r>
          </w:p>
        </w:tc>
      </w:tr>
      <w:tr w:rsidR="008C5DED" w:rsidRPr="00CF399E" w14:paraId="3B12FED8" w14:textId="77777777">
        <w:trPr>
          <w:tblCellSpacing w:w="15" w:type="dxa"/>
        </w:trPr>
        <w:tc>
          <w:tcPr>
            <w:tcW w:w="0" w:type="auto"/>
            <w:vAlign w:val="center"/>
            <w:hideMark/>
          </w:tcPr>
          <w:p w14:paraId="5E330847" w14:textId="77777777" w:rsidR="008C5DED" w:rsidRPr="00CF399E" w:rsidRDefault="008C5DED" w:rsidP="008C5DED">
            <w:pPr>
              <w:spacing w:after="160" w:line="259" w:lineRule="auto"/>
              <w:rPr>
                <w:rFonts w:ascii="Arial" w:hAnsi="Arial" w:cs="Arial"/>
              </w:rPr>
            </w:pPr>
            <w:r w:rsidRPr="00CF399E">
              <w:rPr>
                <w:rFonts w:ascii="Arial" w:hAnsi="Arial" w:cs="Arial"/>
              </w:rPr>
              <w:t>Nov</w:t>
            </w:r>
          </w:p>
        </w:tc>
        <w:tc>
          <w:tcPr>
            <w:tcW w:w="0" w:type="auto"/>
            <w:vAlign w:val="center"/>
            <w:hideMark/>
          </w:tcPr>
          <w:p w14:paraId="66D16255" w14:textId="77777777" w:rsidR="008C5DED" w:rsidRPr="00CF399E" w:rsidRDefault="008C5DED" w:rsidP="008C5DED">
            <w:pPr>
              <w:spacing w:after="160" w:line="259" w:lineRule="auto"/>
              <w:rPr>
                <w:rFonts w:ascii="Arial" w:hAnsi="Arial" w:cs="Arial"/>
              </w:rPr>
            </w:pPr>
            <w:r w:rsidRPr="00CF399E">
              <w:rPr>
                <w:rFonts w:ascii="Arial" w:hAnsi="Arial" w:cs="Arial"/>
              </w:rPr>
              <w:t>248</w:t>
            </w:r>
          </w:p>
        </w:tc>
        <w:tc>
          <w:tcPr>
            <w:tcW w:w="0" w:type="auto"/>
            <w:vAlign w:val="center"/>
            <w:hideMark/>
          </w:tcPr>
          <w:p w14:paraId="09B64F38" w14:textId="77777777" w:rsidR="008C5DED" w:rsidRPr="00CF399E" w:rsidRDefault="008C5DED" w:rsidP="008C5DED">
            <w:pPr>
              <w:spacing w:after="160" w:line="259" w:lineRule="auto"/>
              <w:rPr>
                <w:rFonts w:ascii="Arial" w:hAnsi="Arial" w:cs="Arial"/>
              </w:rPr>
            </w:pPr>
            <w:r w:rsidRPr="00CF399E">
              <w:rPr>
                <w:rFonts w:ascii="Arial" w:hAnsi="Arial" w:cs="Arial"/>
              </w:rPr>
              <w:t>246</w:t>
            </w:r>
          </w:p>
        </w:tc>
        <w:tc>
          <w:tcPr>
            <w:tcW w:w="0" w:type="auto"/>
            <w:vAlign w:val="center"/>
            <w:hideMark/>
          </w:tcPr>
          <w:p w14:paraId="3209BFE2" w14:textId="77777777" w:rsidR="008C5DED" w:rsidRPr="00CF399E" w:rsidRDefault="008C5DED" w:rsidP="008C5DED">
            <w:pPr>
              <w:spacing w:after="160" w:line="259" w:lineRule="auto"/>
              <w:rPr>
                <w:rFonts w:ascii="Arial" w:hAnsi="Arial" w:cs="Arial"/>
              </w:rPr>
            </w:pPr>
            <w:r w:rsidRPr="00CF399E">
              <w:rPr>
                <w:rFonts w:ascii="Arial" w:hAnsi="Arial" w:cs="Arial"/>
              </w:rPr>
              <w:t>2</w:t>
            </w:r>
          </w:p>
        </w:tc>
      </w:tr>
      <w:tr w:rsidR="008C5DED" w:rsidRPr="00CF399E" w14:paraId="08D6E035" w14:textId="77777777">
        <w:trPr>
          <w:tblCellSpacing w:w="15" w:type="dxa"/>
        </w:trPr>
        <w:tc>
          <w:tcPr>
            <w:tcW w:w="0" w:type="auto"/>
            <w:vAlign w:val="center"/>
            <w:hideMark/>
          </w:tcPr>
          <w:p w14:paraId="62C771B8" w14:textId="77777777" w:rsidR="008C5DED" w:rsidRPr="00CF399E" w:rsidRDefault="008C5DED" w:rsidP="008C5DED">
            <w:pPr>
              <w:spacing w:after="160" w:line="259" w:lineRule="auto"/>
              <w:rPr>
                <w:rFonts w:ascii="Arial" w:hAnsi="Arial" w:cs="Arial"/>
              </w:rPr>
            </w:pPr>
            <w:r w:rsidRPr="00CF399E">
              <w:rPr>
                <w:rFonts w:ascii="Arial" w:hAnsi="Arial" w:cs="Arial"/>
              </w:rPr>
              <w:t>Dec</w:t>
            </w:r>
          </w:p>
        </w:tc>
        <w:tc>
          <w:tcPr>
            <w:tcW w:w="0" w:type="auto"/>
            <w:vAlign w:val="center"/>
            <w:hideMark/>
          </w:tcPr>
          <w:p w14:paraId="1862841A" w14:textId="77777777" w:rsidR="008C5DED" w:rsidRPr="00CF399E" w:rsidRDefault="008C5DED" w:rsidP="008C5DED">
            <w:pPr>
              <w:spacing w:after="160" w:line="259" w:lineRule="auto"/>
              <w:rPr>
                <w:rFonts w:ascii="Arial" w:hAnsi="Arial" w:cs="Arial"/>
              </w:rPr>
            </w:pPr>
            <w:r w:rsidRPr="00CF399E">
              <w:rPr>
                <w:rFonts w:ascii="Arial" w:hAnsi="Arial" w:cs="Arial"/>
              </w:rPr>
              <w:t>278</w:t>
            </w:r>
          </w:p>
        </w:tc>
        <w:tc>
          <w:tcPr>
            <w:tcW w:w="0" w:type="auto"/>
            <w:vAlign w:val="center"/>
            <w:hideMark/>
          </w:tcPr>
          <w:p w14:paraId="16728E46" w14:textId="77777777" w:rsidR="008C5DED" w:rsidRPr="00CF399E" w:rsidRDefault="008C5DED" w:rsidP="008C5DED">
            <w:pPr>
              <w:spacing w:after="160" w:line="259" w:lineRule="auto"/>
              <w:rPr>
                <w:rFonts w:ascii="Arial" w:hAnsi="Arial" w:cs="Arial"/>
              </w:rPr>
            </w:pPr>
            <w:r w:rsidRPr="00CF399E">
              <w:rPr>
                <w:rFonts w:ascii="Arial" w:hAnsi="Arial" w:cs="Arial"/>
              </w:rPr>
              <w:t>225</w:t>
            </w:r>
          </w:p>
        </w:tc>
        <w:tc>
          <w:tcPr>
            <w:tcW w:w="0" w:type="auto"/>
            <w:vAlign w:val="center"/>
            <w:hideMark/>
          </w:tcPr>
          <w:p w14:paraId="43C8C914" w14:textId="77777777" w:rsidR="008C5DED" w:rsidRPr="00CF399E" w:rsidRDefault="008C5DED" w:rsidP="008C5DED">
            <w:pPr>
              <w:spacing w:after="160" w:line="259" w:lineRule="auto"/>
              <w:rPr>
                <w:rFonts w:ascii="Arial" w:hAnsi="Arial" w:cs="Arial"/>
              </w:rPr>
            </w:pPr>
            <w:r w:rsidRPr="00CF399E">
              <w:rPr>
                <w:rFonts w:ascii="Arial" w:hAnsi="Arial" w:cs="Arial"/>
              </w:rPr>
              <w:t>53</w:t>
            </w:r>
          </w:p>
        </w:tc>
      </w:tr>
    </w:tbl>
    <w:p w14:paraId="4EDE25DF" w14:textId="77777777" w:rsidR="008C5DED" w:rsidRPr="00CF399E" w:rsidRDefault="008C5DED" w:rsidP="008C5DED">
      <w:pPr>
        <w:spacing w:after="160" w:line="259" w:lineRule="auto"/>
        <w:rPr>
          <w:rFonts w:ascii="Arial" w:hAnsi="Arial" w:cs="Arial"/>
        </w:rPr>
      </w:pPr>
    </w:p>
    <w:p w14:paraId="3CB2BB0B" w14:textId="77777777" w:rsidR="008C5DED" w:rsidRPr="00CF399E" w:rsidRDefault="008C5DED" w:rsidP="008C5DED">
      <w:pPr>
        <w:rPr>
          <w:rFonts w:ascii="Arial" w:hAnsi="Arial" w:cs="Arial"/>
        </w:rPr>
      </w:pPr>
      <w:r w:rsidRPr="00CF399E">
        <w:rPr>
          <w:rFonts w:ascii="Arial" w:hAnsi="Arial" w:cs="Arial"/>
        </w:rPr>
        <w:t>The cash budget demonstrates that the company generates positive monthly cash flows throughout the period. These surpluses gradually improve the company’s financial position and enable the overdraft to be eliminated before the end of the year. However, the relatively small surpluses in several months suggest that the company may experience periods of liquidity pressure if actual sales fall below forecast levels or if unexpected costs arise.</w:t>
      </w:r>
    </w:p>
    <w:p w14:paraId="3A1E8156" w14:textId="77777777" w:rsidR="002D7755" w:rsidRPr="00CF399E" w:rsidRDefault="002D7755" w:rsidP="002D7755">
      <w:pPr>
        <w:spacing w:after="160" w:line="259" w:lineRule="auto"/>
        <w:rPr>
          <w:rFonts w:ascii="Arial" w:hAnsi="Arial" w:cs="Arial"/>
        </w:rPr>
      </w:pPr>
      <w:r w:rsidRPr="00CF399E">
        <w:rPr>
          <w:rFonts w:ascii="Arial" w:hAnsi="Arial" w:cs="Arial"/>
        </w:rPr>
        <w:t xml:space="preserve">This situation highlights a fundamental principle of financial management: </w:t>
      </w:r>
      <w:r w:rsidRPr="00CF399E">
        <w:rPr>
          <w:rFonts w:ascii="Arial" w:eastAsiaTheme="majorEastAsia" w:hAnsi="Arial" w:cs="Arial"/>
        </w:rPr>
        <w:t>profitability does not automatically guarantee liquidity</w:t>
      </w:r>
      <w:r w:rsidRPr="00CF399E">
        <w:rPr>
          <w:rFonts w:ascii="Arial" w:hAnsi="Arial" w:cs="Arial"/>
        </w:rPr>
        <w:t>. An organisation may report strong profits but still struggle to meet short-term financial obligations if cash inflows and outflows are poorly managed (Bragg, 2017).</w:t>
      </w:r>
    </w:p>
    <w:p w14:paraId="3F5488A0" w14:textId="77777777" w:rsidR="002D7755" w:rsidRPr="00CF399E" w:rsidRDefault="002D7755" w:rsidP="002D7755">
      <w:pPr>
        <w:spacing w:after="160" w:line="259" w:lineRule="auto"/>
        <w:rPr>
          <w:rFonts w:ascii="Arial" w:hAnsi="Arial" w:cs="Arial"/>
        </w:rPr>
      </w:pPr>
      <w:r w:rsidRPr="00CF399E">
        <w:rPr>
          <w:rFonts w:ascii="Arial" w:hAnsi="Arial" w:cs="Arial"/>
        </w:rPr>
        <w:t>For example, if Silver Stitch Ltd continues to increase its inventory levels as shown in the stock budget, a large proportion of the company’s cash may become tied up in unsold goods. This would reduce the amount of cash available to repay the overdraft, even though the company remains profitable on paper. Consequently, effective working capital management will be essential for maintaining liquidity during the planning period.</w:t>
      </w:r>
    </w:p>
    <w:p w14:paraId="1A173477" w14:textId="77777777" w:rsidR="002D7755" w:rsidRPr="00CF399E" w:rsidRDefault="002D7755" w:rsidP="008C5DED">
      <w:pPr>
        <w:spacing w:after="160" w:line="259" w:lineRule="auto"/>
        <w:rPr>
          <w:rFonts w:ascii="Arial" w:hAnsi="Arial" w:cs="Arial"/>
        </w:rPr>
      </w:pPr>
    </w:p>
    <w:p w14:paraId="5B4D404E" w14:textId="77777777" w:rsidR="002D7755" w:rsidRPr="00CF399E" w:rsidRDefault="002D7755" w:rsidP="008C5DED">
      <w:pPr>
        <w:rPr>
          <w:rFonts w:ascii="Arial" w:hAnsi="Arial" w:cs="Arial"/>
        </w:rPr>
      </w:pPr>
    </w:p>
    <w:p w14:paraId="66D93727" w14:textId="77777777" w:rsidR="006D3194" w:rsidRDefault="006D3194" w:rsidP="008C5DED">
      <w:pPr>
        <w:spacing w:after="160" w:line="259" w:lineRule="auto"/>
        <w:rPr>
          <w:rFonts w:ascii="Arial" w:hAnsi="Arial" w:cs="Arial"/>
          <w:b/>
          <w:bCs/>
        </w:rPr>
      </w:pPr>
    </w:p>
    <w:p w14:paraId="26D1DC38" w14:textId="77777777" w:rsidR="00BE042E" w:rsidRDefault="00BE042E" w:rsidP="006D3194">
      <w:pPr>
        <w:pStyle w:val="Heading1"/>
      </w:pPr>
    </w:p>
    <w:p w14:paraId="37A11AFE" w14:textId="0E3BCA70" w:rsidR="008C5DED" w:rsidRPr="00CF399E" w:rsidRDefault="008C5DED" w:rsidP="006D3194">
      <w:pPr>
        <w:pStyle w:val="Heading1"/>
      </w:pPr>
      <w:bookmarkStart w:id="6" w:name="_Toc224757669"/>
      <w:r w:rsidRPr="00CF399E">
        <w:t>3.3 Budgeted Profit and Loss Statement</w:t>
      </w:r>
      <w:bookmarkEnd w:id="6"/>
    </w:p>
    <w:p w14:paraId="3A95420A" w14:textId="77777777" w:rsidR="008C5DED" w:rsidRPr="00CF399E" w:rsidRDefault="008C5DED" w:rsidP="008C5DED">
      <w:pPr>
        <w:spacing w:after="160" w:line="259" w:lineRule="auto"/>
        <w:rPr>
          <w:rFonts w:ascii="Arial" w:hAnsi="Arial" w:cs="Arial"/>
        </w:rPr>
      </w:pPr>
      <w:r w:rsidRPr="00CF399E">
        <w:rPr>
          <w:rFonts w:ascii="Arial" w:hAnsi="Arial" w:cs="Arial"/>
        </w:rPr>
        <w:t>The budgeted profit and loss statement summarises the expected financial performance of the company over the six-month planning period. While the cash budget focuses on liquidity, the profit and loss statement measures the company’s ability to generate earnings after accounting for operating costs and other expenses (Kaplan and Atkinson, 2015).</w:t>
      </w:r>
    </w:p>
    <w:p w14:paraId="359C9902" w14:textId="77777777" w:rsidR="008C5DED" w:rsidRPr="00CF399E" w:rsidRDefault="008C5DED" w:rsidP="008C5DED">
      <w:pPr>
        <w:rPr>
          <w:rFonts w:ascii="Arial" w:hAnsi="Arial" w:cs="Arial"/>
        </w:rPr>
      </w:pPr>
    </w:p>
    <w:p w14:paraId="49B8FC89" w14:textId="62B42FDA" w:rsidR="008C5DED" w:rsidRPr="00CF399E" w:rsidRDefault="008C5DED" w:rsidP="008C5DED">
      <w:pPr>
        <w:spacing w:after="160" w:line="259" w:lineRule="auto"/>
        <w:rPr>
          <w:rFonts w:ascii="Arial" w:hAnsi="Arial" w:cs="Arial"/>
        </w:rPr>
      </w:pPr>
      <w:r w:rsidRPr="00CF399E">
        <w:rPr>
          <w:rFonts w:ascii="Arial" w:hAnsi="Arial" w:cs="Arial"/>
        </w:rPr>
        <w:t>Budgeted Profit &amp; Loss Statement (July–December) (£000)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7"/>
        <w:gridCol w:w="903"/>
      </w:tblGrid>
      <w:tr w:rsidR="008C5DED" w:rsidRPr="00CF399E" w14:paraId="1397643E" w14:textId="77777777">
        <w:trPr>
          <w:tblHeader/>
          <w:tblCellSpacing w:w="15" w:type="dxa"/>
        </w:trPr>
        <w:tc>
          <w:tcPr>
            <w:tcW w:w="0" w:type="auto"/>
            <w:vAlign w:val="center"/>
            <w:hideMark/>
          </w:tcPr>
          <w:p w14:paraId="58BCFB65" w14:textId="77777777" w:rsidR="008C5DED" w:rsidRPr="00CF399E" w:rsidRDefault="008C5DED" w:rsidP="008C5DED">
            <w:pPr>
              <w:spacing w:after="160" w:line="259" w:lineRule="auto"/>
              <w:rPr>
                <w:rFonts w:ascii="Arial" w:hAnsi="Arial" w:cs="Arial"/>
              </w:rPr>
            </w:pPr>
            <w:r w:rsidRPr="00CF399E">
              <w:rPr>
                <w:rFonts w:ascii="Arial" w:hAnsi="Arial" w:cs="Arial"/>
              </w:rPr>
              <w:t>Item</w:t>
            </w:r>
          </w:p>
        </w:tc>
        <w:tc>
          <w:tcPr>
            <w:tcW w:w="0" w:type="auto"/>
            <w:vAlign w:val="center"/>
            <w:hideMark/>
          </w:tcPr>
          <w:p w14:paraId="6505338C" w14:textId="77777777" w:rsidR="008C5DED" w:rsidRPr="00CF399E" w:rsidRDefault="008C5DED" w:rsidP="008C5DED">
            <w:pPr>
              <w:spacing w:after="160" w:line="259" w:lineRule="auto"/>
              <w:rPr>
                <w:rFonts w:ascii="Arial" w:hAnsi="Arial" w:cs="Arial"/>
              </w:rPr>
            </w:pPr>
            <w:r w:rsidRPr="00CF399E">
              <w:rPr>
                <w:rFonts w:ascii="Arial" w:hAnsi="Arial" w:cs="Arial"/>
              </w:rPr>
              <w:t>Amount</w:t>
            </w:r>
          </w:p>
        </w:tc>
      </w:tr>
      <w:tr w:rsidR="008C5DED" w:rsidRPr="00CF399E" w14:paraId="684A9536" w14:textId="77777777">
        <w:trPr>
          <w:tblCellSpacing w:w="15" w:type="dxa"/>
        </w:trPr>
        <w:tc>
          <w:tcPr>
            <w:tcW w:w="0" w:type="auto"/>
            <w:vAlign w:val="center"/>
            <w:hideMark/>
          </w:tcPr>
          <w:p w14:paraId="31ED64F5" w14:textId="77777777" w:rsidR="008C5DED" w:rsidRPr="00CF399E" w:rsidRDefault="008C5DED" w:rsidP="008C5DED">
            <w:pPr>
              <w:spacing w:after="160" w:line="259" w:lineRule="auto"/>
              <w:rPr>
                <w:rFonts w:ascii="Arial" w:hAnsi="Arial" w:cs="Arial"/>
              </w:rPr>
            </w:pPr>
            <w:r w:rsidRPr="00CF399E">
              <w:rPr>
                <w:rFonts w:ascii="Arial" w:hAnsi="Arial" w:cs="Arial"/>
              </w:rPr>
              <w:t>Sales Revenue</w:t>
            </w:r>
          </w:p>
        </w:tc>
        <w:tc>
          <w:tcPr>
            <w:tcW w:w="0" w:type="auto"/>
            <w:vAlign w:val="center"/>
            <w:hideMark/>
          </w:tcPr>
          <w:p w14:paraId="7B46DAF3" w14:textId="77777777" w:rsidR="008C5DED" w:rsidRPr="00CF399E" w:rsidRDefault="008C5DED" w:rsidP="008C5DED">
            <w:pPr>
              <w:spacing w:after="160" w:line="259" w:lineRule="auto"/>
              <w:rPr>
                <w:rFonts w:ascii="Arial" w:hAnsi="Arial" w:cs="Arial"/>
              </w:rPr>
            </w:pPr>
            <w:r w:rsidRPr="00CF399E">
              <w:rPr>
                <w:rFonts w:ascii="Arial" w:hAnsi="Arial" w:cs="Arial"/>
              </w:rPr>
              <w:t>1,470</w:t>
            </w:r>
          </w:p>
        </w:tc>
      </w:tr>
      <w:tr w:rsidR="008C5DED" w:rsidRPr="00CF399E" w14:paraId="03E5D21F" w14:textId="77777777">
        <w:trPr>
          <w:tblCellSpacing w:w="15" w:type="dxa"/>
        </w:trPr>
        <w:tc>
          <w:tcPr>
            <w:tcW w:w="0" w:type="auto"/>
            <w:vAlign w:val="center"/>
            <w:hideMark/>
          </w:tcPr>
          <w:p w14:paraId="104B190E" w14:textId="77777777" w:rsidR="008C5DED" w:rsidRPr="00CF399E" w:rsidRDefault="008C5DED" w:rsidP="008C5DED">
            <w:pPr>
              <w:spacing w:after="160" w:line="259" w:lineRule="auto"/>
              <w:rPr>
                <w:rFonts w:ascii="Arial" w:hAnsi="Arial" w:cs="Arial"/>
              </w:rPr>
            </w:pPr>
            <w:r w:rsidRPr="00CF399E">
              <w:rPr>
                <w:rFonts w:ascii="Arial" w:hAnsi="Arial" w:cs="Arial"/>
              </w:rPr>
              <w:t>Cost of Sales</w:t>
            </w:r>
          </w:p>
        </w:tc>
        <w:tc>
          <w:tcPr>
            <w:tcW w:w="0" w:type="auto"/>
            <w:vAlign w:val="center"/>
            <w:hideMark/>
          </w:tcPr>
          <w:p w14:paraId="2C0CD8CC" w14:textId="77777777" w:rsidR="008C5DED" w:rsidRPr="00CF399E" w:rsidRDefault="008C5DED" w:rsidP="008C5DED">
            <w:pPr>
              <w:spacing w:after="160" w:line="259" w:lineRule="auto"/>
              <w:rPr>
                <w:rFonts w:ascii="Arial" w:hAnsi="Arial" w:cs="Arial"/>
              </w:rPr>
            </w:pPr>
            <w:r w:rsidRPr="00CF399E">
              <w:rPr>
                <w:rFonts w:ascii="Arial" w:hAnsi="Arial" w:cs="Arial"/>
              </w:rPr>
              <w:t>(882)</w:t>
            </w:r>
          </w:p>
        </w:tc>
      </w:tr>
      <w:tr w:rsidR="008C5DED" w:rsidRPr="00CF399E" w14:paraId="3816F717" w14:textId="77777777">
        <w:trPr>
          <w:tblCellSpacing w:w="15" w:type="dxa"/>
        </w:trPr>
        <w:tc>
          <w:tcPr>
            <w:tcW w:w="0" w:type="auto"/>
            <w:vAlign w:val="center"/>
            <w:hideMark/>
          </w:tcPr>
          <w:p w14:paraId="22BA91BB" w14:textId="77777777" w:rsidR="008C5DED" w:rsidRPr="00CF399E" w:rsidRDefault="008C5DED" w:rsidP="008C5DED">
            <w:pPr>
              <w:spacing w:after="160" w:line="259" w:lineRule="auto"/>
              <w:rPr>
                <w:rFonts w:ascii="Arial" w:hAnsi="Arial" w:cs="Arial"/>
              </w:rPr>
            </w:pPr>
            <w:r w:rsidRPr="00CF399E">
              <w:rPr>
                <w:rFonts w:ascii="Arial" w:eastAsiaTheme="majorEastAsia" w:hAnsi="Arial" w:cs="Arial"/>
              </w:rPr>
              <w:t>Gross Profit</w:t>
            </w:r>
          </w:p>
        </w:tc>
        <w:tc>
          <w:tcPr>
            <w:tcW w:w="0" w:type="auto"/>
            <w:vAlign w:val="center"/>
            <w:hideMark/>
          </w:tcPr>
          <w:p w14:paraId="6A757BB0" w14:textId="77777777" w:rsidR="008C5DED" w:rsidRPr="00CF399E" w:rsidRDefault="008C5DED" w:rsidP="008C5DED">
            <w:pPr>
              <w:spacing w:after="160" w:line="259" w:lineRule="auto"/>
              <w:rPr>
                <w:rFonts w:ascii="Arial" w:hAnsi="Arial" w:cs="Arial"/>
              </w:rPr>
            </w:pPr>
            <w:r w:rsidRPr="00CF399E">
              <w:rPr>
                <w:rFonts w:ascii="Arial" w:eastAsiaTheme="majorEastAsia" w:hAnsi="Arial" w:cs="Arial"/>
              </w:rPr>
              <w:t>588</w:t>
            </w:r>
          </w:p>
        </w:tc>
      </w:tr>
      <w:tr w:rsidR="008C5DED" w:rsidRPr="00CF399E" w14:paraId="7A701636" w14:textId="77777777">
        <w:trPr>
          <w:tblCellSpacing w:w="15" w:type="dxa"/>
        </w:trPr>
        <w:tc>
          <w:tcPr>
            <w:tcW w:w="0" w:type="auto"/>
            <w:vAlign w:val="center"/>
            <w:hideMark/>
          </w:tcPr>
          <w:p w14:paraId="6411F343" w14:textId="77777777" w:rsidR="008C5DED" w:rsidRPr="00CF399E" w:rsidRDefault="008C5DED" w:rsidP="008C5DED">
            <w:pPr>
              <w:spacing w:after="160" w:line="259" w:lineRule="auto"/>
              <w:rPr>
                <w:rFonts w:ascii="Arial" w:hAnsi="Arial" w:cs="Arial"/>
              </w:rPr>
            </w:pPr>
            <w:r w:rsidRPr="00CF399E">
              <w:rPr>
                <w:rFonts w:ascii="Arial" w:hAnsi="Arial" w:cs="Arial"/>
              </w:rPr>
              <w:t>Administration Expenses</w:t>
            </w:r>
          </w:p>
        </w:tc>
        <w:tc>
          <w:tcPr>
            <w:tcW w:w="0" w:type="auto"/>
            <w:vAlign w:val="center"/>
            <w:hideMark/>
          </w:tcPr>
          <w:p w14:paraId="1FAE3D3D" w14:textId="77777777" w:rsidR="008C5DED" w:rsidRPr="00CF399E" w:rsidRDefault="008C5DED" w:rsidP="008C5DED">
            <w:pPr>
              <w:spacing w:after="160" w:line="259" w:lineRule="auto"/>
              <w:rPr>
                <w:rFonts w:ascii="Arial" w:hAnsi="Arial" w:cs="Arial"/>
              </w:rPr>
            </w:pPr>
            <w:r w:rsidRPr="00CF399E">
              <w:rPr>
                <w:rFonts w:ascii="Arial" w:hAnsi="Arial" w:cs="Arial"/>
              </w:rPr>
              <w:t>(159)</w:t>
            </w:r>
          </w:p>
        </w:tc>
      </w:tr>
      <w:tr w:rsidR="008C5DED" w:rsidRPr="00CF399E" w14:paraId="1B1590ED" w14:textId="77777777">
        <w:trPr>
          <w:tblCellSpacing w:w="15" w:type="dxa"/>
        </w:trPr>
        <w:tc>
          <w:tcPr>
            <w:tcW w:w="0" w:type="auto"/>
            <w:vAlign w:val="center"/>
            <w:hideMark/>
          </w:tcPr>
          <w:p w14:paraId="391119A4" w14:textId="77777777" w:rsidR="008C5DED" w:rsidRPr="00CF399E" w:rsidRDefault="008C5DED" w:rsidP="008C5DED">
            <w:pPr>
              <w:spacing w:after="160" w:line="259" w:lineRule="auto"/>
              <w:rPr>
                <w:rFonts w:ascii="Arial" w:hAnsi="Arial" w:cs="Arial"/>
              </w:rPr>
            </w:pPr>
            <w:r w:rsidRPr="00CF399E">
              <w:rPr>
                <w:rFonts w:ascii="Arial" w:hAnsi="Arial" w:cs="Arial"/>
              </w:rPr>
              <w:t>Selling Expenses</w:t>
            </w:r>
          </w:p>
        </w:tc>
        <w:tc>
          <w:tcPr>
            <w:tcW w:w="0" w:type="auto"/>
            <w:vAlign w:val="center"/>
            <w:hideMark/>
          </w:tcPr>
          <w:p w14:paraId="60118483" w14:textId="77777777" w:rsidR="008C5DED" w:rsidRPr="00CF399E" w:rsidRDefault="008C5DED" w:rsidP="008C5DED">
            <w:pPr>
              <w:spacing w:after="160" w:line="259" w:lineRule="auto"/>
              <w:rPr>
                <w:rFonts w:ascii="Arial" w:hAnsi="Arial" w:cs="Arial"/>
              </w:rPr>
            </w:pPr>
            <w:r w:rsidRPr="00CF399E">
              <w:rPr>
                <w:rFonts w:ascii="Arial" w:hAnsi="Arial" w:cs="Arial"/>
              </w:rPr>
              <w:t>(42)</w:t>
            </w:r>
          </w:p>
        </w:tc>
      </w:tr>
      <w:tr w:rsidR="008C5DED" w:rsidRPr="00CF399E" w14:paraId="5E906362" w14:textId="77777777">
        <w:trPr>
          <w:tblCellSpacing w:w="15" w:type="dxa"/>
        </w:trPr>
        <w:tc>
          <w:tcPr>
            <w:tcW w:w="0" w:type="auto"/>
            <w:vAlign w:val="center"/>
            <w:hideMark/>
          </w:tcPr>
          <w:p w14:paraId="256586D3" w14:textId="77777777" w:rsidR="008C5DED" w:rsidRPr="00CF399E" w:rsidRDefault="008C5DED" w:rsidP="008C5DED">
            <w:pPr>
              <w:spacing w:after="160" w:line="259" w:lineRule="auto"/>
              <w:rPr>
                <w:rFonts w:ascii="Arial" w:hAnsi="Arial" w:cs="Arial"/>
              </w:rPr>
            </w:pPr>
            <w:r w:rsidRPr="00CF399E">
              <w:rPr>
                <w:rFonts w:ascii="Arial" w:hAnsi="Arial" w:cs="Arial"/>
              </w:rPr>
              <w:t>Credit Card Charges</w:t>
            </w:r>
          </w:p>
        </w:tc>
        <w:tc>
          <w:tcPr>
            <w:tcW w:w="0" w:type="auto"/>
            <w:vAlign w:val="center"/>
            <w:hideMark/>
          </w:tcPr>
          <w:p w14:paraId="42F2255E" w14:textId="77777777" w:rsidR="008C5DED" w:rsidRPr="00CF399E" w:rsidRDefault="008C5DED" w:rsidP="008C5DED">
            <w:pPr>
              <w:spacing w:after="160" w:line="259" w:lineRule="auto"/>
              <w:rPr>
                <w:rFonts w:ascii="Arial" w:hAnsi="Arial" w:cs="Arial"/>
              </w:rPr>
            </w:pPr>
            <w:r w:rsidRPr="00CF399E">
              <w:rPr>
                <w:rFonts w:ascii="Arial" w:hAnsi="Arial" w:cs="Arial"/>
              </w:rPr>
              <w:t>(12.86)</w:t>
            </w:r>
          </w:p>
        </w:tc>
      </w:tr>
      <w:tr w:rsidR="008C5DED" w:rsidRPr="00CF399E" w14:paraId="30D5CF08" w14:textId="77777777">
        <w:trPr>
          <w:tblCellSpacing w:w="15" w:type="dxa"/>
        </w:trPr>
        <w:tc>
          <w:tcPr>
            <w:tcW w:w="0" w:type="auto"/>
            <w:vAlign w:val="center"/>
            <w:hideMark/>
          </w:tcPr>
          <w:p w14:paraId="64419771" w14:textId="77777777" w:rsidR="008C5DED" w:rsidRPr="00CF399E" w:rsidRDefault="008C5DED" w:rsidP="008C5DED">
            <w:pPr>
              <w:spacing w:after="160" w:line="259" w:lineRule="auto"/>
              <w:rPr>
                <w:rFonts w:ascii="Arial" w:hAnsi="Arial" w:cs="Arial"/>
              </w:rPr>
            </w:pPr>
            <w:r w:rsidRPr="00CF399E">
              <w:rPr>
                <w:rFonts w:ascii="Arial" w:eastAsiaTheme="majorEastAsia" w:hAnsi="Arial" w:cs="Arial"/>
              </w:rPr>
              <w:t>Operating Profit</w:t>
            </w:r>
          </w:p>
        </w:tc>
        <w:tc>
          <w:tcPr>
            <w:tcW w:w="0" w:type="auto"/>
            <w:vAlign w:val="center"/>
            <w:hideMark/>
          </w:tcPr>
          <w:p w14:paraId="435BB905" w14:textId="77777777" w:rsidR="008C5DED" w:rsidRPr="00CF399E" w:rsidRDefault="008C5DED" w:rsidP="008C5DED">
            <w:pPr>
              <w:spacing w:after="160" w:line="259" w:lineRule="auto"/>
              <w:rPr>
                <w:rFonts w:ascii="Arial" w:hAnsi="Arial" w:cs="Arial"/>
              </w:rPr>
            </w:pPr>
            <w:r w:rsidRPr="00CF399E">
              <w:rPr>
                <w:rFonts w:ascii="Arial" w:eastAsiaTheme="majorEastAsia" w:hAnsi="Arial" w:cs="Arial"/>
              </w:rPr>
              <w:t>374.14</w:t>
            </w:r>
          </w:p>
        </w:tc>
      </w:tr>
      <w:tr w:rsidR="008C5DED" w:rsidRPr="00CF399E" w14:paraId="18C315E6" w14:textId="77777777">
        <w:trPr>
          <w:tblCellSpacing w:w="15" w:type="dxa"/>
        </w:trPr>
        <w:tc>
          <w:tcPr>
            <w:tcW w:w="0" w:type="auto"/>
            <w:vAlign w:val="center"/>
            <w:hideMark/>
          </w:tcPr>
          <w:p w14:paraId="1574340F" w14:textId="77777777" w:rsidR="008C5DED" w:rsidRPr="00CF399E" w:rsidRDefault="008C5DED" w:rsidP="008C5DED">
            <w:pPr>
              <w:spacing w:after="160" w:line="259" w:lineRule="auto"/>
              <w:rPr>
                <w:rFonts w:ascii="Arial" w:hAnsi="Arial" w:cs="Arial"/>
              </w:rPr>
            </w:pPr>
            <w:r w:rsidRPr="00CF399E">
              <w:rPr>
                <w:rFonts w:ascii="Arial" w:hAnsi="Arial" w:cs="Arial"/>
              </w:rPr>
              <w:t>Interest Expense</w:t>
            </w:r>
          </w:p>
        </w:tc>
        <w:tc>
          <w:tcPr>
            <w:tcW w:w="0" w:type="auto"/>
            <w:vAlign w:val="center"/>
            <w:hideMark/>
          </w:tcPr>
          <w:p w14:paraId="25FDE83C" w14:textId="77777777" w:rsidR="008C5DED" w:rsidRPr="00CF399E" w:rsidRDefault="008C5DED" w:rsidP="008C5DED">
            <w:pPr>
              <w:spacing w:after="160" w:line="259" w:lineRule="auto"/>
              <w:rPr>
                <w:rFonts w:ascii="Arial" w:hAnsi="Arial" w:cs="Arial"/>
              </w:rPr>
            </w:pPr>
            <w:r w:rsidRPr="00CF399E">
              <w:rPr>
                <w:rFonts w:ascii="Arial" w:hAnsi="Arial" w:cs="Arial"/>
              </w:rPr>
              <w:t>(6)</w:t>
            </w:r>
          </w:p>
        </w:tc>
      </w:tr>
      <w:tr w:rsidR="008C5DED" w:rsidRPr="00CF399E" w14:paraId="4D4C776C" w14:textId="77777777">
        <w:trPr>
          <w:tblCellSpacing w:w="15" w:type="dxa"/>
        </w:trPr>
        <w:tc>
          <w:tcPr>
            <w:tcW w:w="0" w:type="auto"/>
            <w:vAlign w:val="center"/>
            <w:hideMark/>
          </w:tcPr>
          <w:p w14:paraId="0F2BD2B4" w14:textId="77777777" w:rsidR="008C5DED" w:rsidRPr="00CF399E" w:rsidRDefault="008C5DED" w:rsidP="008C5DED">
            <w:pPr>
              <w:spacing w:after="160" w:line="259" w:lineRule="auto"/>
              <w:rPr>
                <w:rFonts w:ascii="Arial" w:hAnsi="Arial" w:cs="Arial"/>
              </w:rPr>
            </w:pPr>
            <w:r w:rsidRPr="00CF399E">
              <w:rPr>
                <w:rFonts w:ascii="Arial" w:eastAsiaTheme="majorEastAsia" w:hAnsi="Arial" w:cs="Arial"/>
              </w:rPr>
              <w:t>Profit Before Tax</w:t>
            </w:r>
          </w:p>
        </w:tc>
        <w:tc>
          <w:tcPr>
            <w:tcW w:w="0" w:type="auto"/>
            <w:vAlign w:val="center"/>
            <w:hideMark/>
          </w:tcPr>
          <w:p w14:paraId="3F50F185" w14:textId="77777777" w:rsidR="008C5DED" w:rsidRPr="00CF399E" w:rsidRDefault="008C5DED" w:rsidP="008C5DED">
            <w:pPr>
              <w:rPr>
                <w:rFonts w:ascii="Arial" w:hAnsi="Arial" w:cs="Arial"/>
              </w:rPr>
            </w:pPr>
            <w:r w:rsidRPr="00CF399E">
              <w:rPr>
                <w:rFonts w:ascii="Arial" w:eastAsiaTheme="majorEastAsia" w:hAnsi="Arial" w:cs="Arial"/>
              </w:rPr>
              <w:t>368.14</w:t>
            </w:r>
          </w:p>
          <w:p w14:paraId="1F3EF512" w14:textId="77777777" w:rsidR="008C5DED" w:rsidRPr="00CF399E" w:rsidRDefault="008C5DED" w:rsidP="008C5DED">
            <w:pPr>
              <w:spacing w:after="160" w:line="259" w:lineRule="auto"/>
              <w:rPr>
                <w:rFonts w:ascii="Arial" w:hAnsi="Arial" w:cs="Arial"/>
              </w:rPr>
            </w:pPr>
          </w:p>
        </w:tc>
      </w:tr>
    </w:tbl>
    <w:p w14:paraId="6BA777F7" w14:textId="77777777" w:rsidR="00DC13E2" w:rsidRPr="00DC13E2" w:rsidRDefault="00DC13E2" w:rsidP="00DC13E2">
      <w:pPr>
        <w:spacing w:after="160" w:line="259" w:lineRule="auto"/>
        <w:rPr>
          <w:rFonts w:ascii="Arial" w:hAnsi="Arial" w:cs="Arial"/>
        </w:rPr>
      </w:pPr>
      <w:r w:rsidRPr="00DC13E2">
        <w:rPr>
          <w:rFonts w:ascii="Arial" w:hAnsi="Arial" w:cs="Arial"/>
        </w:rPr>
        <w:t>Overall, the budgeted profit and loss statement suggests that Silver Stitch Ltd is expected to perform strongly over the six-month period. Total sales revenue is forecast at £1,470,000, generating a gross profit of £588,000, which reflects a solid gross profit margin of around 40%. After accounting for administration and selling expenses, as well as credit card charges, the company is expected to achieve an operating profit of £374,140. Once interest costs are deducted, the forecast profit before tax stands at £368,140.</w:t>
      </w:r>
    </w:p>
    <w:p w14:paraId="12B2259C" w14:textId="77777777" w:rsidR="00DC13E2" w:rsidRPr="00DC13E2" w:rsidRDefault="00DC13E2" w:rsidP="00DC13E2">
      <w:pPr>
        <w:spacing w:after="160" w:line="259" w:lineRule="auto"/>
        <w:rPr>
          <w:rFonts w:ascii="Arial" w:hAnsi="Arial" w:cs="Arial"/>
        </w:rPr>
      </w:pPr>
      <w:r w:rsidRPr="00DC13E2">
        <w:rPr>
          <w:rFonts w:ascii="Arial" w:hAnsi="Arial" w:cs="Arial"/>
        </w:rPr>
        <w:t>These results indicate that the business is operating profitably and benefits from a strong pricing strategy. However, this level of profitability should be considered alongside the company’s cash flow position. Some costs included in the profit and loss statement, such as depreciation, do not involve actual cash outflows, while other cash payments, such as loan repayments, are not reflected as expenses. As a result, the company may still experience short-term cash flow pressures despite reporting healthy profits. This highlights the importance of managing working capital effectively, as strong profitability does not necessarily guarantee strong liquidity.</w:t>
      </w:r>
    </w:p>
    <w:p w14:paraId="32427359" w14:textId="77777777" w:rsidR="00DC13E2" w:rsidRDefault="00DC13E2" w:rsidP="008C5DED">
      <w:pPr>
        <w:spacing w:after="160" w:line="259" w:lineRule="auto"/>
        <w:rPr>
          <w:rFonts w:ascii="Arial" w:hAnsi="Arial" w:cs="Arial"/>
        </w:rPr>
      </w:pPr>
    </w:p>
    <w:p w14:paraId="33976F4D" w14:textId="77777777" w:rsidR="00DC13E2" w:rsidRDefault="00DC13E2" w:rsidP="008C5DED">
      <w:pPr>
        <w:spacing w:after="160" w:line="259" w:lineRule="auto"/>
        <w:rPr>
          <w:rFonts w:ascii="Arial" w:hAnsi="Arial" w:cs="Arial"/>
        </w:rPr>
      </w:pPr>
    </w:p>
    <w:p w14:paraId="49F7797E" w14:textId="5BFA064A" w:rsidR="008C5DED" w:rsidRPr="00CF399E" w:rsidRDefault="00BE042E" w:rsidP="006D3194">
      <w:pPr>
        <w:pStyle w:val="Heading1"/>
      </w:pPr>
      <w:r>
        <w:t xml:space="preserve">  </w:t>
      </w:r>
      <w:bookmarkStart w:id="7" w:name="_Toc224757670"/>
      <w:r w:rsidR="008C5DED" w:rsidRPr="00CF399E">
        <w:t>SECTION B – ANALYSIS &amp; MANAGEMENT RESPONSE</w:t>
      </w:r>
      <w:bookmarkEnd w:id="7"/>
    </w:p>
    <w:p w14:paraId="35FCA84C" w14:textId="13DF492B" w:rsidR="008C5DED" w:rsidRDefault="008C5DED" w:rsidP="00BE042E">
      <w:pPr>
        <w:pStyle w:val="Heading1"/>
      </w:pPr>
      <w:bookmarkStart w:id="8" w:name="_Toc224757671"/>
      <w:r w:rsidRPr="00CF399E">
        <w:t>4. Financial Problems and Management Actions</w:t>
      </w:r>
      <w:bookmarkEnd w:id="8"/>
      <w:r w:rsidRPr="00CF399E">
        <w:t xml:space="preserve"> </w:t>
      </w:r>
    </w:p>
    <w:p w14:paraId="7BD07B70" w14:textId="77777777" w:rsidR="005C5B65" w:rsidRDefault="005C5B65" w:rsidP="008C5DED">
      <w:pPr>
        <w:rPr>
          <w:rFonts w:ascii="Arial" w:hAnsi="Arial" w:cs="Arial"/>
        </w:rPr>
      </w:pPr>
    </w:p>
    <w:p w14:paraId="43C37F18" w14:textId="77777777" w:rsidR="005C5B65" w:rsidRPr="005C5B65" w:rsidRDefault="005C5B65" w:rsidP="008C5DED">
      <w:pPr>
        <w:rPr>
          <w:rFonts w:ascii="Arial" w:hAnsi="Arial" w:cs="Arial"/>
          <w:b/>
          <w:bCs/>
        </w:rPr>
      </w:pPr>
    </w:p>
    <w:p w14:paraId="33D5439D" w14:textId="77777777" w:rsidR="005C5B65" w:rsidRPr="005C5B65" w:rsidRDefault="005C5B65" w:rsidP="005C5B65">
      <w:pPr>
        <w:rPr>
          <w:rFonts w:ascii="Arial" w:hAnsi="Arial" w:cs="Arial"/>
        </w:rPr>
      </w:pPr>
      <w:r w:rsidRPr="005C5B65">
        <w:rPr>
          <w:rFonts w:ascii="Arial" w:hAnsi="Arial" w:cs="Arial"/>
        </w:rPr>
        <w:t>The preparation of the stock, cash and profit budgets for Silver Stitch Ltd highlights several financial and operational issues that the company may face over the next six months. Although the forecast profit and loss statement indicates that the business is expected to generate a healthy operating profit, the cash and stock budgets reveal pressures that could affect short-term financial stability. In particular, the analysis suggests that the main challenge facing the company is liquidity management rather than profitability.</w:t>
      </w:r>
    </w:p>
    <w:p w14:paraId="178FA06D" w14:textId="77777777" w:rsidR="005C5B65" w:rsidRPr="005C5B65" w:rsidRDefault="005C5B65" w:rsidP="005C5B65">
      <w:pPr>
        <w:rPr>
          <w:rFonts w:ascii="Arial" w:hAnsi="Arial" w:cs="Arial"/>
        </w:rPr>
      </w:pPr>
      <w:r w:rsidRPr="005C5B65">
        <w:rPr>
          <w:rFonts w:ascii="Arial" w:hAnsi="Arial" w:cs="Arial"/>
        </w:rPr>
        <w:t>The organisation begins the planning period with an overdraft of £30,000, which the bank has requested to be eliminated by the end of December. While the cash budget forecasts positive inflows throughout the period, the surpluses in several months are relatively small. Even a minor decline in sales or unexpected increase in operating costs could therefore place the company under financial pressure. If liquidity is poorly managed, a business may struggle to meet short-term obligations, potentially damaging supplier relationships and increasing financial risk (</w:t>
      </w:r>
      <w:proofErr w:type="spellStart"/>
      <w:r w:rsidRPr="005C5B65">
        <w:rPr>
          <w:rFonts w:ascii="Arial" w:hAnsi="Arial" w:cs="Arial"/>
        </w:rPr>
        <w:t>Atrill</w:t>
      </w:r>
      <w:proofErr w:type="spellEnd"/>
      <w:r w:rsidRPr="005C5B65">
        <w:rPr>
          <w:rFonts w:ascii="Arial" w:hAnsi="Arial" w:cs="Arial"/>
        </w:rPr>
        <w:t xml:space="preserve"> and McLaney, 2022).</w:t>
      </w:r>
    </w:p>
    <w:p w14:paraId="7C0A2686" w14:textId="77777777" w:rsidR="005C5B65" w:rsidRPr="005C5B65" w:rsidRDefault="005C5B65" w:rsidP="005C5B65">
      <w:pPr>
        <w:rPr>
          <w:rFonts w:ascii="Arial" w:hAnsi="Arial" w:cs="Arial"/>
        </w:rPr>
      </w:pPr>
      <w:r w:rsidRPr="005C5B65">
        <w:rPr>
          <w:rFonts w:ascii="Arial" w:hAnsi="Arial" w:cs="Arial"/>
        </w:rPr>
        <w:t>The relatively narrow cash surpluses highlight the need for active cash flow monitoring. Rather than relying solely on static budgets prepared at the beginning of the period, management could use rolling cash forecasts to monitor liquidity continuously and respond quickly to unexpected changes. Financial indicators such as the current ratio or quick ratio may also provide early warning signs of potential liquidity problems.</w:t>
      </w:r>
    </w:p>
    <w:p w14:paraId="2C74D3F9" w14:textId="77777777" w:rsidR="005C5B65" w:rsidRPr="005C5B65" w:rsidRDefault="005C5B65" w:rsidP="005C5B65">
      <w:pPr>
        <w:rPr>
          <w:rFonts w:ascii="Arial" w:hAnsi="Arial" w:cs="Arial"/>
        </w:rPr>
      </w:pPr>
      <w:r w:rsidRPr="005C5B65">
        <w:rPr>
          <w:rFonts w:ascii="Arial" w:hAnsi="Arial" w:cs="Arial"/>
        </w:rPr>
        <w:t>A second issue identified in the financial analysis relates to increasing inventory levels. The stock budget shows that closing inventory rises steadily during the planning period. While sufficient stock is necessary to support sales, excessive inventory can create financial inefficiencies by tying up working capital and reducing available cash. This risk is particularly significant in the fashion retail industry, where products may quickly lose value as trends change (Heizer et al., 2020).</w:t>
      </w:r>
    </w:p>
    <w:p w14:paraId="18F4C383" w14:textId="77777777" w:rsidR="005C5B65" w:rsidRPr="005C5B65" w:rsidRDefault="005C5B65" w:rsidP="005C5B65">
      <w:pPr>
        <w:rPr>
          <w:rFonts w:ascii="Arial" w:hAnsi="Arial" w:cs="Arial"/>
        </w:rPr>
      </w:pPr>
      <w:r w:rsidRPr="005C5B65">
        <w:rPr>
          <w:rFonts w:ascii="Arial" w:hAnsi="Arial" w:cs="Arial"/>
        </w:rPr>
        <w:t>From a working capital perspective, rising stock levels may indicate that purchasing decisions are not fully aligned with expected demand. If inventory continues to accumulate, the company may eventually need to reduce prices to clear excess stock, weakening the gross profit margin. Management should therefore review purchasing policies and consider more responsive inventory management practices. Improved demand forecasting and sales data analysis could help align purchasing decisions more closely with customer demand, while ordering smaller quantities more frequently may reduce the risk of overstocking.</w:t>
      </w:r>
    </w:p>
    <w:p w14:paraId="00FD3A15" w14:textId="77777777" w:rsidR="005C5B65" w:rsidRPr="005C5B65" w:rsidRDefault="005C5B65" w:rsidP="005C5B65">
      <w:pPr>
        <w:rPr>
          <w:rFonts w:ascii="Arial" w:hAnsi="Arial" w:cs="Arial"/>
        </w:rPr>
      </w:pPr>
      <w:r w:rsidRPr="005C5B65">
        <w:rPr>
          <w:rFonts w:ascii="Arial" w:hAnsi="Arial" w:cs="Arial"/>
        </w:rPr>
        <w:t xml:space="preserve">Another financial pressure arises from the company’s loan repayment commitments. Silver Stitch Ltd makes monthly repayments of £5,000, including both interest and principal. Although the interest component is relatively small, the repayments still represent a consistent cash outflow that reduces available liquidity. According to cost </w:t>
      </w:r>
      <w:r w:rsidRPr="005C5B65">
        <w:rPr>
          <w:rFonts w:ascii="Arial" w:hAnsi="Arial" w:cs="Arial"/>
        </w:rPr>
        <w:lastRenderedPageBreak/>
        <w:t>behaviour theory, fixed costs remain constant regardless of changes in sales volume, which can increase financial risk during periods of lower revenue (Drury, 2018).</w:t>
      </w:r>
    </w:p>
    <w:p w14:paraId="0DA9E1AB" w14:textId="77777777" w:rsidR="005C5B65" w:rsidRPr="005C5B65" w:rsidRDefault="005C5B65" w:rsidP="005C5B65">
      <w:pPr>
        <w:rPr>
          <w:rFonts w:ascii="Arial" w:hAnsi="Arial" w:cs="Arial"/>
        </w:rPr>
      </w:pPr>
      <w:r w:rsidRPr="005C5B65">
        <w:rPr>
          <w:rFonts w:ascii="Arial" w:hAnsi="Arial" w:cs="Arial"/>
        </w:rPr>
        <w:t>Management may therefore consider renegotiating the terms of the loan to reduce short-term financial pressure. Extending the repayment period could lower monthly cash outflows and provide greater financial flexibility, although this would increase total interest costs over time. Alternatively, management could maintain the current repayment schedule while focusing on improving operational efficiency and increasing sales revenue.</w:t>
      </w:r>
    </w:p>
    <w:p w14:paraId="49430CC7" w14:textId="77777777" w:rsidR="005C5B65" w:rsidRPr="005C5B65" w:rsidRDefault="005C5B65" w:rsidP="005C5B65">
      <w:pPr>
        <w:rPr>
          <w:rFonts w:ascii="Arial" w:hAnsi="Arial" w:cs="Arial"/>
        </w:rPr>
      </w:pPr>
      <w:r w:rsidRPr="005C5B65">
        <w:rPr>
          <w:rFonts w:ascii="Arial" w:hAnsi="Arial" w:cs="Arial"/>
        </w:rPr>
        <w:t>Finally, the budget includes planned expenditure on store refurbishment. While such investments may improve the customer experience and strengthen the brand, they also represent significant cash outflows during a period when the business is attempting to eliminate its overdraft. Capital expenditure decisions should therefore be carefully evaluated in terms of their timing and expected return on investment.</w:t>
      </w:r>
    </w:p>
    <w:p w14:paraId="2C4E015A" w14:textId="77777777" w:rsidR="005C5B65" w:rsidRDefault="005C5B65" w:rsidP="005C5B65">
      <w:pPr>
        <w:rPr>
          <w:rFonts w:ascii="Arial" w:hAnsi="Arial" w:cs="Arial"/>
        </w:rPr>
      </w:pPr>
      <w:r w:rsidRPr="005C5B65">
        <w:rPr>
          <w:rFonts w:ascii="Arial" w:hAnsi="Arial" w:cs="Arial"/>
        </w:rPr>
        <w:t>If refurbishment projects do not generate immediate financial benefits, proceeding with them may place unnecessary pressure on cash flow. Management could therefore consider postponing non-essential refurbishment projects until the company’s financial position improves or spreading the costs over a longer period to reduce short-term liquidity pressure.</w:t>
      </w:r>
    </w:p>
    <w:p w14:paraId="38D2DFCF" w14:textId="77777777" w:rsidR="005C5B65" w:rsidRPr="005C5B65" w:rsidRDefault="005C5B65" w:rsidP="005C5B65">
      <w:pPr>
        <w:rPr>
          <w:rFonts w:ascii="Arial" w:hAnsi="Arial" w:cs="Arial"/>
        </w:rPr>
      </w:pPr>
    </w:p>
    <w:p w14:paraId="4796ADC4" w14:textId="77777777" w:rsidR="005C5B65" w:rsidRPr="005C5B65" w:rsidRDefault="005C5B65" w:rsidP="005C5B65">
      <w:pPr>
        <w:rPr>
          <w:rFonts w:ascii="Arial" w:hAnsi="Arial" w:cs="Arial"/>
        </w:rPr>
      </w:pPr>
      <w:r w:rsidRPr="005C5B65">
        <w:rPr>
          <w:rFonts w:ascii="Arial" w:hAnsi="Arial" w:cs="Arial"/>
        </w:rPr>
        <w:t>Overall, the financial analysis suggests that Silver Stitch Ltd is operating with a profitable business model but must carefully manage its working capital and financial commitments to maintain liquidity. By improving cash flow monitoring, adopting more efficient inventory management practices and reviewing capital expenditure decisions, management can reduce financial risk and improve the company’s ability to eliminate the overdraft within the required timeframe.</w:t>
      </w:r>
    </w:p>
    <w:p w14:paraId="2BF2F8FE" w14:textId="77777777" w:rsidR="005C5B65" w:rsidRDefault="005C5B65" w:rsidP="008C5DED">
      <w:pPr>
        <w:rPr>
          <w:rFonts w:ascii="Arial" w:hAnsi="Arial" w:cs="Arial"/>
        </w:rPr>
      </w:pPr>
    </w:p>
    <w:p w14:paraId="74265B5A" w14:textId="77777777" w:rsidR="005C5B65" w:rsidRPr="00CF399E" w:rsidRDefault="005C5B65" w:rsidP="008C5DED">
      <w:pPr>
        <w:rPr>
          <w:rFonts w:ascii="Arial" w:hAnsi="Arial" w:cs="Arial"/>
        </w:rPr>
      </w:pPr>
    </w:p>
    <w:p w14:paraId="2315457A" w14:textId="77777777" w:rsidR="008D3CBA" w:rsidRPr="00CF399E" w:rsidRDefault="008D3CBA" w:rsidP="008D3CBA">
      <w:pPr>
        <w:spacing w:after="160" w:line="259" w:lineRule="auto"/>
        <w:rPr>
          <w:rFonts w:ascii="Arial" w:eastAsiaTheme="minorHAnsi" w:hAnsi="Arial" w:cs="Arial"/>
          <w:lang w:eastAsia="en-US"/>
        </w:rPr>
      </w:pPr>
    </w:p>
    <w:p w14:paraId="49781E1A" w14:textId="77777777" w:rsidR="008D3CBA" w:rsidRPr="00CF399E" w:rsidRDefault="008D3CBA" w:rsidP="008D3CBA">
      <w:pPr>
        <w:spacing w:after="160" w:line="259" w:lineRule="auto"/>
        <w:rPr>
          <w:rFonts w:ascii="Arial" w:eastAsiaTheme="minorHAnsi" w:hAnsi="Arial" w:cs="Arial"/>
          <w:lang w:eastAsia="en-US"/>
        </w:rPr>
      </w:pPr>
    </w:p>
    <w:p w14:paraId="29A4053A" w14:textId="77777777" w:rsidR="008D3CBA" w:rsidRPr="00CF399E" w:rsidRDefault="008D3CBA" w:rsidP="008D3CBA">
      <w:pPr>
        <w:spacing w:after="160" w:line="259" w:lineRule="auto"/>
        <w:rPr>
          <w:rFonts w:ascii="Arial" w:eastAsiaTheme="minorHAnsi" w:hAnsi="Arial" w:cs="Arial"/>
          <w:lang w:eastAsia="en-US"/>
        </w:rPr>
      </w:pPr>
    </w:p>
    <w:p w14:paraId="1E5DEE1E" w14:textId="77777777" w:rsidR="006D3194" w:rsidRDefault="006D3194" w:rsidP="008D3CBA">
      <w:pPr>
        <w:spacing w:after="160" w:line="259" w:lineRule="auto"/>
        <w:rPr>
          <w:rFonts w:ascii="Arial" w:eastAsiaTheme="minorHAnsi" w:hAnsi="Arial" w:cs="Arial"/>
          <w:b/>
          <w:bCs/>
          <w:lang w:eastAsia="en-US"/>
        </w:rPr>
      </w:pPr>
    </w:p>
    <w:p w14:paraId="42D71E8B" w14:textId="77777777" w:rsidR="006D3194" w:rsidRDefault="006D3194" w:rsidP="008D3CBA">
      <w:pPr>
        <w:spacing w:after="160" w:line="259" w:lineRule="auto"/>
        <w:rPr>
          <w:rFonts w:ascii="Arial" w:eastAsiaTheme="minorHAnsi" w:hAnsi="Arial" w:cs="Arial"/>
          <w:b/>
          <w:bCs/>
          <w:lang w:eastAsia="en-US"/>
        </w:rPr>
      </w:pPr>
    </w:p>
    <w:p w14:paraId="24983485" w14:textId="77777777" w:rsidR="006D3194" w:rsidRDefault="006D3194" w:rsidP="008D3CBA">
      <w:pPr>
        <w:spacing w:after="160" w:line="259" w:lineRule="auto"/>
        <w:rPr>
          <w:rFonts w:ascii="Arial" w:eastAsiaTheme="minorHAnsi" w:hAnsi="Arial" w:cs="Arial"/>
          <w:b/>
          <w:bCs/>
          <w:lang w:eastAsia="en-US"/>
        </w:rPr>
      </w:pPr>
    </w:p>
    <w:p w14:paraId="35BEF82D" w14:textId="77777777" w:rsidR="006D3194" w:rsidRDefault="006D3194" w:rsidP="008D3CBA">
      <w:pPr>
        <w:spacing w:after="160" w:line="259" w:lineRule="auto"/>
        <w:rPr>
          <w:rFonts w:ascii="Arial" w:eastAsiaTheme="minorHAnsi" w:hAnsi="Arial" w:cs="Arial"/>
          <w:b/>
          <w:bCs/>
          <w:lang w:eastAsia="en-US"/>
        </w:rPr>
      </w:pPr>
    </w:p>
    <w:p w14:paraId="0F02132F" w14:textId="77777777" w:rsidR="006D3194" w:rsidRDefault="006D3194" w:rsidP="008D3CBA">
      <w:pPr>
        <w:spacing w:after="160" w:line="259" w:lineRule="auto"/>
        <w:rPr>
          <w:rFonts w:ascii="Arial" w:eastAsiaTheme="minorHAnsi" w:hAnsi="Arial" w:cs="Arial"/>
          <w:b/>
          <w:bCs/>
          <w:lang w:eastAsia="en-US"/>
        </w:rPr>
      </w:pPr>
    </w:p>
    <w:p w14:paraId="60CD39FE" w14:textId="77777777" w:rsidR="006D3194" w:rsidRDefault="006D3194" w:rsidP="008D3CBA">
      <w:pPr>
        <w:spacing w:after="160" w:line="259" w:lineRule="auto"/>
        <w:rPr>
          <w:rFonts w:ascii="Arial" w:eastAsiaTheme="minorHAnsi" w:hAnsi="Arial" w:cs="Arial"/>
          <w:b/>
          <w:bCs/>
          <w:lang w:eastAsia="en-US"/>
        </w:rPr>
      </w:pPr>
    </w:p>
    <w:p w14:paraId="1791210E" w14:textId="77777777" w:rsidR="006D3194" w:rsidRDefault="006D3194" w:rsidP="008D3CBA">
      <w:pPr>
        <w:spacing w:after="160" w:line="259" w:lineRule="auto"/>
        <w:rPr>
          <w:rFonts w:ascii="Arial" w:eastAsiaTheme="minorHAnsi" w:hAnsi="Arial" w:cs="Arial"/>
          <w:b/>
          <w:bCs/>
          <w:lang w:eastAsia="en-US"/>
        </w:rPr>
      </w:pPr>
    </w:p>
    <w:p w14:paraId="66797239" w14:textId="77777777" w:rsidR="006D3194" w:rsidRDefault="006D3194" w:rsidP="008D3CBA">
      <w:pPr>
        <w:spacing w:after="160" w:line="259" w:lineRule="auto"/>
        <w:rPr>
          <w:rFonts w:ascii="Arial" w:eastAsiaTheme="minorHAnsi" w:hAnsi="Arial" w:cs="Arial"/>
          <w:b/>
          <w:bCs/>
          <w:lang w:eastAsia="en-US"/>
        </w:rPr>
      </w:pPr>
    </w:p>
    <w:p w14:paraId="5109200F" w14:textId="77777777" w:rsidR="006D3194" w:rsidRDefault="006D3194" w:rsidP="008D3CBA">
      <w:pPr>
        <w:spacing w:after="160" w:line="259" w:lineRule="auto"/>
        <w:rPr>
          <w:rFonts w:ascii="Arial" w:eastAsiaTheme="minorHAnsi" w:hAnsi="Arial" w:cs="Arial"/>
          <w:b/>
          <w:bCs/>
          <w:lang w:eastAsia="en-US"/>
        </w:rPr>
      </w:pPr>
    </w:p>
    <w:p w14:paraId="68C6AC8E" w14:textId="77777777" w:rsidR="006D3194" w:rsidRDefault="006D3194" w:rsidP="008D3CBA">
      <w:pPr>
        <w:spacing w:after="160" w:line="259" w:lineRule="auto"/>
        <w:rPr>
          <w:rFonts w:ascii="Arial" w:eastAsiaTheme="minorHAnsi" w:hAnsi="Arial" w:cs="Arial"/>
          <w:b/>
          <w:bCs/>
          <w:lang w:eastAsia="en-US"/>
        </w:rPr>
      </w:pPr>
    </w:p>
    <w:p w14:paraId="4EF75286" w14:textId="77777777" w:rsidR="006D3194" w:rsidRDefault="006D3194" w:rsidP="008D3CBA">
      <w:pPr>
        <w:spacing w:after="160" w:line="259" w:lineRule="auto"/>
        <w:rPr>
          <w:rFonts w:ascii="Arial" w:eastAsiaTheme="minorHAnsi" w:hAnsi="Arial" w:cs="Arial"/>
          <w:b/>
          <w:bCs/>
          <w:lang w:eastAsia="en-US"/>
        </w:rPr>
      </w:pPr>
    </w:p>
    <w:p w14:paraId="20C2855E" w14:textId="77777777" w:rsidR="006D3194" w:rsidRDefault="006D3194" w:rsidP="008D3CBA">
      <w:pPr>
        <w:spacing w:after="160" w:line="259" w:lineRule="auto"/>
        <w:rPr>
          <w:rFonts w:ascii="Arial" w:eastAsiaTheme="minorHAnsi" w:hAnsi="Arial" w:cs="Arial"/>
          <w:b/>
          <w:bCs/>
          <w:lang w:eastAsia="en-US"/>
        </w:rPr>
      </w:pPr>
    </w:p>
    <w:p w14:paraId="009DE6E7" w14:textId="77777777" w:rsidR="006D3194" w:rsidRDefault="006D3194" w:rsidP="008D3CBA">
      <w:pPr>
        <w:spacing w:after="160" w:line="259" w:lineRule="auto"/>
        <w:rPr>
          <w:rFonts w:ascii="Arial" w:eastAsiaTheme="minorHAnsi" w:hAnsi="Arial" w:cs="Arial"/>
          <w:b/>
          <w:bCs/>
          <w:lang w:eastAsia="en-US"/>
        </w:rPr>
      </w:pPr>
    </w:p>
    <w:p w14:paraId="28EC24F2" w14:textId="77777777" w:rsidR="006D3194" w:rsidRDefault="006D3194" w:rsidP="008D3CBA">
      <w:pPr>
        <w:spacing w:after="160" w:line="259" w:lineRule="auto"/>
        <w:rPr>
          <w:rFonts w:ascii="Arial" w:eastAsiaTheme="minorHAnsi" w:hAnsi="Arial" w:cs="Arial"/>
          <w:b/>
          <w:bCs/>
          <w:lang w:eastAsia="en-US"/>
        </w:rPr>
      </w:pPr>
    </w:p>
    <w:p w14:paraId="365AD8D3" w14:textId="0652211F" w:rsidR="008D3CBA" w:rsidRPr="00CF399E" w:rsidRDefault="008D3CBA" w:rsidP="006D3194">
      <w:pPr>
        <w:pStyle w:val="Heading1"/>
        <w:rPr>
          <w:rFonts w:eastAsiaTheme="minorHAnsi"/>
        </w:rPr>
      </w:pPr>
      <w:bookmarkStart w:id="9" w:name="_Toc224757672"/>
      <w:r w:rsidRPr="00CF399E">
        <w:rPr>
          <w:rFonts w:eastAsiaTheme="minorHAnsi"/>
        </w:rPr>
        <w:t>SECTION C – BUDGETING AND BEHAVIOURAL FACTORS</w:t>
      </w:r>
      <w:bookmarkEnd w:id="9"/>
    </w:p>
    <w:p w14:paraId="563CD91D" w14:textId="0D77EFE3" w:rsidR="008D3CBA" w:rsidRPr="00CF399E" w:rsidRDefault="008D3CBA" w:rsidP="006D3194">
      <w:pPr>
        <w:pStyle w:val="Heading1"/>
        <w:rPr>
          <w:rFonts w:eastAsiaTheme="minorHAnsi"/>
        </w:rPr>
      </w:pPr>
      <w:bookmarkStart w:id="10" w:name="_Toc224757673"/>
      <w:r w:rsidRPr="00CF399E">
        <w:rPr>
          <w:rFonts w:eastAsiaTheme="minorHAnsi"/>
        </w:rPr>
        <w:t>5. Conditions for Successful Budgeting</w:t>
      </w:r>
      <w:bookmarkEnd w:id="10"/>
      <w:r w:rsidR="009234CA">
        <w:rPr>
          <w:rFonts w:eastAsiaTheme="minorHAnsi"/>
        </w:rPr>
        <w:t xml:space="preserve"> </w:t>
      </w:r>
    </w:p>
    <w:p w14:paraId="6AF01AAD" w14:textId="39A80930" w:rsid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For budgeting systems to operate effectively, organisations must satisfy a number of organisational and behavioural conditions.</w:t>
      </w:r>
      <w:r>
        <w:rPr>
          <w:rFonts w:ascii="Arial" w:eastAsiaTheme="minorHAnsi" w:hAnsi="Arial" w:cs="Arial"/>
          <w:lang w:eastAsia="en-US"/>
        </w:rPr>
        <w:t xml:space="preserve"> </w:t>
      </w:r>
      <w:r w:rsidRPr="00AD2A06">
        <w:rPr>
          <w:rFonts w:ascii="Arial" w:eastAsiaTheme="minorHAnsi" w:hAnsi="Arial" w:cs="Arial"/>
          <w:lang w:eastAsia="en-US"/>
        </w:rPr>
        <w:t>In the case of Silver Stitch Ltd, a multi-store fashion retailer operating in a dynamic and competitive market, budgeting effectiveness depends not only on technical accuracy but also on flexibility, managerial behaviour and responsiveness to uncertainty.</w:t>
      </w:r>
    </w:p>
    <w:p w14:paraId="5E6D2152"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A key requirement for successful budgeting is alignment with strategic objectives, where budgets translate long-term goals into short-term financial targets (Kaplan and Atkinson, 2015). In theory, this ensures that operational decisions support overall strategy. However, in practice this alignment may be difficult to maintain. For Silver Stitch Ltd, strategic priorities such as responding to changing fashion trends or seasonal demand can shift rapidly. Fixed budgets prepared in advance may therefore become outdated, limiting their usefulness as planning tools. This suggests that flexibility may be as important as strategic alignment in fast-moving industries.</w:t>
      </w:r>
    </w:p>
    <w:p w14:paraId="1BA43FBA"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Top management support is also widely recognised as a critical factor. Leadership involvement can strengthen commitment to budgeting and reinforce its importance (Anthony and Govindarajan, 2007). However, excessive reliance on top-down control may reduce effectiveness. In Silver Stitch Ltd, store managers are likely to have more accurate knowledge of local demand conditions. A highly centralised approach may therefore result in unrealistic targets and reduce responsiveness. This highlights a limitation of traditional budgeting assumptions, where control is prioritised over local knowledge.</w:t>
      </w:r>
    </w:p>
    <w:p w14:paraId="072D7C7E"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Participative budgeting is often proposed as a solution, as it allows managers at different levels to contribute to the process. This can improve both motivation and forecast accuracy, particularly where local information is important (Libby and Lindsay, 2010). For Silver Stitch Ltd, involving store managers could enhance demand forecasting and inventory planning. However, participation also introduces potential drawbacks. Managers may create budgetary slack by underestimating revenues or overestimating costs to make targets easier to achieve. This creates a trade-off between improved engagement and reduced reliability of financial data.</w:t>
      </w:r>
    </w:p>
    <w:p w14:paraId="770DB0E8"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 xml:space="preserve">Effective communication and coordination between departments is another important condition. In theory, coordination ensures that sales forecasts, purchasing decisions and financial plans are aligned. For Silver Stitch Ltd, this is particularly important </w:t>
      </w:r>
      <w:r w:rsidRPr="00AD2A06">
        <w:rPr>
          <w:rFonts w:ascii="Arial" w:eastAsiaTheme="minorHAnsi" w:hAnsi="Arial" w:cs="Arial"/>
          <w:lang w:eastAsia="en-US"/>
        </w:rPr>
        <w:lastRenderedPageBreak/>
        <w:t>given the relationship between inventory levels and cash flow identified earlier in the report. Poor coordination could lead to overstocking and increased liquidity pressure. However, achieving full coordination is difficult in practice, especially across multiple store locations where information may be inconsistent or delayed.</w:t>
      </w:r>
    </w:p>
    <w:p w14:paraId="6348AAE4" w14:textId="667E72E8"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 xml:space="preserve">Another key issue is the setting of realistic performance targets. Budget targets should be challenging but achievable in order to motivate employees (Merchant and Van der Stede, 2017). However, this balance is inherently subjective. For Silver Stitch Ltd, uncertainty in demand makes it difficult to define what is “realistic.” Overly optimistic targets may result in excess inventory and cash flow problems, while overly conservative targets may limit growth opportunities. This suggests that target setting is not purely technical, but </w:t>
      </w:r>
      <w:r w:rsidR="00690494">
        <w:rPr>
          <w:rFonts w:ascii="Arial" w:eastAsiaTheme="minorHAnsi" w:hAnsi="Arial" w:cs="Arial"/>
          <w:lang w:eastAsia="en-US"/>
        </w:rPr>
        <w:t xml:space="preserve">also </w:t>
      </w:r>
      <w:r w:rsidRPr="00AD2A06">
        <w:rPr>
          <w:rFonts w:ascii="Arial" w:eastAsiaTheme="minorHAnsi" w:hAnsi="Arial" w:cs="Arial"/>
          <w:lang w:eastAsia="en-US"/>
        </w:rPr>
        <w:t>dependent on judgement and context.</w:t>
      </w:r>
    </w:p>
    <w:p w14:paraId="75D0DB58"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Finally, while integrating budgeting with strategic planning is often recommended, critics argue that traditional budgeting systems may reduce flexibility and encourage rigidity (Hope and Fraser, 2003). For Silver Stitch Ltd, strict adherence to fixed budgets could limit the ability to respond to changing market conditions. This supports the argument that more adaptive approaches, such as rolling forecasts, may be more appropriate.</w:t>
      </w:r>
    </w:p>
    <w:p w14:paraId="687BBC19" w14:textId="77777777" w:rsidR="00AD2A06" w:rsidRPr="00AD2A06" w:rsidRDefault="00AD2A06" w:rsidP="00AD2A06">
      <w:pPr>
        <w:spacing w:after="160" w:line="259" w:lineRule="auto"/>
        <w:rPr>
          <w:rFonts w:ascii="Arial" w:eastAsiaTheme="minorHAnsi" w:hAnsi="Arial" w:cs="Arial"/>
          <w:lang w:eastAsia="en-US"/>
        </w:rPr>
      </w:pPr>
      <w:r w:rsidRPr="00AD2A06">
        <w:rPr>
          <w:rFonts w:ascii="Arial" w:eastAsiaTheme="minorHAnsi" w:hAnsi="Arial" w:cs="Arial"/>
          <w:lang w:eastAsia="en-US"/>
        </w:rPr>
        <w:t>Overall, while the literature identifies several conditions for successful budgeting, their practical application is complex. For Silver Stitch Ltd, effectiveness depends on balancing control with flexibility and adapting budgeting practices to a dynamic environment.</w:t>
      </w:r>
    </w:p>
    <w:p w14:paraId="56539D84" w14:textId="77777777" w:rsidR="00AD2A06" w:rsidRPr="00AD2A06" w:rsidRDefault="00AD2A06" w:rsidP="00AD2A06">
      <w:pPr>
        <w:spacing w:after="160" w:line="259" w:lineRule="auto"/>
        <w:rPr>
          <w:rFonts w:ascii="Arial" w:eastAsiaTheme="minorHAnsi" w:hAnsi="Arial" w:cs="Arial"/>
          <w:lang w:eastAsia="en-US"/>
        </w:rPr>
      </w:pPr>
    </w:p>
    <w:p w14:paraId="646FDDD6" w14:textId="77777777" w:rsidR="00AD2A06" w:rsidRDefault="00AD2A06" w:rsidP="008D3CBA">
      <w:pPr>
        <w:spacing w:after="160" w:line="259" w:lineRule="auto"/>
        <w:rPr>
          <w:rFonts w:ascii="Arial" w:eastAsiaTheme="minorHAnsi" w:hAnsi="Arial" w:cs="Arial"/>
          <w:lang w:eastAsia="en-US"/>
        </w:rPr>
      </w:pPr>
    </w:p>
    <w:p w14:paraId="7B7EFC59" w14:textId="77777777" w:rsidR="00AD2A06" w:rsidRPr="00CF399E" w:rsidRDefault="00AD2A06" w:rsidP="008D3CBA">
      <w:pPr>
        <w:spacing w:after="160" w:line="259" w:lineRule="auto"/>
        <w:rPr>
          <w:rFonts w:ascii="Arial" w:eastAsiaTheme="minorHAnsi" w:hAnsi="Arial" w:cs="Arial"/>
          <w:lang w:eastAsia="en-US"/>
        </w:rPr>
      </w:pPr>
    </w:p>
    <w:p w14:paraId="01CAFDE7" w14:textId="2ABA2A4C" w:rsidR="008D3CBA" w:rsidRPr="00CF399E" w:rsidRDefault="008D3CBA" w:rsidP="008D3CBA">
      <w:pPr>
        <w:spacing w:after="160" w:line="259" w:lineRule="auto"/>
        <w:rPr>
          <w:rFonts w:ascii="Arial" w:eastAsiaTheme="minorHAnsi" w:hAnsi="Arial" w:cs="Arial"/>
          <w:lang w:eastAsia="en-US"/>
        </w:rPr>
      </w:pPr>
    </w:p>
    <w:p w14:paraId="5E8C6F5B" w14:textId="77777777" w:rsidR="006D3194" w:rsidRDefault="006D3194" w:rsidP="008D3CBA">
      <w:pPr>
        <w:spacing w:after="160" w:line="259" w:lineRule="auto"/>
        <w:rPr>
          <w:rFonts w:ascii="Arial" w:eastAsiaTheme="minorHAnsi" w:hAnsi="Arial" w:cs="Arial"/>
          <w:b/>
          <w:bCs/>
          <w:lang w:eastAsia="en-US"/>
        </w:rPr>
      </w:pPr>
    </w:p>
    <w:p w14:paraId="1D7DBB74" w14:textId="77777777" w:rsidR="006D3194" w:rsidRDefault="006D3194" w:rsidP="008D3CBA">
      <w:pPr>
        <w:spacing w:after="160" w:line="259" w:lineRule="auto"/>
        <w:rPr>
          <w:rFonts w:ascii="Arial" w:eastAsiaTheme="minorHAnsi" w:hAnsi="Arial" w:cs="Arial"/>
          <w:b/>
          <w:bCs/>
          <w:lang w:eastAsia="en-US"/>
        </w:rPr>
      </w:pPr>
    </w:p>
    <w:p w14:paraId="6DF0DC4E" w14:textId="77777777" w:rsidR="006D3194" w:rsidRDefault="006D3194" w:rsidP="008D3CBA">
      <w:pPr>
        <w:spacing w:after="160" w:line="259" w:lineRule="auto"/>
        <w:rPr>
          <w:rFonts w:ascii="Arial" w:eastAsiaTheme="minorHAnsi" w:hAnsi="Arial" w:cs="Arial"/>
          <w:b/>
          <w:bCs/>
          <w:lang w:eastAsia="en-US"/>
        </w:rPr>
      </w:pPr>
    </w:p>
    <w:p w14:paraId="6640A630" w14:textId="77777777" w:rsidR="006D3194" w:rsidRDefault="006D3194" w:rsidP="008D3CBA">
      <w:pPr>
        <w:spacing w:after="160" w:line="259" w:lineRule="auto"/>
        <w:rPr>
          <w:rFonts w:ascii="Arial" w:eastAsiaTheme="minorHAnsi" w:hAnsi="Arial" w:cs="Arial"/>
          <w:b/>
          <w:bCs/>
          <w:lang w:eastAsia="en-US"/>
        </w:rPr>
      </w:pPr>
    </w:p>
    <w:p w14:paraId="4ADE4D1C" w14:textId="77777777" w:rsidR="006D3194" w:rsidRDefault="006D3194" w:rsidP="008D3CBA">
      <w:pPr>
        <w:spacing w:after="160" w:line="259" w:lineRule="auto"/>
        <w:rPr>
          <w:rFonts w:ascii="Arial" w:eastAsiaTheme="minorHAnsi" w:hAnsi="Arial" w:cs="Arial"/>
          <w:b/>
          <w:bCs/>
          <w:lang w:eastAsia="en-US"/>
        </w:rPr>
      </w:pPr>
    </w:p>
    <w:p w14:paraId="50229004" w14:textId="77777777" w:rsidR="006D3194" w:rsidRDefault="006D3194" w:rsidP="008D3CBA">
      <w:pPr>
        <w:spacing w:after="160" w:line="259" w:lineRule="auto"/>
        <w:rPr>
          <w:rFonts w:ascii="Arial" w:eastAsiaTheme="minorHAnsi" w:hAnsi="Arial" w:cs="Arial"/>
          <w:b/>
          <w:bCs/>
          <w:lang w:eastAsia="en-US"/>
        </w:rPr>
      </w:pPr>
    </w:p>
    <w:p w14:paraId="4C52137F" w14:textId="77777777" w:rsidR="006D3194" w:rsidRDefault="006D3194" w:rsidP="008D3CBA">
      <w:pPr>
        <w:spacing w:after="160" w:line="259" w:lineRule="auto"/>
        <w:rPr>
          <w:rFonts w:ascii="Arial" w:eastAsiaTheme="minorHAnsi" w:hAnsi="Arial" w:cs="Arial"/>
          <w:b/>
          <w:bCs/>
          <w:lang w:eastAsia="en-US"/>
        </w:rPr>
      </w:pPr>
    </w:p>
    <w:p w14:paraId="642EBEC6" w14:textId="77777777" w:rsidR="006D3194" w:rsidRDefault="006D3194" w:rsidP="008D3CBA">
      <w:pPr>
        <w:spacing w:after="160" w:line="259" w:lineRule="auto"/>
        <w:rPr>
          <w:rFonts w:ascii="Arial" w:eastAsiaTheme="minorHAnsi" w:hAnsi="Arial" w:cs="Arial"/>
          <w:b/>
          <w:bCs/>
          <w:lang w:eastAsia="en-US"/>
        </w:rPr>
      </w:pPr>
    </w:p>
    <w:p w14:paraId="37E36443" w14:textId="77777777" w:rsidR="006D3194" w:rsidRDefault="006D3194" w:rsidP="008D3CBA">
      <w:pPr>
        <w:spacing w:after="160" w:line="259" w:lineRule="auto"/>
        <w:rPr>
          <w:rFonts w:ascii="Arial" w:eastAsiaTheme="minorHAnsi" w:hAnsi="Arial" w:cs="Arial"/>
          <w:b/>
          <w:bCs/>
          <w:lang w:eastAsia="en-US"/>
        </w:rPr>
      </w:pPr>
    </w:p>
    <w:p w14:paraId="36F04A81" w14:textId="77777777" w:rsidR="006D3194" w:rsidRDefault="006D3194" w:rsidP="008D3CBA">
      <w:pPr>
        <w:spacing w:after="160" w:line="259" w:lineRule="auto"/>
        <w:rPr>
          <w:rFonts w:ascii="Arial" w:eastAsiaTheme="minorHAnsi" w:hAnsi="Arial" w:cs="Arial"/>
          <w:b/>
          <w:bCs/>
          <w:lang w:eastAsia="en-US"/>
        </w:rPr>
      </w:pPr>
    </w:p>
    <w:p w14:paraId="7A9FAA94" w14:textId="77777777" w:rsidR="006D3194" w:rsidRDefault="006D3194" w:rsidP="008D3CBA">
      <w:pPr>
        <w:spacing w:after="160" w:line="259" w:lineRule="auto"/>
        <w:rPr>
          <w:rFonts w:ascii="Arial" w:eastAsiaTheme="minorHAnsi" w:hAnsi="Arial" w:cs="Arial"/>
          <w:b/>
          <w:bCs/>
          <w:lang w:eastAsia="en-US"/>
        </w:rPr>
      </w:pPr>
    </w:p>
    <w:p w14:paraId="2CD396DC" w14:textId="77777777" w:rsidR="006D3194" w:rsidRDefault="006D3194" w:rsidP="008D3CBA">
      <w:pPr>
        <w:spacing w:after="160" w:line="259" w:lineRule="auto"/>
        <w:rPr>
          <w:rFonts w:ascii="Arial" w:eastAsiaTheme="minorHAnsi" w:hAnsi="Arial" w:cs="Arial"/>
          <w:b/>
          <w:bCs/>
          <w:lang w:eastAsia="en-US"/>
        </w:rPr>
      </w:pPr>
    </w:p>
    <w:p w14:paraId="18B9A8C4" w14:textId="77777777" w:rsidR="006D3194" w:rsidRDefault="006D3194" w:rsidP="008D3CBA">
      <w:pPr>
        <w:spacing w:after="160" w:line="259" w:lineRule="auto"/>
        <w:rPr>
          <w:rFonts w:ascii="Arial" w:eastAsiaTheme="minorHAnsi" w:hAnsi="Arial" w:cs="Arial"/>
          <w:b/>
          <w:bCs/>
          <w:lang w:eastAsia="en-US"/>
        </w:rPr>
      </w:pPr>
    </w:p>
    <w:p w14:paraId="0CD3E0C6" w14:textId="77777777" w:rsidR="006D3194" w:rsidRDefault="006D3194" w:rsidP="008D3CBA">
      <w:pPr>
        <w:spacing w:after="160" w:line="259" w:lineRule="auto"/>
        <w:rPr>
          <w:rFonts w:ascii="Arial" w:eastAsiaTheme="minorHAnsi" w:hAnsi="Arial" w:cs="Arial"/>
          <w:b/>
          <w:bCs/>
          <w:lang w:eastAsia="en-US"/>
        </w:rPr>
      </w:pPr>
    </w:p>
    <w:p w14:paraId="637B2569" w14:textId="258C277E" w:rsidR="008D3CBA" w:rsidRPr="00CF399E" w:rsidRDefault="008D3CBA" w:rsidP="006D3194">
      <w:pPr>
        <w:pStyle w:val="Heading1"/>
        <w:rPr>
          <w:rFonts w:eastAsiaTheme="minorHAnsi"/>
        </w:rPr>
      </w:pPr>
      <w:bookmarkStart w:id="11" w:name="_Toc224757674"/>
      <w:r w:rsidRPr="00CF399E">
        <w:rPr>
          <w:rFonts w:eastAsiaTheme="minorHAnsi"/>
        </w:rPr>
        <w:t>6. Behavioural Issues in Budgetary Control</w:t>
      </w:r>
      <w:bookmarkEnd w:id="11"/>
      <w:r w:rsidR="009234CA">
        <w:rPr>
          <w:rFonts w:eastAsiaTheme="minorHAnsi"/>
        </w:rPr>
        <w:t xml:space="preserve"> </w:t>
      </w:r>
    </w:p>
    <w:p w14:paraId="06572A95"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While budgeting systems are designed to support organisational planning and performance management, they can also have significant behavioural implications for employees and managers. Budgetary control systems influence how individuals behave within organisations because financial targets are often linked to performance evaluation and rewards. As a result, the introduction of budgeting systems may produce unintended behavioural consequences.</w:t>
      </w:r>
    </w:p>
    <w:p w14:paraId="59093CCA"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One commonly discussed issue in the management accounting literature is budgetary slack. Budgetary slack occurs when managers deliberately overestimate costs or underestimate revenues in order to create targets that are easier to achieve. This behaviour may arise when managers believe that their performance evaluations or rewards depend on meeting budget targets. While slack may protect managers from the risk of failing to achieve unrealistic targets, it also reduces the usefulness of budgets as planning tools because financial projections no longer reflect realistic expectations (Merchant and Van der Stede, 2017).</w:t>
      </w:r>
    </w:p>
    <w:p w14:paraId="526E0718"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Another behavioural challenge relates to resistance to change. The introduction of new budgeting systems or performance measurement frameworks may be perceived by employees as increasing workload or reducing managerial autonomy. As a result, individuals may resist new budgeting initiatives or fail to fully engage with the budgeting process. This resistance can delay implementation and reduce the effectiveness of financial control systems.</w:t>
      </w:r>
    </w:p>
    <w:p w14:paraId="62130B45"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Budgeting systems can also influence employee motivation and performance pressure. When budgets are used as the basis for performance evaluation, they can provide clear targets that motivate employees to improve efficiency and productivity. However, excessive pressure to meet budget targets may produce negative consequences. For example, employees may experience stress or attempt to manipulate financial results in order to meet performance expectations (Hope and Fraser, 2003). In extreme cases, this pressure may encourage unethical behaviour or short-term decision-making.</w:t>
      </w:r>
    </w:p>
    <w:p w14:paraId="0FA430F5"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A related issue is the tendency for budgeting systems to encourage short-termism. Managers may prioritise achieving short-term financial targets even when doing so undermines long-term organisational objectives. For example, managers may postpone essential maintenance, employee training or marketing activities in order to reduce costs in the current budgeting period. While such actions may improve short-term financial performance, they can weaken the organisation’s long-term competitiveness.</w:t>
      </w:r>
    </w:p>
    <w:p w14:paraId="28F6E725"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lastRenderedPageBreak/>
        <w:t>These behavioural challenges highlight the importance of designing budgeting systems that balance financial control with organisational flexibility. Rather than focusing exclusively on meeting short-term financial targets, organisations should adopt a more balanced approach that considers long-term strategic objectives, employee motivation and organisational learning.</w:t>
      </w:r>
    </w:p>
    <w:p w14:paraId="230E3C80" w14:textId="77777777" w:rsidR="008D3CBA" w:rsidRPr="00CF399E" w:rsidRDefault="008D3CBA" w:rsidP="008D3CBA">
      <w:pPr>
        <w:spacing w:after="160" w:line="259" w:lineRule="auto"/>
        <w:rPr>
          <w:rFonts w:ascii="Arial" w:eastAsiaTheme="minorHAnsi" w:hAnsi="Arial" w:cs="Arial"/>
          <w:lang w:eastAsia="en-US"/>
        </w:rPr>
      </w:pPr>
      <w:r w:rsidRPr="00CF399E">
        <w:rPr>
          <w:rFonts w:ascii="Arial" w:eastAsiaTheme="minorHAnsi" w:hAnsi="Arial" w:cs="Arial"/>
          <w:lang w:eastAsia="en-US"/>
        </w:rPr>
        <w:t>In practice, effective budgeting systems often combine financial targets with broader performance indicators such as customer satisfaction, innovation and operational efficiency. By adopting a more balanced approach to performance management, organisations can reduce the negative behavioural effects associated with traditional budgetary control systems.</w:t>
      </w:r>
    </w:p>
    <w:p w14:paraId="728C0959" w14:textId="77777777" w:rsidR="008D3CBA" w:rsidRPr="00CF399E" w:rsidRDefault="008D3CBA" w:rsidP="008D3CBA">
      <w:pPr>
        <w:spacing w:after="160" w:line="259" w:lineRule="auto"/>
        <w:rPr>
          <w:rFonts w:ascii="Arial" w:hAnsi="Arial" w:cs="Arial"/>
        </w:rPr>
      </w:pPr>
    </w:p>
    <w:p w14:paraId="2B01AB8B" w14:textId="77777777" w:rsidR="000B31C4" w:rsidRPr="00CF399E" w:rsidRDefault="000B31C4" w:rsidP="000B31C4">
      <w:pPr>
        <w:spacing w:after="160" w:line="259" w:lineRule="auto"/>
        <w:rPr>
          <w:rFonts w:ascii="Arial" w:hAnsi="Arial" w:cs="Arial"/>
        </w:rPr>
      </w:pPr>
    </w:p>
    <w:p w14:paraId="602543AC" w14:textId="77777777" w:rsidR="006D3194" w:rsidRDefault="006D3194" w:rsidP="000B31C4">
      <w:pPr>
        <w:spacing w:after="160" w:line="259" w:lineRule="auto"/>
        <w:rPr>
          <w:rFonts w:ascii="Arial" w:hAnsi="Arial" w:cs="Arial"/>
          <w:b/>
          <w:bCs/>
        </w:rPr>
      </w:pPr>
    </w:p>
    <w:p w14:paraId="303B2118" w14:textId="77777777" w:rsidR="006D3194" w:rsidRDefault="006D3194" w:rsidP="000B31C4">
      <w:pPr>
        <w:spacing w:after="160" w:line="259" w:lineRule="auto"/>
        <w:rPr>
          <w:rFonts w:ascii="Arial" w:hAnsi="Arial" w:cs="Arial"/>
          <w:b/>
          <w:bCs/>
        </w:rPr>
      </w:pPr>
    </w:p>
    <w:p w14:paraId="03229189" w14:textId="77777777" w:rsidR="006D3194" w:rsidRDefault="006D3194" w:rsidP="000B31C4">
      <w:pPr>
        <w:spacing w:after="160" w:line="259" w:lineRule="auto"/>
        <w:rPr>
          <w:rFonts w:ascii="Arial" w:hAnsi="Arial" w:cs="Arial"/>
          <w:b/>
          <w:bCs/>
        </w:rPr>
      </w:pPr>
    </w:p>
    <w:p w14:paraId="0D2A40F0" w14:textId="77777777" w:rsidR="006D3194" w:rsidRDefault="006D3194" w:rsidP="000B31C4">
      <w:pPr>
        <w:spacing w:after="160" w:line="259" w:lineRule="auto"/>
        <w:rPr>
          <w:rFonts w:ascii="Arial" w:hAnsi="Arial" w:cs="Arial"/>
          <w:b/>
          <w:bCs/>
        </w:rPr>
      </w:pPr>
    </w:p>
    <w:p w14:paraId="7D79420C" w14:textId="77777777" w:rsidR="006D3194" w:rsidRDefault="006D3194" w:rsidP="000B31C4">
      <w:pPr>
        <w:spacing w:after="160" w:line="259" w:lineRule="auto"/>
        <w:rPr>
          <w:rFonts w:ascii="Arial" w:hAnsi="Arial" w:cs="Arial"/>
          <w:b/>
          <w:bCs/>
        </w:rPr>
      </w:pPr>
    </w:p>
    <w:p w14:paraId="670D32D6" w14:textId="77777777" w:rsidR="006D3194" w:rsidRDefault="006D3194" w:rsidP="000B31C4">
      <w:pPr>
        <w:spacing w:after="160" w:line="259" w:lineRule="auto"/>
        <w:rPr>
          <w:rFonts w:ascii="Arial" w:hAnsi="Arial" w:cs="Arial"/>
          <w:b/>
          <w:bCs/>
        </w:rPr>
      </w:pPr>
    </w:p>
    <w:p w14:paraId="1ED8760C" w14:textId="77777777" w:rsidR="006D3194" w:rsidRDefault="006D3194" w:rsidP="000B31C4">
      <w:pPr>
        <w:spacing w:after="160" w:line="259" w:lineRule="auto"/>
        <w:rPr>
          <w:rFonts w:ascii="Arial" w:hAnsi="Arial" w:cs="Arial"/>
          <w:b/>
          <w:bCs/>
        </w:rPr>
      </w:pPr>
    </w:p>
    <w:p w14:paraId="2A2F3A57" w14:textId="77777777" w:rsidR="006D3194" w:rsidRDefault="006D3194" w:rsidP="000B31C4">
      <w:pPr>
        <w:spacing w:after="160" w:line="259" w:lineRule="auto"/>
        <w:rPr>
          <w:rFonts w:ascii="Arial" w:hAnsi="Arial" w:cs="Arial"/>
          <w:b/>
          <w:bCs/>
        </w:rPr>
      </w:pPr>
    </w:p>
    <w:p w14:paraId="0D8E2E8E" w14:textId="77777777" w:rsidR="006D3194" w:rsidRDefault="006D3194" w:rsidP="000B31C4">
      <w:pPr>
        <w:spacing w:after="160" w:line="259" w:lineRule="auto"/>
        <w:rPr>
          <w:rFonts w:ascii="Arial" w:hAnsi="Arial" w:cs="Arial"/>
          <w:b/>
          <w:bCs/>
        </w:rPr>
      </w:pPr>
    </w:p>
    <w:p w14:paraId="72526CB0" w14:textId="77777777" w:rsidR="006D3194" w:rsidRDefault="006D3194" w:rsidP="000B31C4">
      <w:pPr>
        <w:spacing w:after="160" w:line="259" w:lineRule="auto"/>
        <w:rPr>
          <w:rFonts w:ascii="Arial" w:hAnsi="Arial" w:cs="Arial"/>
          <w:b/>
          <w:bCs/>
        </w:rPr>
      </w:pPr>
    </w:p>
    <w:p w14:paraId="7C9AD64B" w14:textId="77777777" w:rsidR="006D3194" w:rsidRDefault="006D3194" w:rsidP="000B31C4">
      <w:pPr>
        <w:spacing w:after="160" w:line="259" w:lineRule="auto"/>
        <w:rPr>
          <w:rFonts w:ascii="Arial" w:hAnsi="Arial" w:cs="Arial"/>
          <w:b/>
          <w:bCs/>
        </w:rPr>
      </w:pPr>
    </w:p>
    <w:p w14:paraId="5B1A217E" w14:textId="77777777" w:rsidR="006D3194" w:rsidRDefault="006D3194" w:rsidP="000B31C4">
      <w:pPr>
        <w:spacing w:after="160" w:line="259" w:lineRule="auto"/>
        <w:rPr>
          <w:rFonts w:ascii="Arial" w:hAnsi="Arial" w:cs="Arial"/>
          <w:b/>
          <w:bCs/>
        </w:rPr>
      </w:pPr>
    </w:p>
    <w:p w14:paraId="1D53C4F1" w14:textId="77777777" w:rsidR="006D3194" w:rsidRDefault="006D3194" w:rsidP="000B31C4">
      <w:pPr>
        <w:spacing w:after="160" w:line="259" w:lineRule="auto"/>
        <w:rPr>
          <w:rFonts w:ascii="Arial" w:hAnsi="Arial" w:cs="Arial"/>
          <w:b/>
          <w:bCs/>
        </w:rPr>
      </w:pPr>
    </w:p>
    <w:p w14:paraId="5682011E" w14:textId="77777777" w:rsidR="006D3194" w:rsidRDefault="006D3194" w:rsidP="000B31C4">
      <w:pPr>
        <w:spacing w:after="160" w:line="259" w:lineRule="auto"/>
        <w:rPr>
          <w:rFonts w:ascii="Arial" w:hAnsi="Arial" w:cs="Arial"/>
          <w:b/>
          <w:bCs/>
        </w:rPr>
      </w:pPr>
    </w:p>
    <w:p w14:paraId="2AF0F2D7" w14:textId="77777777" w:rsidR="006D3194" w:rsidRDefault="006D3194" w:rsidP="000B31C4">
      <w:pPr>
        <w:spacing w:after="160" w:line="259" w:lineRule="auto"/>
        <w:rPr>
          <w:rFonts w:ascii="Arial" w:hAnsi="Arial" w:cs="Arial"/>
          <w:b/>
          <w:bCs/>
        </w:rPr>
      </w:pPr>
    </w:p>
    <w:p w14:paraId="50C93D49" w14:textId="77777777" w:rsidR="006D3194" w:rsidRDefault="006D3194" w:rsidP="000B31C4">
      <w:pPr>
        <w:spacing w:after="160" w:line="259" w:lineRule="auto"/>
        <w:rPr>
          <w:rFonts w:ascii="Arial" w:hAnsi="Arial" w:cs="Arial"/>
          <w:b/>
          <w:bCs/>
        </w:rPr>
      </w:pPr>
    </w:p>
    <w:p w14:paraId="00B04079" w14:textId="77777777" w:rsidR="006D3194" w:rsidRDefault="006D3194" w:rsidP="000B31C4">
      <w:pPr>
        <w:spacing w:after="160" w:line="259" w:lineRule="auto"/>
        <w:rPr>
          <w:rFonts w:ascii="Arial" w:hAnsi="Arial" w:cs="Arial"/>
          <w:b/>
          <w:bCs/>
        </w:rPr>
      </w:pPr>
    </w:p>
    <w:p w14:paraId="72E7511D" w14:textId="77777777" w:rsidR="006D3194" w:rsidRDefault="006D3194" w:rsidP="000B31C4">
      <w:pPr>
        <w:spacing w:after="160" w:line="259" w:lineRule="auto"/>
        <w:rPr>
          <w:rFonts w:ascii="Arial" w:hAnsi="Arial" w:cs="Arial"/>
          <w:b/>
          <w:bCs/>
        </w:rPr>
      </w:pPr>
    </w:p>
    <w:p w14:paraId="7151D31A" w14:textId="77777777" w:rsidR="006D3194" w:rsidRDefault="006D3194" w:rsidP="000B31C4">
      <w:pPr>
        <w:spacing w:after="160" w:line="259" w:lineRule="auto"/>
        <w:rPr>
          <w:rFonts w:ascii="Arial" w:hAnsi="Arial" w:cs="Arial"/>
          <w:b/>
          <w:bCs/>
        </w:rPr>
      </w:pPr>
    </w:p>
    <w:p w14:paraId="4212E50E" w14:textId="77777777" w:rsidR="006D3194" w:rsidRDefault="006D3194" w:rsidP="000B31C4">
      <w:pPr>
        <w:spacing w:after="160" w:line="259" w:lineRule="auto"/>
        <w:rPr>
          <w:rFonts w:ascii="Arial" w:hAnsi="Arial" w:cs="Arial"/>
          <w:b/>
          <w:bCs/>
        </w:rPr>
      </w:pPr>
    </w:p>
    <w:p w14:paraId="0164A0A8" w14:textId="761BE791" w:rsidR="000B31C4" w:rsidRDefault="000B31C4" w:rsidP="006D3194">
      <w:pPr>
        <w:pStyle w:val="Heading1"/>
      </w:pPr>
      <w:bookmarkStart w:id="12" w:name="_Toc224757675"/>
      <w:r w:rsidRPr="00546000">
        <w:lastRenderedPageBreak/>
        <w:t>7. Critique of Traditional Budgeting in Fast-Changing Environments</w:t>
      </w:r>
      <w:bookmarkEnd w:id="12"/>
      <w:r w:rsidR="009234CA">
        <w:t xml:space="preserve"> </w:t>
      </w:r>
    </w:p>
    <w:p w14:paraId="47BB4ACD" w14:textId="77777777" w:rsidR="009234CA" w:rsidRPr="009234CA" w:rsidRDefault="009234CA" w:rsidP="009234CA">
      <w:pPr>
        <w:spacing w:after="160" w:line="259" w:lineRule="auto"/>
        <w:rPr>
          <w:rFonts w:ascii="Arial" w:hAnsi="Arial" w:cs="Arial"/>
        </w:rPr>
      </w:pPr>
      <w:r w:rsidRPr="009234CA">
        <w:rPr>
          <w:rFonts w:ascii="Arial" w:hAnsi="Arial" w:cs="Arial"/>
        </w:rPr>
        <w:t>Traditional budgeting systems have long been used as a central mechanism for organisational planning and financial control. Typically, organisations prepare annual budgets that forecast revenues, costs and resource allocations based on historical financial data and expected future performance. These budgets serve as benchmarks against which actual results are evaluated. However, a growing body of management accounting research suggests that traditional budgeting practices may be increasingly unsuitable in business environments characterised by uncertainty, rapid technological change and intense competition (Hope and Fraser, 2003).</w:t>
      </w:r>
    </w:p>
    <w:p w14:paraId="77316998" w14:textId="77777777" w:rsidR="009234CA" w:rsidRPr="009234CA" w:rsidRDefault="009234CA" w:rsidP="009234CA">
      <w:pPr>
        <w:spacing w:after="160" w:line="259" w:lineRule="auto"/>
        <w:rPr>
          <w:rFonts w:ascii="Arial" w:hAnsi="Arial" w:cs="Arial"/>
        </w:rPr>
      </w:pPr>
      <w:r w:rsidRPr="009234CA">
        <w:rPr>
          <w:rFonts w:ascii="Arial" w:hAnsi="Arial" w:cs="Arial"/>
        </w:rPr>
        <w:t>One frequently cited criticism of traditional budgeting is its lack of flexibility. Annual budgets are often prepared months before the financial year begins and remain largely fixed throughout the period. Although this structure can provide financial discipline, it can also limit an organisation’s ability to respond quickly to changing market conditions. In dynamic industries, managers may need to adjust pricing strategies, marketing activities or operational decisions in response to fluctuations in demand. Fixed budgets may therefore restrict managerial responsiveness and discourage adaptive decision-making.</w:t>
      </w:r>
    </w:p>
    <w:p w14:paraId="3DACE53A" w14:textId="77777777" w:rsidR="009234CA" w:rsidRPr="009234CA" w:rsidRDefault="009234CA" w:rsidP="009234CA">
      <w:pPr>
        <w:spacing w:after="160" w:line="259" w:lineRule="auto"/>
        <w:rPr>
          <w:rFonts w:ascii="Arial" w:hAnsi="Arial" w:cs="Arial"/>
        </w:rPr>
      </w:pPr>
      <w:r w:rsidRPr="009234CA">
        <w:rPr>
          <w:rFonts w:ascii="Arial" w:hAnsi="Arial" w:cs="Arial"/>
        </w:rPr>
        <w:t>This limitation is particularly relevant for retail businesses such as Silver Stitch Ltd. Retail markets are influenced by changing consumer preferences, seasonal demand patterns and supply chain disruptions. For example, shifts in fashion trends or economic conditions may quickly affect sales performance. If management relies heavily on predetermined budgets, the organisation may struggle to respond effectively, potentially resulting in excess inventory or missed sales opportunities.</w:t>
      </w:r>
    </w:p>
    <w:p w14:paraId="2CE2C966" w14:textId="77777777" w:rsidR="009234CA" w:rsidRPr="009234CA" w:rsidRDefault="009234CA" w:rsidP="009234CA">
      <w:pPr>
        <w:spacing w:after="160" w:line="259" w:lineRule="auto"/>
        <w:rPr>
          <w:rFonts w:ascii="Arial" w:hAnsi="Arial" w:cs="Arial"/>
        </w:rPr>
      </w:pPr>
      <w:r w:rsidRPr="009234CA">
        <w:rPr>
          <w:rFonts w:ascii="Arial" w:hAnsi="Arial" w:cs="Arial"/>
        </w:rPr>
        <w:t>Another weakness of traditional budgeting is the time-consuming nature of the budgeting process. Preparing annual budgets often involves negotiations between departments, detailed financial analysis and multiple revisions before approval. Libby and Lindsay (2010) note that the process in many organisations can take several months. By the time budgets are finalised, some assumptions used in the forecasts may already be outdated due to changing market conditions.</w:t>
      </w:r>
    </w:p>
    <w:p w14:paraId="1355140A" w14:textId="77777777" w:rsidR="009234CA" w:rsidRPr="009234CA" w:rsidRDefault="009234CA" w:rsidP="009234CA">
      <w:pPr>
        <w:spacing w:after="160" w:line="259" w:lineRule="auto"/>
        <w:rPr>
          <w:rFonts w:ascii="Arial" w:hAnsi="Arial" w:cs="Arial"/>
        </w:rPr>
      </w:pPr>
      <w:r w:rsidRPr="009234CA">
        <w:rPr>
          <w:rFonts w:ascii="Arial" w:hAnsi="Arial" w:cs="Arial"/>
        </w:rPr>
        <w:t>Traditional budgeting has also been criticised for its reliance on historical financial data. Many budgeting processes begin with previous financial results and adjust them to reflect expected changes in sales or costs. While past performance can provide useful insights, it may not always provide an accurate basis for forecasting future outcomes. Markets and consumer behaviour can change rapidly, meaning that past trends may not reliably predict future performance.</w:t>
      </w:r>
    </w:p>
    <w:p w14:paraId="41EE9023" w14:textId="77777777" w:rsidR="009234CA" w:rsidRPr="009234CA" w:rsidRDefault="009234CA" w:rsidP="009234CA">
      <w:pPr>
        <w:spacing w:after="160" w:line="259" w:lineRule="auto"/>
        <w:rPr>
          <w:rFonts w:ascii="Arial" w:hAnsi="Arial" w:cs="Arial"/>
        </w:rPr>
      </w:pPr>
      <w:r w:rsidRPr="009234CA">
        <w:rPr>
          <w:rFonts w:ascii="Arial" w:hAnsi="Arial" w:cs="Arial"/>
        </w:rPr>
        <w:t>Closely related to this issue is incremental budgeting. Incremental budgeting involves adjusting previous budgets by small percentages rather than reassessing existing expenditures. Although this simplifies the budgeting process, it can perpetuate inefficiencies because existing spending patterns are rarely questioned (Shim and Siegel, 2009).</w:t>
      </w:r>
    </w:p>
    <w:p w14:paraId="781C53A5" w14:textId="77777777" w:rsidR="009234CA" w:rsidRPr="009234CA" w:rsidRDefault="009234CA" w:rsidP="009234CA">
      <w:pPr>
        <w:spacing w:after="160" w:line="259" w:lineRule="auto"/>
        <w:rPr>
          <w:rFonts w:ascii="Arial" w:hAnsi="Arial" w:cs="Arial"/>
        </w:rPr>
      </w:pPr>
      <w:r w:rsidRPr="009234CA">
        <w:rPr>
          <w:rFonts w:ascii="Arial" w:hAnsi="Arial" w:cs="Arial"/>
        </w:rPr>
        <w:lastRenderedPageBreak/>
        <w:t>In response to these limitations, several alternative approaches have been proposed. Rolling forecasts involve regularly updating financial projections rather than relying on a fixed annual budget, allowing organisations to adjust plans as new information becomes available (</w:t>
      </w:r>
      <w:proofErr w:type="spellStart"/>
      <w:r w:rsidRPr="009234CA">
        <w:rPr>
          <w:rFonts w:ascii="Arial" w:hAnsi="Arial" w:cs="Arial"/>
        </w:rPr>
        <w:t>Bogsnes</w:t>
      </w:r>
      <w:proofErr w:type="spellEnd"/>
      <w:r w:rsidRPr="009234CA">
        <w:rPr>
          <w:rFonts w:ascii="Arial" w:hAnsi="Arial" w:cs="Arial"/>
        </w:rPr>
        <w:t>, 2016). Zero-based budgeting requires managers to justify expenditures from scratch rather than relying on previous budgets, encouraging more critical evaluation of spending.</w:t>
      </w:r>
    </w:p>
    <w:p w14:paraId="71C1E556" w14:textId="77777777" w:rsidR="009234CA" w:rsidRPr="009234CA" w:rsidRDefault="009234CA" w:rsidP="009234CA">
      <w:pPr>
        <w:spacing w:after="160" w:line="259" w:lineRule="auto"/>
        <w:rPr>
          <w:rFonts w:ascii="Arial" w:hAnsi="Arial" w:cs="Arial"/>
        </w:rPr>
      </w:pPr>
      <w:r w:rsidRPr="009234CA">
        <w:rPr>
          <w:rFonts w:ascii="Arial" w:hAnsi="Arial" w:cs="Arial"/>
        </w:rPr>
        <w:t>A more radical alternative is the Beyond Budgeting model, which emphasises decentralised decision-making, continuous performance evaluation and flexible planning processes (Hope and Fraser, 2003). While this approach may improve adaptability, critics argue that abandoning budgets entirely could weaken financial control and accountability.</w:t>
      </w:r>
    </w:p>
    <w:p w14:paraId="368812F2" w14:textId="77777777" w:rsidR="009234CA" w:rsidRPr="009234CA" w:rsidRDefault="009234CA" w:rsidP="009234CA">
      <w:pPr>
        <w:spacing w:after="160" w:line="259" w:lineRule="auto"/>
        <w:rPr>
          <w:rFonts w:ascii="Arial" w:hAnsi="Arial" w:cs="Arial"/>
        </w:rPr>
      </w:pPr>
      <w:r w:rsidRPr="009234CA">
        <w:rPr>
          <w:rFonts w:ascii="Arial" w:hAnsi="Arial" w:cs="Arial"/>
        </w:rPr>
        <w:t>Despite these criticisms, traditional budgeting systems still provide important benefits. They offer a structured framework for financial planning, support coordination between departments and provide benchmarks for performance evaluation. Consequently, many organisations adopt a hybrid approach, combining traditional budgets with more flexible tools such as rolling forecasts and real-time performance monitoring systems.</w:t>
      </w:r>
    </w:p>
    <w:p w14:paraId="1D4BADC0" w14:textId="77777777" w:rsidR="009234CA" w:rsidRPr="009234CA" w:rsidRDefault="009234CA" w:rsidP="009234CA">
      <w:pPr>
        <w:spacing w:after="160" w:line="259" w:lineRule="auto"/>
        <w:rPr>
          <w:rFonts w:ascii="Arial" w:hAnsi="Arial" w:cs="Arial"/>
        </w:rPr>
      </w:pPr>
      <w:r w:rsidRPr="009234CA">
        <w:rPr>
          <w:rFonts w:ascii="Arial" w:hAnsi="Arial" w:cs="Arial"/>
        </w:rPr>
        <w:t>Overall, while traditional budgeting systems face limitations in fast-changing environments, they remain valuable tools for organisational planning and control. The key challenge is adapting budgeting practices so they maintain financial discipline while allowing sufficient flexibility to respond to changing market conditions.</w:t>
      </w:r>
    </w:p>
    <w:p w14:paraId="1198AAF8" w14:textId="77777777" w:rsidR="009234CA" w:rsidRDefault="009234CA" w:rsidP="000B31C4">
      <w:pPr>
        <w:spacing w:after="160" w:line="259" w:lineRule="auto"/>
        <w:rPr>
          <w:rFonts w:ascii="Arial" w:hAnsi="Arial" w:cs="Arial"/>
          <w:b/>
          <w:bCs/>
        </w:rPr>
      </w:pPr>
    </w:p>
    <w:p w14:paraId="41E5D942" w14:textId="77777777" w:rsidR="009234CA" w:rsidRPr="00546000" w:rsidRDefault="009234CA" w:rsidP="000B31C4">
      <w:pPr>
        <w:spacing w:after="160" w:line="259" w:lineRule="auto"/>
        <w:rPr>
          <w:rFonts w:ascii="Arial" w:hAnsi="Arial" w:cs="Arial"/>
          <w:b/>
          <w:bCs/>
        </w:rPr>
      </w:pPr>
    </w:p>
    <w:p w14:paraId="3E17E1CC" w14:textId="77777777" w:rsidR="00C71CBC" w:rsidRPr="00CF399E" w:rsidRDefault="00C71CBC" w:rsidP="008D3CBA">
      <w:pPr>
        <w:spacing w:after="160" w:line="259" w:lineRule="auto"/>
        <w:rPr>
          <w:rFonts w:ascii="Arial" w:hAnsi="Arial" w:cs="Arial"/>
        </w:rPr>
      </w:pPr>
    </w:p>
    <w:p w14:paraId="2DACF8D4" w14:textId="77777777" w:rsidR="00C71CBC" w:rsidRPr="00CF399E" w:rsidRDefault="00C71CBC" w:rsidP="008D3CBA">
      <w:pPr>
        <w:spacing w:after="160" w:line="259" w:lineRule="auto"/>
        <w:rPr>
          <w:rFonts w:ascii="Arial" w:hAnsi="Arial" w:cs="Arial"/>
        </w:rPr>
      </w:pPr>
    </w:p>
    <w:p w14:paraId="051C317B" w14:textId="77777777" w:rsidR="00C31200" w:rsidRPr="00CF399E" w:rsidRDefault="00C31200" w:rsidP="002C08DC">
      <w:pPr>
        <w:rPr>
          <w:rFonts w:ascii="Arial" w:hAnsi="Arial" w:cs="Arial"/>
        </w:rPr>
      </w:pPr>
    </w:p>
    <w:p w14:paraId="0FDF090B" w14:textId="77777777" w:rsidR="009234CA" w:rsidRDefault="009234CA" w:rsidP="002C08DC">
      <w:pPr>
        <w:spacing w:after="160" w:line="259" w:lineRule="auto"/>
        <w:rPr>
          <w:rFonts w:ascii="Arial" w:hAnsi="Arial" w:cs="Arial"/>
          <w:b/>
          <w:bCs/>
        </w:rPr>
      </w:pPr>
    </w:p>
    <w:p w14:paraId="16EAC511" w14:textId="77777777" w:rsidR="006D3194" w:rsidRDefault="006D3194" w:rsidP="002C08DC">
      <w:pPr>
        <w:spacing w:after="160" w:line="259" w:lineRule="auto"/>
        <w:rPr>
          <w:rFonts w:ascii="Arial" w:hAnsi="Arial" w:cs="Arial"/>
          <w:b/>
          <w:bCs/>
        </w:rPr>
      </w:pPr>
    </w:p>
    <w:p w14:paraId="00B55DFF" w14:textId="77777777" w:rsidR="006D3194" w:rsidRDefault="006D3194" w:rsidP="002C08DC">
      <w:pPr>
        <w:spacing w:after="160" w:line="259" w:lineRule="auto"/>
        <w:rPr>
          <w:rFonts w:ascii="Arial" w:hAnsi="Arial" w:cs="Arial"/>
          <w:b/>
          <w:bCs/>
        </w:rPr>
      </w:pPr>
    </w:p>
    <w:p w14:paraId="649FD715" w14:textId="77777777" w:rsidR="006D3194" w:rsidRDefault="006D3194" w:rsidP="002C08DC">
      <w:pPr>
        <w:spacing w:after="160" w:line="259" w:lineRule="auto"/>
        <w:rPr>
          <w:rFonts w:ascii="Arial" w:hAnsi="Arial" w:cs="Arial"/>
          <w:b/>
          <w:bCs/>
        </w:rPr>
      </w:pPr>
    </w:p>
    <w:p w14:paraId="3F647857" w14:textId="77777777" w:rsidR="006D3194" w:rsidRDefault="006D3194" w:rsidP="002C08DC">
      <w:pPr>
        <w:spacing w:after="160" w:line="259" w:lineRule="auto"/>
        <w:rPr>
          <w:rFonts w:ascii="Arial" w:hAnsi="Arial" w:cs="Arial"/>
          <w:b/>
          <w:bCs/>
        </w:rPr>
      </w:pPr>
    </w:p>
    <w:p w14:paraId="43B4CCFA" w14:textId="77777777" w:rsidR="006D3194" w:rsidRDefault="006D3194" w:rsidP="002C08DC">
      <w:pPr>
        <w:spacing w:after="160" w:line="259" w:lineRule="auto"/>
        <w:rPr>
          <w:rFonts w:ascii="Arial" w:hAnsi="Arial" w:cs="Arial"/>
          <w:b/>
          <w:bCs/>
        </w:rPr>
      </w:pPr>
    </w:p>
    <w:p w14:paraId="4BE040F0" w14:textId="77777777" w:rsidR="006D3194" w:rsidRDefault="006D3194" w:rsidP="002C08DC">
      <w:pPr>
        <w:spacing w:after="160" w:line="259" w:lineRule="auto"/>
        <w:rPr>
          <w:rFonts w:ascii="Arial" w:hAnsi="Arial" w:cs="Arial"/>
          <w:b/>
          <w:bCs/>
        </w:rPr>
      </w:pPr>
    </w:p>
    <w:p w14:paraId="1C72B31B" w14:textId="77777777" w:rsidR="006D3194" w:rsidRDefault="006D3194" w:rsidP="002C08DC">
      <w:pPr>
        <w:spacing w:after="160" w:line="259" w:lineRule="auto"/>
        <w:rPr>
          <w:rFonts w:ascii="Arial" w:hAnsi="Arial" w:cs="Arial"/>
          <w:b/>
          <w:bCs/>
        </w:rPr>
      </w:pPr>
    </w:p>
    <w:p w14:paraId="00DBCC3E" w14:textId="77777777" w:rsidR="006D3194" w:rsidRDefault="006D3194" w:rsidP="002C08DC">
      <w:pPr>
        <w:spacing w:after="160" w:line="259" w:lineRule="auto"/>
        <w:rPr>
          <w:rFonts w:ascii="Arial" w:hAnsi="Arial" w:cs="Arial"/>
          <w:b/>
          <w:bCs/>
        </w:rPr>
      </w:pPr>
    </w:p>
    <w:p w14:paraId="68B8BF52" w14:textId="77777777" w:rsidR="006D3194" w:rsidRDefault="006D3194" w:rsidP="002C08DC">
      <w:pPr>
        <w:spacing w:after="160" w:line="259" w:lineRule="auto"/>
        <w:rPr>
          <w:rFonts w:ascii="Arial" w:hAnsi="Arial" w:cs="Arial"/>
          <w:b/>
          <w:bCs/>
        </w:rPr>
      </w:pPr>
    </w:p>
    <w:p w14:paraId="30094CAA" w14:textId="688F9E4C" w:rsidR="002C08DC" w:rsidRPr="00546000" w:rsidRDefault="00546000" w:rsidP="006D3194">
      <w:pPr>
        <w:pStyle w:val="Heading1"/>
      </w:pPr>
      <w:bookmarkStart w:id="13" w:name="_Toc224757676"/>
      <w:r>
        <w:lastRenderedPageBreak/>
        <w:t xml:space="preserve">8. </w:t>
      </w:r>
      <w:r w:rsidR="002C08DC" w:rsidRPr="00546000">
        <w:t>Conclusion</w:t>
      </w:r>
      <w:bookmarkEnd w:id="13"/>
      <w:r w:rsidR="002C08DC" w:rsidRPr="00546000">
        <w:t xml:space="preserve"> </w:t>
      </w:r>
    </w:p>
    <w:p w14:paraId="6FCEDE70" w14:textId="77777777" w:rsidR="002C08DC" w:rsidRPr="00CF399E" w:rsidRDefault="002C08DC" w:rsidP="002C08DC">
      <w:pPr>
        <w:spacing w:after="160" w:line="259" w:lineRule="auto"/>
        <w:rPr>
          <w:rFonts w:ascii="Arial" w:hAnsi="Arial" w:cs="Arial"/>
        </w:rPr>
      </w:pPr>
      <w:r w:rsidRPr="00CF399E">
        <w:rPr>
          <w:rFonts w:ascii="Arial" w:hAnsi="Arial" w:cs="Arial"/>
        </w:rPr>
        <w:t>This report examined the financial planning and budgeting practices of Silver Stitch Ltd through the preparation and analysis of forecast budgets. The stock budget, cash budget and projected profit and loss statement provided valuable insights into the company’s expected financial performance over the six-month planning period.</w:t>
      </w:r>
    </w:p>
    <w:p w14:paraId="6E384FDE" w14:textId="77777777" w:rsidR="002C08DC" w:rsidRPr="00CF399E" w:rsidRDefault="002C08DC" w:rsidP="002C08DC">
      <w:pPr>
        <w:spacing w:after="160" w:line="259" w:lineRule="auto"/>
        <w:rPr>
          <w:rFonts w:ascii="Arial" w:hAnsi="Arial" w:cs="Arial"/>
        </w:rPr>
      </w:pPr>
      <w:r w:rsidRPr="00CF399E">
        <w:rPr>
          <w:rFonts w:ascii="Arial" w:hAnsi="Arial" w:cs="Arial"/>
        </w:rPr>
        <w:t>The analysis revealed that Silver Stitch Ltd is forecast to generate strong sales revenues and maintain a healthy gross profit margin. The projected profit and loss statement indicates that the company will remain profitable overall during the planning period. However, the cash budget highlights potential liquidity pressures, particularly in the early months when the company must manage existing financial commitments while attempting to eliminate its £30,000 overdraft.</w:t>
      </w:r>
    </w:p>
    <w:p w14:paraId="040F83EB" w14:textId="77777777" w:rsidR="002C08DC" w:rsidRPr="00CF399E" w:rsidRDefault="002C08DC" w:rsidP="002C08DC">
      <w:pPr>
        <w:spacing w:after="160" w:line="259" w:lineRule="auto"/>
        <w:rPr>
          <w:rFonts w:ascii="Arial" w:hAnsi="Arial" w:cs="Arial"/>
        </w:rPr>
      </w:pPr>
      <w:r w:rsidRPr="00CF399E">
        <w:rPr>
          <w:rFonts w:ascii="Arial" w:hAnsi="Arial" w:cs="Arial"/>
        </w:rPr>
        <w:t>Several operational issues were identified, including rising inventory levels, ongoing loan repayment obligations and planned capital expenditure on store refurbishment. While these factors are manageable, they require careful financial management to ensure that the company maintains adequate liquidity. Management actions such as improving inventory control, postponing non-essential expenditures and monitoring cash flows through rolling forecasts could help mitigate these risks.</w:t>
      </w:r>
    </w:p>
    <w:p w14:paraId="62448B23" w14:textId="77777777" w:rsidR="002C08DC" w:rsidRPr="00CF399E" w:rsidRDefault="002C08DC" w:rsidP="002C08DC">
      <w:pPr>
        <w:spacing w:after="160" w:line="259" w:lineRule="auto"/>
        <w:rPr>
          <w:rFonts w:ascii="Arial" w:hAnsi="Arial" w:cs="Arial"/>
        </w:rPr>
      </w:pPr>
      <w:r w:rsidRPr="00CF399E">
        <w:rPr>
          <w:rFonts w:ascii="Arial" w:hAnsi="Arial" w:cs="Arial"/>
        </w:rPr>
        <w:t>The report also discussed the organisational conditions required for successful budgeting systems. Effective budgeting requires clear strategic objectives, strong leadership support, employee participation, effective communication and realistic performance targets. In addition, managers must consider behavioural factors such as budgetary slack, performance pressure and resistance to change when implementing budgeting systems.</w:t>
      </w:r>
    </w:p>
    <w:p w14:paraId="59807DA7" w14:textId="78008827" w:rsidR="005058ED" w:rsidRDefault="002C08DC" w:rsidP="005058ED">
      <w:pPr>
        <w:spacing w:after="160" w:line="259" w:lineRule="auto"/>
        <w:rPr>
          <w:rFonts w:ascii="Arial" w:hAnsi="Arial" w:cs="Arial"/>
        </w:rPr>
      </w:pPr>
      <w:r w:rsidRPr="00CF399E">
        <w:rPr>
          <w:rFonts w:ascii="Arial" w:hAnsi="Arial" w:cs="Arial"/>
        </w:rPr>
        <w:t>Finally, the report critically evaluated traditional approaches to budgeting in the context of modern business environments. Although traditional budgeting provides valuable planning and control mechanisms, it has several limitations, including inflexibility, reliance on historical data and the potential to encourage short-term decision-making. As a result, many organisations are increasingly adopting more adaptive approaches such as rolling forecasts and beyond-budgeting frameworks.</w:t>
      </w:r>
    </w:p>
    <w:p w14:paraId="2E6EA382" w14:textId="363D89A4" w:rsidR="005058ED" w:rsidRPr="005058ED" w:rsidRDefault="005058ED" w:rsidP="005058ED">
      <w:pPr>
        <w:rPr>
          <w:rFonts w:ascii="Arial" w:hAnsi="Arial" w:cs="Arial"/>
        </w:rPr>
      </w:pPr>
      <w:r w:rsidRPr="005058ED">
        <w:rPr>
          <w:rFonts w:ascii="Arial" w:hAnsi="Arial" w:cs="Arial"/>
        </w:rPr>
        <w:t>Overall, the central issue facing Silver Stitch Ltd is not the ability to generate profit, but the efficient conversion of profit into cash. The company’s financial performance is fundamentally sound</w:t>
      </w:r>
      <w:r>
        <w:rPr>
          <w:rFonts w:ascii="Arial" w:hAnsi="Arial" w:cs="Arial"/>
        </w:rPr>
        <w:t xml:space="preserve">, </w:t>
      </w:r>
      <w:r w:rsidRPr="005058ED">
        <w:rPr>
          <w:rFonts w:ascii="Arial" w:hAnsi="Arial" w:cs="Arial"/>
        </w:rPr>
        <w:t xml:space="preserve">however, </w:t>
      </w:r>
      <w:proofErr w:type="spellStart"/>
      <w:r w:rsidRPr="005058ED">
        <w:rPr>
          <w:rFonts w:ascii="Arial" w:hAnsi="Arial" w:cs="Arial"/>
        </w:rPr>
        <w:t>it</w:t>
      </w:r>
      <w:r>
        <w:rPr>
          <w:rFonts w:ascii="Arial" w:hAnsi="Arial" w:cs="Arial"/>
        </w:rPr>
        <w:t>’</w:t>
      </w:r>
      <w:r w:rsidRPr="005058ED">
        <w:rPr>
          <w:rFonts w:ascii="Arial" w:hAnsi="Arial" w:cs="Arial"/>
        </w:rPr>
        <w:t>s</w:t>
      </w:r>
      <w:proofErr w:type="spellEnd"/>
      <w:r w:rsidRPr="005058ED">
        <w:rPr>
          <w:rFonts w:ascii="Arial" w:hAnsi="Arial" w:cs="Arial"/>
        </w:rPr>
        <w:t xml:space="preserve"> ability to manage working capital effectively will be critical in ensuring short-term financial stability and meeting its obligation to eliminate the overdraft. This reinforces the importance of integrating financial planning with flexible and responsive management practices to support both operational performance and long-term sustainability.</w:t>
      </w:r>
    </w:p>
    <w:p w14:paraId="413C45D6" w14:textId="77777777" w:rsidR="005058ED" w:rsidRDefault="005058ED" w:rsidP="00BE042E">
      <w:pPr>
        <w:pStyle w:val="Heading1"/>
      </w:pPr>
      <w:bookmarkStart w:id="14" w:name="_Toc224757677"/>
    </w:p>
    <w:p w14:paraId="118FF677" w14:textId="71D631AA" w:rsidR="002C08DC" w:rsidRPr="00BE042E" w:rsidRDefault="002C08DC" w:rsidP="00BE042E">
      <w:pPr>
        <w:pStyle w:val="Heading1"/>
        <w:rPr>
          <w:rFonts w:ascii="Arial" w:hAnsi="Arial" w:cs="Arial"/>
        </w:rPr>
      </w:pPr>
      <w:r w:rsidRPr="00546000">
        <w:t>Reference list :</w:t>
      </w:r>
      <w:bookmarkEnd w:id="14"/>
    </w:p>
    <w:p w14:paraId="73E2280A" w14:textId="77777777" w:rsidR="002C08DC" w:rsidRDefault="002C08DC" w:rsidP="002C08DC">
      <w:pPr>
        <w:rPr>
          <w:rFonts w:ascii="Arial" w:hAnsi="Arial" w:cs="Arial"/>
        </w:rPr>
      </w:pPr>
      <w:r w:rsidRPr="002C08DC">
        <w:rPr>
          <w:rFonts w:ascii="Arial" w:hAnsi="Arial" w:cs="Arial"/>
        </w:rPr>
        <w:t xml:space="preserve">Anthony, R.N. and Govindarajan, V. (2007) </w:t>
      </w:r>
      <w:r w:rsidRPr="002C08DC">
        <w:rPr>
          <w:rFonts w:ascii="Arial" w:eastAsiaTheme="majorEastAsia" w:hAnsi="Arial" w:cs="Arial"/>
          <w:i/>
          <w:iCs/>
        </w:rPr>
        <w:t>Management Control Systems</w:t>
      </w:r>
      <w:r w:rsidRPr="002C08DC">
        <w:rPr>
          <w:rFonts w:ascii="Arial" w:hAnsi="Arial" w:cs="Arial"/>
        </w:rPr>
        <w:t xml:space="preserve">. 12th </w:t>
      </w:r>
      <w:proofErr w:type="spellStart"/>
      <w:r w:rsidRPr="002C08DC">
        <w:rPr>
          <w:rFonts w:ascii="Arial" w:hAnsi="Arial" w:cs="Arial"/>
        </w:rPr>
        <w:t>edn</w:t>
      </w:r>
      <w:proofErr w:type="spellEnd"/>
      <w:r w:rsidRPr="002C08DC">
        <w:rPr>
          <w:rFonts w:ascii="Arial" w:hAnsi="Arial" w:cs="Arial"/>
        </w:rPr>
        <w:t>. Boston: McGraw-Hill.</w:t>
      </w:r>
    </w:p>
    <w:p w14:paraId="1587C668" w14:textId="77777777" w:rsidR="00546000" w:rsidRDefault="00546000" w:rsidP="002C08DC">
      <w:pPr>
        <w:rPr>
          <w:rFonts w:ascii="Arial" w:hAnsi="Arial" w:cs="Arial"/>
        </w:rPr>
      </w:pPr>
    </w:p>
    <w:p w14:paraId="5C86FDC6" w14:textId="77777777" w:rsidR="002D7755" w:rsidRPr="002C08DC" w:rsidRDefault="002D7755" w:rsidP="002D7755">
      <w:pPr>
        <w:spacing w:after="160" w:line="259" w:lineRule="auto"/>
        <w:rPr>
          <w:rFonts w:ascii="Arial" w:hAnsi="Arial" w:cs="Arial"/>
        </w:rPr>
      </w:pPr>
      <w:r w:rsidRPr="002C08DC">
        <w:rPr>
          <w:rFonts w:ascii="Arial" w:hAnsi="Arial" w:cs="Arial"/>
        </w:rPr>
        <w:t xml:space="preserve">Arnold, J. and Hope, T. (2013) </w:t>
      </w:r>
      <w:r w:rsidRPr="002C08DC">
        <w:rPr>
          <w:rFonts w:ascii="Arial" w:eastAsiaTheme="majorEastAsia" w:hAnsi="Arial" w:cs="Arial"/>
          <w:i/>
          <w:iCs/>
        </w:rPr>
        <w:t>Accounting for Management Decisions</w:t>
      </w:r>
      <w:r w:rsidRPr="002C08DC">
        <w:rPr>
          <w:rFonts w:ascii="Arial" w:hAnsi="Arial" w:cs="Arial"/>
        </w:rPr>
        <w:t>. Harlow: Pearson.</w:t>
      </w:r>
    </w:p>
    <w:p w14:paraId="4626FBFF" w14:textId="77777777" w:rsidR="002C08DC" w:rsidRDefault="002C08DC" w:rsidP="002C08DC">
      <w:pPr>
        <w:rPr>
          <w:rFonts w:ascii="Arial" w:hAnsi="Arial" w:cs="Arial"/>
        </w:rPr>
      </w:pPr>
      <w:proofErr w:type="spellStart"/>
      <w:r w:rsidRPr="002C08DC">
        <w:rPr>
          <w:rFonts w:ascii="Arial" w:hAnsi="Arial" w:cs="Arial"/>
        </w:rPr>
        <w:t>Atrill</w:t>
      </w:r>
      <w:proofErr w:type="spellEnd"/>
      <w:r w:rsidRPr="002C08DC">
        <w:rPr>
          <w:rFonts w:ascii="Arial" w:hAnsi="Arial" w:cs="Arial"/>
        </w:rPr>
        <w:t xml:space="preserve">, P. and McLaney, E. (2022) </w:t>
      </w:r>
      <w:r w:rsidRPr="002C08DC">
        <w:rPr>
          <w:rFonts w:ascii="Arial" w:eastAsiaTheme="majorEastAsia" w:hAnsi="Arial" w:cs="Arial"/>
          <w:i/>
          <w:iCs/>
        </w:rPr>
        <w:t>Management Accounting for Decision Makers</w:t>
      </w:r>
      <w:r w:rsidRPr="002C08DC">
        <w:rPr>
          <w:rFonts w:ascii="Arial" w:hAnsi="Arial" w:cs="Arial"/>
        </w:rPr>
        <w:t xml:space="preserve">. 10th </w:t>
      </w:r>
      <w:proofErr w:type="spellStart"/>
      <w:r w:rsidRPr="002C08DC">
        <w:rPr>
          <w:rFonts w:ascii="Arial" w:hAnsi="Arial" w:cs="Arial"/>
        </w:rPr>
        <w:t>edn</w:t>
      </w:r>
      <w:proofErr w:type="spellEnd"/>
      <w:r w:rsidRPr="002C08DC">
        <w:rPr>
          <w:rFonts w:ascii="Arial" w:hAnsi="Arial" w:cs="Arial"/>
        </w:rPr>
        <w:t>. Harlow: Pearson.</w:t>
      </w:r>
    </w:p>
    <w:p w14:paraId="0893B2C7" w14:textId="77777777" w:rsidR="00546000" w:rsidRDefault="00546000" w:rsidP="002C08DC">
      <w:pPr>
        <w:spacing w:after="160" w:line="259" w:lineRule="auto"/>
        <w:rPr>
          <w:rFonts w:ascii="Arial" w:hAnsi="Arial" w:cs="Arial"/>
        </w:rPr>
      </w:pPr>
    </w:p>
    <w:p w14:paraId="265BCC9F" w14:textId="14D34892" w:rsidR="002D7755" w:rsidRPr="002C08DC" w:rsidRDefault="002D7755" w:rsidP="002C08DC">
      <w:pPr>
        <w:spacing w:after="160" w:line="259" w:lineRule="auto"/>
        <w:rPr>
          <w:rFonts w:ascii="Arial" w:hAnsi="Arial" w:cs="Arial"/>
        </w:rPr>
      </w:pPr>
      <w:r w:rsidRPr="002C08DC">
        <w:rPr>
          <w:rFonts w:ascii="Arial" w:hAnsi="Arial" w:cs="Arial"/>
        </w:rPr>
        <w:t xml:space="preserve">Bhimani, A., Horngren, C., Datar, S. and Rajan, M. (2019) </w:t>
      </w:r>
      <w:r w:rsidRPr="002C08DC">
        <w:rPr>
          <w:rFonts w:ascii="Arial" w:eastAsiaTheme="majorEastAsia" w:hAnsi="Arial" w:cs="Arial"/>
          <w:i/>
          <w:iCs/>
        </w:rPr>
        <w:t>Management and Cost Accounting</w:t>
      </w:r>
      <w:r w:rsidRPr="002C08DC">
        <w:rPr>
          <w:rFonts w:ascii="Arial" w:hAnsi="Arial" w:cs="Arial"/>
        </w:rPr>
        <w:t xml:space="preserve">. 7th </w:t>
      </w:r>
      <w:proofErr w:type="spellStart"/>
      <w:r w:rsidRPr="002C08DC">
        <w:rPr>
          <w:rFonts w:ascii="Arial" w:hAnsi="Arial" w:cs="Arial"/>
        </w:rPr>
        <w:t>edn</w:t>
      </w:r>
      <w:proofErr w:type="spellEnd"/>
      <w:r w:rsidRPr="002C08DC">
        <w:rPr>
          <w:rFonts w:ascii="Arial" w:hAnsi="Arial" w:cs="Arial"/>
        </w:rPr>
        <w:t>. Harlow: Pearson</w:t>
      </w:r>
    </w:p>
    <w:p w14:paraId="609E42EC" w14:textId="77777777" w:rsidR="002C08DC" w:rsidRPr="002C08DC" w:rsidRDefault="002C08DC" w:rsidP="002C08DC">
      <w:pPr>
        <w:spacing w:after="160" w:line="259" w:lineRule="auto"/>
        <w:rPr>
          <w:rFonts w:ascii="Arial" w:hAnsi="Arial" w:cs="Arial"/>
        </w:rPr>
      </w:pPr>
      <w:proofErr w:type="spellStart"/>
      <w:r w:rsidRPr="002C08DC">
        <w:rPr>
          <w:rFonts w:ascii="Arial" w:hAnsi="Arial" w:cs="Arial"/>
        </w:rPr>
        <w:t>Bogsnes</w:t>
      </w:r>
      <w:proofErr w:type="spellEnd"/>
      <w:r w:rsidRPr="002C08DC">
        <w:rPr>
          <w:rFonts w:ascii="Arial" w:hAnsi="Arial" w:cs="Arial"/>
        </w:rPr>
        <w:t xml:space="preserve">, B. (2016) </w:t>
      </w:r>
      <w:r w:rsidRPr="002C08DC">
        <w:rPr>
          <w:rFonts w:ascii="Arial" w:eastAsiaTheme="majorEastAsia" w:hAnsi="Arial" w:cs="Arial"/>
          <w:i/>
          <w:iCs/>
        </w:rPr>
        <w:t>Implementing Beyond Budgeting: Unlocking the Performance Potential</w:t>
      </w:r>
      <w:r w:rsidRPr="002C08DC">
        <w:rPr>
          <w:rFonts w:ascii="Arial" w:hAnsi="Arial" w:cs="Arial"/>
        </w:rPr>
        <w:t>. Hoboken: Wiley.</w:t>
      </w:r>
    </w:p>
    <w:p w14:paraId="327A370B"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Brealey, R., Myers, S. and Allen, F. (2020) </w:t>
      </w:r>
      <w:r w:rsidRPr="002C08DC">
        <w:rPr>
          <w:rFonts w:ascii="Arial" w:eastAsiaTheme="majorEastAsia" w:hAnsi="Arial" w:cs="Arial"/>
          <w:i/>
          <w:iCs/>
        </w:rPr>
        <w:t>Principles of Corporate Finance</w:t>
      </w:r>
      <w:r w:rsidRPr="002C08DC">
        <w:rPr>
          <w:rFonts w:ascii="Arial" w:hAnsi="Arial" w:cs="Arial"/>
        </w:rPr>
        <w:t xml:space="preserve">. 13th </w:t>
      </w:r>
      <w:proofErr w:type="spellStart"/>
      <w:r w:rsidRPr="002C08DC">
        <w:rPr>
          <w:rFonts w:ascii="Arial" w:hAnsi="Arial" w:cs="Arial"/>
        </w:rPr>
        <w:t>edn</w:t>
      </w:r>
      <w:proofErr w:type="spellEnd"/>
      <w:r w:rsidRPr="002C08DC">
        <w:rPr>
          <w:rFonts w:ascii="Arial" w:hAnsi="Arial" w:cs="Arial"/>
        </w:rPr>
        <w:t>. New York: McGraw-Hill.</w:t>
      </w:r>
    </w:p>
    <w:p w14:paraId="159E7CA3"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Bragg, S. (2017) </w:t>
      </w:r>
      <w:r w:rsidRPr="002C08DC">
        <w:rPr>
          <w:rFonts w:ascii="Arial" w:eastAsiaTheme="majorEastAsia" w:hAnsi="Arial" w:cs="Arial"/>
          <w:i/>
          <w:iCs/>
        </w:rPr>
        <w:t>Budgeting: A Comprehensive Guide</w:t>
      </w:r>
      <w:r w:rsidRPr="002C08DC">
        <w:rPr>
          <w:rFonts w:ascii="Arial" w:hAnsi="Arial" w:cs="Arial"/>
        </w:rPr>
        <w:t xml:space="preserve">. Centennial: </w:t>
      </w:r>
      <w:proofErr w:type="spellStart"/>
      <w:r w:rsidRPr="002C08DC">
        <w:rPr>
          <w:rFonts w:ascii="Arial" w:hAnsi="Arial" w:cs="Arial"/>
        </w:rPr>
        <w:t>AccountingTools</w:t>
      </w:r>
      <w:proofErr w:type="spellEnd"/>
      <w:r w:rsidRPr="002C08DC">
        <w:rPr>
          <w:rFonts w:ascii="Arial" w:hAnsi="Arial" w:cs="Arial"/>
        </w:rPr>
        <w:t>.</w:t>
      </w:r>
    </w:p>
    <w:p w14:paraId="7C20324F"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Burns, J., Quinn, M., Warren, L. and Oliveira, J. (2013) </w:t>
      </w:r>
      <w:r w:rsidRPr="002C08DC">
        <w:rPr>
          <w:rFonts w:ascii="Arial" w:eastAsiaTheme="majorEastAsia" w:hAnsi="Arial" w:cs="Arial"/>
          <w:i/>
          <w:iCs/>
        </w:rPr>
        <w:t>Management Accounting</w:t>
      </w:r>
      <w:r w:rsidRPr="002C08DC">
        <w:rPr>
          <w:rFonts w:ascii="Arial" w:hAnsi="Arial" w:cs="Arial"/>
        </w:rPr>
        <w:t>. London: McGraw-Hill.</w:t>
      </w:r>
    </w:p>
    <w:p w14:paraId="7A36EA45"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CIMA (2020) </w:t>
      </w:r>
      <w:r w:rsidRPr="002C08DC">
        <w:rPr>
          <w:rFonts w:ascii="Arial" w:eastAsiaTheme="majorEastAsia" w:hAnsi="Arial" w:cs="Arial"/>
          <w:i/>
          <w:iCs/>
        </w:rPr>
        <w:t>Management Accounting Official Terminology</w:t>
      </w:r>
      <w:r w:rsidRPr="002C08DC">
        <w:rPr>
          <w:rFonts w:ascii="Arial" w:hAnsi="Arial" w:cs="Arial"/>
        </w:rPr>
        <w:t>. London: Chartered Institute of Management Accountants.</w:t>
      </w:r>
    </w:p>
    <w:p w14:paraId="27C656B9" w14:textId="77777777" w:rsidR="002C08DC" w:rsidRDefault="002C08DC" w:rsidP="002C08DC">
      <w:pPr>
        <w:rPr>
          <w:rFonts w:ascii="Arial" w:hAnsi="Arial" w:cs="Arial"/>
        </w:rPr>
      </w:pPr>
      <w:r w:rsidRPr="002C08DC">
        <w:rPr>
          <w:rFonts w:ascii="Arial" w:hAnsi="Arial" w:cs="Arial"/>
        </w:rPr>
        <w:t xml:space="preserve">Collier, P. (2015) </w:t>
      </w:r>
      <w:r w:rsidRPr="002C08DC">
        <w:rPr>
          <w:rFonts w:ascii="Arial" w:eastAsiaTheme="majorEastAsia" w:hAnsi="Arial" w:cs="Arial"/>
          <w:i/>
          <w:iCs/>
        </w:rPr>
        <w:t>Accounting for Managers: Interpreting Accounting Information for Decision Making</w:t>
      </w:r>
      <w:r w:rsidRPr="002C08DC">
        <w:rPr>
          <w:rFonts w:ascii="Arial" w:hAnsi="Arial" w:cs="Arial"/>
        </w:rPr>
        <w:t xml:space="preserve">. 5th </w:t>
      </w:r>
      <w:proofErr w:type="spellStart"/>
      <w:r w:rsidRPr="002C08DC">
        <w:rPr>
          <w:rFonts w:ascii="Arial" w:hAnsi="Arial" w:cs="Arial"/>
        </w:rPr>
        <w:t>edn</w:t>
      </w:r>
      <w:proofErr w:type="spellEnd"/>
      <w:r w:rsidRPr="002C08DC">
        <w:rPr>
          <w:rFonts w:ascii="Arial" w:hAnsi="Arial" w:cs="Arial"/>
        </w:rPr>
        <w:t>. Chichester: Wiley.</w:t>
      </w:r>
    </w:p>
    <w:p w14:paraId="669CF47E" w14:textId="77777777" w:rsidR="00546000" w:rsidRDefault="00546000" w:rsidP="002C08DC">
      <w:pPr>
        <w:spacing w:after="160" w:line="259" w:lineRule="auto"/>
        <w:rPr>
          <w:rFonts w:ascii="Arial" w:hAnsi="Arial" w:cs="Arial"/>
        </w:rPr>
      </w:pPr>
    </w:p>
    <w:p w14:paraId="44A295B2" w14:textId="50624FD1" w:rsidR="002D7755" w:rsidRPr="002C08DC" w:rsidRDefault="002D7755" w:rsidP="002C08DC">
      <w:pPr>
        <w:spacing w:after="160" w:line="259" w:lineRule="auto"/>
        <w:rPr>
          <w:rFonts w:ascii="Arial" w:hAnsi="Arial" w:cs="Arial"/>
        </w:rPr>
      </w:pPr>
      <w:r w:rsidRPr="002C08DC">
        <w:rPr>
          <w:rFonts w:ascii="Arial" w:hAnsi="Arial" w:cs="Arial"/>
        </w:rPr>
        <w:t xml:space="preserve">Cooper, R. and Kaplan, R. (1998) </w:t>
      </w:r>
      <w:r w:rsidRPr="002C08DC">
        <w:rPr>
          <w:rFonts w:ascii="Arial" w:eastAsiaTheme="majorEastAsia" w:hAnsi="Arial" w:cs="Arial"/>
          <w:i/>
          <w:iCs/>
        </w:rPr>
        <w:t>Cost and Effect: Using Integrated Cost Systems to Drive Profitability and Performance</w:t>
      </w:r>
      <w:r w:rsidRPr="002C08DC">
        <w:rPr>
          <w:rFonts w:ascii="Arial" w:hAnsi="Arial" w:cs="Arial"/>
        </w:rPr>
        <w:t>. Boston: Harvard Business School Press</w:t>
      </w:r>
    </w:p>
    <w:p w14:paraId="7EF9C235"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Drury, C. (2018) </w:t>
      </w:r>
      <w:r w:rsidRPr="002C08DC">
        <w:rPr>
          <w:rFonts w:ascii="Arial" w:eastAsiaTheme="majorEastAsia" w:hAnsi="Arial" w:cs="Arial"/>
          <w:i/>
          <w:iCs/>
        </w:rPr>
        <w:t>Management and Cost Accounting</w:t>
      </w:r>
      <w:r w:rsidRPr="002C08DC">
        <w:rPr>
          <w:rFonts w:ascii="Arial" w:hAnsi="Arial" w:cs="Arial"/>
        </w:rPr>
        <w:t xml:space="preserve">. 10th </w:t>
      </w:r>
      <w:proofErr w:type="spellStart"/>
      <w:r w:rsidRPr="002C08DC">
        <w:rPr>
          <w:rFonts w:ascii="Arial" w:hAnsi="Arial" w:cs="Arial"/>
        </w:rPr>
        <w:t>edn</w:t>
      </w:r>
      <w:proofErr w:type="spellEnd"/>
      <w:r w:rsidRPr="002C08DC">
        <w:rPr>
          <w:rFonts w:ascii="Arial" w:hAnsi="Arial" w:cs="Arial"/>
        </w:rPr>
        <w:t>. London: Cengage Learning.</w:t>
      </w:r>
    </w:p>
    <w:p w14:paraId="4E9C64A3"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Drury, C. (2013) </w:t>
      </w:r>
      <w:r w:rsidRPr="002C08DC">
        <w:rPr>
          <w:rFonts w:ascii="Arial" w:eastAsiaTheme="majorEastAsia" w:hAnsi="Arial" w:cs="Arial"/>
          <w:i/>
          <w:iCs/>
        </w:rPr>
        <w:t>Cost and Management Accounting</w:t>
      </w:r>
      <w:r w:rsidRPr="002C08DC">
        <w:rPr>
          <w:rFonts w:ascii="Arial" w:hAnsi="Arial" w:cs="Arial"/>
        </w:rPr>
        <w:t xml:space="preserve">. 8th </w:t>
      </w:r>
      <w:proofErr w:type="spellStart"/>
      <w:r w:rsidRPr="002C08DC">
        <w:rPr>
          <w:rFonts w:ascii="Arial" w:hAnsi="Arial" w:cs="Arial"/>
        </w:rPr>
        <w:t>edn</w:t>
      </w:r>
      <w:proofErr w:type="spellEnd"/>
      <w:r w:rsidRPr="002C08DC">
        <w:rPr>
          <w:rFonts w:ascii="Arial" w:hAnsi="Arial" w:cs="Arial"/>
        </w:rPr>
        <w:t>. Andover: Cengage Learning.</w:t>
      </w:r>
    </w:p>
    <w:p w14:paraId="60CDA4F1"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Fisher, J. (1995) ‘Contingency-based research on management control systems’, </w:t>
      </w:r>
      <w:r w:rsidRPr="002C08DC">
        <w:rPr>
          <w:rFonts w:ascii="Arial" w:eastAsiaTheme="majorEastAsia" w:hAnsi="Arial" w:cs="Arial"/>
          <w:i/>
          <w:iCs/>
        </w:rPr>
        <w:t>Journal of Accounting Literature</w:t>
      </w:r>
      <w:r w:rsidRPr="002C08DC">
        <w:rPr>
          <w:rFonts w:ascii="Arial" w:hAnsi="Arial" w:cs="Arial"/>
        </w:rPr>
        <w:t>, 14, pp. 24–53.</w:t>
      </w:r>
    </w:p>
    <w:p w14:paraId="4C3DA8B0"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Garrison, R., Noreen, E. and Brewer, P. (2021) </w:t>
      </w:r>
      <w:r w:rsidRPr="002C08DC">
        <w:rPr>
          <w:rFonts w:ascii="Arial" w:eastAsiaTheme="majorEastAsia" w:hAnsi="Arial" w:cs="Arial"/>
          <w:i/>
          <w:iCs/>
        </w:rPr>
        <w:t>Managerial Accounting</w:t>
      </w:r>
      <w:r w:rsidRPr="002C08DC">
        <w:rPr>
          <w:rFonts w:ascii="Arial" w:hAnsi="Arial" w:cs="Arial"/>
        </w:rPr>
        <w:t xml:space="preserve">. 17th </w:t>
      </w:r>
      <w:proofErr w:type="spellStart"/>
      <w:r w:rsidRPr="002C08DC">
        <w:rPr>
          <w:rFonts w:ascii="Arial" w:hAnsi="Arial" w:cs="Arial"/>
        </w:rPr>
        <w:t>edn</w:t>
      </w:r>
      <w:proofErr w:type="spellEnd"/>
      <w:r w:rsidRPr="002C08DC">
        <w:rPr>
          <w:rFonts w:ascii="Arial" w:hAnsi="Arial" w:cs="Arial"/>
        </w:rPr>
        <w:t>. New York: McGraw-Hill.</w:t>
      </w:r>
    </w:p>
    <w:p w14:paraId="747D3A6E" w14:textId="77777777" w:rsidR="002C08DC" w:rsidRPr="002C08DC" w:rsidRDefault="002C08DC" w:rsidP="002C08DC">
      <w:pPr>
        <w:spacing w:after="160" w:line="259" w:lineRule="auto"/>
        <w:rPr>
          <w:rFonts w:ascii="Arial" w:hAnsi="Arial" w:cs="Arial"/>
        </w:rPr>
      </w:pPr>
      <w:r w:rsidRPr="002C08DC">
        <w:rPr>
          <w:rFonts w:ascii="Arial" w:hAnsi="Arial" w:cs="Arial"/>
        </w:rPr>
        <w:lastRenderedPageBreak/>
        <w:t xml:space="preserve">Govindarajan, V. (1986) ‘Impact of participation in the budgetary process on managerial attitudes and performance’, </w:t>
      </w:r>
      <w:r w:rsidRPr="002C08DC">
        <w:rPr>
          <w:rFonts w:ascii="Arial" w:eastAsiaTheme="majorEastAsia" w:hAnsi="Arial" w:cs="Arial"/>
          <w:i/>
          <w:iCs/>
        </w:rPr>
        <w:t>Accounting, Organizations and Society</w:t>
      </w:r>
      <w:r w:rsidRPr="002C08DC">
        <w:rPr>
          <w:rFonts w:ascii="Arial" w:hAnsi="Arial" w:cs="Arial"/>
        </w:rPr>
        <w:t>, 11(6), pp. 493-507.</w:t>
      </w:r>
    </w:p>
    <w:p w14:paraId="03378DA5"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Hansen, S.C., Otley, D.T. and Van der Stede, W. (2003) ‘Practice developments in budgeting: an overview’, </w:t>
      </w:r>
      <w:r w:rsidRPr="002C08DC">
        <w:rPr>
          <w:rFonts w:ascii="Arial" w:eastAsiaTheme="majorEastAsia" w:hAnsi="Arial" w:cs="Arial"/>
          <w:i/>
          <w:iCs/>
        </w:rPr>
        <w:t>Journal of Management Accounting Research</w:t>
      </w:r>
      <w:r w:rsidRPr="002C08DC">
        <w:rPr>
          <w:rFonts w:ascii="Arial" w:hAnsi="Arial" w:cs="Arial"/>
        </w:rPr>
        <w:t>, 15(1), pp. 95-116.</w:t>
      </w:r>
    </w:p>
    <w:p w14:paraId="054193D7"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Heizer, J., Render, B. and Munson, C. (2020) </w:t>
      </w:r>
      <w:r w:rsidRPr="002C08DC">
        <w:rPr>
          <w:rFonts w:ascii="Arial" w:eastAsiaTheme="majorEastAsia" w:hAnsi="Arial" w:cs="Arial"/>
          <w:i/>
          <w:iCs/>
        </w:rPr>
        <w:t>Operations Management</w:t>
      </w:r>
      <w:r w:rsidRPr="002C08DC">
        <w:rPr>
          <w:rFonts w:ascii="Arial" w:hAnsi="Arial" w:cs="Arial"/>
        </w:rPr>
        <w:t xml:space="preserve">. 13th </w:t>
      </w:r>
      <w:proofErr w:type="spellStart"/>
      <w:r w:rsidRPr="002C08DC">
        <w:rPr>
          <w:rFonts w:ascii="Arial" w:hAnsi="Arial" w:cs="Arial"/>
        </w:rPr>
        <w:t>edn</w:t>
      </w:r>
      <w:proofErr w:type="spellEnd"/>
      <w:r w:rsidRPr="002C08DC">
        <w:rPr>
          <w:rFonts w:ascii="Arial" w:hAnsi="Arial" w:cs="Arial"/>
        </w:rPr>
        <w:t>. Harlow: Pearson.</w:t>
      </w:r>
    </w:p>
    <w:p w14:paraId="3FD1489E"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Hilton, R. and Platt, D. (2020) </w:t>
      </w:r>
      <w:r w:rsidRPr="002C08DC">
        <w:rPr>
          <w:rFonts w:ascii="Arial" w:eastAsiaTheme="majorEastAsia" w:hAnsi="Arial" w:cs="Arial"/>
          <w:i/>
          <w:iCs/>
        </w:rPr>
        <w:t>Managerial Accounting: Creating Value in a Dynamic Business Environment</w:t>
      </w:r>
      <w:r w:rsidRPr="002C08DC">
        <w:rPr>
          <w:rFonts w:ascii="Arial" w:hAnsi="Arial" w:cs="Arial"/>
        </w:rPr>
        <w:t xml:space="preserve">. 12th </w:t>
      </w:r>
      <w:proofErr w:type="spellStart"/>
      <w:r w:rsidRPr="002C08DC">
        <w:rPr>
          <w:rFonts w:ascii="Arial" w:hAnsi="Arial" w:cs="Arial"/>
        </w:rPr>
        <w:t>edn</w:t>
      </w:r>
      <w:proofErr w:type="spellEnd"/>
      <w:r w:rsidRPr="002C08DC">
        <w:rPr>
          <w:rFonts w:ascii="Arial" w:hAnsi="Arial" w:cs="Arial"/>
        </w:rPr>
        <w:t>. New York: McGraw-Hill.</w:t>
      </w:r>
    </w:p>
    <w:p w14:paraId="5ADBB7FE"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Hope, J. and Fraser, R. (2003) </w:t>
      </w:r>
      <w:r w:rsidRPr="002C08DC">
        <w:rPr>
          <w:rFonts w:ascii="Arial" w:eastAsiaTheme="majorEastAsia" w:hAnsi="Arial" w:cs="Arial"/>
          <w:i/>
          <w:iCs/>
        </w:rPr>
        <w:t>Beyond Budgeting: How Managers Can Break Free from the Annual Performance Trap</w:t>
      </w:r>
      <w:r w:rsidRPr="002C08DC">
        <w:rPr>
          <w:rFonts w:ascii="Arial" w:hAnsi="Arial" w:cs="Arial"/>
        </w:rPr>
        <w:t>. Boston: Harvard Business School Press.</w:t>
      </w:r>
    </w:p>
    <w:p w14:paraId="3A2E7DB1"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Hope, J. and Fraser, R. (2003) ‘Who needs budgets?’, </w:t>
      </w:r>
      <w:r w:rsidRPr="002C08DC">
        <w:rPr>
          <w:rFonts w:ascii="Arial" w:eastAsiaTheme="majorEastAsia" w:hAnsi="Arial" w:cs="Arial"/>
          <w:i/>
          <w:iCs/>
        </w:rPr>
        <w:t>Harvard Business Review</w:t>
      </w:r>
      <w:r w:rsidRPr="002C08DC">
        <w:rPr>
          <w:rFonts w:ascii="Arial" w:hAnsi="Arial" w:cs="Arial"/>
        </w:rPr>
        <w:t>, 81(2), pp. 108-115.</w:t>
      </w:r>
    </w:p>
    <w:p w14:paraId="2498B0CA" w14:textId="77777777" w:rsidR="002C08DC" w:rsidRDefault="002C08DC" w:rsidP="002C08DC">
      <w:pPr>
        <w:rPr>
          <w:rFonts w:ascii="Arial" w:hAnsi="Arial" w:cs="Arial"/>
        </w:rPr>
      </w:pPr>
      <w:r w:rsidRPr="002C08DC">
        <w:rPr>
          <w:rFonts w:ascii="Arial" w:hAnsi="Arial" w:cs="Arial"/>
        </w:rPr>
        <w:t xml:space="preserve">Horngren, C., Datar, S. and Rajan, M. (2014) </w:t>
      </w:r>
      <w:r w:rsidRPr="002C08DC">
        <w:rPr>
          <w:rFonts w:ascii="Arial" w:eastAsiaTheme="majorEastAsia" w:hAnsi="Arial" w:cs="Arial"/>
          <w:i/>
          <w:iCs/>
        </w:rPr>
        <w:t>Cost Accounting: A Managerial Emphasis</w:t>
      </w:r>
      <w:r w:rsidRPr="002C08DC">
        <w:rPr>
          <w:rFonts w:ascii="Arial" w:hAnsi="Arial" w:cs="Arial"/>
        </w:rPr>
        <w:t xml:space="preserve">. 15th </w:t>
      </w:r>
      <w:proofErr w:type="spellStart"/>
      <w:r w:rsidRPr="002C08DC">
        <w:rPr>
          <w:rFonts w:ascii="Arial" w:hAnsi="Arial" w:cs="Arial"/>
        </w:rPr>
        <w:t>edn</w:t>
      </w:r>
      <w:proofErr w:type="spellEnd"/>
      <w:r w:rsidRPr="002C08DC">
        <w:rPr>
          <w:rFonts w:ascii="Arial" w:hAnsi="Arial" w:cs="Arial"/>
        </w:rPr>
        <w:t>. Harlow: Pearson.</w:t>
      </w:r>
    </w:p>
    <w:p w14:paraId="2B761D0F" w14:textId="77777777" w:rsidR="00546000" w:rsidRDefault="00546000" w:rsidP="008D3CBA">
      <w:pPr>
        <w:spacing w:after="160" w:line="259" w:lineRule="auto"/>
        <w:rPr>
          <w:rFonts w:ascii="Arial" w:hAnsi="Arial" w:cs="Arial"/>
        </w:rPr>
      </w:pPr>
    </w:p>
    <w:p w14:paraId="55E506DD" w14:textId="2E5C715F" w:rsidR="008D3CBA" w:rsidRPr="002C08DC" w:rsidRDefault="008D3CBA" w:rsidP="008D3CBA">
      <w:pPr>
        <w:spacing w:after="160" w:line="259" w:lineRule="auto"/>
        <w:rPr>
          <w:rFonts w:ascii="Arial" w:hAnsi="Arial" w:cs="Arial"/>
        </w:rPr>
      </w:pPr>
      <w:r w:rsidRPr="002C08DC">
        <w:rPr>
          <w:rFonts w:ascii="Arial" w:hAnsi="Arial" w:cs="Arial"/>
        </w:rPr>
        <w:t xml:space="preserve">Johnson, H. and Kaplan, R. (1987) </w:t>
      </w:r>
      <w:r w:rsidRPr="002C08DC">
        <w:rPr>
          <w:rFonts w:ascii="Arial" w:eastAsiaTheme="majorEastAsia" w:hAnsi="Arial" w:cs="Arial"/>
          <w:i/>
          <w:iCs/>
        </w:rPr>
        <w:t>Relevance Lost: The Rise and Fall of Management Accounting</w:t>
      </w:r>
      <w:r w:rsidRPr="002C08DC">
        <w:rPr>
          <w:rFonts w:ascii="Arial" w:hAnsi="Arial" w:cs="Arial"/>
        </w:rPr>
        <w:t>. Boston: Harvard Business School Press.</w:t>
      </w:r>
    </w:p>
    <w:p w14:paraId="10C305C9"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Kaplan, R. and Anderson, S. (2007) </w:t>
      </w:r>
      <w:r w:rsidRPr="002C08DC">
        <w:rPr>
          <w:rFonts w:ascii="Arial" w:eastAsiaTheme="majorEastAsia" w:hAnsi="Arial" w:cs="Arial"/>
          <w:i/>
          <w:iCs/>
        </w:rPr>
        <w:t>Time-Driven Activity-Based Costing</w:t>
      </w:r>
      <w:r w:rsidRPr="002C08DC">
        <w:rPr>
          <w:rFonts w:ascii="Arial" w:hAnsi="Arial" w:cs="Arial"/>
        </w:rPr>
        <w:t>. Boston: Harvard Business School Press.</w:t>
      </w:r>
    </w:p>
    <w:p w14:paraId="24C19FAD"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Kaplan, R. and Atkinson, A. (2015) </w:t>
      </w:r>
      <w:r w:rsidRPr="002C08DC">
        <w:rPr>
          <w:rFonts w:ascii="Arial" w:eastAsiaTheme="majorEastAsia" w:hAnsi="Arial" w:cs="Arial"/>
          <w:i/>
          <w:iCs/>
        </w:rPr>
        <w:t>Advanced Management Accounting</w:t>
      </w:r>
      <w:r w:rsidRPr="002C08DC">
        <w:rPr>
          <w:rFonts w:ascii="Arial" w:hAnsi="Arial" w:cs="Arial"/>
        </w:rPr>
        <w:t xml:space="preserve">. 3rd </w:t>
      </w:r>
      <w:proofErr w:type="spellStart"/>
      <w:r w:rsidRPr="002C08DC">
        <w:rPr>
          <w:rFonts w:ascii="Arial" w:hAnsi="Arial" w:cs="Arial"/>
        </w:rPr>
        <w:t>edn</w:t>
      </w:r>
      <w:proofErr w:type="spellEnd"/>
      <w:r w:rsidRPr="002C08DC">
        <w:rPr>
          <w:rFonts w:ascii="Arial" w:hAnsi="Arial" w:cs="Arial"/>
        </w:rPr>
        <w:t>. Harlow: Pearson.</w:t>
      </w:r>
    </w:p>
    <w:p w14:paraId="33177768" w14:textId="77777777" w:rsidR="002C08DC" w:rsidRPr="002C08DC" w:rsidRDefault="002C08DC" w:rsidP="002C08DC">
      <w:pPr>
        <w:spacing w:after="160" w:line="259" w:lineRule="auto"/>
        <w:rPr>
          <w:rFonts w:ascii="Arial" w:hAnsi="Arial" w:cs="Arial"/>
        </w:rPr>
      </w:pPr>
      <w:proofErr w:type="spellStart"/>
      <w:r w:rsidRPr="002C08DC">
        <w:rPr>
          <w:rFonts w:ascii="Arial" w:hAnsi="Arial" w:cs="Arial"/>
        </w:rPr>
        <w:t>Kieso</w:t>
      </w:r>
      <w:proofErr w:type="spellEnd"/>
      <w:r w:rsidRPr="002C08DC">
        <w:rPr>
          <w:rFonts w:ascii="Arial" w:hAnsi="Arial" w:cs="Arial"/>
        </w:rPr>
        <w:t xml:space="preserve">, D., Weygandt, J. and Warfield, T. (2019) </w:t>
      </w:r>
      <w:r w:rsidRPr="002C08DC">
        <w:rPr>
          <w:rFonts w:ascii="Arial" w:eastAsiaTheme="majorEastAsia" w:hAnsi="Arial" w:cs="Arial"/>
          <w:i/>
          <w:iCs/>
        </w:rPr>
        <w:t>Intermediate Accounting</w:t>
      </w:r>
      <w:r w:rsidRPr="002C08DC">
        <w:rPr>
          <w:rFonts w:ascii="Arial" w:hAnsi="Arial" w:cs="Arial"/>
        </w:rPr>
        <w:t xml:space="preserve">. 17th </w:t>
      </w:r>
      <w:proofErr w:type="spellStart"/>
      <w:r w:rsidRPr="002C08DC">
        <w:rPr>
          <w:rFonts w:ascii="Arial" w:hAnsi="Arial" w:cs="Arial"/>
        </w:rPr>
        <w:t>edn</w:t>
      </w:r>
      <w:proofErr w:type="spellEnd"/>
      <w:r w:rsidRPr="002C08DC">
        <w:rPr>
          <w:rFonts w:ascii="Arial" w:hAnsi="Arial" w:cs="Arial"/>
        </w:rPr>
        <w:t>. Hoboken: Wiley.</w:t>
      </w:r>
    </w:p>
    <w:p w14:paraId="264C962B"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Libby, T. and Lindsay, R. (2010) ‘Beyond budgeting or budgeting reconsidered?’, </w:t>
      </w:r>
      <w:r w:rsidRPr="002C08DC">
        <w:rPr>
          <w:rFonts w:ascii="Arial" w:eastAsiaTheme="majorEastAsia" w:hAnsi="Arial" w:cs="Arial"/>
          <w:i/>
          <w:iCs/>
        </w:rPr>
        <w:t>Management Accounting Research</w:t>
      </w:r>
      <w:r w:rsidRPr="002C08DC">
        <w:rPr>
          <w:rFonts w:ascii="Arial" w:hAnsi="Arial" w:cs="Arial"/>
        </w:rPr>
        <w:t>, 21(1), pp. 56-75.</w:t>
      </w:r>
    </w:p>
    <w:p w14:paraId="6329AABD"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Lucey, T. (2009) </w:t>
      </w:r>
      <w:r w:rsidRPr="002C08DC">
        <w:rPr>
          <w:rFonts w:ascii="Arial" w:eastAsiaTheme="majorEastAsia" w:hAnsi="Arial" w:cs="Arial"/>
          <w:i/>
          <w:iCs/>
        </w:rPr>
        <w:t>Management Accounting</w:t>
      </w:r>
      <w:r w:rsidRPr="002C08DC">
        <w:rPr>
          <w:rFonts w:ascii="Arial" w:hAnsi="Arial" w:cs="Arial"/>
        </w:rPr>
        <w:t xml:space="preserve">. 6th </w:t>
      </w:r>
      <w:proofErr w:type="spellStart"/>
      <w:r w:rsidRPr="002C08DC">
        <w:rPr>
          <w:rFonts w:ascii="Arial" w:hAnsi="Arial" w:cs="Arial"/>
        </w:rPr>
        <w:t>edn</w:t>
      </w:r>
      <w:proofErr w:type="spellEnd"/>
      <w:r w:rsidRPr="002C08DC">
        <w:rPr>
          <w:rFonts w:ascii="Arial" w:hAnsi="Arial" w:cs="Arial"/>
        </w:rPr>
        <w:t>. London: Cengage Learning.</w:t>
      </w:r>
    </w:p>
    <w:p w14:paraId="5087FA90"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Merchant, K. and Van der Stede, W. (2017) </w:t>
      </w:r>
      <w:r w:rsidRPr="002C08DC">
        <w:rPr>
          <w:rFonts w:ascii="Arial" w:eastAsiaTheme="majorEastAsia" w:hAnsi="Arial" w:cs="Arial"/>
          <w:i/>
          <w:iCs/>
        </w:rPr>
        <w:t>Management Control Systems: Performance Measurement, Evaluation and Incentives</w:t>
      </w:r>
      <w:r w:rsidRPr="002C08DC">
        <w:rPr>
          <w:rFonts w:ascii="Arial" w:hAnsi="Arial" w:cs="Arial"/>
        </w:rPr>
        <w:t xml:space="preserve">. 4th </w:t>
      </w:r>
      <w:proofErr w:type="spellStart"/>
      <w:r w:rsidRPr="002C08DC">
        <w:rPr>
          <w:rFonts w:ascii="Arial" w:hAnsi="Arial" w:cs="Arial"/>
        </w:rPr>
        <w:t>edn</w:t>
      </w:r>
      <w:proofErr w:type="spellEnd"/>
      <w:r w:rsidRPr="002C08DC">
        <w:rPr>
          <w:rFonts w:ascii="Arial" w:hAnsi="Arial" w:cs="Arial"/>
        </w:rPr>
        <w:t>. Harlow: Pearson.</w:t>
      </w:r>
    </w:p>
    <w:p w14:paraId="0BA4415B"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Needles, B., Powers, M. and Crosson, S. (2014) </w:t>
      </w:r>
      <w:r w:rsidRPr="002C08DC">
        <w:rPr>
          <w:rFonts w:ascii="Arial" w:eastAsiaTheme="majorEastAsia" w:hAnsi="Arial" w:cs="Arial"/>
          <w:i/>
          <w:iCs/>
        </w:rPr>
        <w:t>Financial and Managerial Accounting</w:t>
      </w:r>
      <w:r w:rsidRPr="002C08DC">
        <w:rPr>
          <w:rFonts w:ascii="Arial" w:hAnsi="Arial" w:cs="Arial"/>
        </w:rPr>
        <w:t xml:space="preserve">. 10th </w:t>
      </w:r>
      <w:proofErr w:type="spellStart"/>
      <w:r w:rsidRPr="002C08DC">
        <w:rPr>
          <w:rFonts w:ascii="Arial" w:hAnsi="Arial" w:cs="Arial"/>
        </w:rPr>
        <w:t>edn</w:t>
      </w:r>
      <w:proofErr w:type="spellEnd"/>
      <w:r w:rsidRPr="002C08DC">
        <w:rPr>
          <w:rFonts w:ascii="Arial" w:hAnsi="Arial" w:cs="Arial"/>
        </w:rPr>
        <w:t>. Boston: Cengage Learning.</w:t>
      </w:r>
    </w:p>
    <w:p w14:paraId="376BE7C5"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Otley, D. (1999) ‘Performance management: a framework for management control systems research’, </w:t>
      </w:r>
      <w:r w:rsidRPr="002C08DC">
        <w:rPr>
          <w:rFonts w:ascii="Arial" w:eastAsiaTheme="majorEastAsia" w:hAnsi="Arial" w:cs="Arial"/>
          <w:i/>
          <w:iCs/>
        </w:rPr>
        <w:t>Management Accounting Research</w:t>
      </w:r>
      <w:r w:rsidRPr="002C08DC">
        <w:rPr>
          <w:rFonts w:ascii="Arial" w:hAnsi="Arial" w:cs="Arial"/>
        </w:rPr>
        <w:t>, 10(4), pp. 363-382.</w:t>
      </w:r>
    </w:p>
    <w:p w14:paraId="41A754BF"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Otley, D. and Van der Stede, W. (2016) </w:t>
      </w:r>
      <w:r w:rsidRPr="002C08DC">
        <w:rPr>
          <w:rFonts w:ascii="Arial" w:eastAsiaTheme="majorEastAsia" w:hAnsi="Arial" w:cs="Arial"/>
          <w:i/>
          <w:iCs/>
        </w:rPr>
        <w:t>Management Control Systems</w:t>
      </w:r>
      <w:r w:rsidRPr="002C08DC">
        <w:rPr>
          <w:rFonts w:ascii="Arial" w:hAnsi="Arial" w:cs="Arial"/>
        </w:rPr>
        <w:t xml:space="preserve">. 3rd </w:t>
      </w:r>
      <w:proofErr w:type="spellStart"/>
      <w:r w:rsidRPr="002C08DC">
        <w:rPr>
          <w:rFonts w:ascii="Arial" w:hAnsi="Arial" w:cs="Arial"/>
        </w:rPr>
        <w:t>edn</w:t>
      </w:r>
      <w:proofErr w:type="spellEnd"/>
      <w:r w:rsidRPr="002C08DC">
        <w:rPr>
          <w:rFonts w:ascii="Arial" w:hAnsi="Arial" w:cs="Arial"/>
        </w:rPr>
        <w:t>. London: McGraw-Hill.</w:t>
      </w:r>
    </w:p>
    <w:p w14:paraId="4B6AF79B" w14:textId="77777777" w:rsidR="002C08DC" w:rsidRPr="002C08DC" w:rsidRDefault="002C08DC" w:rsidP="002C08DC">
      <w:pPr>
        <w:spacing w:after="160" w:line="259" w:lineRule="auto"/>
        <w:rPr>
          <w:rFonts w:ascii="Arial" w:hAnsi="Arial" w:cs="Arial"/>
        </w:rPr>
      </w:pPr>
      <w:r w:rsidRPr="002C08DC">
        <w:rPr>
          <w:rFonts w:ascii="Arial" w:hAnsi="Arial" w:cs="Arial"/>
        </w:rPr>
        <w:lastRenderedPageBreak/>
        <w:t xml:space="preserve">Seal, W., Rohde, C., Garrison, R. and Noreen, E. (2019) </w:t>
      </w:r>
      <w:r w:rsidRPr="002C08DC">
        <w:rPr>
          <w:rFonts w:ascii="Arial" w:eastAsiaTheme="majorEastAsia" w:hAnsi="Arial" w:cs="Arial"/>
          <w:i/>
          <w:iCs/>
        </w:rPr>
        <w:t>Management Accounting</w:t>
      </w:r>
      <w:r w:rsidRPr="002C08DC">
        <w:rPr>
          <w:rFonts w:ascii="Arial" w:hAnsi="Arial" w:cs="Arial"/>
        </w:rPr>
        <w:t xml:space="preserve">. 6th </w:t>
      </w:r>
      <w:proofErr w:type="spellStart"/>
      <w:r w:rsidRPr="002C08DC">
        <w:rPr>
          <w:rFonts w:ascii="Arial" w:hAnsi="Arial" w:cs="Arial"/>
        </w:rPr>
        <w:t>edn</w:t>
      </w:r>
      <w:proofErr w:type="spellEnd"/>
      <w:r w:rsidRPr="002C08DC">
        <w:rPr>
          <w:rFonts w:ascii="Arial" w:hAnsi="Arial" w:cs="Arial"/>
        </w:rPr>
        <w:t>. London: McGraw-Hill.</w:t>
      </w:r>
    </w:p>
    <w:p w14:paraId="61A9D571"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Shim, J. and Siegel, J. (2009) </w:t>
      </w:r>
      <w:r w:rsidRPr="002C08DC">
        <w:rPr>
          <w:rFonts w:ascii="Arial" w:eastAsiaTheme="majorEastAsia" w:hAnsi="Arial" w:cs="Arial"/>
          <w:i/>
          <w:iCs/>
        </w:rPr>
        <w:t>Budgeting Basics and Beyond</w:t>
      </w:r>
      <w:r w:rsidRPr="002C08DC">
        <w:rPr>
          <w:rFonts w:ascii="Arial" w:hAnsi="Arial" w:cs="Arial"/>
        </w:rPr>
        <w:t>. Hoboken: Wiley.</w:t>
      </w:r>
    </w:p>
    <w:p w14:paraId="4B6E2B9D"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Simons, R. (1995) </w:t>
      </w:r>
      <w:r w:rsidRPr="002C08DC">
        <w:rPr>
          <w:rFonts w:ascii="Arial" w:eastAsiaTheme="majorEastAsia" w:hAnsi="Arial" w:cs="Arial"/>
          <w:i/>
          <w:iCs/>
        </w:rPr>
        <w:t>Levers of Control: How Managers Use Innovative Control Systems to Drive Strategic Renewal</w:t>
      </w:r>
      <w:r w:rsidRPr="002C08DC">
        <w:rPr>
          <w:rFonts w:ascii="Arial" w:hAnsi="Arial" w:cs="Arial"/>
        </w:rPr>
        <w:t>. Boston: Harvard Business School Press.</w:t>
      </w:r>
    </w:p>
    <w:p w14:paraId="5C8BFE86"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Van der Stede, W. (2001) ‘Measuring tight budgetary control’, </w:t>
      </w:r>
      <w:r w:rsidRPr="002C08DC">
        <w:rPr>
          <w:rFonts w:ascii="Arial" w:eastAsiaTheme="majorEastAsia" w:hAnsi="Arial" w:cs="Arial"/>
          <w:i/>
          <w:iCs/>
        </w:rPr>
        <w:t>Accounting, Organizations and Society</w:t>
      </w:r>
      <w:r w:rsidRPr="002C08DC">
        <w:rPr>
          <w:rFonts w:ascii="Arial" w:hAnsi="Arial" w:cs="Arial"/>
        </w:rPr>
        <w:t>, 26(7-8), pp. 707-724.</w:t>
      </w:r>
    </w:p>
    <w:p w14:paraId="01B04861"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Weetman, P. (2019) </w:t>
      </w:r>
      <w:r w:rsidRPr="002C08DC">
        <w:rPr>
          <w:rFonts w:ascii="Arial" w:eastAsiaTheme="majorEastAsia" w:hAnsi="Arial" w:cs="Arial"/>
          <w:i/>
          <w:iCs/>
        </w:rPr>
        <w:t>Management Accounting</w:t>
      </w:r>
      <w:r w:rsidRPr="002C08DC">
        <w:rPr>
          <w:rFonts w:ascii="Arial" w:hAnsi="Arial" w:cs="Arial"/>
        </w:rPr>
        <w:t xml:space="preserve">. 3rd </w:t>
      </w:r>
      <w:proofErr w:type="spellStart"/>
      <w:r w:rsidRPr="002C08DC">
        <w:rPr>
          <w:rFonts w:ascii="Arial" w:hAnsi="Arial" w:cs="Arial"/>
        </w:rPr>
        <w:t>edn</w:t>
      </w:r>
      <w:proofErr w:type="spellEnd"/>
      <w:r w:rsidRPr="002C08DC">
        <w:rPr>
          <w:rFonts w:ascii="Arial" w:hAnsi="Arial" w:cs="Arial"/>
        </w:rPr>
        <w:t>. Harlow: Pearson.</w:t>
      </w:r>
    </w:p>
    <w:p w14:paraId="62D561B7"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Wildavsky, A. (1986) </w:t>
      </w:r>
      <w:r w:rsidRPr="002C08DC">
        <w:rPr>
          <w:rFonts w:ascii="Arial" w:eastAsiaTheme="majorEastAsia" w:hAnsi="Arial" w:cs="Arial"/>
          <w:i/>
          <w:iCs/>
        </w:rPr>
        <w:t>Budgeting: A Comparative Theory of Budgetary Processes</w:t>
      </w:r>
      <w:r w:rsidRPr="002C08DC">
        <w:rPr>
          <w:rFonts w:ascii="Arial" w:hAnsi="Arial" w:cs="Arial"/>
        </w:rPr>
        <w:t>. New York: Routledge.</w:t>
      </w:r>
    </w:p>
    <w:p w14:paraId="2F129754"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Young, S. (1985) ‘Participative budgeting: the effects of risk aversion and asymmetric information on budgetary slack’, </w:t>
      </w:r>
      <w:r w:rsidRPr="002C08DC">
        <w:rPr>
          <w:rFonts w:ascii="Arial" w:eastAsiaTheme="majorEastAsia" w:hAnsi="Arial" w:cs="Arial"/>
          <w:i/>
          <w:iCs/>
        </w:rPr>
        <w:t>Journal of Accounting Research</w:t>
      </w:r>
      <w:r w:rsidRPr="002C08DC">
        <w:rPr>
          <w:rFonts w:ascii="Arial" w:hAnsi="Arial" w:cs="Arial"/>
        </w:rPr>
        <w:t>, 23(2), pp. 829-842.</w:t>
      </w:r>
    </w:p>
    <w:p w14:paraId="774446EE" w14:textId="77777777" w:rsidR="002C08DC" w:rsidRPr="002C08DC" w:rsidRDefault="002C08DC" w:rsidP="002C08DC">
      <w:pPr>
        <w:spacing w:after="160" w:line="259" w:lineRule="auto"/>
        <w:rPr>
          <w:rFonts w:ascii="Arial" w:hAnsi="Arial" w:cs="Arial"/>
        </w:rPr>
      </w:pPr>
      <w:r w:rsidRPr="002C08DC">
        <w:rPr>
          <w:rFonts w:ascii="Arial" w:hAnsi="Arial" w:cs="Arial"/>
        </w:rPr>
        <w:t xml:space="preserve">Zimmerman, J. (2017) </w:t>
      </w:r>
      <w:r w:rsidRPr="002C08DC">
        <w:rPr>
          <w:rFonts w:ascii="Arial" w:eastAsiaTheme="majorEastAsia" w:hAnsi="Arial" w:cs="Arial"/>
          <w:i/>
          <w:iCs/>
        </w:rPr>
        <w:t>Accounting for Decision Making and Control</w:t>
      </w:r>
      <w:r w:rsidRPr="002C08DC">
        <w:rPr>
          <w:rFonts w:ascii="Arial" w:hAnsi="Arial" w:cs="Arial"/>
        </w:rPr>
        <w:t xml:space="preserve">. 9th </w:t>
      </w:r>
      <w:proofErr w:type="spellStart"/>
      <w:r w:rsidRPr="002C08DC">
        <w:rPr>
          <w:rFonts w:ascii="Arial" w:hAnsi="Arial" w:cs="Arial"/>
        </w:rPr>
        <w:t>edn</w:t>
      </w:r>
      <w:proofErr w:type="spellEnd"/>
      <w:r w:rsidRPr="002C08DC">
        <w:rPr>
          <w:rFonts w:ascii="Arial" w:hAnsi="Arial" w:cs="Arial"/>
        </w:rPr>
        <w:t>. New York: McGraw-Hill.</w:t>
      </w:r>
    </w:p>
    <w:p w14:paraId="14013CBE" w14:textId="77777777" w:rsidR="002D7755" w:rsidRDefault="002D7755">
      <w:pPr>
        <w:rPr>
          <w:rFonts w:ascii="Arial" w:hAnsi="Arial" w:cs="Arial"/>
        </w:rPr>
      </w:pPr>
    </w:p>
    <w:p w14:paraId="76546A04" w14:textId="77777777" w:rsidR="002D7755" w:rsidRDefault="002D7755">
      <w:pPr>
        <w:rPr>
          <w:rFonts w:ascii="Arial" w:hAnsi="Arial" w:cs="Arial"/>
        </w:rPr>
      </w:pPr>
    </w:p>
    <w:p w14:paraId="4341DA32" w14:textId="77777777" w:rsidR="002D7755" w:rsidRDefault="002D7755">
      <w:pPr>
        <w:rPr>
          <w:rFonts w:ascii="Arial" w:hAnsi="Arial" w:cs="Arial"/>
        </w:rPr>
      </w:pPr>
    </w:p>
    <w:p w14:paraId="062D5C4F" w14:textId="77777777" w:rsidR="002D7755" w:rsidRDefault="002D7755">
      <w:pPr>
        <w:rPr>
          <w:rFonts w:ascii="Arial" w:hAnsi="Arial" w:cs="Arial"/>
        </w:rPr>
      </w:pPr>
    </w:p>
    <w:p w14:paraId="14A0AFE4" w14:textId="77777777" w:rsidR="002D7755" w:rsidRDefault="002D7755">
      <w:pPr>
        <w:rPr>
          <w:rFonts w:ascii="Arial" w:hAnsi="Arial" w:cs="Arial"/>
        </w:rPr>
      </w:pPr>
    </w:p>
    <w:p w14:paraId="543331B9" w14:textId="77777777" w:rsidR="002D7755" w:rsidRDefault="002D7755">
      <w:pPr>
        <w:rPr>
          <w:rFonts w:ascii="Arial" w:hAnsi="Arial" w:cs="Arial"/>
        </w:rPr>
      </w:pPr>
    </w:p>
    <w:p w14:paraId="7666ADBC" w14:textId="77777777" w:rsidR="002D7755" w:rsidRDefault="002D7755">
      <w:pPr>
        <w:rPr>
          <w:rFonts w:ascii="Arial" w:hAnsi="Arial" w:cs="Arial"/>
        </w:rPr>
      </w:pPr>
    </w:p>
    <w:p w14:paraId="227C0838" w14:textId="77777777" w:rsidR="002D7755" w:rsidRPr="008C5DED" w:rsidRDefault="002D7755">
      <w:pPr>
        <w:rPr>
          <w:rFonts w:ascii="Arial" w:hAnsi="Arial" w:cs="Arial"/>
        </w:rPr>
      </w:pPr>
    </w:p>
    <w:sectPr w:rsidR="002D7755" w:rsidRPr="008C5D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57666" w14:textId="77777777" w:rsidR="00D915B2" w:rsidRDefault="00D915B2" w:rsidP="006D3194">
      <w:r>
        <w:separator/>
      </w:r>
    </w:p>
  </w:endnote>
  <w:endnote w:type="continuationSeparator" w:id="0">
    <w:p w14:paraId="7DECE8DE" w14:textId="77777777" w:rsidR="00D915B2" w:rsidRDefault="00D915B2" w:rsidP="006D3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0DA9A" w14:textId="77777777" w:rsidR="00D915B2" w:rsidRDefault="00D915B2" w:rsidP="006D3194">
      <w:r>
        <w:separator/>
      </w:r>
    </w:p>
  </w:footnote>
  <w:footnote w:type="continuationSeparator" w:id="0">
    <w:p w14:paraId="1F42A0C3" w14:textId="77777777" w:rsidR="00D915B2" w:rsidRDefault="00D915B2" w:rsidP="006D3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8D5"/>
    <w:multiLevelType w:val="hybridMultilevel"/>
    <w:tmpl w:val="1D76B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CF0574"/>
    <w:multiLevelType w:val="hybridMultilevel"/>
    <w:tmpl w:val="CA0A7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175EF7"/>
    <w:multiLevelType w:val="hybridMultilevel"/>
    <w:tmpl w:val="6CC42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8D64E5"/>
    <w:multiLevelType w:val="hybridMultilevel"/>
    <w:tmpl w:val="13062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7368724">
    <w:abstractNumId w:val="1"/>
  </w:num>
  <w:num w:numId="2" w16cid:durableId="1458985373">
    <w:abstractNumId w:val="2"/>
  </w:num>
  <w:num w:numId="3" w16cid:durableId="353757">
    <w:abstractNumId w:val="3"/>
  </w:num>
  <w:num w:numId="4" w16cid:durableId="149318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E0"/>
    <w:rsid w:val="000B31C4"/>
    <w:rsid w:val="002C08DC"/>
    <w:rsid w:val="002D7755"/>
    <w:rsid w:val="003F0D06"/>
    <w:rsid w:val="00454FEA"/>
    <w:rsid w:val="005058ED"/>
    <w:rsid w:val="00546000"/>
    <w:rsid w:val="005C2613"/>
    <w:rsid w:val="005C5B65"/>
    <w:rsid w:val="005E610B"/>
    <w:rsid w:val="00690494"/>
    <w:rsid w:val="006D3194"/>
    <w:rsid w:val="0080409F"/>
    <w:rsid w:val="008C5DED"/>
    <w:rsid w:val="008D1EEF"/>
    <w:rsid w:val="008D3CBA"/>
    <w:rsid w:val="009234CA"/>
    <w:rsid w:val="00A17CB1"/>
    <w:rsid w:val="00AD2A06"/>
    <w:rsid w:val="00AE18B9"/>
    <w:rsid w:val="00AF53EC"/>
    <w:rsid w:val="00B27812"/>
    <w:rsid w:val="00BB679F"/>
    <w:rsid w:val="00BE042E"/>
    <w:rsid w:val="00C16495"/>
    <w:rsid w:val="00C31200"/>
    <w:rsid w:val="00C71CBC"/>
    <w:rsid w:val="00CF399E"/>
    <w:rsid w:val="00D87410"/>
    <w:rsid w:val="00D915B2"/>
    <w:rsid w:val="00DC13E2"/>
    <w:rsid w:val="00E10DE0"/>
    <w:rsid w:val="00E92089"/>
    <w:rsid w:val="00FD7DF6"/>
    <w:rsid w:val="00FF2DDF"/>
    <w:rsid w:val="00FF6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0FAC"/>
  <w15:chartTrackingRefBased/>
  <w15:docId w15:val="{6376B430-EA13-4197-8D8B-7CDE8D13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CB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10DE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10DE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0DE0"/>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0DE0"/>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E10DE0"/>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E10DE0"/>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E10DE0"/>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E10DE0"/>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E10DE0"/>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DE0"/>
    <w:rPr>
      <w:rFonts w:eastAsiaTheme="majorEastAsia" w:cstheme="majorBidi"/>
      <w:color w:val="272727" w:themeColor="text1" w:themeTint="D8"/>
    </w:rPr>
  </w:style>
  <w:style w:type="paragraph" w:styleId="Title">
    <w:name w:val="Title"/>
    <w:basedOn w:val="Normal"/>
    <w:next w:val="Normal"/>
    <w:link w:val="TitleChar"/>
    <w:uiPriority w:val="10"/>
    <w:qFormat/>
    <w:rsid w:val="00E10DE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10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DE0"/>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0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DE0"/>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E10DE0"/>
    <w:rPr>
      <w:i/>
      <w:iCs/>
      <w:color w:val="404040" w:themeColor="text1" w:themeTint="BF"/>
    </w:rPr>
  </w:style>
  <w:style w:type="paragraph" w:styleId="ListParagraph">
    <w:name w:val="List Paragraph"/>
    <w:basedOn w:val="Normal"/>
    <w:uiPriority w:val="34"/>
    <w:qFormat/>
    <w:rsid w:val="00E10DE0"/>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E10DE0"/>
    <w:rPr>
      <w:i/>
      <w:iCs/>
      <w:color w:val="0F4761" w:themeColor="accent1" w:themeShade="BF"/>
    </w:rPr>
  </w:style>
  <w:style w:type="paragraph" w:styleId="IntenseQuote">
    <w:name w:val="Intense Quote"/>
    <w:basedOn w:val="Normal"/>
    <w:next w:val="Normal"/>
    <w:link w:val="IntenseQuoteChar"/>
    <w:uiPriority w:val="30"/>
    <w:qFormat/>
    <w:rsid w:val="00E10DE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E10DE0"/>
    <w:rPr>
      <w:i/>
      <w:iCs/>
      <w:color w:val="0F4761" w:themeColor="accent1" w:themeShade="BF"/>
    </w:rPr>
  </w:style>
  <w:style w:type="character" w:styleId="IntenseReference">
    <w:name w:val="Intense Reference"/>
    <w:basedOn w:val="DefaultParagraphFont"/>
    <w:uiPriority w:val="32"/>
    <w:qFormat/>
    <w:rsid w:val="00E10DE0"/>
    <w:rPr>
      <w:b/>
      <w:bCs/>
      <w:smallCaps/>
      <w:color w:val="0F4761" w:themeColor="accent1" w:themeShade="BF"/>
      <w:spacing w:val="5"/>
    </w:rPr>
  </w:style>
  <w:style w:type="paragraph" w:styleId="TOCHeading">
    <w:name w:val="TOC Heading"/>
    <w:basedOn w:val="Heading1"/>
    <w:next w:val="Normal"/>
    <w:uiPriority w:val="39"/>
    <w:unhideWhenUsed/>
    <w:qFormat/>
    <w:rsid w:val="006D3194"/>
    <w:pPr>
      <w:spacing w:before="240" w:after="0"/>
      <w:outlineLvl w:val="9"/>
    </w:pPr>
    <w:rPr>
      <w:sz w:val="32"/>
      <w:szCs w:val="32"/>
      <w:lang w:val="en-US"/>
    </w:rPr>
  </w:style>
  <w:style w:type="paragraph" w:styleId="TOC1">
    <w:name w:val="toc 1"/>
    <w:basedOn w:val="Normal"/>
    <w:next w:val="Normal"/>
    <w:autoRedefine/>
    <w:uiPriority w:val="39"/>
    <w:unhideWhenUsed/>
    <w:rsid w:val="006D3194"/>
    <w:pPr>
      <w:spacing w:after="100"/>
    </w:pPr>
  </w:style>
  <w:style w:type="character" w:styleId="Hyperlink">
    <w:name w:val="Hyperlink"/>
    <w:basedOn w:val="DefaultParagraphFont"/>
    <w:uiPriority w:val="99"/>
    <w:unhideWhenUsed/>
    <w:rsid w:val="006D3194"/>
    <w:rPr>
      <w:color w:val="467886" w:themeColor="hyperlink"/>
      <w:u w:val="single"/>
    </w:rPr>
  </w:style>
  <w:style w:type="paragraph" w:styleId="Header">
    <w:name w:val="header"/>
    <w:basedOn w:val="Normal"/>
    <w:link w:val="HeaderChar"/>
    <w:uiPriority w:val="99"/>
    <w:unhideWhenUsed/>
    <w:rsid w:val="006D3194"/>
    <w:pPr>
      <w:tabs>
        <w:tab w:val="center" w:pos="4513"/>
        <w:tab w:val="right" w:pos="9026"/>
      </w:tabs>
    </w:pPr>
  </w:style>
  <w:style w:type="character" w:customStyle="1" w:styleId="HeaderChar">
    <w:name w:val="Header Char"/>
    <w:basedOn w:val="DefaultParagraphFont"/>
    <w:link w:val="Header"/>
    <w:uiPriority w:val="99"/>
    <w:rsid w:val="006D319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D3194"/>
    <w:pPr>
      <w:tabs>
        <w:tab w:val="center" w:pos="4513"/>
        <w:tab w:val="right" w:pos="9026"/>
      </w:tabs>
    </w:pPr>
  </w:style>
  <w:style w:type="character" w:customStyle="1" w:styleId="FooterChar">
    <w:name w:val="Footer Char"/>
    <w:basedOn w:val="DefaultParagraphFont"/>
    <w:link w:val="Footer"/>
    <w:uiPriority w:val="99"/>
    <w:rsid w:val="006D319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75783-60E4-4665-B26D-A818FB47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21</Pages>
  <Words>5982</Words>
  <Characters>34100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9</cp:revision>
  <dcterms:created xsi:type="dcterms:W3CDTF">2026-03-11T20:23:00Z</dcterms:created>
  <dcterms:modified xsi:type="dcterms:W3CDTF">2026-03-21T19:48:00Z</dcterms:modified>
</cp:coreProperties>
</file>