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BFBC7F" w14:textId="31110F16" w:rsidR="006D2A77" w:rsidRPr="006D2A77" w:rsidRDefault="006D2A77" w:rsidP="006D2A77">
      <w:pPr>
        <w:widowControl w:val="0"/>
        <w:pBdr>
          <w:top w:val="nil"/>
          <w:left w:val="nil"/>
          <w:bottom w:val="nil"/>
          <w:right w:val="nil"/>
          <w:between w:val="nil"/>
        </w:pBdr>
        <w:spacing w:before="30" w:after="30" w:line="360" w:lineRule="auto"/>
        <w:ind w:left="0" w:right="0"/>
        <w:jc w:val="left"/>
        <w:rPr>
          <w:color w:val="000000"/>
          <w:sz w:val="22"/>
          <w:szCs w:val="22"/>
          <w:lang w:val="en-GB"/>
        </w:rPr>
      </w:pPr>
      <w:r w:rsidRPr="006D2A77">
        <w:rPr>
          <w:color w:val="000000"/>
          <w:sz w:val="22"/>
          <w:szCs w:val="22"/>
          <w:lang w:val="en-GB"/>
        </w:rPr>
        <w:drawing>
          <wp:inline distT="0" distB="0" distL="0" distR="0" wp14:anchorId="318C3AFD" wp14:editId="5517C333">
            <wp:extent cx="3457575" cy="1542078"/>
            <wp:effectExtent l="0" t="0" r="0" b="1270"/>
            <wp:docPr id="326919811" name="Picture 1"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919811" name="Picture 1" descr="A close-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2756" cy="1571149"/>
                    </a:xfrm>
                    <a:prstGeom prst="rect">
                      <a:avLst/>
                    </a:prstGeom>
                    <a:noFill/>
                    <a:ln>
                      <a:noFill/>
                    </a:ln>
                  </pic:spPr>
                </pic:pic>
              </a:graphicData>
            </a:graphic>
          </wp:inline>
        </w:drawing>
      </w:r>
    </w:p>
    <w:p w14:paraId="7B84A35F" w14:textId="77777777" w:rsidR="00D16674" w:rsidRDefault="00D16674" w:rsidP="006D2A77">
      <w:pPr>
        <w:widowControl w:val="0"/>
        <w:pBdr>
          <w:top w:val="nil"/>
          <w:left w:val="nil"/>
          <w:bottom w:val="nil"/>
          <w:right w:val="nil"/>
          <w:between w:val="nil"/>
        </w:pBdr>
        <w:spacing w:before="30" w:after="30" w:line="360" w:lineRule="auto"/>
        <w:ind w:left="0" w:right="0"/>
        <w:jc w:val="left"/>
        <w:rPr>
          <w:color w:val="000000"/>
          <w:sz w:val="22"/>
          <w:szCs w:val="22"/>
        </w:rPr>
      </w:pPr>
    </w:p>
    <w:p w14:paraId="46B0DDCF"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44C48ECB"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71C48C5D"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51F90A90"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0E678760" w14:textId="77777777" w:rsidR="006D2A77" w:rsidRDefault="006D2A77" w:rsidP="006D2A77">
      <w:pPr>
        <w:widowControl w:val="0"/>
        <w:pBdr>
          <w:top w:val="nil"/>
          <w:left w:val="nil"/>
          <w:bottom w:val="nil"/>
          <w:right w:val="nil"/>
          <w:between w:val="nil"/>
        </w:pBdr>
        <w:tabs>
          <w:tab w:val="left" w:pos="390"/>
        </w:tabs>
        <w:spacing w:before="30" w:after="30" w:line="360" w:lineRule="auto"/>
        <w:ind w:left="0" w:right="0"/>
        <w:rPr>
          <w:color w:val="000000"/>
          <w:sz w:val="22"/>
          <w:szCs w:val="22"/>
        </w:rPr>
      </w:pPr>
      <w:r>
        <w:rPr>
          <w:color w:val="000000"/>
          <w:sz w:val="22"/>
          <w:szCs w:val="22"/>
        </w:rPr>
        <w:tab/>
      </w:r>
    </w:p>
    <w:tbl>
      <w:tblPr>
        <w:tblStyle w:val="TableGrid"/>
        <w:tblW w:w="0" w:type="auto"/>
        <w:tblLook w:val="04A0" w:firstRow="1" w:lastRow="0" w:firstColumn="1" w:lastColumn="0" w:noHBand="0" w:noVBand="1"/>
      </w:tblPr>
      <w:tblGrid>
        <w:gridCol w:w="2544"/>
        <w:gridCol w:w="6460"/>
      </w:tblGrid>
      <w:tr w:rsidR="006D2A77" w:rsidRPr="006D2A77" w14:paraId="57E91F6D" w14:textId="77777777" w:rsidTr="00684133">
        <w:tc>
          <w:tcPr>
            <w:tcW w:w="2547" w:type="dxa"/>
          </w:tcPr>
          <w:p w14:paraId="34C11CA2"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b/>
                <w:bCs/>
                <w:color w:val="000000"/>
                <w:sz w:val="22"/>
                <w:szCs w:val="22"/>
              </w:rPr>
            </w:pPr>
            <w:r w:rsidRPr="006D2A77">
              <w:rPr>
                <w:b/>
                <w:bCs/>
                <w:color w:val="000000"/>
                <w:sz w:val="22"/>
                <w:szCs w:val="22"/>
              </w:rPr>
              <w:t>Name Of the Student</w:t>
            </w:r>
          </w:p>
        </w:tc>
        <w:tc>
          <w:tcPr>
            <w:tcW w:w="6469" w:type="dxa"/>
          </w:tcPr>
          <w:p w14:paraId="6F743383"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color w:val="000000"/>
                <w:sz w:val="22"/>
                <w:szCs w:val="22"/>
              </w:rPr>
            </w:pPr>
            <w:r w:rsidRPr="006D2A77">
              <w:rPr>
                <w:color w:val="000000"/>
                <w:sz w:val="22"/>
                <w:szCs w:val="22"/>
              </w:rPr>
              <w:tab/>
              <w:t>Hrushikesh Kagitha</w:t>
            </w:r>
          </w:p>
        </w:tc>
      </w:tr>
      <w:tr w:rsidR="006D2A77" w:rsidRPr="006D2A77" w14:paraId="19344A01" w14:textId="77777777" w:rsidTr="00684133">
        <w:tc>
          <w:tcPr>
            <w:tcW w:w="2547" w:type="dxa"/>
          </w:tcPr>
          <w:p w14:paraId="256775BC"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b/>
                <w:bCs/>
                <w:color w:val="000000"/>
                <w:sz w:val="22"/>
                <w:szCs w:val="22"/>
              </w:rPr>
            </w:pPr>
            <w:r w:rsidRPr="006D2A77">
              <w:rPr>
                <w:b/>
                <w:bCs/>
                <w:color w:val="000000"/>
                <w:sz w:val="22"/>
                <w:szCs w:val="22"/>
              </w:rPr>
              <w:t>Date Of Submission</w:t>
            </w:r>
          </w:p>
        </w:tc>
        <w:tc>
          <w:tcPr>
            <w:tcW w:w="6469" w:type="dxa"/>
          </w:tcPr>
          <w:p w14:paraId="0D1C7EAC" w14:textId="1F41FF08"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color w:val="000000"/>
                <w:sz w:val="22"/>
                <w:szCs w:val="22"/>
              </w:rPr>
            </w:pPr>
            <w:r w:rsidRPr="006D2A77">
              <w:rPr>
                <w:color w:val="000000"/>
                <w:sz w:val="22"/>
                <w:szCs w:val="22"/>
              </w:rPr>
              <w:tab/>
            </w:r>
            <w:r>
              <w:rPr>
                <w:color w:val="000000"/>
                <w:sz w:val="22"/>
                <w:szCs w:val="22"/>
              </w:rPr>
              <w:t>17</w:t>
            </w:r>
            <w:r w:rsidRPr="006D2A77">
              <w:rPr>
                <w:color w:val="000000"/>
                <w:sz w:val="22"/>
                <w:szCs w:val="22"/>
              </w:rPr>
              <w:t>/0</w:t>
            </w:r>
            <w:r>
              <w:rPr>
                <w:color w:val="000000"/>
                <w:sz w:val="22"/>
                <w:szCs w:val="22"/>
              </w:rPr>
              <w:t>7</w:t>
            </w:r>
            <w:r w:rsidRPr="006D2A77">
              <w:rPr>
                <w:color w:val="000000"/>
                <w:sz w:val="22"/>
                <w:szCs w:val="22"/>
              </w:rPr>
              <w:t>/2025</w:t>
            </w:r>
          </w:p>
        </w:tc>
      </w:tr>
      <w:tr w:rsidR="006D2A77" w:rsidRPr="006D2A77" w14:paraId="1FDEA694" w14:textId="77777777" w:rsidTr="00684133">
        <w:tc>
          <w:tcPr>
            <w:tcW w:w="2547" w:type="dxa"/>
          </w:tcPr>
          <w:p w14:paraId="0607C0B7"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b/>
                <w:bCs/>
                <w:color w:val="000000"/>
                <w:sz w:val="22"/>
                <w:szCs w:val="22"/>
              </w:rPr>
            </w:pPr>
            <w:r w:rsidRPr="006D2A77">
              <w:rPr>
                <w:b/>
                <w:bCs/>
                <w:color w:val="000000"/>
                <w:sz w:val="22"/>
                <w:szCs w:val="22"/>
              </w:rPr>
              <w:t>Course ID</w:t>
            </w:r>
          </w:p>
        </w:tc>
        <w:tc>
          <w:tcPr>
            <w:tcW w:w="6469" w:type="dxa"/>
          </w:tcPr>
          <w:p w14:paraId="7278D05E" w14:textId="77666FB2"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color w:val="000000"/>
                <w:sz w:val="22"/>
                <w:szCs w:val="22"/>
              </w:rPr>
            </w:pPr>
            <w:r w:rsidRPr="006D2A77">
              <w:rPr>
                <w:color w:val="000000"/>
                <w:sz w:val="22"/>
                <w:szCs w:val="22"/>
              </w:rPr>
              <w:tab/>
            </w:r>
            <w:r w:rsidRPr="006D2A77">
              <w:rPr>
                <w:bCs/>
                <w:color w:val="000000"/>
                <w:sz w:val="22"/>
                <w:szCs w:val="22"/>
              </w:rPr>
              <w:t>BMMB7005D</w:t>
            </w:r>
          </w:p>
        </w:tc>
      </w:tr>
      <w:tr w:rsidR="006D2A77" w:rsidRPr="006D2A77" w14:paraId="221C8FC0" w14:textId="77777777" w:rsidTr="00684133">
        <w:trPr>
          <w:trHeight w:val="70"/>
        </w:trPr>
        <w:tc>
          <w:tcPr>
            <w:tcW w:w="2547" w:type="dxa"/>
          </w:tcPr>
          <w:p w14:paraId="3BA93C21"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b/>
                <w:bCs/>
                <w:color w:val="000000"/>
                <w:sz w:val="22"/>
                <w:szCs w:val="22"/>
              </w:rPr>
            </w:pPr>
            <w:r w:rsidRPr="006D2A77">
              <w:rPr>
                <w:b/>
                <w:bCs/>
                <w:color w:val="000000"/>
                <w:sz w:val="22"/>
                <w:szCs w:val="22"/>
              </w:rPr>
              <w:t>Course Name</w:t>
            </w:r>
          </w:p>
        </w:tc>
        <w:tc>
          <w:tcPr>
            <w:tcW w:w="6469" w:type="dxa"/>
          </w:tcPr>
          <w:p w14:paraId="667498F3"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color w:val="000000"/>
                <w:sz w:val="22"/>
                <w:szCs w:val="22"/>
              </w:rPr>
            </w:pPr>
            <w:r w:rsidRPr="006D2A77">
              <w:rPr>
                <w:color w:val="000000"/>
                <w:sz w:val="22"/>
                <w:szCs w:val="22"/>
              </w:rPr>
              <w:tab/>
              <w:t xml:space="preserve">Master of business administration </w:t>
            </w:r>
          </w:p>
        </w:tc>
      </w:tr>
      <w:tr w:rsidR="006D2A77" w:rsidRPr="006D2A77" w14:paraId="56872D4F" w14:textId="77777777" w:rsidTr="00684133">
        <w:trPr>
          <w:trHeight w:val="70"/>
        </w:trPr>
        <w:tc>
          <w:tcPr>
            <w:tcW w:w="2547" w:type="dxa"/>
          </w:tcPr>
          <w:p w14:paraId="3CC37AB0"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b/>
                <w:bCs/>
                <w:color w:val="000000"/>
                <w:sz w:val="22"/>
                <w:szCs w:val="22"/>
              </w:rPr>
            </w:pPr>
            <w:r w:rsidRPr="006D2A77">
              <w:rPr>
                <w:b/>
                <w:bCs/>
                <w:color w:val="000000"/>
                <w:sz w:val="22"/>
                <w:szCs w:val="22"/>
              </w:rPr>
              <w:t>Professor Name</w:t>
            </w:r>
          </w:p>
        </w:tc>
        <w:tc>
          <w:tcPr>
            <w:tcW w:w="6469" w:type="dxa"/>
          </w:tcPr>
          <w:p w14:paraId="324685C9" w14:textId="60D51B1C"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color w:val="000000"/>
                <w:sz w:val="22"/>
                <w:szCs w:val="22"/>
              </w:rPr>
            </w:pPr>
            <w:r w:rsidRPr="006D2A77">
              <w:rPr>
                <w:color w:val="000000"/>
                <w:sz w:val="22"/>
                <w:szCs w:val="22"/>
              </w:rPr>
              <w:tab/>
            </w:r>
            <w:r>
              <w:rPr>
                <w:color w:val="000000"/>
                <w:sz w:val="22"/>
                <w:szCs w:val="22"/>
              </w:rPr>
              <w:t>Marie pitson</w:t>
            </w:r>
          </w:p>
        </w:tc>
      </w:tr>
      <w:tr w:rsidR="006D2A77" w:rsidRPr="006D2A77" w14:paraId="00462FA6" w14:textId="77777777" w:rsidTr="00684133">
        <w:trPr>
          <w:trHeight w:val="50"/>
        </w:trPr>
        <w:tc>
          <w:tcPr>
            <w:tcW w:w="2547" w:type="dxa"/>
          </w:tcPr>
          <w:p w14:paraId="1AE21FDF"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b/>
                <w:bCs/>
                <w:color w:val="000000"/>
                <w:sz w:val="22"/>
                <w:szCs w:val="22"/>
              </w:rPr>
            </w:pPr>
            <w:r w:rsidRPr="006D2A77">
              <w:rPr>
                <w:b/>
                <w:bCs/>
                <w:color w:val="000000"/>
                <w:sz w:val="22"/>
                <w:szCs w:val="22"/>
              </w:rPr>
              <w:t>University Name</w:t>
            </w:r>
          </w:p>
        </w:tc>
        <w:tc>
          <w:tcPr>
            <w:tcW w:w="6469" w:type="dxa"/>
          </w:tcPr>
          <w:p w14:paraId="6FED5E43" w14:textId="6AE23468"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color w:val="000000"/>
                <w:sz w:val="22"/>
                <w:szCs w:val="22"/>
              </w:rPr>
            </w:pPr>
            <w:r w:rsidRPr="006D2A77">
              <w:rPr>
                <w:color w:val="000000"/>
                <w:sz w:val="22"/>
                <w:szCs w:val="22"/>
              </w:rPr>
              <w:t xml:space="preserve">    </w:t>
            </w:r>
            <w:r>
              <w:rPr>
                <w:color w:val="000000"/>
                <w:sz w:val="22"/>
                <w:szCs w:val="22"/>
              </w:rPr>
              <w:t xml:space="preserve">  </w:t>
            </w:r>
            <w:r w:rsidRPr="006D2A77">
              <w:rPr>
                <w:color w:val="000000"/>
                <w:sz w:val="22"/>
                <w:szCs w:val="22"/>
              </w:rPr>
              <w:t xml:space="preserve"> University of Wales Trinity saint David</w:t>
            </w:r>
          </w:p>
        </w:tc>
      </w:tr>
      <w:tr w:rsidR="006D2A77" w:rsidRPr="006D2A77" w14:paraId="7ABC7C28" w14:textId="77777777" w:rsidTr="00684133">
        <w:trPr>
          <w:trHeight w:val="597"/>
        </w:trPr>
        <w:tc>
          <w:tcPr>
            <w:tcW w:w="2547" w:type="dxa"/>
          </w:tcPr>
          <w:p w14:paraId="1F9E97CC"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b/>
                <w:bCs/>
                <w:color w:val="000000"/>
                <w:sz w:val="22"/>
                <w:szCs w:val="22"/>
              </w:rPr>
            </w:pPr>
            <w:r w:rsidRPr="006D2A77">
              <w:rPr>
                <w:b/>
                <w:bCs/>
                <w:color w:val="000000"/>
                <w:sz w:val="22"/>
                <w:szCs w:val="22"/>
              </w:rPr>
              <w:t>Word count</w:t>
            </w:r>
          </w:p>
        </w:tc>
        <w:tc>
          <w:tcPr>
            <w:tcW w:w="6469" w:type="dxa"/>
          </w:tcPr>
          <w:p w14:paraId="22323232" w14:textId="4E1841C2"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color w:val="000000"/>
                <w:sz w:val="22"/>
                <w:szCs w:val="22"/>
              </w:rPr>
            </w:pPr>
            <w:r>
              <w:rPr>
                <w:color w:val="000000"/>
                <w:sz w:val="22"/>
                <w:szCs w:val="22"/>
              </w:rPr>
              <w:t xml:space="preserve">      </w:t>
            </w:r>
            <w:r w:rsidRPr="006D2A77">
              <w:rPr>
                <w:color w:val="000000"/>
                <w:sz w:val="22"/>
                <w:szCs w:val="22"/>
              </w:rPr>
              <w:t>50</w:t>
            </w:r>
            <w:r>
              <w:rPr>
                <w:color w:val="000000"/>
                <w:sz w:val="22"/>
                <w:szCs w:val="22"/>
              </w:rPr>
              <w:t>00</w:t>
            </w:r>
            <w:r w:rsidRPr="006D2A77">
              <w:rPr>
                <w:color w:val="000000"/>
                <w:sz w:val="22"/>
                <w:szCs w:val="22"/>
              </w:rPr>
              <w:t xml:space="preserve"> Words</w:t>
            </w:r>
          </w:p>
        </w:tc>
      </w:tr>
    </w:tbl>
    <w:p w14:paraId="2BF3FC20" w14:textId="77777777" w:rsidR="006D2A77" w:rsidRPr="006D2A77" w:rsidRDefault="006D2A77" w:rsidP="006D2A77">
      <w:pPr>
        <w:widowControl w:val="0"/>
        <w:pBdr>
          <w:top w:val="nil"/>
          <w:left w:val="nil"/>
          <w:bottom w:val="nil"/>
          <w:right w:val="nil"/>
          <w:between w:val="nil"/>
        </w:pBdr>
        <w:tabs>
          <w:tab w:val="left" w:pos="390"/>
        </w:tabs>
        <w:spacing w:before="30" w:after="30" w:line="360" w:lineRule="auto"/>
        <w:ind w:left="0" w:right="0"/>
        <w:rPr>
          <w:b/>
          <w:bCs/>
          <w:color w:val="000000"/>
          <w:sz w:val="22"/>
          <w:szCs w:val="22"/>
        </w:rPr>
      </w:pPr>
    </w:p>
    <w:p w14:paraId="74E25082" w14:textId="1BA7C61A" w:rsidR="006D2A77" w:rsidRDefault="006D2A77" w:rsidP="006D2A77">
      <w:pPr>
        <w:widowControl w:val="0"/>
        <w:pBdr>
          <w:top w:val="nil"/>
          <w:left w:val="nil"/>
          <w:bottom w:val="nil"/>
          <w:right w:val="nil"/>
          <w:between w:val="nil"/>
        </w:pBdr>
        <w:tabs>
          <w:tab w:val="left" w:pos="390"/>
        </w:tabs>
        <w:spacing w:before="30" w:after="30" w:line="360" w:lineRule="auto"/>
        <w:ind w:left="0" w:right="0"/>
        <w:rPr>
          <w:color w:val="000000"/>
          <w:sz w:val="22"/>
          <w:szCs w:val="22"/>
        </w:rPr>
      </w:pPr>
    </w:p>
    <w:p w14:paraId="511B21A8"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74D68DCA"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38DB5284"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0C3BB5D3"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4BC7E8E8"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3AC7282B"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53491D23"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21AB3B0C" w14:textId="77777777" w:rsidR="006D2A77" w:rsidRDefault="006D2A77">
      <w:pPr>
        <w:widowControl w:val="0"/>
        <w:pBdr>
          <w:top w:val="nil"/>
          <w:left w:val="nil"/>
          <w:bottom w:val="nil"/>
          <w:right w:val="nil"/>
          <w:between w:val="nil"/>
        </w:pBdr>
        <w:spacing w:before="30" w:after="30" w:line="360" w:lineRule="auto"/>
        <w:ind w:left="0" w:right="0"/>
        <w:jc w:val="center"/>
        <w:rPr>
          <w:color w:val="000000"/>
          <w:sz w:val="22"/>
          <w:szCs w:val="22"/>
        </w:rPr>
      </w:pPr>
    </w:p>
    <w:p w14:paraId="2A7C74D7" w14:textId="24C9AD7F" w:rsidR="00D16674" w:rsidRDefault="00D16674" w:rsidP="006D2A77">
      <w:pPr>
        <w:widowControl w:val="0"/>
        <w:pBdr>
          <w:top w:val="nil"/>
          <w:left w:val="nil"/>
          <w:bottom w:val="nil"/>
          <w:right w:val="nil"/>
          <w:between w:val="nil"/>
        </w:pBdr>
        <w:spacing w:before="30" w:after="30" w:line="360" w:lineRule="auto"/>
        <w:ind w:left="0" w:right="417"/>
        <w:rPr>
          <w:color w:val="5B9BD5"/>
          <w:sz w:val="28"/>
          <w:szCs w:val="28"/>
        </w:rPr>
      </w:pPr>
    </w:p>
    <w:p w14:paraId="039B235E" w14:textId="0B2F5AD8" w:rsidR="00D16674" w:rsidRDefault="00D16674">
      <w:pPr>
        <w:widowControl w:val="0"/>
        <w:pBdr>
          <w:top w:val="nil"/>
          <w:left w:val="nil"/>
          <w:bottom w:val="nil"/>
          <w:right w:val="nil"/>
          <w:between w:val="nil"/>
        </w:pBdr>
        <w:spacing w:before="30" w:after="30" w:line="360" w:lineRule="auto"/>
        <w:ind w:left="0" w:right="0"/>
        <w:jc w:val="center"/>
        <w:rPr>
          <w:color w:val="5B9BD5"/>
          <w:sz w:val="28"/>
          <w:szCs w:val="28"/>
        </w:rPr>
      </w:pPr>
    </w:p>
    <w:p w14:paraId="46E2A71E" w14:textId="32BCCEF6" w:rsidR="00D16674" w:rsidRDefault="00D16674">
      <w:pPr>
        <w:widowControl w:val="0"/>
        <w:pBdr>
          <w:top w:val="nil"/>
          <w:left w:val="nil"/>
          <w:bottom w:val="nil"/>
          <w:right w:val="nil"/>
          <w:between w:val="nil"/>
        </w:pBdr>
        <w:spacing w:before="30" w:after="30" w:line="360" w:lineRule="auto"/>
        <w:ind w:left="0" w:right="0"/>
        <w:jc w:val="center"/>
        <w:rPr>
          <w:color w:val="5B9BD5"/>
          <w:sz w:val="22"/>
          <w:szCs w:val="22"/>
        </w:rPr>
      </w:pPr>
    </w:p>
    <w:p w14:paraId="0031F3A2" w14:textId="77777777" w:rsidR="00D16674" w:rsidRDefault="00D16674">
      <w:pPr>
        <w:widowControl w:val="0"/>
        <w:pBdr>
          <w:top w:val="nil"/>
          <w:left w:val="nil"/>
          <w:bottom w:val="nil"/>
          <w:right w:val="nil"/>
          <w:between w:val="nil"/>
        </w:pBdr>
        <w:spacing w:before="30" w:after="30" w:line="360" w:lineRule="auto"/>
        <w:ind w:left="27" w:right="0"/>
        <w:jc w:val="left"/>
        <w:rPr>
          <w:color w:val="2E74B5"/>
          <w:sz w:val="32"/>
          <w:szCs w:val="32"/>
        </w:rPr>
      </w:pPr>
    </w:p>
    <w:p w14:paraId="175C3724" w14:textId="0634DB2A" w:rsidR="00D16674" w:rsidRDefault="00D16674" w:rsidP="0059455B">
      <w:pPr>
        <w:widowControl w:val="0"/>
        <w:pBdr>
          <w:top w:val="nil"/>
          <w:left w:val="nil"/>
          <w:bottom w:val="nil"/>
          <w:right w:val="nil"/>
          <w:between w:val="nil"/>
        </w:pBdr>
        <w:spacing w:before="30" w:after="30" w:line="360" w:lineRule="auto"/>
        <w:ind w:left="0" w:right="0"/>
        <w:jc w:val="left"/>
        <w:rPr>
          <w:color w:val="2E74B5"/>
          <w:sz w:val="32"/>
          <w:szCs w:val="32"/>
        </w:rPr>
      </w:pPr>
    </w:p>
    <w:p w14:paraId="47BC16C7" w14:textId="41B66FF0" w:rsidR="00D16674" w:rsidRDefault="00963D11" w:rsidP="00D57314">
      <w:pPr>
        <w:pStyle w:val="Heading1"/>
        <w:jc w:val="center"/>
      </w:pPr>
      <w:bookmarkStart w:id="0" w:name="_Toc203841971"/>
      <w:r>
        <w:t>Executive Summary</w:t>
      </w:r>
      <w:bookmarkEnd w:id="0"/>
    </w:p>
    <w:p w14:paraId="15C2A911" w14:textId="609921B8" w:rsidR="00D16674" w:rsidRDefault="00963D11">
      <w:pPr>
        <w:widowControl w:val="0"/>
        <w:pBdr>
          <w:top w:val="nil"/>
          <w:left w:val="nil"/>
          <w:bottom w:val="nil"/>
          <w:right w:val="nil"/>
          <w:between w:val="nil"/>
        </w:pBdr>
        <w:spacing w:before="30" w:after="30" w:line="360" w:lineRule="auto"/>
        <w:ind w:left="27" w:right="0"/>
      </w:pPr>
      <w:r>
        <w:t xml:space="preserve">This report aims to </w:t>
      </w:r>
      <w:r w:rsidR="006D2A77">
        <w:t>analyze</w:t>
      </w:r>
      <w:r>
        <w:t xml:space="preserve"> the financial performance of Admiral Group PLC as well as assess investment opportunities of </w:t>
      </w:r>
      <w:r w:rsidR="006D2A77">
        <w:t>Jordon’s</w:t>
      </w:r>
      <w:r>
        <w:t xml:space="preserve"> Plc with major financial assessment methods. Part 1 analyses the profitability, liquidity, gearing, efficiency, and investor ratios of Admiral within the 2023 and 2024 financial years. The review shows high profitability and operational efficiency, as shown by a high increase in ROCE and EPS as a result of enhanced underwriting and </w:t>
      </w:r>
      <w:r w:rsidR="006D2A77">
        <w:t>favorable</w:t>
      </w:r>
      <w:r>
        <w:t xml:space="preserve"> market conditions. But its liquidity rates are low as usual, in the instruments of the insurance business. Suggestions are given to enhance how Admiral manages its finances, among others, such as investing further in a digital financial system and capital structure </w:t>
      </w:r>
      <w:r w:rsidR="006D2A77">
        <w:t>optimization</w:t>
      </w:r>
      <w:r>
        <w:t>.</w:t>
      </w:r>
    </w:p>
    <w:p w14:paraId="67DCB5E2" w14:textId="0266F759" w:rsidR="00D16674" w:rsidRDefault="00963D11">
      <w:pPr>
        <w:widowControl w:val="0"/>
        <w:pBdr>
          <w:top w:val="nil"/>
          <w:left w:val="nil"/>
          <w:bottom w:val="nil"/>
          <w:right w:val="nil"/>
          <w:between w:val="nil"/>
        </w:pBdr>
        <w:spacing w:before="30" w:after="30" w:line="360" w:lineRule="auto"/>
        <w:ind w:left="27" w:right="0"/>
      </w:pPr>
      <w:r>
        <w:t xml:space="preserve">Part 2 evaluates three possible investment projects of </w:t>
      </w:r>
      <w:r w:rsidR="006D2A77">
        <w:t>Jordon</w:t>
      </w:r>
      <w:r>
        <w:t xml:space="preserve"> PLC based on the Net Present Value (NPV) and the internal Rate of Return (IRR). The most financially viable was project B or option B, which deals with internet sales expansion. When there were capital constraints, the optimal investment policy was based on the profitability index and had a total NPV of 1348,256 pounds. </w:t>
      </w:r>
    </w:p>
    <w:p w14:paraId="193A8E99" w14:textId="77777777" w:rsidR="00D16674" w:rsidRDefault="00963D11">
      <w:pPr>
        <w:widowControl w:val="0"/>
        <w:pBdr>
          <w:top w:val="nil"/>
          <w:left w:val="nil"/>
          <w:bottom w:val="nil"/>
          <w:right w:val="nil"/>
          <w:between w:val="nil"/>
        </w:pBdr>
        <w:spacing w:before="30" w:after="30" w:line="360" w:lineRule="auto"/>
        <w:ind w:left="27" w:right="0"/>
      </w:pPr>
      <w:r>
        <w:t>This report comes to an end with a conclusion that justifies that good financial analysis and investment planning are relevant in strategic decisions. Valid financial analysis favors both value addition and sustainability of the businesses over the competition demands of the market.</w:t>
      </w:r>
    </w:p>
    <w:p w14:paraId="767D41D8" w14:textId="77777777" w:rsidR="00D16674" w:rsidRDefault="00D16674">
      <w:pPr>
        <w:widowControl w:val="0"/>
        <w:pBdr>
          <w:top w:val="nil"/>
          <w:left w:val="nil"/>
          <w:bottom w:val="nil"/>
          <w:right w:val="nil"/>
          <w:between w:val="nil"/>
        </w:pBdr>
        <w:spacing w:before="30" w:after="30" w:line="360" w:lineRule="auto"/>
        <w:ind w:left="4" w:right="334" w:firstLine="12"/>
      </w:pPr>
    </w:p>
    <w:p w14:paraId="3E53F980" w14:textId="77777777" w:rsidR="00D16674" w:rsidRDefault="00D16674">
      <w:pPr>
        <w:widowControl w:val="0"/>
        <w:pBdr>
          <w:top w:val="nil"/>
          <w:left w:val="nil"/>
          <w:bottom w:val="nil"/>
          <w:right w:val="nil"/>
          <w:between w:val="nil"/>
        </w:pBdr>
        <w:spacing w:before="30" w:after="30" w:line="360" w:lineRule="auto"/>
        <w:ind w:left="0" w:right="334"/>
        <w:jc w:val="left"/>
        <w:rPr>
          <w:color w:val="000000"/>
          <w:sz w:val="22"/>
          <w:szCs w:val="22"/>
        </w:rPr>
      </w:pPr>
    </w:p>
    <w:p w14:paraId="36976B0F" w14:textId="77777777" w:rsidR="00D16674" w:rsidRDefault="00963D11">
      <w:pPr>
        <w:widowControl w:val="0"/>
        <w:pBdr>
          <w:top w:val="nil"/>
          <w:left w:val="nil"/>
          <w:bottom w:val="nil"/>
          <w:right w:val="nil"/>
          <w:between w:val="nil"/>
        </w:pBdr>
        <w:spacing w:before="30" w:after="30" w:line="360" w:lineRule="auto"/>
        <w:ind w:left="1" w:right="0"/>
        <w:jc w:val="center"/>
        <w:rPr>
          <w:b/>
          <w:sz w:val="32"/>
          <w:szCs w:val="32"/>
        </w:rPr>
      </w:pPr>
      <w:r>
        <w:br w:type="page"/>
      </w:r>
    </w:p>
    <w:sdt>
      <w:sdtPr>
        <w:rPr>
          <w:rFonts w:ascii="Times New Roman" w:eastAsia="Times New Roman" w:hAnsi="Times New Roman" w:cs="Times New Roman"/>
          <w:color w:val="auto"/>
          <w:sz w:val="24"/>
          <w:szCs w:val="24"/>
        </w:rPr>
        <w:id w:val="210081419"/>
        <w:docPartObj>
          <w:docPartGallery w:val="Table of Contents"/>
          <w:docPartUnique/>
        </w:docPartObj>
      </w:sdtPr>
      <w:sdtEndPr>
        <w:rPr>
          <w:b/>
          <w:bCs/>
          <w:noProof/>
        </w:rPr>
      </w:sdtEndPr>
      <w:sdtContent>
        <w:p w14:paraId="76D7B219" w14:textId="622F5A46" w:rsidR="00D57314" w:rsidRPr="00D57314" w:rsidRDefault="00D57314" w:rsidP="00AD4930">
          <w:pPr>
            <w:pStyle w:val="TOCHeading"/>
            <w:spacing w:line="360" w:lineRule="auto"/>
            <w:jc w:val="center"/>
            <w:rPr>
              <w:rFonts w:ascii="Times New Roman" w:hAnsi="Times New Roman" w:cs="Times New Roman"/>
              <w:b/>
              <w:bCs/>
              <w:color w:val="000000" w:themeColor="text1"/>
              <w:sz w:val="28"/>
              <w:szCs w:val="28"/>
            </w:rPr>
          </w:pPr>
          <w:r w:rsidRPr="00D57314">
            <w:rPr>
              <w:rFonts w:ascii="Times New Roman" w:hAnsi="Times New Roman" w:cs="Times New Roman"/>
              <w:b/>
              <w:bCs/>
              <w:color w:val="000000" w:themeColor="text1"/>
              <w:sz w:val="28"/>
              <w:szCs w:val="28"/>
            </w:rPr>
            <w:t>TABLE OF CONTENTS</w:t>
          </w:r>
        </w:p>
        <w:p w14:paraId="54DFAF27" w14:textId="343D068E" w:rsidR="00CB230E" w:rsidRDefault="00D57314" w:rsidP="00AD4930">
          <w:pPr>
            <w:pStyle w:val="TOC1"/>
            <w:tabs>
              <w:tab w:val="right" w:leader="dot" w:pos="9004"/>
            </w:tabs>
            <w:spacing w:line="360" w:lineRule="auto"/>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03841971" w:history="1">
            <w:r w:rsidR="00CB230E" w:rsidRPr="002F5AF9">
              <w:rPr>
                <w:rStyle w:val="Hyperlink"/>
                <w:noProof/>
              </w:rPr>
              <w:t>Executive Summary</w:t>
            </w:r>
            <w:r w:rsidR="00CB230E">
              <w:rPr>
                <w:noProof/>
                <w:webHidden/>
              </w:rPr>
              <w:tab/>
            </w:r>
            <w:r w:rsidR="00CB230E">
              <w:rPr>
                <w:noProof/>
                <w:webHidden/>
              </w:rPr>
              <w:fldChar w:fldCharType="begin"/>
            </w:r>
            <w:r w:rsidR="00CB230E">
              <w:rPr>
                <w:noProof/>
                <w:webHidden/>
              </w:rPr>
              <w:instrText xml:space="preserve"> PAGEREF _Toc203841971 \h </w:instrText>
            </w:r>
            <w:r w:rsidR="00CB230E">
              <w:rPr>
                <w:noProof/>
                <w:webHidden/>
              </w:rPr>
            </w:r>
            <w:r w:rsidR="00CB230E">
              <w:rPr>
                <w:noProof/>
                <w:webHidden/>
              </w:rPr>
              <w:fldChar w:fldCharType="separate"/>
            </w:r>
            <w:r w:rsidR="00CB230E">
              <w:rPr>
                <w:noProof/>
                <w:webHidden/>
              </w:rPr>
              <w:t>2</w:t>
            </w:r>
            <w:r w:rsidR="00CB230E">
              <w:rPr>
                <w:noProof/>
                <w:webHidden/>
              </w:rPr>
              <w:fldChar w:fldCharType="end"/>
            </w:r>
          </w:hyperlink>
        </w:p>
        <w:p w14:paraId="244F50C6" w14:textId="13143686" w:rsidR="00CB230E" w:rsidRDefault="00CB230E" w:rsidP="00AD4930">
          <w:pPr>
            <w:pStyle w:val="TOC1"/>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72" w:history="1">
            <w:r w:rsidRPr="002F5AF9">
              <w:rPr>
                <w:rStyle w:val="Hyperlink"/>
                <w:noProof/>
              </w:rPr>
              <w:t>Introduction</w:t>
            </w:r>
            <w:r>
              <w:rPr>
                <w:noProof/>
                <w:webHidden/>
              </w:rPr>
              <w:tab/>
            </w:r>
            <w:r>
              <w:rPr>
                <w:noProof/>
                <w:webHidden/>
              </w:rPr>
              <w:fldChar w:fldCharType="begin"/>
            </w:r>
            <w:r>
              <w:rPr>
                <w:noProof/>
                <w:webHidden/>
              </w:rPr>
              <w:instrText xml:space="preserve"> PAGEREF _Toc203841972 \h </w:instrText>
            </w:r>
            <w:r>
              <w:rPr>
                <w:noProof/>
                <w:webHidden/>
              </w:rPr>
            </w:r>
            <w:r>
              <w:rPr>
                <w:noProof/>
                <w:webHidden/>
              </w:rPr>
              <w:fldChar w:fldCharType="separate"/>
            </w:r>
            <w:r>
              <w:rPr>
                <w:noProof/>
                <w:webHidden/>
              </w:rPr>
              <w:t>4</w:t>
            </w:r>
            <w:r>
              <w:rPr>
                <w:noProof/>
                <w:webHidden/>
              </w:rPr>
              <w:fldChar w:fldCharType="end"/>
            </w:r>
          </w:hyperlink>
        </w:p>
        <w:p w14:paraId="11DA7B19" w14:textId="03AD069D" w:rsidR="00CB230E" w:rsidRDefault="00CB230E" w:rsidP="00AD4930">
          <w:pPr>
            <w:pStyle w:val="TOC1"/>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73" w:history="1">
            <w:r w:rsidRPr="002F5AF9">
              <w:rPr>
                <w:rStyle w:val="Hyperlink"/>
                <w:noProof/>
              </w:rPr>
              <w:t>Main Findings</w:t>
            </w:r>
            <w:r>
              <w:rPr>
                <w:noProof/>
                <w:webHidden/>
              </w:rPr>
              <w:tab/>
            </w:r>
            <w:r>
              <w:rPr>
                <w:noProof/>
                <w:webHidden/>
              </w:rPr>
              <w:fldChar w:fldCharType="begin"/>
            </w:r>
            <w:r>
              <w:rPr>
                <w:noProof/>
                <w:webHidden/>
              </w:rPr>
              <w:instrText xml:space="preserve"> PAGEREF _Toc203841973 \h </w:instrText>
            </w:r>
            <w:r>
              <w:rPr>
                <w:noProof/>
                <w:webHidden/>
              </w:rPr>
            </w:r>
            <w:r>
              <w:rPr>
                <w:noProof/>
                <w:webHidden/>
              </w:rPr>
              <w:fldChar w:fldCharType="separate"/>
            </w:r>
            <w:r>
              <w:rPr>
                <w:noProof/>
                <w:webHidden/>
              </w:rPr>
              <w:t>4</w:t>
            </w:r>
            <w:r>
              <w:rPr>
                <w:noProof/>
                <w:webHidden/>
              </w:rPr>
              <w:fldChar w:fldCharType="end"/>
            </w:r>
          </w:hyperlink>
        </w:p>
        <w:p w14:paraId="05B12648" w14:textId="72021D33" w:rsidR="00CB230E" w:rsidRDefault="00CB230E" w:rsidP="00AD4930">
          <w:pPr>
            <w:pStyle w:val="TOC2"/>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74" w:history="1">
            <w:r w:rsidRPr="002F5AF9">
              <w:rPr>
                <w:rStyle w:val="Hyperlink"/>
                <w:noProof/>
              </w:rPr>
              <w:t>Task 1: Financial Performance Analysis of Admiral Group PLC</w:t>
            </w:r>
            <w:r>
              <w:rPr>
                <w:noProof/>
                <w:webHidden/>
              </w:rPr>
              <w:tab/>
            </w:r>
            <w:r>
              <w:rPr>
                <w:noProof/>
                <w:webHidden/>
              </w:rPr>
              <w:fldChar w:fldCharType="begin"/>
            </w:r>
            <w:r>
              <w:rPr>
                <w:noProof/>
                <w:webHidden/>
              </w:rPr>
              <w:instrText xml:space="preserve"> PAGEREF _Toc203841974 \h </w:instrText>
            </w:r>
            <w:r>
              <w:rPr>
                <w:noProof/>
                <w:webHidden/>
              </w:rPr>
            </w:r>
            <w:r>
              <w:rPr>
                <w:noProof/>
                <w:webHidden/>
              </w:rPr>
              <w:fldChar w:fldCharType="separate"/>
            </w:r>
            <w:r>
              <w:rPr>
                <w:noProof/>
                <w:webHidden/>
              </w:rPr>
              <w:t>4</w:t>
            </w:r>
            <w:r>
              <w:rPr>
                <w:noProof/>
                <w:webHidden/>
              </w:rPr>
              <w:fldChar w:fldCharType="end"/>
            </w:r>
          </w:hyperlink>
        </w:p>
        <w:p w14:paraId="78165478" w14:textId="35C4EB45" w:rsidR="00CB230E" w:rsidRDefault="00CB230E" w:rsidP="00AD4930">
          <w:pPr>
            <w:pStyle w:val="TOC3"/>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75" w:history="1">
            <w:r w:rsidRPr="002F5AF9">
              <w:rPr>
                <w:rStyle w:val="Hyperlink"/>
                <w:noProof/>
              </w:rPr>
              <w:t>Company Overview</w:t>
            </w:r>
            <w:r>
              <w:rPr>
                <w:noProof/>
                <w:webHidden/>
              </w:rPr>
              <w:tab/>
            </w:r>
            <w:r>
              <w:rPr>
                <w:noProof/>
                <w:webHidden/>
              </w:rPr>
              <w:fldChar w:fldCharType="begin"/>
            </w:r>
            <w:r>
              <w:rPr>
                <w:noProof/>
                <w:webHidden/>
              </w:rPr>
              <w:instrText xml:space="preserve"> PAGEREF _Toc203841975 \h </w:instrText>
            </w:r>
            <w:r>
              <w:rPr>
                <w:noProof/>
                <w:webHidden/>
              </w:rPr>
            </w:r>
            <w:r>
              <w:rPr>
                <w:noProof/>
                <w:webHidden/>
              </w:rPr>
              <w:fldChar w:fldCharType="separate"/>
            </w:r>
            <w:r>
              <w:rPr>
                <w:noProof/>
                <w:webHidden/>
              </w:rPr>
              <w:t>4</w:t>
            </w:r>
            <w:r>
              <w:rPr>
                <w:noProof/>
                <w:webHidden/>
              </w:rPr>
              <w:fldChar w:fldCharType="end"/>
            </w:r>
          </w:hyperlink>
        </w:p>
        <w:p w14:paraId="0BB38844" w14:textId="4E3CD277" w:rsidR="00CB230E" w:rsidRDefault="00CB230E" w:rsidP="00AD4930">
          <w:pPr>
            <w:pStyle w:val="TOC3"/>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76" w:history="1">
            <w:r w:rsidRPr="002F5AF9">
              <w:rPr>
                <w:rStyle w:val="Hyperlink"/>
                <w:noProof/>
              </w:rPr>
              <w:t>Financial Ratio Analysis</w:t>
            </w:r>
            <w:r>
              <w:rPr>
                <w:noProof/>
                <w:webHidden/>
              </w:rPr>
              <w:tab/>
            </w:r>
            <w:r>
              <w:rPr>
                <w:noProof/>
                <w:webHidden/>
              </w:rPr>
              <w:fldChar w:fldCharType="begin"/>
            </w:r>
            <w:r>
              <w:rPr>
                <w:noProof/>
                <w:webHidden/>
              </w:rPr>
              <w:instrText xml:space="preserve"> PAGEREF _Toc203841976 \h </w:instrText>
            </w:r>
            <w:r>
              <w:rPr>
                <w:noProof/>
                <w:webHidden/>
              </w:rPr>
            </w:r>
            <w:r>
              <w:rPr>
                <w:noProof/>
                <w:webHidden/>
              </w:rPr>
              <w:fldChar w:fldCharType="separate"/>
            </w:r>
            <w:r>
              <w:rPr>
                <w:noProof/>
                <w:webHidden/>
              </w:rPr>
              <w:t>5</w:t>
            </w:r>
            <w:r>
              <w:rPr>
                <w:noProof/>
                <w:webHidden/>
              </w:rPr>
              <w:fldChar w:fldCharType="end"/>
            </w:r>
          </w:hyperlink>
        </w:p>
        <w:p w14:paraId="017F582C" w14:textId="08AEBA0C" w:rsidR="00CB230E" w:rsidRDefault="00CB230E" w:rsidP="00AD4930">
          <w:pPr>
            <w:pStyle w:val="TOC3"/>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77" w:history="1">
            <w:r w:rsidRPr="002F5AF9">
              <w:rPr>
                <w:rStyle w:val="Hyperlink"/>
                <w:noProof/>
              </w:rPr>
              <w:t>Critical Evaluation</w:t>
            </w:r>
            <w:r>
              <w:rPr>
                <w:noProof/>
                <w:webHidden/>
              </w:rPr>
              <w:tab/>
            </w:r>
            <w:r>
              <w:rPr>
                <w:noProof/>
                <w:webHidden/>
              </w:rPr>
              <w:fldChar w:fldCharType="begin"/>
            </w:r>
            <w:r>
              <w:rPr>
                <w:noProof/>
                <w:webHidden/>
              </w:rPr>
              <w:instrText xml:space="preserve"> PAGEREF _Toc203841977 \h </w:instrText>
            </w:r>
            <w:r>
              <w:rPr>
                <w:noProof/>
                <w:webHidden/>
              </w:rPr>
            </w:r>
            <w:r>
              <w:rPr>
                <w:noProof/>
                <w:webHidden/>
              </w:rPr>
              <w:fldChar w:fldCharType="separate"/>
            </w:r>
            <w:r>
              <w:rPr>
                <w:noProof/>
                <w:webHidden/>
              </w:rPr>
              <w:t>11</w:t>
            </w:r>
            <w:r>
              <w:rPr>
                <w:noProof/>
                <w:webHidden/>
              </w:rPr>
              <w:fldChar w:fldCharType="end"/>
            </w:r>
          </w:hyperlink>
        </w:p>
        <w:p w14:paraId="0D663DB2" w14:textId="2D5FA9D2" w:rsidR="00CB230E" w:rsidRDefault="00CB230E" w:rsidP="00AD4930">
          <w:pPr>
            <w:pStyle w:val="TOC3"/>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78" w:history="1">
            <w:r w:rsidRPr="002F5AF9">
              <w:rPr>
                <w:rStyle w:val="Hyperlink"/>
                <w:noProof/>
              </w:rPr>
              <w:t>Recommendations</w:t>
            </w:r>
            <w:r>
              <w:rPr>
                <w:noProof/>
                <w:webHidden/>
              </w:rPr>
              <w:tab/>
            </w:r>
            <w:r>
              <w:rPr>
                <w:noProof/>
                <w:webHidden/>
              </w:rPr>
              <w:fldChar w:fldCharType="begin"/>
            </w:r>
            <w:r>
              <w:rPr>
                <w:noProof/>
                <w:webHidden/>
              </w:rPr>
              <w:instrText xml:space="preserve"> PAGEREF _Toc203841978 \h </w:instrText>
            </w:r>
            <w:r>
              <w:rPr>
                <w:noProof/>
                <w:webHidden/>
              </w:rPr>
            </w:r>
            <w:r>
              <w:rPr>
                <w:noProof/>
                <w:webHidden/>
              </w:rPr>
              <w:fldChar w:fldCharType="separate"/>
            </w:r>
            <w:r>
              <w:rPr>
                <w:noProof/>
                <w:webHidden/>
              </w:rPr>
              <w:t>12</w:t>
            </w:r>
            <w:r>
              <w:rPr>
                <w:noProof/>
                <w:webHidden/>
              </w:rPr>
              <w:fldChar w:fldCharType="end"/>
            </w:r>
          </w:hyperlink>
        </w:p>
        <w:p w14:paraId="26598180" w14:textId="6266BF1E" w:rsidR="00CB230E" w:rsidRDefault="00CB230E" w:rsidP="00AD4930">
          <w:pPr>
            <w:pStyle w:val="TOC2"/>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79" w:history="1">
            <w:r w:rsidRPr="002F5AF9">
              <w:rPr>
                <w:rStyle w:val="Hyperlink"/>
                <w:noProof/>
              </w:rPr>
              <w:t>Task 2: Report of Jordons Plc</w:t>
            </w:r>
            <w:r>
              <w:rPr>
                <w:noProof/>
                <w:webHidden/>
              </w:rPr>
              <w:tab/>
            </w:r>
            <w:r>
              <w:rPr>
                <w:noProof/>
                <w:webHidden/>
              </w:rPr>
              <w:fldChar w:fldCharType="begin"/>
            </w:r>
            <w:r>
              <w:rPr>
                <w:noProof/>
                <w:webHidden/>
              </w:rPr>
              <w:instrText xml:space="preserve"> PAGEREF _Toc203841979 \h </w:instrText>
            </w:r>
            <w:r>
              <w:rPr>
                <w:noProof/>
                <w:webHidden/>
              </w:rPr>
            </w:r>
            <w:r>
              <w:rPr>
                <w:noProof/>
                <w:webHidden/>
              </w:rPr>
              <w:fldChar w:fldCharType="separate"/>
            </w:r>
            <w:r>
              <w:rPr>
                <w:noProof/>
                <w:webHidden/>
              </w:rPr>
              <w:t>13</w:t>
            </w:r>
            <w:r>
              <w:rPr>
                <w:noProof/>
                <w:webHidden/>
              </w:rPr>
              <w:fldChar w:fldCharType="end"/>
            </w:r>
          </w:hyperlink>
        </w:p>
        <w:p w14:paraId="52C9D471" w14:textId="27ACF45A" w:rsidR="00CB230E" w:rsidRDefault="00CB230E" w:rsidP="00AD4930">
          <w:pPr>
            <w:pStyle w:val="TOC3"/>
            <w:tabs>
              <w:tab w:val="left" w:pos="960"/>
              <w:tab w:val="right" w:leader="dot" w:pos="9004"/>
            </w:tabs>
            <w:spacing w:line="360" w:lineRule="auto"/>
            <w:rPr>
              <w:rFonts w:asciiTheme="minorHAnsi" w:eastAsiaTheme="minorEastAsia" w:hAnsiTheme="minorHAnsi" w:cstheme="minorBidi"/>
              <w:noProof/>
              <w:kern w:val="2"/>
              <w14:ligatures w14:val="standardContextual"/>
            </w:rPr>
          </w:pPr>
          <w:hyperlink w:anchor="_Toc203841980" w:history="1">
            <w:r w:rsidRPr="002F5AF9">
              <w:rPr>
                <w:rStyle w:val="Hyperlink"/>
                <w:noProof/>
              </w:rPr>
              <w:t>A.</w:t>
            </w:r>
            <w:r>
              <w:rPr>
                <w:rFonts w:asciiTheme="minorHAnsi" w:eastAsiaTheme="minorEastAsia" w:hAnsiTheme="minorHAnsi" w:cstheme="minorBidi"/>
                <w:noProof/>
                <w:kern w:val="2"/>
                <w14:ligatures w14:val="standardContextual"/>
              </w:rPr>
              <w:tab/>
            </w:r>
            <w:r w:rsidRPr="002F5AF9">
              <w:rPr>
                <w:rStyle w:val="Hyperlink"/>
                <w:noProof/>
              </w:rPr>
              <w:t>Evaluation of three investment options with NPV technique</w:t>
            </w:r>
            <w:r>
              <w:rPr>
                <w:noProof/>
                <w:webHidden/>
              </w:rPr>
              <w:tab/>
            </w:r>
            <w:r>
              <w:rPr>
                <w:noProof/>
                <w:webHidden/>
              </w:rPr>
              <w:fldChar w:fldCharType="begin"/>
            </w:r>
            <w:r>
              <w:rPr>
                <w:noProof/>
                <w:webHidden/>
              </w:rPr>
              <w:instrText xml:space="preserve"> PAGEREF _Toc203841980 \h </w:instrText>
            </w:r>
            <w:r>
              <w:rPr>
                <w:noProof/>
                <w:webHidden/>
              </w:rPr>
            </w:r>
            <w:r>
              <w:rPr>
                <w:noProof/>
                <w:webHidden/>
              </w:rPr>
              <w:fldChar w:fldCharType="separate"/>
            </w:r>
            <w:r>
              <w:rPr>
                <w:noProof/>
                <w:webHidden/>
              </w:rPr>
              <w:t>13</w:t>
            </w:r>
            <w:r>
              <w:rPr>
                <w:noProof/>
                <w:webHidden/>
              </w:rPr>
              <w:fldChar w:fldCharType="end"/>
            </w:r>
          </w:hyperlink>
        </w:p>
        <w:p w14:paraId="23E7D971" w14:textId="3D86210A" w:rsidR="00CB230E" w:rsidRDefault="00CB230E" w:rsidP="00AD4930">
          <w:pPr>
            <w:pStyle w:val="TOC3"/>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81" w:history="1">
            <w:r w:rsidRPr="002F5AF9">
              <w:rPr>
                <w:rStyle w:val="Hyperlink"/>
                <w:noProof/>
              </w:rPr>
              <w:t>B. Internal Rate of Return Calculation</w:t>
            </w:r>
            <w:r>
              <w:rPr>
                <w:noProof/>
                <w:webHidden/>
              </w:rPr>
              <w:tab/>
            </w:r>
            <w:r>
              <w:rPr>
                <w:noProof/>
                <w:webHidden/>
              </w:rPr>
              <w:fldChar w:fldCharType="begin"/>
            </w:r>
            <w:r>
              <w:rPr>
                <w:noProof/>
                <w:webHidden/>
              </w:rPr>
              <w:instrText xml:space="preserve"> PAGEREF _Toc203841981 \h </w:instrText>
            </w:r>
            <w:r>
              <w:rPr>
                <w:noProof/>
                <w:webHidden/>
              </w:rPr>
            </w:r>
            <w:r>
              <w:rPr>
                <w:noProof/>
                <w:webHidden/>
              </w:rPr>
              <w:fldChar w:fldCharType="separate"/>
            </w:r>
            <w:r>
              <w:rPr>
                <w:noProof/>
                <w:webHidden/>
              </w:rPr>
              <w:t>16</w:t>
            </w:r>
            <w:r>
              <w:rPr>
                <w:noProof/>
                <w:webHidden/>
              </w:rPr>
              <w:fldChar w:fldCharType="end"/>
            </w:r>
          </w:hyperlink>
        </w:p>
        <w:p w14:paraId="108D92E1" w14:textId="03CDD66B" w:rsidR="00CB230E" w:rsidRDefault="00CB230E" w:rsidP="00AD4930">
          <w:pPr>
            <w:pStyle w:val="TOC3"/>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82" w:history="1">
            <w:r w:rsidRPr="002F5AF9">
              <w:rPr>
                <w:rStyle w:val="Hyperlink"/>
                <w:noProof/>
              </w:rPr>
              <w:t>C. Interpretation of results for management</w:t>
            </w:r>
            <w:r>
              <w:rPr>
                <w:noProof/>
                <w:webHidden/>
              </w:rPr>
              <w:tab/>
            </w:r>
            <w:r>
              <w:rPr>
                <w:noProof/>
                <w:webHidden/>
              </w:rPr>
              <w:fldChar w:fldCharType="begin"/>
            </w:r>
            <w:r>
              <w:rPr>
                <w:noProof/>
                <w:webHidden/>
              </w:rPr>
              <w:instrText xml:space="preserve"> PAGEREF _Toc203841982 \h </w:instrText>
            </w:r>
            <w:r>
              <w:rPr>
                <w:noProof/>
                <w:webHidden/>
              </w:rPr>
            </w:r>
            <w:r>
              <w:rPr>
                <w:noProof/>
                <w:webHidden/>
              </w:rPr>
              <w:fldChar w:fldCharType="separate"/>
            </w:r>
            <w:r>
              <w:rPr>
                <w:noProof/>
                <w:webHidden/>
              </w:rPr>
              <w:t>17</w:t>
            </w:r>
            <w:r>
              <w:rPr>
                <w:noProof/>
                <w:webHidden/>
              </w:rPr>
              <w:fldChar w:fldCharType="end"/>
            </w:r>
          </w:hyperlink>
        </w:p>
        <w:p w14:paraId="22487883" w14:textId="55D6DC76" w:rsidR="00CB230E" w:rsidRDefault="00CB230E" w:rsidP="00AD4930">
          <w:pPr>
            <w:pStyle w:val="TOC3"/>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83" w:history="1">
            <w:r w:rsidRPr="002F5AF9">
              <w:rPr>
                <w:rStyle w:val="Hyperlink"/>
                <w:noProof/>
              </w:rPr>
              <w:t>D. Calculation of optimal investment policy that results from the total NPV of the investment policy</w:t>
            </w:r>
            <w:r>
              <w:rPr>
                <w:noProof/>
                <w:webHidden/>
              </w:rPr>
              <w:tab/>
            </w:r>
            <w:r>
              <w:rPr>
                <w:noProof/>
                <w:webHidden/>
              </w:rPr>
              <w:fldChar w:fldCharType="begin"/>
            </w:r>
            <w:r>
              <w:rPr>
                <w:noProof/>
                <w:webHidden/>
              </w:rPr>
              <w:instrText xml:space="preserve"> PAGEREF _Toc203841983 \h </w:instrText>
            </w:r>
            <w:r>
              <w:rPr>
                <w:noProof/>
                <w:webHidden/>
              </w:rPr>
            </w:r>
            <w:r>
              <w:rPr>
                <w:noProof/>
                <w:webHidden/>
              </w:rPr>
              <w:fldChar w:fldCharType="separate"/>
            </w:r>
            <w:r>
              <w:rPr>
                <w:noProof/>
                <w:webHidden/>
              </w:rPr>
              <w:t>19</w:t>
            </w:r>
            <w:r>
              <w:rPr>
                <w:noProof/>
                <w:webHidden/>
              </w:rPr>
              <w:fldChar w:fldCharType="end"/>
            </w:r>
          </w:hyperlink>
        </w:p>
        <w:p w14:paraId="51440AF6" w14:textId="27B9337D" w:rsidR="00CB230E" w:rsidRDefault="00CB230E" w:rsidP="00AD4930">
          <w:pPr>
            <w:pStyle w:val="TOC1"/>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84" w:history="1">
            <w:r w:rsidRPr="002F5AF9">
              <w:rPr>
                <w:rStyle w:val="Hyperlink"/>
                <w:noProof/>
              </w:rPr>
              <w:t>Conclusion</w:t>
            </w:r>
            <w:r>
              <w:rPr>
                <w:noProof/>
                <w:webHidden/>
              </w:rPr>
              <w:tab/>
            </w:r>
            <w:r>
              <w:rPr>
                <w:noProof/>
                <w:webHidden/>
              </w:rPr>
              <w:fldChar w:fldCharType="begin"/>
            </w:r>
            <w:r>
              <w:rPr>
                <w:noProof/>
                <w:webHidden/>
              </w:rPr>
              <w:instrText xml:space="preserve"> PAGEREF _Toc203841984 \h </w:instrText>
            </w:r>
            <w:r>
              <w:rPr>
                <w:noProof/>
                <w:webHidden/>
              </w:rPr>
            </w:r>
            <w:r>
              <w:rPr>
                <w:noProof/>
                <w:webHidden/>
              </w:rPr>
              <w:fldChar w:fldCharType="separate"/>
            </w:r>
            <w:r>
              <w:rPr>
                <w:noProof/>
                <w:webHidden/>
              </w:rPr>
              <w:t>20</w:t>
            </w:r>
            <w:r>
              <w:rPr>
                <w:noProof/>
                <w:webHidden/>
              </w:rPr>
              <w:fldChar w:fldCharType="end"/>
            </w:r>
          </w:hyperlink>
        </w:p>
        <w:p w14:paraId="3A65633F" w14:textId="1A289E2E" w:rsidR="00CB230E" w:rsidRDefault="00CB230E" w:rsidP="00AD4930">
          <w:pPr>
            <w:pStyle w:val="TOC1"/>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85" w:history="1">
            <w:r w:rsidRPr="002F5AF9">
              <w:rPr>
                <w:rStyle w:val="Hyperlink"/>
                <w:noProof/>
              </w:rPr>
              <w:t>Bibliography</w:t>
            </w:r>
            <w:r>
              <w:rPr>
                <w:noProof/>
                <w:webHidden/>
              </w:rPr>
              <w:tab/>
            </w:r>
            <w:r>
              <w:rPr>
                <w:noProof/>
                <w:webHidden/>
              </w:rPr>
              <w:fldChar w:fldCharType="begin"/>
            </w:r>
            <w:r>
              <w:rPr>
                <w:noProof/>
                <w:webHidden/>
              </w:rPr>
              <w:instrText xml:space="preserve"> PAGEREF _Toc203841985 \h </w:instrText>
            </w:r>
            <w:r>
              <w:rPr>
                <w:noProof/>
                <w:webHidden/>
              </w:rPr>
            </w:r>
            <w:r>
              <w:rPr>
                <w:noProof/>
                <w:webHidden/>
              </w:rPr>
              <w:fldChar w:fldCharType="separate"/>
            </w:r>
            <w:r>
              <w:rPr>
                <w:noProof/>
                <w:webHidden/>
              </w:rPr>
              <w:t>21</w:t>
            </w:r>
            <w:r>
              <w:rPr>
                <w:noProof/>
                <w:webHidden/>
              </w:rPr>
              <w:fldChar w:fldCharType="end"/>
            </w:r>
          </w:hyperlink>
        </w:p>
        <w:p w14:paraId="5E9D4698" w14:textId="43C4D82B" w:rsidR="00CB230E" w:rsidRDefault="00CB230E" w:rsidP="00AD4930">
          <w:pPr>
            <w:pStyle w:val="TOC1"/>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86" w:history="1">
            <w:r w:rsidRPr="002F5AF9">
              <w:rPr>
                <w:rStyle w:val="Hyperlink"/>
                <w:noProof/>
              </w:rPr>
              <w:t>Appendix</w:t>
            </w:r>
            <w:r>
              <w:rPr>
                <w:noProof/>
                <w:webHidden/>
              </w:rPr>
              <w:tab/>
            </w:r>
            <w:r>
              <w:rPr>
                <w:noProof/>
                <w:webHidden/>
              </w:rPr>
              <w:fldChar w:fldCharType="begin"/>
            </w:r>
            <w:r>
              <w:rPr>
                <w:noProof/>
                <w:webHidden/>
              </w:rPr>
              <w:instrText xml:space="preserve"> PAGEREF _Toc203841986 \h </w:instrText>
            </w:r>
            <w:r>
              <w:rPr>
                <w:noProof/>
                <w:webHidden/>
              </w:rPr>
            </w:r>
            <w:r>
              <w:rPr>
                <w:noProof/>
                <w:webHidden/>
              </w:rPr>
              <w:fldChar w:fldCharType="separate"/>
            </w:r>
            <w:r>
              <w:rPr>
                <w:noProof/>
                <w:webHidden/>
              </w:rPr>
              <w:t>25</w:t>
            </w:r>
            <w:r>
              <w:rPr>
                <w:noProof/>
                <w:webHidden/>
              </w:rPr>
              <w:fldChar w:fldCharType="end"/>
            </w:r>
          </w:hyperlink>
        </w:p>
        <w:p w14:paraId="52AA25D6" w14:textId="7ECCBD19" w:rsidR="00CB230E" w:rsidRDefault="00CB230E" w:rsidP="00AD4930">
          <w:pPr>
            <w:pStyle w:val="TOC2"/>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87" w:history="1">
            <w:r w:rsidRPr="002F5AF9">
              <w:rPr>
                <w:rStyle w:val="Hyperlink"/>
                <w:noProof/>
              </w:rPr>
              <w:t>Appendix 1: Admiralgroup Income Statement 2024</w:t>
            </w:r>
            <w:r>
              <w:rPr>
                <w:noProof/>
                <w:webHidden/>
              </w:rPr>
              <w:tab/>
            </w:r>
            <w:r>
              <w:rPr>
                <w:noProof/>
                <w:webHidden/>
              </w:rPr>
              <w:fldChar w:fldCharType="begin"/>
            </w:r>
            <w:r>
              <w:rPr>
                <w:noProof/>
                <w:webHidden/>
              </w:rPr>
              <w:instrText xml:space="preserve"> PAGEREF _Toc203841987 \h </w:instrText>
            </w:r>
            <w:r>
              <w:rPr>
                <w:noProof/>
                <w:webHidden/>
              </w:rPr>
            </w:r>
            <w:r>
              <w:rPr>
                <w:noProof/>
                <w:webHidden/>
              </w:rPr>
              <w:fldChar w:fldCharType="separate"/>
            </w:r>
            <w:r>
              <w:rPr>
                <w:noProof/>
                <w:webHidden/>
              </w:rPr>
              <w:t>25</w:t>
            </w:r>
            <w:r>
              <w:rPr>
                <w:noProof/>
                <w:webHidden/>
              </w:rPr>
              <w:fldChar w:fldCharType="end"/>
            </w:r>
          </w:hyperlink>
        </w:p>
        <w:p w14:paraId="647A5CCE" w14:textId="2391A422" w:rsidR="00CB230E" w:rsidRDefault="00CB230E" w:rsidP="00AD4930">
          <w:pPr>
            <w:pStyle w:val="TOC2"/>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88" w:history="1">
            <w:r w:rsidRPr="002F5AF9">
              <w:rPr>
                <w:rStyle w:val="Hyperlink"/>
                <w:noProof/>
              </w:rPr>
              <w:t>Appendix 2: Admiralgroup Income Statement 2024</w:t>
            </w:r>
            <w:r>
              <w:rPr>
                <w:noProof/>
                <w:webHidden/>
              </w:rPr>
              <w:tab/>
            </w:r>
            <w:r>
              <w:rPr>
                <w:noProof/>
                <w:webHidden/>
              </w:rPr>
              <w:fldChar w:fldCharType="begin"/>
            </w:r>
            <w:r>
              <w:rPr>
                <w:noProof/>
                <w:webHidden/>
              </w:rPr>
              <w:instrText xml:space="preserve"> PAGEREF _Toc203841988 \h </w:instrText>
            </w:r>
            <w:r>
              <w:rPr>
                <w:noProof/>
                <w:webHidden/>
              </w:rPr>
            </w:r>
            <w:r>
              <w:rPr>
                <w:noProof/>
                <w:webHidden/>
              </w:rPr>
              <w:fldChar w:fldCharType="separate"/>
            </w:r>
            <w:r>
              <w:rPr>
                <w:noProof/>
                <w:webHidden/>
              </w:rPr>
              <w:t>26</w:t>
            </w:r>
            <w:r>
              <w:rPr>
                <w:noProof/>
                <w:webHidden/>
              </w:rPr>
              <w:fldChar w:fldCharType="end"/>
            </w:r>
          </w:hyperlink>
        </w:p>
        <w:p w14:paraId="4547316A" w14:textId="67F60E5C" w:rsidR="00CB230E" w:rsidRDefault="00CB230E" w:rsidP="00AD4930">
          <w:pPr>
            <w:pStyle w:val="TOC2"/>
            <w:tabs>
              <w:tab w:val="right" w:leader="dot" w:pos="9004"/>
            </w:tabs>
            <w:spacing w:line="360" w:lineRule="auto"/>
            <w:rPr>
              <w:rFonts w:asciiTheme="minorHAnsi" w:eastAsiaTheme="minorEastAsia" w:hAnsiTheme="minorHAnsi" w:cstheme="minorBidi"/>
              <w:noProof/>
              <w:kern w:val="2"/>
              <w14:ligatures w14:val="standardContextual"/>
            </w:rPr>
          </w:pPr>
          <w:hyperlink w:anchor="_Toc203841989" w:history="1">
            <w:r w:rsidRPr="002F5AF9">
              <w:rPr>
                <w:rStyle w:val="Hyperlink"/>
                <w:noProof/>
              </w:rPr>
              <w:t>Appendix 3: Detailed Ratio Calculations</w:t>
            </w:r>
            <w:r>
              <w:rPr>
                <w:noProof/>
                <w:webHidden/>
              </w:rPr>
              <w:tab/>
            </w:r>
            <w:r>
              <w:rPr>
                <w:noProof/>
                <w:webHidden/>
              </w:rPr>
              <w:fldChar w:fldCharType="begin"/>
            </w:r>
            <w:r>
              <w:rPr>
                <w:noProof/>
                <w:webHidden/>
              </w:rPr>
              <w:instrText xml:space="preserve"> PAGEREF _Toc203841989 \h </w:instrText>
            </w:r>
            <w:r>
              <w:rPr>
                <w:noProof/>
                <w:webHidden/>
              </w:rPr>
            </w:r>
            <w:r>
              <w:rPr>
                <w:noProof/>
                <w:webHidden/>
              </w:rPr>
              <w:fldChar w:fldCharType="separate"/>
            </w:r>
            <w:r>
              <w:rPr>
                <w:noProof/>
                <w:webHidden/>
              </w:rPr>
              <w:t>27</w:t>
            </w:r>
            <w:r>
              <w:rPr>
                <w:noProof/>
                <w:webHidden/>
              </w:rPr>
              <w:fldChar w:fldCharType="end"/>
            </w:r>
          </w:hyperlink>
        </w:p>
        <w:p w14:paraId="4BD84F22" w14:textId="573F7C88" w:rsidR="00D57314" w:rsidRDefault="00D57314" w:rsidP="00AD4930">
          <w:pPr>
            <w:spacing w:line="360" w:lineRule="auto"/>
          </w:pPr>
          <w:r>
            <w:rPr>
              <w:b/>
              <w:bCs/>
              <w:noProof/>
            </w:rPr>
            <w:fldChar w:fldCharType="end"/>
          </w:r>
        </w:p>
      </w:sdtContent>
    </w:sdt>
    <w:p w14:paraId="52825DB0" w14:textId="3EBA2453" w:rsidR="00D16674" w:rsidRDefault="00963D11">
      <w:pPr>
        <w:widowControl w:val="0"/>
        <w:pBdr>
          <w:top w:val="nil"/>
          <w:left w:val="nil"/>
          <w:bottom w:val="nil"/>
          <w:right w:val="nil"/>
          <w:between w:val="nil"/>
        </w:pBdr>
        <w:spacing w:before="30" w:after="30" w:line="360" w:lineRule="auto"/>
        <w:rPr>
          <w:b/>
        </w:rPr>
      </w:pPr>
      <w:r>
        <w:br w:type="page"/>
      </w:r>
    </w:p>
    <w:p w14:paraId="6E511D73" w14:textId="77777777" w:rsidR="00D16674" w:rsidRDefault="00963D11">
      <w:pPr>
        <w:pStyle w:val="Heading1"/>
        <w:widowControl w:val="0"/>
      </w:pPr>
      <w:bookmarkStart w:id="1" w:name="_hbe8u368js6l" w:colFirst="0" w:colLast="0"/>
      <w:bookmarkStart w:id="2" w:name="_Toc203841972"/>
      <w:bookmarkEnd w:id="1"/>
      <w:r>
        <w:lastRenderedPageBreak/>
        <w:t>Introduction</w:t>
      </w:r>
      <w:bookmarkEnd w:id="2"/>
    </w:p>
    <w:p w14:paraId="38E3AFED" w14:textId="77777777" w:rsidR="00D16674" w:rsidRDefault="00963D11">
      <w:pPr>
        <w:widowControl w:val="0"/>
        <w:spacing w:before="30" w:after="30" w:line="360" w:lineRule="auto"/>
      </w:pPr>
      <w:r>
        <w:t xml:space="preserve">The main implication of the report is to understand the finance for business managers, as it primarily encompasses practices and principles that are required for managing financial resources of the company to achieve their financial objectives. The key areas of business finance mainly include financial planning, financial analysis, budgeting and forecasting, capital budgeting, working capital management, making financial decisions with risk management (Jain, 2024). The report is divided into two parts: part A and part B. Part A is going to explore Admiral Group of UK that provides international financial services to customers in UK, France, Spain, Italy and the USA (Admiralgroup.co.uk, 2025) and it is present in LSE and is part of FTSE 100 Index. The liquidity, profitability, gearing, investor ratios of the company will be calculated for a minimum two years (2023-2024). There is going to be critical evaluation of the ratios with possible reasons to show why the ratios have changed over the period and there will be discussion on limitations of ratio analysis. On the basis of the analysis there will be recommendations made to improve the financial management of the company. </w:t>
      </w:r>
    </w:p>
    <w:p w14:paraId="11E0E759" w14:textId="373E8D75" w:rsidR="00D16674" w:rsidRDefault="00963D11">
      <w:pPr>
        <w:spacing w:before="30" w:after="30" w:line="360" w:lineRule="auto"/>
      </w:pPr>
      <w:r>
        <w:t xml:space="preserve">Part B of the report is going to assess Jordans Plc, a company that produces quality blinds for windows. The company at present is considering three investment options: whether to expand their retail outlets, develop internet sales or produce Roman blinds and curtains. The initial expenditure for each of the business options are </w:t>
      </w:r>
      <w:r>
        <w:rPr>
          <w:color w:val="040C28"/>
        </w:rPr>
        <w:t>£</w:t>
      </w:r>
      <w:r w:rsidR="001B29EA">
        <w:rPr>
          <w:color w:val="040C28"/>
        </w:rPr>
        <w:t>600,000, £</w:t>
      </w:r>
      <w:r>
        <w:rPr>
          <w:color w:val="040C28"/>
        </w:rPr>
        <w:t xml:space="preserve">1,000,000 and £1,600,000 with corporation tax of 25% and tax allowance of 20% on a straight line (the depreciation over 4 years remains the same). The report will critically assess investment decisions through NPV techniques and IRR value. Concise arguments will be provided with best investment </w:t>
      </w:r>
      <w:r w:rsidR="001B29EA">
        <w:rPr>
          <w:color w:val="040C28"/>
        </w:rPr>
        <w:t>appraisals; best</w:t>
      </w:r>
      <w:r>
        <w:rPr>
          <w:color w:val="040C28"/>
        </w:rPr>
        <w:t xml:space="preserve"> non-discounting methods of investment appraisal methods will be discussed with parameters that help in making coherent investment decisions. At last, there will be an explanation of optimal investment policy with a justified conclusion. </w:t>
      </w:r>
    </w:p>
    <w:p w14:paraId="7C180969" w14:textId="77777777" w:rsidR="00D16674" w:rsidRDefault="00963D11">
      <w:pPr>
        <w:pStyle w:val="Heading1"/>
        <w:widowControl w:val="0"/>
        <w:ind w:left="12" w:right="191" w:hanging="9"/>
      </w:pPr>
      <w:bookmarkStart w:id="3" w:name="_4hud4nv26b24" w:colFirst="0" w:colLast="0"/>
      <w:bookmarkStart w:id="4" w:name="_Toc203841973"/>
      <w:bookmarkEnd w:id="3"/>
      <w:r>
        <w:t>Main Findings</w:t>
      </w:r>
      <w:bookmarkEnd w:id="4"/>
      <w:r>
        <w:t xml:space="preserve"> </w:t>
      </w:r>
    </w:p>
    <w:p w14:paraId="412DF74F" w14:textId="77777777" w:rsidR="00D16674" w:rsidRDefault="00963D11">
      <w:pPr>
        <w:pStyle w:val="Heading2"/>
        <w:widowControl w:val="0"/>
      </w:pPr>
      <w:bookmarkStart w:id="5" w:name="_vicgqf9y9suj" w:colFirst="0" w:colLast="0"/>
      <w:bookmarkStart w:id="6" w:name="_Toc203841974"/>
      <w:bookmarkEnd w:id="5"/>
      <w:r>
        <w:t>Task 1: Financial Performance Analysis of Admiral Group PLC</w:t>
      </w:r>
      <w:bookmarkEnd w:id="6"/>
    </w:p>
    <w:p w14:paraId="1B755669" w14:textId="77777777" w:rsidR="00D16674" w:rsidRDefault="00963D11">
      <w:pPr>
        <w:pStyle w:val="Heading3"/>
        <w:widowControl w:val="0"/>
      </w:pPr>
      <w:bookmarkStart w:id="7" w:name="_lqfbc6lqocd6" w:colFirst="0" w:colLast="0"/>
      <w:bookmarkStart w:id="8" w:name="_Toc203841975"/>
      <w:bookmarkEnd w:id="7"/>
      <w:r>
        <w:t>Company Overview</w:t>
      </w:r>
      <w:bookmarkEnd w:id="8"/>
    </w:p>
    <w:p w14:paraId="7F80C345" w14:textId="28A1B43C" w:rsidR="00D16674" w:rsidRDefault="00963D11">
      <w:pPr>
        <w:widowControl w:val="0"/>
        <w:pBdr>
          <w:top w:val="nil"/>
          <w:left w:val="nil"/>
          <w:bottom w:val="nil"/>
          <w:right w:val="nil"/>
          <w:between w:val="nil"/>
        </w:pBdr>
        <w:spacing w:before="30" w:after="30" w:line="360" w:lineRule="auto"/>
        <w:ind w:left="12" w:right="191" w:hanging="9"/>
      </w:pPr>
      <w:r>
        <w:t>Admiral Group PLC is a financial services sector company, listed on the LSE, and also a member of the FTSE 100 index as well. The firm was established in 1993, and has its headquarters in Cardiff and is over 20 years as a publicly-listed company. Admiral deals with motor, home, travel insurance, as well as pet insurance and unsecured personal lending. It has five countries where it functions, which include the UK, France, Italy, Spain, and the US, and it has over 11.1 million customers across the world (</w:t>
      </w:r>
      <w:r w:rsidR="006D2A77">
        <w:t>Admiral Group</w:t>
      </w:r>
      <w:r>
        <w:t>, 2024).</w:t>
      </w:r>
    </w:p>
    <w:p w14:paraId="09D03910" w14:textId="78920D94" w:rsidR="00D16674" w:rsidRDefault="00963D11">
      <w:pPr>
        <w:widowControl w:val="0"/>
        <w:pBdr>
          <w:top w:val="nil"/>
          <w:left w:val="nil"/>
          <w:bottom w:val="nil"/>
          <w:right w:val="nil"/>
          <w:between w:val="nil"/>
        </w:pBdr>
        <w:spacing w:before="30" w:after="30" w:line="360" w:lineRule="auto"/>
        <w:ind w:left="12" w:right="191" w:hanging="9"/>
      </w:pPr>
      <w:r>
        <w:lastRenderedPageBreak/>
        <w:t xml:space="preserve">In 2024, the company had good results with 28% growth in firm turnover to become 6.15 billion, to a profit before tax, which went up 90 percent to 839.2 million. The UK insurance division continued to stay the largest, courtesy of price discipline, improved digital assets, as well as a </w:t>
      </w:r>
      <w:r w:rsidR="001B29EA">
        <w:t>favorable</w:t>
      </w:r>
      <w:r>
        <w:t xml:space="preserve"> shift in the Ogden discount rate (</w:t>
      </w:r>
      <w:r w:rsidR="006D2A77">
        <w:t>Admiral Group</w:t>
      </w:r>
      <w:r>
        <w:t>, 2024). Admiral pursued its diversification theme with the purchase of the renewal rights of More Than and the growth in EV insurance.</w:t>
      </w:r>
    </w:p>
    <w:p w14:paraId="1429CC31" w14:textId="602632D6" w:rsidR="00D16674" w:rsidRDefault="00963D11">
      <w:pPr>
        <w:widowControl w:val="0"/>
        <w:pBdr>
          <w:top w:val="nil"/>
          <w:left w:val="nil"/>
          <w:bottom w:val="nil"/>
          <w:right w:val="nil"/>
          <w:between w:val="nil"/>
        </w:pBdr>
        <w:spacing w:before="30" w:after="30" w:line="360" w:lineRule="auto"/>
        <w:ind w:left="12" w:right="191" w:hanging="9"/>
      </w:pPr>
      <w:r>
        <w:t>Admiral keeps its position in terms of managing its sustainability and customer-centered innovations, having a Net Zero Transition Plan and an MSCI ESG rating upgrade. The Group's return on equity is 56% and has a Solvency II ratio of 203%, making the Group financially strong (</w:t>
      </w:r>
      <w:r w:rsidR="006D2A77">
        <w:t>Admiral Group</w:t>
      </w:r>
      <w:r>
        <w:t>, 2024). The mission of the Admiral is to serve more people in managing their future. It is prioritized throughout the operations and culture of the business, facilitated through the efforts of more than 15,000 employees that it has globally.</w:t>
      </w:r>
    </w:p>
    <w:p w14:paraId="228B422E" w14:textId="77777777" w:rsidR="00D16674" w:rsidRDefault="00963D11">
      <w:pPr>
        <w:pStyle w:val="Heading3"/>
        <w:widowControl w:val="0"/>
      </w:pPr>
      <w:bookmarkStart w:id="9" w:name="_9exqh7nrvt15" w:colFirst="0" w:colLast="0"/>
      <w:bookmarkStart w:id="10" w:name="_Toc203841976"/>
      <w:bookmarkEnd w:id="9"/>
      <w:r>
        <w:t>Financial Ratio Analysis</w:t>
      </w:r>
      <w:bookmarkEnd w:id="10"/>
    </w:p>
    <w:p w14:paraId="53769209" w14:textId="77777777" w:rsidR="00D16674" w:rsidRDefault="00963D11">
      <w:pPr>
        <w:widowControl w:val="0"/>
        <w:pBdr>
          <w:top w:val="nil"/>
          <w:left w:val="nil"/>
          <w:bottom w:val="nil"/>
          <w:right w:val="nil"/>
          <w:between w:val="nil"/>
        </w:pBdr>
        <w:spacing w:before="30" w:after="30" w:line="360" w:lineRule="auto"/>
        <w:ind w:left="12" w:right="191" w:hanging="9"/>
      </w:pPr>
      <w:r>
        <w:rPr>
          <w:b/>
          <w:i/>
        </w:rPr>
        <w:t>Profitability Ratios:</w:t>
      </w:r>
      <w:r>
        <w:t xml:space="preserve"> </w:t>
      </w:r>
    </w:p>
    <w:p w14:paraId="06CD4D5F" w14:textId="77777777" w:rsidR="00D16674" w:rsidRDefault="00963D11">
      <w:pPr>
        <w:widowControl w:val="0"/>
        <w:pBdr>
          <w:top w:val="nil"/>
          <w:left w:val="nil"/>
          <w:bottom w:val="nil"/>
          <w:right w:val="nil"/>
          <w:between w:val="nil"/>
        </w:pBdr>
        <w:spacing w:before="30" w:after="30" w:line="360" w:lineRule="auto"/>
        <w:ind w:left="12" w:right="191" w:hanging="9"/>
        <w:jc w:val="center"/>
      </w:pPr>
      <w:r>
        <w:rPr>
          <w:noProof/>
          <w:lang w:val="en-GB" w:eastAsia="en-GB"/>
        </w:rPr>
        <w:drawing>
          <wp:inline distT="114300" distB="114300" distL="114300" distR="114300" wp14:anchorId="2B24F0A5" wp14:editId="4330A2D0">
            <wp:extent cx="4075924" cy="2461831"/>
            <wp:effectExtent l="0" t="0" r="0" b="0"/>
            <wp:docPr id="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4075924" cy="2461831"/>
                    </a:xfrm>
                    <a:prstGeom prst="rect">
                      <a:avLst/>
                    </a:prstGeom>
                    <a:ln/>
                  </pic:spPr>
                </pic:pic>
              </a:graphicData>
            </a:graphic>
          </wp:inline>
        </w:drawing>
      </w:r>
    </w:p>
    <w:p w14:paraId="0D1DF0C9" w14:textId="77777777" w:rsidR="00D16674" w:rsidRDefault="00963D11">
      <w:pPr>
        <w:widowControl w:val="0"/>
        <w:pBdr>
          <w:top w:val="nil"/>
          <w:left w:val="nil"/>
          <w:bottom w:val="nil"/>
          <w:right w:val="nil"/>
          <w:between w:val="nil"/>
        </w:pBdr>
        <w:spacing w:before="30" w:after="30" w:line="360" w:lineRule="auto"/>
        <w:ind w:left="12" w:right="191" w:hanging="9"/>
        <w:jc w:val="center"/>
      </w:pPr>
      <w:r>
        <w:rPr>
          <w:b/>
        </w:rPr>
        <w:t>Figure 1: ROCE</w:t>
      </w:r>
      <w:r>
        <w:br/>
        <w:t>(Source: Author)</w:t>
      </w:r>
    </w:p>
    <w:p w14:paraId="50AAF622" w14:textId="466875F7" w:rsidR="00D16674" w:rsidRDefault="00963D11">
      <w:pPr>
        <w:widowControl w:val="0"/>
        <w:pBdr>
          <w:top w:val="nil"/>
          <w:left w:val="nil"/>
          <w:bottom w:val="nil"/>
          <w:right w:val="nil"/>
          <w:between w:val="nil"/>
        </w:pBdr>
        <w:spacing w:before="30" w:after="30" w:line="360" w:lineRule="auto"/>
        <w:ind w:left="12" w:right="191" w:hanging="9"/>
      </w:pPr>
      <w:r>
        <w:t>Return on Capital Employed (ROCE) is an indicator of the effectiveness of management of a company's capital to produce operating profit. It is given as the Operating Profit/Capital employed (Total Assets-Current Liabilities) in percentage terms (</w:t>
      </w:r>
      <w:proofErr w:type="spellStart"/>
      <w:r>
        <w:rPr>
          <w:color w:val="222222"/>
          <w:highlight w:val="white"/>
        </w:rPr>
        <w:t>Yusrini</w:t>
      </w:r>
      <w:proofErr w:type="spellEnd"/>
      <w:r>
        <w:rPr>
          <w:color w:val="222222"/>
          <w:highlight w:val="white"/>
        </w:rPr>
        <w:t>, Hamid, and Khan, 2021</w:t>
      </w:r>
      <w:r>
        <w:t xml:space="preserve">). The ROCE of Admiral rose considerably, jumping to 31.22 percent by 2024 against 21.00 percent of the previous year, which shows better efficiency of operations and capital usage. This growth can be described as a powerful increase in the operating profit, with an increase of 87 per cent measured on a year-on-year basis, owing to its well-supported rise in </w:t>
      </w:r>
      <w:r w:rsidR="001B29EA">
        <w:t>favorable</w:t>
      </w:r>
      <w:r>
        <w:t xml:space="preserve"> general market conditions, disciplined underwriting, and an adjustment impact at </w:t>
      </w:r>
      <w:r>
        <w:lastRenderedPageBreak/>
        <w:t>Ogden rates.</w:t>
      </w:r>
    </w:p>
    <w:p w14:paraId="49B14926" w14:textId="77777777" w:rsidR="00D16674" w:rsidRDefault="00963D11">
      <w:pPr>
        <w:widowControl w:val="0"/>
        <w:pBdr>
          <w:top w:val="nil"/>
          <w:left w:val="nil"/>
          <w:bottom w:val="nil"/>
          <w:right w:val="nil"/>
          <w:between w:val="nil"/>
        </w:pBdr>
        <w:spacing w:before="30" w:after="30" w:line="360" w:lineRule="auto"/>
        <w:ind w:left="12" w:right="191" w:hanging="9"/>
        <w:jc w:val="center"/>
      </w:pPr>
      <w:r>
        <w:rPr>
          <w:noProof/>
          <w:lang w:val="en-GB" w:eastAsia="en-GB"/>
        </w:rPr>
        <w:drawing>
          <wp:inline distT="114300" distB="114300" distL="114300" distR="114300" wp14:anchorId="3BE2DA3B" wp14:editId="08DAED04">
            <wp:extent cx="3922952" cy="2147506"/>
            <wp:effectExtent l="0" t="0" r="0" b="0"/>
            <wp:docPr id="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3922952" cy="2147506"/>
                    </a:xfrm>
                    <a:prstGeom prst="rect">
                      <a:avLst/>
                    </a:prstGeom>
                    <a:ln/>
                  </pic:spPr>
                </pic:pic>
              </a:graphicData>
            </a:graphic>
          </wp:inline>
        </w:drawing>
      </w:r>
    </w:p>
    <w:p w14:paraId="315005A1" w14:textId="77777777" w:rsidR="00D16674" w:rsidRDefault="00963D11">
      <w:pPr>
        <w:widowControl w:val="0"/>
        <w:spacing w:before="30" w:after="30" w:line="360" w:lineRule="auto"/>
        <w:ind w:left="12" w:right="191" w:hanging="9"/>
        <w:jc w:val="center"/>
      </w:pPr>
      <w:r>
        <w:rPr>
          <w:b/>
        </w:rPr>
        <w:t>Figure 2: Net profit margin</w:t>
      </w:r>
    </w:p>
    <w:p w14:paraId="65F4CE9F" w14:textId="77777777" w:rsidR="00D16674" w:rsidRDefault="00963D11">
      <w:pPr>
        <w:widowControl w:val="0"/>
        <w:spacing w:before="30" w:after="30" w:line="360" w:lineRule="auto"/>
        <w:ind w:left="12" w:right="191" w:hanging="9"/>
        <w:jc w:val="center"/>
      </w:pPr>
      <w:r>
        <w:t>(Source: Author)</w:t>
      </w:r>
    </w:p>
    <w:p w14:paraId="7BA7A17E" w14:textId="77777777" w:rsidR="00D16674" w:rsidRDefault="00963D11">
      <w:pPr>
        <w:widowControl w:val="0"/>
        <w:pBdr>
          <w:top w:val="nil"/>
          <w:left w:val="nil"/>
          <w:bottom w:val="nil"/>
          <w:right w:val="nil"/>
          <w:between w:val="nil"/>
        </w:pBdr>
        <w:spacing w:before="30" w:after="30" w:line="360" w:lineRule="auto"/>
        <w:ind w:left="12" w:right="191" w:hanging="9"/>
      </w:pPr>
      <w:r>
        <w:t>The Net Profit Margin estimates the proportion of every pound gained as revenue that can be converted to net profit. It is computed by dividing Net Profit by Revenue (</w:t>
      </w:r>
      <w:r>
        <w:rPr>
          <w:color w:val="222222"/>
          <w:highlight w:val="white"/>
        </w:rPr>
        <w:t>Astuti, 2021</w:t>
      </w:r>
      <w:r>
        <w:t xml:space="preserve">). It indicates relative strengthening and management of profitability and rendering costs, as in 2024, the net profit margin of Admiral constituted 13.88% compared to the figure of 9.67% in 2023. </w:t>
      </w:r>
    </w:p>
    <w:p w14:paraId="68EB6904" w14:textId="77777777" w:rsidR="00D16674" w:rsidRDefault="00963D11">
      <w:pPr>
        <w:widowControl w:val="0"/>
        <w:pBdr>
          <w:top w:val="nil"/>
          <w:left w:val="nil"/>
          <w:bottom w:val="nil"/>
          <w:right w:val="nil"/>
          <w:between w:val="nil"/>
        </w:pBdr>
        <w:spacing w:before="30" w:after="30" w:line="360" w:lineRule="auto"/>
        <w:ind w:left="12" w:right="191" w:hanging="9"/>
      </w:pPr>
      <w:r>
        <w:t>Admiral continues to have sound profitability ratings relative to its peers in the FTSE 100 list of financial industry leaders, with its ROCE performing better than the 10 percent to 15 percent range in the industry. The fact that both ratios demonstrate an upward trend signals excellent financial management and an opportunity to transform revenue into sustainable profit better than a large number of competitors can do.</w:t>
      </w:r>
    </w:p>
    <w:p w14:paraId="2A289D3D" w14:textId="77777777" w:rsidR="00D16674" w:rsidRDefault="00963D11">
      <w:pPr>
        <w:widowControl w:val="0"/>
        <w:pBdr>
          <w:top w:val="nil"/>
          <w:left w:val="nil"/>
          <w:bottom w:val="nil"/>
          <w:right w:val="nil"/>
          <w:between w:val="nil"/>
        </w:pBdr>
        <w:spacing w:before="30" w:after="30" w:line="360" w:lineRule="auto"/>
        <w:ind w:left="12" w:right="191" w:hanging="9"/>
        <w:rPr>
          <w:b/>
          <w:i/>
        </w:rPr>
      </w:pPr>
      <w:r>
        <w:rPr>
          <w:b/>
          <w:i/>
        </w:rPr>
        <w:t xml:space="preserve">Liquidity Ratios: </w:t>
      </w:r>
    </w:p>
    <w:p w14:paraId="7324FE61" w14:textId="77777777" w:rsidR="00D16674" w:rsidRDefault="00963D11">
      <w:pPr>
        <w:widowControl w:val="0"/>
        <w:pBdr>
          <w:top w:val="nil"/>
          <w:left w:val="nil"/>
          <w:bottom w:val="nil"/>
          <w:right w:val="nil"/>
          <w:between w:val="nil"/>
        </w:pBdr>
        <w:spacing w:before="30" w:after="30" w:line="360" w:lineRule="auto"/>
        <w:ind w:left="12" w:right="191" w:hanging="9"/>
        <w:jc w:val="center"/>
      </w:pPr>
      <w:r>
        <w:rPr>
          <w:noProof/>
          <w:lang w:val="en-GB" w:eastAsia="en-GB"/>
        </w:rPr>
        <w:drawing>
          <wp:inline distT="114300" distB="114300" distL="114300" distR="114300" wp14:anchorId="51C3754A" wp14:editId="5277729F">
            <wp:extent cx="4533350" cy="2557081"/>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4533350" cy="2557081"/>
                    </a:xfrm>
                    <a:prstGeom prst="rect">
                      <a:avLst/>
                    </a:prstGeom>
                    <a:ln/>
                  </pic:spPr>
                </pic:pic>
              </a:graphicData>
            </a:graphic>
          </wp:inline>
        </w:drawing>
      </w:r>
    </w:p>
    <w:p w14:paraId="6D3FCB8B" w14:textId="77777777" w:rsidR="00D16674" w:rsidRDefault="00963D11">
      <w:pPr>
        <w:widowControl w:val="0"/>
        <w:spacing w:before="30" w:after="30" w:line="360" w:lineRule="auto"/>
        <w:ind w:left="12" w:right="191" w:hanging="9"/>
        <w:jc w:val="center"/>
      </w:pPr>
      <w:r>
        <w:rPr>
          <w:b/>
        </w:rPr>
        <w:t>Figure 3: Current ratio</w:t>
      </w:r>
    </w:p>
    <w:p w14:paraId="43707A86" w14:textId="77777777" w:rsidR="00D16674" w:rsidRDefault="00963D11">
      <w:pPr>
        <w:widowControl w:val="0"/>
        <w:spacing w:before="30" w:after="30" w:line="360" w:lineRule="auto"/>
        <w:ind w:left="12" w:right="191" w:hanging="9"/>
        <w:jc w:val="center"/>
      </w:pPr>
      <w:r>
        <w:lastRenderedPageBreak/>
        <w:t>(Source: Author)</w:t>
      </w:r>
    </w:p>
    <w:p w14:paraId="4D19373A" w14:textId="77777777" w:rsidR="00D16674" w:rsidRDefault="00963D11">
      <w:pPr>
        <w:widowControl w:val="0"/>
        <w:pBdr>
          <w:top w:val="nil"/>
          <w:left w:val="nil"/>
          <w:bottom w:val="nil"/>
          <w:right w:val="nil"/>
          <w:between w:val="nil"/>
        </w:pBdr>
        <w:spacing w:before="30" w:after="30" w:line="360" w:lineRule="auto"/>
        <w:ind w:left="12" w:right="191" w:hanging="9"/>
      </w:pPr>
      <w:r>
        <w:t>Current Ratio is the ratio that shows how well a company can pay its short-term debts with its current assets. It is computed as Current Assets / Current Liabilities (</w:t>
      </w:r>
      <w:proofErr w:type="spellStart"/>
      <w:r>
        <w:rPr>
          <w:color w:val="222222"/>
          <w:highlight w:val="white"/>
        </w:rPr>
        <w:t>Chairunisa</w:t>
      </w:r>
      <w:proofErr w:type="spellEnd"/>
      <w:r>
        <w:rPr>
          <w:color w:val="222222"/>
          <w:highlight w:val="white"/>
        </w:rPr>
        <w:t xml:space="preserve">, </w:t>
      </w:r>
      <w:proofErr w:type="spellStart"/>
      <w:r>
        <w:rPr>
          <w:color w:val="222222"/>
          <w:highlight w:val="white"/>
        </w:rPr>
        <w:t>Digdowiseiso</w:t>
      </w:r>
      <w:proofErr w:type="spellEnd"/>
      <w:r>
        <w:rPr>
          <w:color w:val="222222"/>
          <w:highlight w:val="white"/>
        </w:rPr>
        <w:t xml:space="preserve">, and </w:t>
      </w:r>
      <w:proofErr w:type="spellStart"/>
      <w:r>
        <w:rPr>
          <w:color w:val="222222"/>
          <w:highlight w:val="white"/>
        </w:rPr>
        <w:t>Karyatun</w:t>
      </w:r>
      <w:proofErr w:type="spellEnd"/>
      <w:r>
        <w:rPr>
          <w:color w:val="222222"/>
          <w:highlight w:val="white"/>
        </w:rPr>
        <w:t>, 2023</w:t>
      </w:r>
      <w:r>
        <w:t>). The current ratio of Admiral fell to 052 in 2024, compared to 059 in 2023, and this means that the short-term liquidity position faced a fall. Any ratio less than 1 indicates that current assets are less than current liabilities, and therefore, this can be an issue for liquidity that may be required at any time, or rather in situations where the market is volatile. Nonetheless, in the insurance business, this is normal given the character of obligation liabilities and is dependent on reinsurance and the investment returns as a way of covering such duties.</w:t>
      </w:r>
    </w:p>
    <w:p w14:paraId="5B689006" w14:textId="77777777" w:rsidR="00D16674" w:rsidRDefault="00963D11">
      <w:pPr>
        <w:widowControl w:val="0"/>
        <w:pBdr>
          <w:top w:val="nil"/>
          <w:left w:val="nil"/>
          <w:bottom w:val="nil"/>
          <w:right w:val="nil"/>
          <w:between w:val="nil"/>
        </w:pBdr>
        <w:spacing w:before="30" w:after="30" w:line="360" w:lineRule="auto"/>
        <w:ind w:left="12" w:right="191" w:hanging="9"/>
        <w:jc w:val="center"/>
      </w:pPr>
      <w:r>
        <w:rPr>
          <w:noProof/>
          <w:lang w:val="en-GB" w:eastAsia="en-GB"/>
        </w:rPr>
        <w:drawing>
          <wp:inline distT="114300" distB="114300" distL="114300" distR="114300" wp14:anchorId="4B751654" wp14:editId="65E662D0">
            <wp:extent cx="4663783" cy="3041935"/>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663783" cy="3041935"/>
                    </a:xfrm>
                    <a:prstGeom prst="rect">
                      <a:avLst/>
                    </a:prstGeom>
                    <a:ln/>
                  </pic:spPr>
                </pic:pic>
              </a:graphicData>
            </a:graphic>
          </wp:inline>
        </w:drawing>
      </w:r>
    </w:p>
    <w:p w14:paraId="556A1BDB" w14:textId="77777777" w:rsidR="00D16674" w:rsidRDefault="00963D11">
      <w:pPr>
        <w:widowControl w:val="0"/>
        <w:spacing w:before="30" w:after="30" w:line="360" w:lineRule="auto"/>
        <w:ind w:left="12" w:right="191" w:hanging="9"/>
        <w:jc w:val="center"/>
      </w:pPr>
      <w:r>
        <w:rPr>
          <w:b/>
        </w:rPr>
        <w:t>Figure 4: Cash ratio</w:t>
      </w:r>
    </w:p>
    <w:p w14:paraId="62BB8D0E" w14:textId="77777777" w:rsidR="00D16674" w:rsidRDefault="00963D11">
      <w:pPr>
        <w:widowControl w:val="0"/>
        <w:spacing w:before="30" w:after="30" w:line="360" w:lineRule="auto"/>
        <w:ind w:left="12" w:right="191" w:hanging="9"/>
        <w:jc w:val="center"/>
      </w:pPr>
      <w:r>
        <w:t>(Source: Author)</w:t>
      </w:r>
    </w:p>
    <w:p w14:paraId="501F2C86" w14:textId="77777777" w:rsidR="00D16674" w:rsidRDefault="00963D11">
      <w:pPr>
        <w:widowControl w:val="0"/>
        <w:pBdr>
          <w:top w:val="nil"/>
          <w:left w:val="nil"/>
          <w:bottom w:val="nil"/>
          <w:right w:val="nil"/>
          <w:between w:val="nil"/>
        </w:pBdr>
        <w:spacing w:before="30" w:after="30" w:line="360" w:lineRule="auto"/>
        <w:ind w:left="12" w:right="191" w:hanging="9"/>
      </w:pPr>
      <w:r>
        <w:t>Cash Ratio is a much stricter definition of liquidity, which looks at the amount of cash (compared to current liabilities) held by the company (</w:t>
      </w:r>
      <w:proofErr w:type="spellStart"/>
      <w:r>
        <w:rPr>
          <w:color w:val="222222"/>
          <w:highlight w:val="white"/>
        </w:rPr>
        <w:t>Chairunisa</w:t>
      </w:r>
      <w:proofErr w:type="spellEnd"/>
      <w:r>
        <w:rPr>
          <w:color w:val="222222"/>
          <w:highlight w:val="white"/>
        </w:rPr>
        <w:t xml:space="preserve">, </w:t>
      </w:r>
      <w:proofErr w:type="spellStart"/>
      <w:r>
        <w:rPr>
          <w:color w:val="222222"/>
          <w:highlight w:val="white"/>
        </w:rPr>
        <w:t>Digdowiseiso</w:t>
      </w:r>
      <w:proofErr w:type="spellEnd"/>
      <w:r>
        <w:rPr>
          <w:color w:val="222222"/>
          <w:highlight w:val="white"/>
        </w:rPr>
        <w:t xml:space="preserve">, and </w:t>
      </w:r>
      <w:proofErr w:type="spellStart"/>
      <w:r>
        <w:rPr>
          <w:color w:val="222222"/>
          <w:highlight w:val="white"/>
        </w:rPr>
        <w:t>Karyatun</w:t>
      </w:r>
      <w:proofErr w:type="spellEnd"/>
      <w:r>
        <w:rPr>
          <w:color w:val="222222"/>
          <w:highlight w:val="white"/>
        </w:rPr>
        <w:t>, 2023</w:t>
      </w:r>
      <w:r>
        <w:t>). The cash ratio of Admiral reduced slightly in 2024 to 0.06 compared to 0.07 in 2023, indicating that the company has meager cash reserves against its short-term obligations. Although this seems to be low, the insurers tend to have highly liquid investment assets, and this implies that they have healthy solvency margins; hence, they do not depend only on the use of cash.</w:t>
      </w:r>
    </w:p>
    <w:p w14:paraId="56FBF3BC" w14:textId="77777777" w:rsidR="00D16674" w:rsidRDefault="00963D11">
      <w:pPr>
        <w:widowControl w:val="0"/>
        <w:pBdr>
          <w:top w:val="nil"/>
          <w:left w:val="nil"/>
          <w:bottom w:val="nil"/>
          <w:right w:val="nil"/>
          <w:between w:val="nil"/>
        </w:pBdr>
        <w:spacing w:before="30" w:after="30" w:line="360" w:lineRule="auto"/>
        <w:ind w:left="12" w:right="191" w:hanging="9"/>
      </w:pPr>
      <w:r>
        <w:t xml:space="preserve">The liquidity ratios of Admiral are considerably below industry standards, but this is not an unusual situation in insurers that underwrite their risks carefully and maintain sufficient capitalization. Its high solvency ratio of 203% is an added advantage to its capacity being </w:t>
      </w:r>
      <w:r>
        <w:lastRenderedPageBreak/>
        <w:t>able to settle obligations in spite of its low liquidity ratios.</w:t>
      </w:r>
    </w:p>
    <w:p w14:paraId="1AC25215" w14:textId="77777777" w:rsidR="00D16674" w:rsidRDefault="00963D11">
      <w:pPr>
        <w:widowControl w:val="0"/>
        <w:spacing w:before="30" w:after="30" w:line="360" w:lineRule="auto"/>
        <w:ind w:left="3" w:right="191"/>
        <w:rPr>
          <w:b/>
          <w:i/>
        </w:rPr>
      </w:pPr>
      <w:r>
        <w:rPr>
          <w:b/>
          <w:i/>
        </w:rPr>
        <w:t>Gearing Ratios:</w:t>
      </w:r>
    </w:p>
    <w:p w14:paraId="2BD3C0DA" w14:textId="77777777" w:rsidR="00D16674" w:rsidRDefault="00963D11">
      <w:pPr>
        <w:widowControl w:val="0"/>
        <w:spacing w:before="30" w:after="30" w:line="360" w:lineRule="auto"/>
        <w:ind w:left="3" w:right="191"/>
        <w:jc w:val="center"/>
      </w:pPr>
      <w:r>
        <w:rPr>
          <w:noProof/>
          <w:lang w:val="en-GB" w:eastAsia="en-GB"/>
        </w:rPr>
        <w:drawing>
          <wp:inline distT="114300" distB="114300" distL="114300" distR="114300" wp14:anchorId="5269BEA5" wp14:editId="3DC3AE29">
            <wp:extent cx="4886277" cy="2528506"/>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4886277" cy="2528506"/>
                    </a:xfrm>
                    <a:prstGeom prst="rect">
                      <a:avLst/>
                    </a:prstGeom>
                    <a:ln/>
                  </pic:spPr>
                </pic:pic>
              </a:graphicData>
            </a:graphic>
          </wp:inline>
        </w:drawing>
      </w:r>
    </w:p>
    <w:p w14:paraId="759A4123" w14:textId="77777777" w:rsidR="00D16674" w:rsidRDefault="00963D11">
      <w:pPr>
        <w:widowControl w:val="0"/>
        <w:spacing w:before="30" w:after="30" w:line="360" w:lineRule="auto"/>
        <w:ind w:left="12" w:right="191" w:hanging="9"/>
        <w:jc w:val="center"/>
      </w:pPr>
      <w:r>
        <w:rPr>
          <w:b/>
        </w:rPr>
        <w:t>Figure 5: Debt-to-Equity ratio</w:t>
      </w:r>
    </w:p>
    <w:p w14:paraId="39C1C2AB" w14:textId="77777777" w:rsidR="00D16674" w:rsidRDefault="00963D11">
      <w:pPr>
        <w:widowControl w:val="0"/>
        <w:spacing w:before="30" w:after="30" w:line="360" w:lineRule="auto"/>
        <w:ind w:left="12" w:right="191" w:hanging="9"/>
        <w:jc w:val="center"/>
      </w:pPr>
      <w:r>
        <w:t>(Source: Author)</w:t>
      </w:r>
    </w:p>
    <w:p w14:paraId="5955E3C6" w14:textId="77777777" w:rsidR="00D16674" w:rsidRDefault="00963D11">
      <w:pPr>
        <w:widowControl w:val="0"/>
        <w:spacing w:before="30" w:after="30" w:line="360" w:lineRule="auto"/>
        <w:ind w:left="3" w:right="191"/>
      </w:pPr>
      <w:r>
        <w:t>Debt-to-Equity Ratio is a ratio that indicates how much of the financing funds in a business is in the form of debt as compared to the equity of shareholders. It is computed as a total debt/ total equity (</w:t>
      </w:r>
      <w:proofErr w:type="spellStart"/>
      <w:r>
        <w:rPr>
          <w:color w:val="222222"/>
          <w:highlight w:val="white"/>
        </w:rPr>
        <w:t>Tulung</w:t>
      </w:r>
      <w:proofErr w:type="spellEnd"/>
      <w:r>
        <w:rPr>
          <w:color w:val="222222"/>
          <w:highlight w:val="white"/>
        </w:rPr>
        <w:t xml:space="preserve"> </w:t>
      </w:r>
      <w:r>
        <w:rPr>
          <w:i/>
          <w:color w:val="222222"/>
          <w:highlight w:val="white"/>
        </w:rPr>
        <w:t xml:space="preserve">et al. </w:t>
      </w:r>
      <w:r>
        <w:rPr>
          <w:color w:val="222222"/>
          <w:highlight w:val="white"/>
        </w:rPr>
        <w:t>2024</w:t>
      </w:r>
      <w:r>
        <w:t>). The ratio of the Admiral rose to 0.21 in 2024 against 0.16 in 2023, which means that financial leverage grew rather slowly. The gearing level has increased, but it is not as high as the given industry, so Admiral may still be using a reasonable capital structure, demonstrating a low dependency on debt.</w:t>
      </w:r>
    </w:p>
    <w:p w14:paraId="4F1011F9" w14:textId="77777777" w:rsidR="00D16674" w:rsidRDefault="00963D11">
      <w:pPr>
        <w:widowControl w:val="0"/>
        <w:spacing w:before="30" w:after="30" w:line="360" w:lineRule="auto"/>
        <w:ind w:left="3" w:right="191"/>
        <w:jc w:val="center"/>
      </w:pPr>
      <w:r>
        <w:rPr>
          <w:noProof/>
          <w:lang w:val="en-GB" w:eastAsia="en-GB"/>
        </w:rPr>
        <w:drawing>
          <wp:inline distT="114300" distB="114300" distL="114300" distR="114300" wp14:anchorId="16FD3C27" wp14:editId="0BF9752B">
            <wp:extent cx="4996020" cy="2633281"/>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996020" cy="2633281"/>
                    </a:xfrm>
                    <a:prstGeom prst="rect">
                      <a:avLst/>
                    </a:prstGeom>
                    <a:ln/>
                  </pic:spPr>
                </pic:pic>
              </a:graphicData>
            </a:graphic>
          </wp:inline>
        </w:drawing>
      </w:r>
    </w:p>
    <w:p w14:paraId="368E5EA4" w14:textId="77777777" w:rsidR="00D16674" w:rsidRDefault="00963D11">
      <w:pPr>
        <w:widowControl w:val="0"/>
        <w:spacing w:before="30" w:after="30" w:line="360" w:lineRule="auto"/>
        <w:ind w:left="12" w:right="191" w:hanging="9"/>
        <w:jc w:val="center"/>
      </w:pPr>
      <w:r>
        <w:rPr>
          <w:b/>
        </w:rPr>
        <w:t>Figure 6: Interest cover</w:t>
      </w:r>
    </w:p>
    <w:p w14:paraId="0ED1839C" w14:textId="77777777" w:rsidR="00D16674" w:rsidRDefault="00963D11">
      <w:pPr>
        <w:widowControl w:val="0"/>
        <w:spacing w:before="30" w:after="30" w:line="360" w:lineRule="auto"/>
        <w:ind w:left="12" w:right="191" w:hanging="9"/>
        <w:jc w:val="center"/>
      </w:pPr>
      <w:r>
        <w:t>(Source: Author)</w:t>
      </w:r>
    </w:p>
    <w:p w14:paraId="16B2BCD5" w14:textId="77777777" w:rsidR="00D16674" w:rsidRDefault="00963D11">
      <w:pPr>
        <w:widowControl w:val="0"/>
        <w:spacing w:before="30" w:after="30" w:line="360" w:lineRule="auto"/>
        <w:ind w:left="3" w:right="191"/>
      </w:pPr>
      <w:r>
        <w:t xml:space="preserve">Interest Cover Ratio is used to measure the capability of a company to cover the interest </w:t>
      </w:r>
      <w:r>
        <w:lastRenderedPageBreak/>
        <w:t>payments through the operating profit of the company. It is calculated by dividing the operating profit by the interest expenses (</w:t>
      </w:r>
      <w:proofErr w:type="spellStart"/>
      <w:r>
        <w:rPr>
          <w:color w:val="222222"/>
          <w:highlight w:val="white"/>
        </w:rPr>
        <w:t>Ezennia</w:t>
      </w:r>
      <w:proofErr w:type="spellEnd"/>
      <w:r>
        <w:rPr>
          <w:color w:val="222222"/>
          <w:highlight w:val="white"/>
        </w:rPr>
        <w:t xml:space="preserve"> and </w:t>
      </w:r>
      <w:proofErr w:type="spellStart"/>
      <w:r>
        <w:rPr>
          <w:color w:val="222222"/>
          <w:highlight w:val="white"/>
        </w:rPr>
        <w:t>Amahalu</w:t>
      </w:r>
      <w:proofErr w:type="spellEnd"/>
      <w:r>
        <w:rPr>
          <w:color w:val="222222"/>
          <w:highlight w:val="white"/>
        </w:rPr>
        <w:t>, 2024</w:t>
      </w:r>
      <w:r>
        <w:t xml:space="preserve">). There was an increase in the interest cover of Admiral, which grew to 23.27 in 2024 against 17.27 in 2023, as an indication of its high earning potential as compared to the interest rate payment. This has been attributed to a substantial increase in operating profit, which is more than the interest expenses. </w:t>
      </w:r>
    </w:p>
    <w:p w14:paraId="620303F4" w14:textId="77777777" w:rsidR="00D16674" w:rsidRDefault="00963D11">
      <w:pPr>
        <w:widowControl w:val="0"/>
        <w:spacing w:before="30" w:after="30" w:line="360" w:lineRule="auto"/>
        <w:ind w:left="3" w:right="191"/>
      </w:pPr>
      <w:r>
        <w:t xml:space="preserve">These ratios indicate a strong financial position and low risk gearing structure at the firm. It also makes this company adaptable in both a stable market and an unpredictable market environment. </w:t>
      </w:r>
    </w:p>
    <w:p w14:paraId="28BB99E8" w14:textId="77777777" w:rsidR="00D16674" w:rsidRDefault="00963D11">
      <w:pPr>
        <w:widowControl w:val="0"/>
        <w:pBdr>
          <w:top w:val="nil"/>
          <w:left w:val="nil"/>
          <w:bottom w:val="nil"/>
          <w:right w:val="nil"/>
          <w:between w:val="nil"/>
        </w:pBdr>
        <w:spacing w:before="30" w:after="30" w:line="360" w:lineRule="auto"/>
        <w:ind w:left="12" w:right="191" w:hanging="9"/>
        <w:rPr>
          <w:b/>
          <w:i/>
        </w:rPr>
      </w:pPr>
      <w:r>
        <w:rPr>
          <w:b/>
          <w:i/>
        </w:rPr>
        <w:t xml:space="preserve">Efficiency Ratios: </w:t>
      </w:r>
    </w:p>
    <w:p w14:paraId="400C3332" w14:textId="77777777" w:rsidR="00D16674" w:rsidRDefault="00963D11">
      <w:pPr>
        <w:widowControl w:val="0"/>
        <w:pBdr>
          <w:top w:val="nil"/>
          <w:left w:val="nil"/>
          <w:bottom w:val="nil"/>
          <w:right w:val="nil"/>
          <w:between w:val="nil"/>
        </w:pBdr>
        <w:spacing w:before="30" w:after="30" w:line="360" w:lineRule="auto"/>
        <w:ind w:left="12" w:right="191" w:hanging="9"/>
        <w:jc w:val="center"/>
      </w:pPr>
      <w:r>
        <w:rPr>
          <w:noProof/>
          <w:lang w:val="en-GB" w:eastAsia="en-GB"/>
        </w:rPr>
        <w:drawing>
          <wp:inline distT="114300" distB="114300" distL="114300" distR="114300" wp14:anchorId="7C10B3A8" wp14:editId="27C92759">
            <wp:extent cx="4263733" cy="2773909"/>
            <wp:effectExtent l="0" t="0" r="0" b="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263733" cy="2773909"/>
                    </a:xfrm>
                    <a:prstGeom prst="rect">
                      <a:avLst/>
                    </a:prstGeom>
                    <a:ln/>
                  </pic:spPr>
                </pic:pic>
              </a:graphicData>
            </a:graphic>
          </wp:inline>
        </w:drawing>
      </w:r>
    </w:p>
    <w:p w14:paraId="2F14DDCE" w14:textId="77777777" w:rsidR="00D16674" w:rsidRDefault="00963D11">
      <w:pPr>
        <w:widowControl w:val="0"/>
        <w:spacing w:before="30" w:after="30" w:line="360" w:lineRule="auto"/>
        <w:ind w:left="12" w:right="191" w:hanging="9"/>
        <w:jc w:val="center"/>
      </w:pPr>
      <w:r>
        <w:rPr>
          <w:b/>
        </w:rPr>
        <w:t>Figure 7: Asset turnover</w:t>
      </w:r>
    </w:p>
    <w:p w14:paraId="4E8DFD1B" w14:textId="77777777" w:rsidR="00D16674" w:rsidRDefault="00963D11">
      <w:pPr>
        <w:widowControl w:val="0"/>
        <w:spacing w:before="30" w:after="30" w:line="360" w:lineRule="auto"/>
        <w:ind w:left="12" w:right="191" w:hanging="9"/>
        <w:jc w:val="center"/>
      </w:pPr>
      <w:r>
        <w:t>(Source: Author)</w:t>
      </w:r>
    </w:p>
    <w:p w14:paraId="3833C369" w14:textId="541D6ADF" w:rsidR="00D16674" w:rsidRDefault="00963D11">
      <w:pPr>
        <w:widowControl w:val="0"/>
        <w:pBdr>
          <w:top w:val="nil"/>
          <w:left w:val="nil"/>
          <w:bottom w:val="nil"/>
          <w:right w:val="nil"/>
          <w:between w:val="nil"/>
        </w:pBdr>
        <w:spacing w:before="30" w:after="30" w:line="360" w:lineRule="auto"/>
        <w:ind w:left="12" w:right="191" w:hanging="9"/>
      </w:pPr>
      <w:r>
        <w:t>Asset Turnover Ratio is the ratio that measures the efficiency of the company in utilizing total assets to earn revenues. It is calculated as the ratio between revenue and total assets (or an average of total assets) (</w:t>
      </w:r>
      <w:proofErr w:type="spellStart"/>
      <w:r>
        <w:rPr>
          <w:color w:val="222222"/>
          <w:highlight w:val="white"/>
        </w:rPr>
        <w:t>Prasetio</w:t>
      </w:r>
      <w:proofErr w:type="spellEnd"/>
      <w:r>
        <w:rPr>
          <w:color w:val="222222"/>
          <w:highlight w:val="white"/>
        </w:rPr>
        <w:t xml:space="preserve"> </w:t>
      </w:r>
      <w:r>
        <w:rPr>
          <w:i/>
          <w:color w:val="222222"/>
          <w:highlight w:val="white"/>
        </w:rPr>
        <w:t xml:space="preserve">et al. </w:t>
      </w:r>
      <w:r>
        <w:rPr>
          <w:color w:val="222222"/>
          <w:highlight w:val="white"/>
        </w:rPr>
        <w:t>2024</w:t>
      </w:r>
      <w:r>
        <w:t xml:space="preserve">). In 2024, the asset turnover of Admiral jumped to 0.64, as compared to 0.46 in 2023, a sign of a better </w:t>
      </w:r>
      <w:r w:rsidR="006D2A77">
        <w:t>utilization</w:t>
      </w:r>
      <w:r>
        <w:t xml:space="preserve"> of assets. This increment shows how the company is able to produce much more revenue without a relevant increase in the asset base, meaning efficiency in operations and strategic diversification in its fundamental business lines, such as UK motor and household insurance.</w:t>
      </w:r>
    </w:p>
    <w:p w14:paraId="34DC5B60" w14:textId="77777777" w:rsidR="00D16674" w:rsidRDefault="00963D11">
      <w:pPr>
        <w:widowControl w:val="0"/>
        <w:pBdr>
          <w:top w:val="nil"/>
          <w:left w:val="nil"/>
          <w:bottom w:val="nil"/>
          <w:right w:val="nil"/>
          <w:between w:val="nil"/>
        </w:pBdr>
        <w:spacing w:before="30" w:after="30" w:line="360" w:lineRule="auto"/>
        <w:ind w:left="12" w:right="191" w:hanging="9"/>
        <w:jc w:val="center"/>
      </w:pPr>
      <w:r>
        <w:rPr>
          <w:noProof/>
          <w:lang w:val="en-GB" w:eastAsia="en-GB"/>
        </w:rPr>
        <w:lastRenderedPageBreak/>
        <w:drawing>
          <wp:inline distT="114300" distB="114300" distL="114300" distR="114300" wp14:anchorId="6AF749C9" wp14:editId="2BD696A9">
            <wp:extent cx="4187533" cy="2529242"/>
            <wp:effectExtent l="0" t="0" r="0" b="0"/>
            <wp:docPr id="1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6"/>
                    <a:srcRect/>
                    <a:stretch>
                      <a:fillRect/>
                    </a:stretch>
                  </pic:blipFill>
                  <pic:spPr>
                    <a:xfrm>
                      <a:off x="0" y="0"/>
                      <a:ext cx="4187533" cy="2529242"/>
                    </a:xfrm>
                    <a:prstGeom prst="rect">
                      <a:avLst/>
                    </a:prstGeom>
                    <a:ln/>
                  </pic:spPr>
                </pic:pic>
              </a:graphicData>
            </a:graphic>
          </wp:inline>
        </w:drawing>
      </w:r>
    </w:p>
    <w:p w14:paraId="04AA4F9D" w14:textId="77777777" w:rsidR="00D16674" w:rsidRDefault="00963D11">
      <w:pPr>
        <w:widowControl w:val="0"/>
        <w:spacing w:before="30" w:after="30" w:line="360" w:lineRule="auto"/>
        <w:ind w:left="12" w:right="191" w:hanging="9"/>
        <w:jc w:val="center"/>
      </w:pPr>
      <w:r>
        <w:rPr>
          <w:b/>
        </w:rPr>
        <w:t>Figure 8: Receivable days</w:t>
      </w:r>
    </w:p>
    <w:p w14:paraId="14BCF66E" w14:textId="77777777" w:rsidR="00D16674" w:rsidRDefault="00963D11">
      <w:pPr>
        <w:widowControl w:val="0"/>
        <w:spacing w:before="30" w:after="30" w:line="360" w:lineRule="auto"/>
        <w:ind w:left="12" w:right="191" w:hanging="9"/>
        <w:jc w:val="center"/>
      </w:pPr>
      <w:r>
        <w:t>(Source: Author)</w:t>
      </w:r>
    </w:p>
    <w:p w14:paraId="30469CE0" w14:textId="77777777" w:rsidR="00D16674" w:rsidRDefault="00963D11">
      <w:pPr>
        <w:widowControl w:val="0"/>
        <w:pBdr>
          <w:top w:val="nil"/>
          <w:left w:val="nil"/>
          <w:bottom w:val="nil"/>
          <w:right w:val="nil"/>
          <w:between w:val="nil"/>
        </w:pBdr>
        <w:spacing w:before="30" w:after="30" w:line="360" w:lineRule="auto"/>
        <w:ind w:left="12" w:right="191" w:hanging="9"/>
      </w:pPr>
      <w:r>
        <w:t>The Receivable Days rate indicates how many days after the sales value to the customers the payment is received. It is computed by the use of dividing the accounts receivable by revenue and multiplying by 365 (</w:t>
      </w:r>
      <w:r>
        <w:rPr>
          <w:color w:val="222222"/>
          <w:highlight w:val="white"/>
        </w:rPr>
        <w:t xml:space="preserve">Owuor, </w:t>
      </w:r>
      <w:proofErr w:type="spellStart"/>
      <w:r>
        <w:rPr>
          <w:color w:val="222222"/>
          <w:highlight w:val="white"/>
        </w:rPr>
        <w:t>Agusioma</w:t>
      </w:r>
      <w:proofErr w:type="spellEnd"/>
      <w:r>
        <w:rPr>
          <w:color w:val="222222"/>
          <w:highlight w:val="white"/>
        </w:rPr>
        <w:t>, and Wafula, 2021</w:t>
      </w:r>
      <w:r>
        <w:t>). The receivable days of Admiral had reduced significantly, which was 42.92 days in 2023 to 17.21 days in 2024, culminating in much quicker collection of receivables. This positive change implies better credit control measures and augmented resort to online services and money transfers.</w:t>
      </w:r>
    </w:p>
    <w:p w14:paraId="1FFCF8B8" w14:textId="34BB84D9" w:rsidR="00D16674" w:rsidRDefault="00963D11">
      <w:pPr>
        <w:widowControl w:val="0"/>
        <w:pBdr>
          <w:top w:val="nil"/>
          <w:left w:val="nil"/>
          <w:bottom w:val="nil"/>
          <w:right w:val="nil"/>
          <w:between w:val="nil"/>
        </w:pBdr>
        <w:spacing w:before="30" w:after="30" w:line="360" w:lineRule="auto"/>
        <w:ind w:left="12" w:right="191" w:hanging="9"/>
      </w:pPr>
      <w:r>
        <w:t xml:space="preserve">Such advances indicate that Admiral is focused on operational efficiencies and working capital </w:t>
      </w:r>
      <w:r w:rsidR="006D2A77">
        <w:t>optimization</w:t>
      </w:r>
      <w:r>
        <w:t>. It also increases the firm’s financial discipline as compared to industry standards.</w:t>
      </w:r>
    </w:p>
    <w:p w14:paraId="46DE7F4A" w14:textId="77777777" w:rsidR="00D16674" w:rsidRDefault="00963D11">
      <w:pPr>
        <w:widowControl w:val="0"/>
        <w:pBdr>
          <w:top w:val="nil"/>
          <w:left w:val="nil"/>
          <w:bottom w:val="nil"/>
          <w:right w:val="nil"/>
          <w:between w:val="nil"/>
        </w:pBdr>
        <w:spacing w:before="30" w:after="30" w:line="360" w:lineRule="auto"/>
        <w:ind w:left="3" w:right="191"/>
        <w:rPr>
          <w:b/>
          <w:i/>
        </w:rPr>
      </w:pPr>
      <w:r>
        <w:rPr>
          <w:b/>
          <w:i/>
        </w:rPr>
        <w:t>Investor Ratios:</w:t>
      </w:r>
    </w:p>
    <w:p w14:paraId="60C6088E" w14:textId="77777777" w:rsidR="00D16674" w:rsidRDefault="00963D11">
      <w:pPr>
        <w:widowControl w:val="0"/>
        <w:pBdr>
          <w:top w:val="nil"/>
          <w:left w:val="nil"/>
          <w:bottom w:val="nil"/>
          <w:right w:val="nil"/>
          <w:between w:val="nil"/>
        </w:pBdr>
        <w:spacing w:before="30" w:after="30" w:line="360" w:lineRule="auto"/>
        <w:ind w:left="3" w:right="191"/>
        <w:jc w:val="center"/>
      </w:pPr>
      <w:r>
        <w:rPr>
          <w:noProof/>
          <w:lang w:val="en-GB" w:eastAsia="en-GB"/>
        </w:rPr>
        <w:drawing>
          <wp:inline distT="114300" distB="114300" distL="114300" distR="114300" wp14:anchorId="625EA7EF" wp14:editId="645D7428">
            <wp:extent cx="4160359" cy="2494452"/>
            <wp:effectExtent l="0" t="0" r="0" b="0"/>
            <wp:docPr id="1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4160359" cy="2494452"/>
                    </a:xfrm>
                    <a:prstGeom prst="rect">
                      <a:avLst/>
                    </a:prstGeom>
                    <a:ln/>
                  </pic:spPr>
                </pic:pic>
              </a:graphicData>
            </a:graphic>
          </wp:inline>
        </w:drawing>
      </w:r>
    </w:p>
    <w:p w14:paraId="28432526" w14:textId="77777777" w:rsidR="00D16674" w:rsidRDefault="00963D11">
      <w:pPr>
        <w:widowControl w:val="0"/>
        <w:spacing w:before="30" w:after="30" w:line="360" w:lineRule="auto"/>
        <w:ind w:left="12" w:right="191" w:hanging="9"/>
        <w:jc w:val="center"/>
      </w:pPr>
      <w:r>
        <w:rPr>
          <w:b/>
        </w:rPr>
        <w:t>Figure 9: Earnings per share (EPS)</w:t>
      </w:r>
    </w:p>
    <w:p w14:paraId="32F4FC6C" w14:textId="77777777" w:rsidR="00D16674" w:rsidRDefault="00963D11">
      <w:pPr>
        <w:widowControl w:val="0"/>
        <w:spacing w:before="30" w:after="30" w:line="360" w:lineRule="auto"/>
        <w:ind w:left="12" w:right="191" w:hanging="9"/>
        <w:jc w:val="center"/>
      </w:pPr>
      <w:r>
        <w:t>(Source: Author)</w:t>
      </w:r>
    </w:p>
    <w:p w14:paraId="7B8477FF" w14:textId="77777777" w:rsidR="00D16674" w:rsidRDefault="00963D11">
      <w:pPr>
        <w:widowControl w:val="0"/>
        <w:pBdr>
          <w:top w:val="nil"/>
          <w:left w:val="nil"/>
          <w:bottom w:val="nil"/>
          <w:right w:val="nil"/>
          <w:between w:val="nil"/>
        </w:pBdr>
        <w:spacing w:before="30" w:after="30" w:line="360" w:lineRule="auto"/>
        <w:ind w:left="3" w:right="191"/>
      </w:pPr>
      <w:r>
        <w:lastRenderedPageBreak/>
        <w:t>The Earnings per Share (EPS) shows how much profit a company triggered to gain per share, which is presented by dividing the sum of net earnings by the total number of shares (</w:t>
      </w:r>
      <w:r>
        <w:rPr>
          <w:color w:val="222222"/>
          <w:highlight w:val="white"/>
        </w:rPr>
        <w:t xml:space="preserve">Munir, </w:t>
      </w:r>
      <w:proofErr w:type="spellStart"/>
      <w:r>
        <w:rPr>
          <w:color w:val="222222"/>
          <w:highlight w:val="white"/>
        </w:rPr>
        <w:t>Kartanegara</w:t>
      </w:r>
      <w:proofErr w:type="spellEnd"/>
      <w:r>
        <w:rPr>
          <w:color w:val="222222"/>
          <w:highlight w:val="white"/>
        </w:rPr>
        <w:t>, and Haikal, 2025</w:t>
      </w:r>
      <w:r>
        <w:t>). EPS at Admiral grew by almost 2 times in 2023 as it increased to 2.16 in 2024 compared to 1.10 in 2023. The increase indicates high profitability, and it is a good indication of the shareholders' growth and earnings, as well as for the business performance.</w:t>
      </w:r>
    </w:p>
    <w:p w14:paraId="23FC7DC1" w14:textId="77777777" w:rsidR="00D16674" w:rsidRDefault="00963D11">
      <w:pPr>
        <w:widowControl w:val="0"/>
        <w:pBdr>
          <w:top w:val="nil"/>
          <w:left w:val="nil"/>
          <w:bottom w:val="nil"/>
          <w:right w:val="nil"/>
          <w:between w:val="nil"/>
        </w:pBdr>
        <w:spacing w:before="30" w:after="30" w:line="360" w:lineRule="auto"/>
        <w:ind w:left="3" w:right="191"/>
        <w:jc w:val="center"/>
      </w:pPr>
      <w:r>
        <w:rPr>
          <w:noProof/>
          <w:lang w:val="en-GB" w:eastAsia="en-GB"/>
        </w:rPr>
        <w:drawing>
          <wp:inline distT="114300" distB="114300" distL="114300" distR="114300" wp14:anchorId="703E17CB" wp14:editId="1923AADA">
            <wp:extent cx="4298471" cy="226414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4298471" cy="2264145"/>
                    </a:xfrm>
                    <a:prstGeom prst="rect">
                      <a:avLst/>
                    </a:prstGeom>
                    <a:ln/>
                  </pic:spPr>
                </pic:pic>
              </a:graphicData>
            </a:graphic>
          </wp:inline>
        </w:drawing>
      </w:r>
    </w:p>
    <w:p w14:paraId="2871225E" w14:textId="77777777" w:rsidR="00D16674" w:rsidRDefault="00963D11">
      <w:pPr>
        <w:widowControl w:val="0"/>
        <w:spacing w:before="30" w:after="30" w:line="360" w:lineRule="auto"/>
        <w:ind w:left="12" w:right="191" w:hanging="9"/>
        <w:jc w:val="center"/>
      </w:pPr>
      <w:r>
        <w:rPr>
          <w:b/>
        </w:rPr>
        <w:t>Figure 10: Price to earnings ratio (P/E)</w:t>
      </w:r>
    </w:p>
    <w:p w14:paraId="17402E0B" w14:textId="77777777" w:rsidR="00D16674" w:rsidRDefault="00963D11">
      <w:pPr>
        <w:widowControl w:val="0"/>
        <w:spacing w:before="30" w:after="30" w:line="360" w:lineRule="auto"/>
        <w:ind w:left="12" w:right="191" w:hanging="9"/>
        <w:jc w:val="center"/>
      </w:pPr>
      <w:r>
        <w:t>(Source: Author)</w:t>
      </w:r>
    </w:p>
    <w:p w14:paraId="143310D3" w14:textId="77777777" w:rsidR="00D16674" w:rsidRDefault="00963D11">
      <w:pPr>
        <w:widowControl w:val="0"/>
        <w:pBdr>
          <w:top w:val="nil"/>
          <w:left w:val="nil"/>
          <w:bottom w:val="nil"/>
          <w:right w:val="nil"/>
          <w:between w:val="nil"/>
        </w:pBdr>
        <w:spacing w:before="30" w:after="30" w:line="360" w:lineRule="auto"/>
        <w:ind w:left="3" w:right="191"/>
      </w:pPr>
      <w:r>
        <w:t>The Price-to-Earnings (P/E) Ratio is a finance term used to measure the market valuation of earnings of a business entity, which is divided by the number of earnings per share (EPS) (</w:t>
      </w:r>
      <w:r>
        <w:rPr>
          <w:color w:val="222222"/>
          <w:highlight w:val="white"/>
        </w:rPr>
        <w:t xml:space="preserve">Munir, </w:t>
      </w:r>
      <w:proofErr w:type="spellStart"/>
      <w:r>
        <w:rPr>
          <w:color w:val="222222"/>
          <w:highlight w:val="white"/>
        </w:rPr>
        <w:t>Kartanegara</w:t>
      </w:r>
      <w:proofErr w:type="spellEnd"/>
      <w:r>
        <w:rPr>
          <w:color w:val="222222"/>
          <w:highlight w:val="white"/>
        </w:rPr>
        <w:t>, and Haikal, 2025</w:t>
      </w:r>
      <w:r>
        <w:t>). In 2023, the firm’s P/E ratio stood at 399.67, which reduced to 250.79 in 2024. Although the share price has risen, this was not as much as the improvement in EPS, which has decreased the ratio. A decreasing P/E can signify a more favorable valuation to the investor or rising revenue performance.</w:t>
      </w:r>
    </w:p>
    <w:p w14:paraId="0619244E" w14:textId="77777777" w:rsidR="00D16674" w:rsidRDefault="00963D11">
      <w:pPr>
        <w:widowControl w:val="0"/>
        <w:pBdr>
          <w:top w:val="nil"/>
          <w:left w:val="nil"/>
          <w:bottom w:val="nil"/>
          <w:right w:val="nil"/>
          <w:between w:val="nil"/>
        </w:pBdr>
        <w:spacing w:before="30" w:after="30" w:line="360" w:lineRule="auto"/>
        <w:ind w:left="3" w:right="191"/>
      </w:pPr>
      <w:r>
        <w:t>The investor ratios of Admiral are higher than the industry ratios and indicate that the market has a high level of confidence in the entity. So, there is also a high potential for earnings based on operations and efficient management of capital.</w:t>
      </w:r>
    </w:p>
    <w:p w14:paraId="0D9279EA" w14:textId="77777777" w:rsidR="00D16674" w:rsidRDefault="00963D11">
      <w:pPr>
        <w:widowControl w:val="0"/>
        <w:pBdr>
          <w:top w:val="nil"/>
          <w:left w:val="nil"/>
          <w:bottom w:val="nil"/>
          <w:right w:val="nil"/>
          <w:between w:val="nil"/>
        </w:pBdr>
        <w:spacing w:before="30" w:after="30" w:line="360" w:lineRule="auto"/>
        <w:ind w:left="3" w:right="191"/>
      </w:pPr>
      <w:r>
        <w:t xml:space="preserve">All calculations of the above ratio analysis were done using the company's financial statement values for 2023 and 2024. Also, the detailed calculations of all ratios were provided in the appendix section of this assignment </w:t>
      </w:r>
      <w:r>
        <w:rPr>
          <w:b/>
          <w:i/>
        </w:rPr>
        <w:t>[Referred to Appendix]</w:t>
      </w:r>
      <w:r>
        <w:t xml:space="preserve">. </w:t>
      </w:r>
    </w:p>
    <w:p w14:paraId="475BB49D" w14:textId="77777777" w:rsidR="00D16674" w:rsidRDefault="00963D11">
      <w:pPr>
        <w:pStyle w:val="Heading3"/>
        <w:widowControl w:val="0"/>
        <w:ind w:left="0" w:firstLine="0"/>
      </w:pPr>
      <w:bookmarkStart w:id="11" w:name="_hkz51prnj6st" w:colFirst="0" w:colLast="0"/>
      <w:bookmarkStart w:id="12" w:name="_Toc203841977"/>
      <w:bookmarkEnd w:id="11"/>
      <w:r>
        <w:t>Critical Evaluation</w:t>
      </w:r>
      <w:bookmarkEnd w:id="12"/>
    </w:p>
    <w:p w14:paraId="242CC420" w14:textId="62311013" w:rsidR="00D16674" w:rsidRDefault="00963D11">
      <w:pPr>
        <w:widowControl w:val="0"/>
        <w:pBdr>
          <w:top w:val="nil"/>
          <w:left w:val="nil"/>
          <w:bottom w:val="nil"/>
          <w:right w:val="nil"/>
          <w:between w:val="nil"/>
        </w:pBdr>
        <w:spacing w:before="30" w:after="30" w:line="360" w:lineRule="auto"/>
        <w:ind w:left="0" w:right="191"/>
      </w:pPr>
      <w:r>
        <w:t xml:space="preserve">Financial ratios of Admiral Group PLC of the last two years, 2023 and 2024, show that there have been significant changes in profitability, efficiency, and returns to investors. One of the major factors that caused this performance is the </w:t>
      </w:r>
      <w:r w:rsidR="006D2A77">
        <w:t>favorable</w:t>
      </w:r>
      <w:r>
        <w:t xml:space="preserve"> change in the Ogden personal </w:t>
      </w:r>
      <w:r>
        <w:lastRenderedPageBreak/>
        <w:t>injury discount rate, which had a positive effect on profit before taxation of 100 million pounds (</w:t>
      </w:r>
      <w:r w:rsidR="006D2A77">
        <w:t>Admiral Group</w:t>
      </w:r>
      <w:r>
        <w:t>, 2024). This is alongside regulatory change, controlled pricing, claims control, and the use of digital technology that helped to boost profits by 90 percent and EPS by 96 percent.</w:t>
      </w:r>
    </w:p>
    <w:p w14:paraId="646CD857" w14:textId="78058BF4" w:rsidR="00D16674" w:rsidRDefault="00963D11">
      <w:pPr>
        <w:widowControl w:val="0"/>
        <w:pBdr>
          <w:top w:val="nil"/>
          <w:left w:val="nil"/>
          <w:bottom w:val="nil"/>
          <w:right w:val="nil"/>
          <w:between w:val="nil"/>
        </w:pBdr>
        <w:spacing w:before="30" w:after="30" w:line="360" w:lineRule="auto"/>
        <w:ind w:left="0" w:right="191"/>
      </w:pPr>
      <w:r>
        <w:t xml:space="preserve">Externally, the better market inflation and </w:t>
      </w:r>
      <w:r w:rsidR="006D2A77">
        <w:t>stabilized</w:t>
      </w:r>
      <w:r>
        <w:t xml:space="preserve"> economic features in the insurance industry in the UK enabled Admiral to lower its premiums earlier than its competitors, which encouraged an influx of more customers. In the meantime, the regulatory certainty, particularly in the field of personal injury claims, augmented the reserving performance and profitability. Nevertheless, there was a drop in liquidity ratios; the current ratio stood at 0.52, which was indicative of more short-term liabilities. This does not come as unusual to the insurance industry, where liquidity indicators are usually misrepresented by claims in reinsurance agreements. </w:t>
      </w:r>
    </w:p>
    <w:p w14:paraId="3EB45DD8" w14:textId="71E24655" w:rsidR="00D16674" w:rsidRDefault="00963D11">
      <w:pPr>
        <w:widowControl w:val="0"/>
        <w:pBdr>
          <w:top w:val="nil"/>
          <w:left w:val="nil"/>
          <w:bottom w:val="nil"/>
          <w:right w:val="nil"/>
          <w:between w:val="nil"/>
        </w:pBdr>
        <w:spacing w:before="30" w:after="30" w:line="360" w:lineRule="auto"/>
        <w:ind w:left="0" w:right="191"/>
      </w:pPr>
      <w:r>
        <w:t>On the enterprise level, due to its increased focus on digital transformation (such as cloud migration and using AI-based pricing algorithms), Admiral experienced better efficiency on the operational level. The asset turnover increased to 0.64, and the receivable days decreased by a big margin, implying that their working capital controls have been tightened and they are better using their assets (</w:t>
      </w:r>
      <w:r w:rsidR="006D2A77">
        <w:t>Admiral Group</w:t>
      </w:r>
      <w:r>
        <w:t>, 2024). The More Than portfolio integration also assisted in expanding other insurance lines of household and pet insurance to create a further source of revenue, other than motor insurance.</w:t>
      </w:r>
    </w:p>
    <w:p w14:paraId="2880F1F3" w14:textId="3A2ACDA0" w:rsidR="00D16674" w:rsidRDefault="00963D11">
      <w:pPr>
        <w:widowControl w:val="0"/>
        <w:pBdr>
          <w:top w:val="nil"/>
          <w:left w:val="nil"/>
          <w:bottom w:val="nil"/>
          <w:right w:val="nil"/>
          <w:between w:val="nil"/>
        </w:pBdr>
        <w:spacing w:before="30" w:after="30" w:line="360" w:lineRule="auto"/>
        <w:ind w:left="0" w:right="191"/>
      </w:pPr>
      <w:r>
        <w:t xml:space="preserve">The ratio analysis has limitations as they are historically derived and thus is not necessarily reflective of the risk in the future or the change of strategies. Moreover, accounting differences may arise, like valuing insurance liabilities or reinsurance </w:t>
      </w:r>
      <w:r w:rsidR="001B29EA">
        <w:t>recoverable</w:t>
      </w:r>
      <w:r>
        <w:t xml:space="preserve">, which is able to affect the labels of </w:t>
      </w:r>
      <w:r w:rsidR="001B29EA">
        <w:t>comparability</w:t>
      </w:r>
      <w:r>
        <w:t xml:space="preserve"> with other similar companies (</w:t>
      </w:r>
      <w:r>
        <w:rPr>
          <w:color w:val="222222"/>
          <w:highlight w:val="white"/>
        </w:rPr>
        <w:t>Rashid, 2021</w:t>
      </w:r>
      <w:r>
        <w:t>). Ratios also do not take into consideration the qualitative factors like customer satisfaction, brand value, or regulatory compliance. It is also possible that profitability is non-sustainably high due to non-recurring activities.</w:t>
      </w:r>
    </w:p>
    <w:p w14:paraId="75CEBFE1" w14:textId="77777777" w:rsidR="00D16674" w:rsidRDefault="00963D11">
      <w:pPr>
        <w:widowControl w:val="0"/>
        <w:pBdr>
          <w:top w:val="nil"/>
          <w:left w:val="nil"/>
          <w:bottom w:val="nil"/>
          <w:right w:val="nil"/>
          <w:between w:val="nil"/>
        </w:pBdr>
        <w:spacing w:before="30" w:after="30" w:line="360" w:lineRule="auto"/>
        <w:ind w:left="0" w:right="191"/>
      </w:pPr>
      <w:r>
        <w:t>Lastly, the financial ratios of Admiral indicate good performance and growth when considered in totally, among the balance between industry rate and strategy, and other non-financial related measures. Ratio analysis, future risk considerations, and contemporary management should all be part of a good financial analysis.</w:t>
      </w:r>
    </w:p>
    <w:p w14:paraId="17A41B51" w14:textId="77777777" w:rsidR="00D16674" w:rsidRDefault="00963D11">
      <w:pPr>
        <w:pStyle w:val="Heading3"/>
        <w:widowControl w:val="0"/>
        <w:ind w:left="0" w:firstLine="0"/>
      </w:pPr>
      <w:bookmarkStart w:id="13" w:name="_lv8jmvqnodcz" w:colFirst="0" w:colLast="0"/>
      <w:bookmarkStart w:id="14" w:name="_Toc203841978"/>
      <w:bookmarkEnd w:id="13"/>
      <w:r>
        <w:t>Recommendations</w:t>
      </w:r>
      <w:bookmarkEnd w:id="14"/>
    </w:p>
    <w:p w14:paraId="0DB8C094" w14:textId="54E19BE8" w:rsidR="00D16674" w:rsidRDefault="00963D11">
      <w:pPr>
        <w:widowControl w:val="0"/>
        <w:pBdr>
          <w:top w:val="nil"/>
          <w:left w:val="nil"/>
          <w:bottom w:val="nil"/>
          <w:right w:val="nil"/>
          <w:between w:val="nil"/>
        </w:pBdr>
        <w:spacing w:before="30" w:after="30" w:line="360" w:lineRule="auto"/>
        <w:ind w:left="0" w:right="191"/>
      </w:pPr>
      <w:r>
        <w:t xml:space="preserve">According to the financial analysis, Admiral Group Plc shown positive </w:t>
      </w:r>
      <w:r w:rsidR="001B29EA">
        <w:t>profitability</w:t>
      </w:r>
      <w:r>
        <w:t xml:space="preserve">, and operational effectiveness average but given the expected results. </w:t>
      </w:r>
      <w:r w:rsidR="001B29EA">
        <w:t>Those</w:t>
      </w:r>
      <w:r>
        <w:t xml:space="preserve"> factors can be also improved to increase its financial strength and long-term sustainability.</w:t>
      </w:r>
    </w:p>
    <w:p w14:paraId="03C0B28E" w14:textId="77777777" w:rsidR="00D16674" w:rsidRDefault="00963D11">
      <w:pPr>
        <w:widowControl w:val="0"/>
        <w:pBdr>
          <w:top w:val="nil"/>
          <w:left w:val="nil"/>
          <w:bottom w:val="nil"/>
          <w:right w:val="nil"/>
          <w:between w:val="nil"/>
        </w:pBdr>
        <w:spacing w:before="30" w:after="30" w:line="360" w:lineRule="auto"/>
        <w:ind w:left="0" w:right="191"/>
      </w:pPr>
      <w:r>
        <w:lastRenderedPageBreak/>
        <w:t xml:space="preserve">First of all, the firm needs to continue spending on digital financial systems and automation as a means of streamlining cost control and decision-making. The study of Ren (2022) notes that financial systems enhanced by big data make the forecast more accurate, </w:t>
      </w:r>
      <w:proofErr w:type="spellStart"/>
      <w:r>
        <w:t>minimise</w:t>
      </w:r>
      <w:proofErr w:type="spellEnd"/>
      <w:r>
        <w:t xml:space="preserve"> errors, and facilitate strategic responses.  The current cloud infrastructure and machine learning that Admiral has can be scaled to enhance durability when it comes to controlling costs, reducing risks during underwriting and claim processes. </w:t>
      </w:r>
    </w:p>
    <w:p w14:paraId="128E9B53" w14:textId="7C134B53" w:rsidR="00D16674" w:rsidRDefault="00963D11">
      <w:pPr>
        <w:widowControl w:val="0"/>
        <w:pBdr>
          <w:top w:val="nil"/>
          <w:left w:val="nil"/>
          <w:bottom w:val="nil"/>
          <w:right w:val="nil"/>
          <w:between w:val="nil"/>
        </w:pBdr>
        <w:spacing w:before="30" w:after="30" w:line="360" w:lineRule="auto"/>
        <w:ind w:left="0" w:right="191"/>
      </w:pPr>
      <w:r>
        <w:t xml:space="preserve">Secondly, Admiral ought to streamline its capital structure by reviewing its escalating debt-to-equity ratio. In spite of being conservative, a rise of 0.16 to 0.21 shows a trend of increasing leverage. By taking advantage of digital finance instruments, including financial shared services, one can lower the costs of borrowing and </w:t>
      </w:r>
      <w:r w:rsidR="001B29EA">
        <w:t>enhance</w:t>
      </w:r>
      <w:r>
        <w:t xml:space="preserve"> the effective ness of funding (Jiang </w:t>
      </w:r>
      <w:r>
        <w:rPr>
          <w:i/>
        </w:rPr>
        <w:t>et al.</w:t>
      </w:r>
      <w:r>
        <w:t xml:space="preserve"> 2022). This will be useful in controlling the expenditure on interests as the business grows. </w:t>
      </w:r>
    </w:p>
    <w:p w14:paraId="03E9794D" w14:textId="77777777" w:rsidR="00D16674" w:rsidRDefault="00963D11">
      <w:pPr>
        <w:widowControl w:val="0"/>
        <w:pBdr>
          <w:top w:val="nil"/>
          <w:left w:val="nil"/>
          <w:bottom w:val="nil"/>
          <w:right w:val="nil"/>
          <w:between w:val="nil"/>
        </w:pBdr>
        <w:spacing w:before="30" w:after="30" w:line="360" w:lineRule="auto"/>
        <w:ind w:left="0" w:right="191"/>
      </w:pPr>
      <w:r>
        <w:t>Also, the implementation of the technology-based innovation in the financial context can relieve financial difficulties and promote the differentiation market, particularly, the emergent one, such as the Admiral Money (Chen and Yoon, 2022). The inclusion of AI-powered financial analytics would improve the credit rating procedure and streamline the loan rate product.</w:t>
      </w:r>
    </w:p>
    <w:p w14:paraId="2EDF30A7" w14:textId="77777777" w:rsidR="00D16674" w:rsidRDefault="00963D11">
      <w:pPr>
        <w:widowControl w:val="0"/>
        <w:pBdr>
          <w:top w:val="nil"/>
          <w:left w:val="nil"/>
          <w:bottom w:val="nil"/>
          <w:right w:val="nil"/>
          <w:between w:val="nil"/>
        </w:pBdr>
        <w:spacing w:before="30" w:after="30" w:line="360" w:lineRule="auto"/>
        <w:ind w:left="0" w:right="191"/>
      </w:pPr>
      <w:r>
        <w:t>The strategic rationale concerns Admiral fully implementing its digital transformation process, adopting a proper reserving process, and investing in sustainable financial models that reduce the dependency on regulatory factors. It will offer stability, agility, and creation of value to the stakeholders in the current financial environment.</w:t>
      </w:r>
    </w:p>
    <w:p w14:paraId="435A3A8E" w14:textId="409CDAE6" w:rsidR="00D16674" w:rsidRDefault="00963D11">
      <w:pPr>
        <w:pStyle w:val="Heading2"/>
        <w:widowControl w:val="0"/>
      </w:pPr>
      <w:bookmarkStart w:id="15" w:name="_hi7dscn3xvl4" w:colFirst="0" w:colLast="0"/>
      <w:bookmarkStart w:id="16" w:name="_Toc203841979"/>
      <w:bookmarkEnd w:id="15"/>
      <w:r>
        <w:t xml:space="preserve">Task 2: Report of </w:t>
      </w:r>
      <w:r w:rsidR="006D2A77">
        <w:t>Jordon’s</w:t>
      </w:r>
      <w:r>
        <w:t xml:space="preserve"> Plc</w:t>
      </w:r>
      <w:bookmarkEnd w:id="16"/>
    </w:p>
    <w:p w14:paraId="778522CA" w14:textId="70A7FC51" w:rsidR="00D16674" w:rsidRDefault="00963D11" w:rsidP="00CB1C17">
      <w:pPr>
        <w:pStyle w:val="Heading3"/>
        <w:numPr>
          <w:ilvl w:val="0"/>
          <w:numId w:val="5"/>
        </w:numPr>
      </w:pPr>
      <w:bookmarkStart w:id="17" w:name="_Toc203841980"/>
      <w:r>
        <w:t>Evaluation of three investment options with NPV technique</w:t>
      </w:r>
      <w:bookmarkEnd w:id="17"/>
      <w:r>
        <w:t xml:space="preserve"> </w:t>
      </w:r>
    </w:p>
    <w:p w14:paraId="49948AFB" w14:textId="35A6D853" w:rsidR="00D16674" w:rsidRDefault="00963D11">
      <w:pPr>
        <w:widowControl w:val="0"/>
        <w:pBdr>
          <w:top w:val="nil"/>
          <w:left w:val="nil"/>
          <w:bottom w:val="nil"/>
          <w:right w:val="nil"/>
          <w:between w:val="nil"/>
        </w:pBdr>
        <w:spacing w:before="30" w:after="30" w:line="360" w:lineRule="auto"/>
        <w:ind w:left="0" w:right="191"/>
        <w:rPr>
          <w:color w:val="040C28"/>
        </w:rPr>
      </w:pPr>
      <w:r>
        <w:t xml:space="preserve">According to Shou, (2022), Net Present Value (NPV) is defined as the difference between present value of cash inflow and present value of cash outflow over a certain time flow. NPV is mainly used in capital budgeting analysts and investment decision-making processes to </w:t>
      </w:r>
      <w:r w:rsidR="001B29EA">
        <w:t>analyses</w:t>
      </w:r>
      <w:r>
        <w:t xml:space="preserve"> the profitability of the business. NPV is actually the current value of the future payments that are mainly generated with help of discounted rates. Generally, when NPV is having positive value, then the project is worth undertaking and if NPV is negative then the business takes into consideration that project (Wang, 2021). In this case of Jordans Plc, it is seen that Project A, initial investment is </w:t>
      </w:r>
      <w:r>
        <w:rPr>
          <w:color w:val="040C28"/>
        </w:rPr>
        <w:t xml:space="preserve">£600,000, after calculation of depreciation, taxable profits and discount factor, for 1st year present value is £176,813. The present value of 2nd year is £233,625, for third year is £283,500 and for fourth year is £326,100. The total </w:t>
      </w:r>
      <w:r>
        <w:rPr>
          <w:color w:val="040C28"/>
        </w:rPr>
        <w:lastRenderedPageBreak/>
        <w:t>summation of the present value is around £1,020,038 (these values are calculated by considering depreciation, taxable profits and tax with a discount factor of 6%). Therefore, the NPV is equal to (£1,020,038-£600,000) which is equal to £420,038. This is a positive value therefore, the project can be considered worth investment but it is important to look into higher positive values to determine the entire investment decisions as the rate of return expected will be higher (</w:t>
      </w:r>
      <w:proofErr w:type="spellStart"/>
      <w:r>
        <w:t>Asadujjaman</w:t>
      </w:r>
      <w:proofErr w:type="spellEnd"/>
      <w:r>
        <w:t xml:space="preserve"> et al., 2021). </w:t>
      </w:r>
    </w:p>
    <w:p w14:paraId="62A492BA" w14:textId="77777777" w:rsidR="00D16674" w:rsidRDefault="00963D11">
      <w:pPr>
        <w:widowControl w:val="0"/>
        <w:pBdr>
          <w:top w:val="nil"/>
          <w:left w:val="nil"/>
          <w:bottom w:val="nil"/>
          <w:right w:val="nil"/>
          <w:between w:val="nil"/>
        </w:pBdr>
        <w:spacing w:before="30" w:after="30" w:line="360" w:lineRule="auto"/>
        <w:ind w:left="0" w:right="191"/>
        <w:rPr>
          <w:b/>
          <w:i/>
        </w:rPr>
      </w:pPr>
      <w:r>
        <w:rPr>
          <w:b/>
          <w:i/>
          <w:noProof/>
          <w:lang w:val="en-GB" w:eastAsia="en-GB"/>
        </w:rPr>
        <w:drawing>
          <wp:inline distT="114300" distB="114300" distL="114300" distR="114300" wp14:anchorId="085E3A73" wp14:editId="21F50BAC">
            <wp:extent cx="5727326" cy="2374900"/>
            <wp:effectExtent l="25400" t="25400" r="25400" b="25400"/>
            <wp:docPr id="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5727326" cy="2374900"/>
                    </a:xfrm>
                    <a:prstGeom prst="rect">
                      <a:avLst/>
                    </a:prstGeom>
                    <a:ln w="25400">
                      <a:solidFill>
                        <a:srgbClr val="000000"/>
                      </a:solidFill>
                      <a:prstDash val="solid"/>
                    </a:ln>
                  </pic:spPr>
                </pic:pic>
              </a:graphicData>
            </a:graphic>
          </wp:inline>
        </w:drawing>
      </w:r>
    </w:p>
    <w:p w14:paraId="5E9DD7B7" w14:textId="43F47DB5" w:rsidR="00D16674" w:rsidRDefault="00963D11">
      <w:pPr>
        <w:widowControl w:val="0"/>
        <w:pBdr>
          <w:top w:val="nil"/>
          <w:left w:val="nil"/>
          <w:bottom w:val="nil"/>
          <w:right w:val="nil"/>
          <w:between w:val="nil"/>
        </w:pBdr>
        <w:spacing w:before="30" w:after="30" w:line="360" w:lineRule="auto"/>
        <w:ind w:left="0" w:right="191"/>
        <w:jc w:val="center"/>
        <w:rPr>
          <w:b/>
        </w:rPr>
      </w:pPr>
      <w:r>
        <w:rPr>
          <w:b/>
        </w:rPr>
        <w:t xml:space="preserve">Figure 11: Present of NPV value of Project </w:t>
      </w:r>
      <w:r w:rsidR="001B29EA">
        <w:rPr>
          <w:b/>
        </w:rPr>
        <w:t>A of</w:t>
      </w:r>
      <w:r>
        <w:rPr>
          <w:b/>
        </w:rPr>
        <w:t xml:space="preserve"> </w:t>
      </w:r>
      <w:r w:rsidR="006D2A77">
        <w:rPr>
          <w:b/>
        </w:rPr>
        <w:t>Jordon’s</w:t>
      </w:r>
      <w:r>
        <w:rPr>
          <w:b/>
        </w:rPr>
        <w:t xml:space="preserve"> Plc </w:t>
      </w:r>
    </w:p>
    <w:p w14:paraId="686961C4" w14:textId="77777777" w:rsidR="00D16674" w:rsidRDefault="00963D11">
      <w:pPr>
        <w:widowControl w:val="0"/>
        <w:pBdr>
          <w:top w:val="nil"/>
          <w:left w:val="nil"/>
          <w:bottom w:val="nil"/>
          <w:right w:val="nil"/>
          <w:between w:val="nil"/>
        </w:pBdr>
        <w:spacing w:before="30" w:after="30" w:line="360" w:lineRule="auto"/>
        <w:ind w:left="0" w:right="191"/>
        <w:jc w:val="center"/>
      </w:pPr>
      <w:r>
        <w:t xml:space="preserve">(Source: Author)  </w:t>
      </w:r>
    </w:p>
    <w:p w14:paraId="2DD897B0" w14:textId="77777777" w:rsidR="00D16674" w:rsidRDefault="00963D11">
      <w:pPr>
        <w:widowControl w:val="0"/>
        <w:pBdr>
          <w:top w:val="nil"/>
          <w:left w:val="nil"/>
          <w:bottom w:val="nil"/>
          <w:right w:val="nil"/>
          <w:between w:val="nil"/>
        </w:pBdr>
        <w:spacing w:before="30" w:after="30" w:line="360" w:lineRule="auto"/>
        <w:ind w:left="0" w:right="191"/>
      </w:pPr>
      <w:r>
        <w:t xml:space="preserve">Now looking into the second investment through project B of Jordans Plc, it is seen that initial investment for this project is </w:t>
      </w:r>
      <w:r>
        <w:rPr>
          <w:color w:val="040C28"/>
        </w:rPr>
        <w:t xml:space="preserve">£1,000,000. And the depreciation is calculated in straight line, it is seen that depreciation value for the entire project lifecycle remains £250,000 but net cash flow differs owing to the differences in cash inflows and taxation values. Therefore, for 1st year present value is £341,488, for 2nd year it is £356,000, for third year it is £462,000 and for 4th year it is £631,630. The total summation of present value equals £1,791,108. Therefore, NPV is (£1,791,108-£1,000,000) which equals to £791,108. Here, the value is higher than that of project A, therefore, the rate of return that can be expected from this project is higher than of project A. Therefore, Jordans Plc can consider this project B (development into internet sales) over project A (which helps the company to expand their flourishing retail outlet to all other products). </w:t>
      </w:r>
    </w:p>
    <w:p w14:paraId="693FFB99" w14:textId="77777777" w:rsidR="00D16674" w:rsidRDefault="00963D11">
      <w:pPr>
        <w:widowControl w:val="0"/>
        <w:pBdr>
          <w:top w:val="nil"/>
          <w:left w:val="nil"/>
          <w:bottom w:val="nil"/>
          <w:right w:val="nil"/>
          <w:between w:val="nil"/>
        </w:pBdr>
        <w:spacing w:before="30" w:after="30" w:line="360" w:lineRule="auto"/>
        <w:ind w:left="0" w:right="191"/>
        <w:jc w:val="left"/>
        <w:rPr>
          <w:b/>
          <w:i/>
        </w:rPr>
      </w:pPr>
      <w:r>
        <w:rPr>
          <w:b/>
          <w:i/>
          <w:noProof/>
          <w:lang w:val="en-GB" w:eastAsia="en-GB"/>
        </w:rPr>
        <w:lastRenderedPageBreak/>
        <w:drawing>
          <wp:inline distT="114300" distB="114300" distL="114300" distR="114300" wp14:anchorId="50CD7A4F" wp14:editId="75DA04B5">
            <wp:extent cx="5727326" cy="2235200"/>
            <wp:effectExtent l="25400" t="25400" r="25400" b="2540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727326" cy="2235200"/>
                    </a:xfrm>
                    <a:prstGeom prst="rect">
                      <a:avLst/>
                    </a:prstGeom>
                    <a:ln w="25400">
                      <a:solidFill>
                        <a:srgbClr val="000000"/>
                      </a:solidFill>
                      <a:prstDash val="solid"/>
                    </a:ln>
                  </pic:spPr>
                </pic:pic>
              </a:graphicData>
            </a:graphic>
          </wp:inline>
        </w:drawing>
      </w:r>
    </w:p>
    <w:p w14:paraId="56A4136B" w14:textId="292461A7" w:rsidR="00D16674" w:rsidRDefault="00963D11">
      <w:pPr>
        <w:widowControl w:val="0"/>
        <w:spacing w:before="30" w:after="30" w:line="360" w:lineRule="auto"/>
        <w:ind w:left="0" w:right="191"/>
        <w:jc w:val="center"/>
        <w:rPr>
          <w:b/>
        </w:rPr>
      </w:pPr>
      <w:r>
        <w:rPr>
          <w:b/>
        </w:rPr>
        <w:t xml:space="preserve">Figure 12: Present of NPV value of Project </w:t>
      </w:r>
      <w:r w:rsidR="001B29EA">
        <w:rPr>
          <w:b/>
        </w:rPr>
        <w:t>B of</w:t>
      </w:r>
      <w:r>
        <w:rPr>
          <w:b/>
        </w:rPr>
        <w:t xml:space="preserve"> Jordons Plc</w:t>
      </w:r>
    </w:p>
    <w:p w14:paraId="6F89CCDB" w14:textId="77777777" w:rsidR="00D16674" w:rsidRDefault="00963D11">
      <w:pPr>
        <w:widowControl w:val="0"/>
        <w:spacing w:before="30" w:after="30" w:line="360" w:lineRule="auto"/>
        <w:ind w:left="0" w:right="191"/>
        <w:jc w:val="center"/>
      </w:pPr>
      <w:r>
        <w:t xml:space="preserve">(Source: Author)  </w:t>
      </w:r>
    </w:p>
    <w:p w14:paraId="1484D75C" w14:textId="77777777" w:rsidR="00D16674" w:rsidRDefault="00D16674">
      <w:pPr>
        <w:widowControl w:val="0"/>
        <w:pBdr>
          <w:top w:val="nil"/>
          <w:left w:val="nil"/>
          <w:bottom w:val="nil"/>
          <w:right w:val="nil"/>
          <w:between w:val="nil"/>
        </w:pBdr>
        <w:spacing w:before="30" w:after="30" w:line="360" w:lineRule="auto"/>
        <w:ind w:left="0" w:right="191"/>
        <w:jc w:val="left"/>
        <w:rPr>
          <w:b/>
          <w:i/>
        </w:rPr>
      </w:pPr>
    </w:p>
    <w:p w14:paraId="4746AA2E" w14:textId="77777777" w:rsidR="00D16674" w:rsidRDefault="00963D11">
      <w:pPr>
        <w:widowControl w:val="0"/>
        <w:pBdr>
          <w:top w:val="nil"/>
          <w:left w:val="nil"/>
          <w:bottom w:val="nil"/>
          <w:right w:val="nil"/>
          <w:between w:val="nil"/>
        </w:pBdr>
        <w:spacing w:before="30" w:after="30" w:line="360" w:lineRule="auto"/>
        <w:ind w:left="0" w:right="191"/>
        <w:jc w:val="left"/>
        <w:rPr>
          <w:b/>
          <w:i/>
        </w:rPr>
      </w:pPr>
      <w:r>
        <w:rPr>
          <w:b/>
          <w:i/>
          <w:noProof/>
          <w:lang w:val="en-GB" w:eastAsia="en-GB"/>
        </w:rPr>
        <w:drawing>
          <wp:inline distT="114300" distB="114300" distL="114300" distR="114300" wp14:anchorId="47F3960E" wp14:editId="66D06C21">
            <wp:extent cx="5727326" cy="2273300"/>
            <wp:effectExtent l="25400" t="25400" r="25400" b="25400"/>
            <wp:docPr id="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1"/>
                    <a:srcRect/>
                    <a:stretch>
                      <a:fillRect/>
                    </a:stretch>
                  </pic:blipFill>
                  <pic:spPr>
                    <a:xfrm>
                      <a:off x="0" y="0"/>
                      <a:ext cx="5727326" cy="2273300"/>
                    </a:xfrm>
                    <a:prstGeom prst="rect">
                      <a:avLst/>
                    </a:prstGeom>
                    <a:ln w="25400">
                      <a:solidFill>
                        <a:srgbClr val="000000"/>
                      </a:solidFill>
                      <a:prstDash val="solid"/>
                    </a:ln>
                  </pic:spPr>
                </pic:pic>
              </a:graphicData>
            </a:graphic>
          </wp:inline>
        </w:drawing>
      </w:r>
    </w:p>
    <w:p w14:paraId="7CFB84AB" w14:textId="4C701CD1" w:rsidR="00D16674" w:rsidRDefault="00963D11">
      <w:pPr>
        <w:widowControl w:val="0"/>
        <w:spacing w:before="30" w:after="30" w:line="360" w:lineRule="auto"/>
        <w:ind w:left="0" w:right="191"/>
        <w:jc w:val="center"/>
        <w:rPr>
          <w:b/>
        </w:rPr>
      </w:pPr>
      <w:r>
        <w:rPr>
          <w:b/>
        </w:rPr>
        <w:t xml:space="preserve">Figure 13: Present of NPV value of Project </w:t>
      </w:r>
      <w:r w:rsidR="001B29EA">
        <w:rPr>
          <w:b/>
        </w:rPr>
        <w:t>B of</w:t>
      </w:r>
      <w:r>
        <w:rPr>
          <w:b/>
        </w:rPr>
        <w:t xml:space="preserve"> </w:t>
      </w:r>
      <w:r w:rsidR="006D2A77">
        <w:rPr>
          <w:b/>
        </w:rPr>
        <w:t>Jordon’s</w:t>
      </w:r>
      <w:r>
        <w:rPr>
          <w:b/>
        </w:rPr>
        <w:t xml:space="preserve"> Plc </w:t>
      </w:r>
    </w:p>
    <w:p w14:paraId="581D8BC8" w14:textId="77777777" w:rsidR="00D16674" w:rsidRDefault="00963D11">
      <w:pPr>
        <w:widowControl w:val="0"/>
        <w:spacing w:before="30" w:after="30" w:line="360" w:lineRule="auto"/>
        <w:ind w:left="0" w:right="191"/>
        <w:jc w:val="center"/>
      </w:pPr>
      <w:r>
        <w:t xml:space="preserve">(Source: Author) </w:t>
      </w:r>
    </w:p>
    <w:p w14:paraId="008854A5" w14:textId="77777777" w:rsidR="00D16674" w:rsidRDefault="00963D11">
      <w:pPr>
        <w:widowControl w:val="0"/>
        <w:spacing w:before="30" w:after="30" w:line="360" w:lineRule="auto"/>
        <w:ind w:left="0" w:right="191"/>
        <w:rPr>
          <w:color w:val="040C28"/>
        </w:rPr>
      </w:pPr>
      <w:r>
        <w:t xml:space="preserve">Now looking into NPV calculation of project C, as depreciation is calculated in straight line, therefore depreciation amounts to </w:t>
      </w:r>
      <w:r>
        <w:rPr>
          <w:color w:val="040C28"/>
        </w:rPr>
        <w:t>£400,000. The initial investment done for this project was £1,600,000. From the calculation, the present value for 1st year is £377,200, 2nd year is £556,250, for third year is £619,500 and for fourth year is £732,600. Therefore, the sum total of present value for project C is £2,285,550. The NPV will be equal to (£2,285,550-£1,600,000) which is equal to £685,550. Now looking into this value it is seen that this is also a positive value but higher than of protect A (which was £420,038) and lower than that of project B (which was £791,108).</w:t>
      </w:r>
    </w:p>
    <w:p w14:paraId="09240161" w14:textId="3943D295" w:rsidR="00D16674" w:rsidRDefault="00963D11">
      <w:pPr>
        <w:widowControl w:val="0"/>
        <w:spacing w:before="30" w:after="30" w:line="360" w:lineRule="auto"/>
        <w:ind w:left="0" w:right="191"/>
        <w:rPr>
          <w:color w:val="040C28"/>
        </w:rPr>
      </w:pPr>
      <w:r>
        <w:rPr>
          <w:color w:val="040C28"/>
        </w:rPr>
        <w:t xml:space="preserve"> Therefore, from this evaluation of NPV calculation, it can be stated that the highest value is shown by Project B, (where the company wants to expand into internet sales) and this is more </w:t>
      </w:r>
      <w:r>
        <w:rPr>
          <w:color w:val="040C28"/>
        </w:rPr>
        <w:lastRenderedPageBreak/>
        <w:t xml:space="preserve">feasible as the rate of return is higher. Moreover, in the UK, it is seen that internet sales at present is estimated </w:t>
      </w:r>
      <w:r w:rsidR="001B29EA">
        <w:rPr>
          <w:color w:val="040C28"/>
        </w:rPr>
        <w:t>to 26.8</w:t>
      </w:r>
      <w:r>
        <w:rPr>
          <w:color w:val="040C28"/>
        </w:rPr>
        <w:t xml:space="preserve">% according to the reports of Statista.com, (2025). Therefore, as the company is seeing this change can culminate in the customer preferences, with a higher rate of return, it can consider these investment decisions. </w:t>
      </w:r>
    </w:p>
    <w:p w14:paraId="4555ABFF" w14:textId="77777777" w:rsidR="00D16674" w:rsidRDefault="00963D11">
      <w:pPr>
        <w:pStyle w:val="Heading3"/>
        <w:widowControl w:val="0"/>
        <w:ind w:left="0" w:firstLine="0"/>
      </w:pPr>
      <w:bookmarkStart w:id="18" w:name="_d9ree5x47lgu" w:colFirst="0" w:colLast="0"/>
      <w:bookmarkStart w:id="19" w:name="_Toc203841981"/>
      <w:bookmarkEnd w:id="18"/>
      <w:r>
        <w:t>B. Internal Rate of Return Calculation</w:t>
      </w:r>
      <w:bookmarkEnd w:id="19"/>
    </w:p>
    <w:p w14:paraId="02B43F1A" w14:textId="1060AF7A" w:rsidR="00D16674" w:rsidRDefault="00963D11">
      <w:pPr>
        <w:widowControl w:val="0"/>
        <w:pBdr>
          <w:top w:val="nil"/>
          <w:left w:val="nil"/>
          <w:bottom w:val="nil"/>
          <w:right w:val="nil"/>
          <w:between w:val="nil"/>
        </w:pBdr>
        <w:spacing w:before="30" w:after="30" w:line="360" w:lineRule="auto"/>
        <w:ind w:left="0" w:right="191"/>
      </w:pPr>
      <w:r>
        <w:t xml:space="preserve">According to Bae, Yoon and Kim, (2024), is a financial metric that helps in providing insights about potential profitability that can be generated from potential investment. It is defined as the rate of discount that makes NPV of all the cash flow equal to zero when there is discounted cash flow analysis </w:t>
      </w:r>
      <w:r w:rsidR="001B29EA">
        <w:t>done. Authors</w:t>
      </w:r>
      <w:r>
        <w:t xml:space="preserve"> such as Jurčević et al., (2022), have shown that if internal rate of return is higher than an investment is considered desirable. Moreover, IRR is one of the parameters that is most suitable for </w:t>
      </w:r>
      <w:r w:rsidR="001B29EA">
        <w:t>analyzing</w:t>
      </w:r>
      <w:r>
        <w:t xml:space="preserve"> any kind of capital budgeting projects as it helps in comparing the potential rates of annual return that the project can recover over the rule. This financial metrics helps the company to determine whether they can use the capital for funding any project depending on discounted values. According to authors such as Sarsour and </w:t>
      </w:r>
      <w:r w:rsidR="001B29EA">
        <w:t>Sabri, (</w:t>
      </w:r>
      <w:r>
        <w:t xml:space="preserve">2021), it is seen that IRR helps in identification of rate of discount that can be made from the present values (annual nominal cash flow will be equal to the initial net cash outlay). The expected return that is required for the project is mostly calculated with help of IRR. </w:t>
      </w:r>
    </w:p>
    <w:p w14:paraId="57E581FD" w14:textId="77777777" w:rsidR="00D16674" w:rsidRDefault="00963D11">
      <w:pPr>
        <w:widowControl w:val="0"/>
        <w:pBdr>
          <w:top w:val="nil"/>
          <w:left w:val="nil"/>
          <w:bottom w:val="nil"/>
          <w:right w:val="nil"/>
          <w:between w:val="nil"/>
        </w:pBdr>
        <w:spacing w:before="30" w:after="30" w:line="360" w:lineRule="auto"/>
        <w:ind w:left="0" w:right="191"/>
        <w:jc w:val="center"/>
        <w:rPr>
          <w:b/>
          <w:i/>
        </w:rPr>
      </w:pPr>
      <w:r>
        <w:rPr>
          <w:b/>
          <w:i/>
          <w:noProof/>
          <w:lang w:val="en-GB" w:eastAsia="en-GB"/>
        </w:rPr>
        <w:drawing>
          <wp:inline distT="114300" distB="114300" distL="114300" distR="114300" wp14:anchorId="64D10E0B" wp14:editId="4314B6F4">
            <wp:extent cx="3886200" cy="2209800"/>
            <wp:effectExtent l="25400" t="25400" r="25400" b="2540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3886200" cy="2209800"/>
                    </a:xfrm>
                    <a:prstGeom prst="rect">
                      <a:avLst/>
                    </a:prstGeom>
                    <a:ln w="25400">
                      <a:solidFill>
                        <a:srgbClr val="000000"/>
                      </a:solidFill>
                      <a:prstDash val="solid"/>
                    </a:ln>
                  </pic:spPr>
                </pic:pic>
              </a:graphicData>
            </a:graphic>
          </wp:inline>
        </w:drawing>
      </w:r>
    </w:p>
    <w:p w14:paraId="1AB8B3F0" w14:textId="77777777" w:rsidR="00D16674" w:rsidRDefault="00963D11">
      <w:pPr>
        <w:widowControl w:val="0"/>
        <w:pBdr>
          <w:top w:val="nil"/>
          <w:left w:val="nil"/>
          <w:bottom w:val="nil"/>
          <w:right w:val="nil"/>
          <w:between w:val="nil"/>
        </w:pBdr>
        <w:spacing w:before="30" w:after="30" w:line="360" w:lineRule="auto"/>
        <w:ind w:left="0" w:right="191"/>
        <w:jc w:val="center"/>
        <w:rPr>
          <w:b/>
        </w:rPr>
      </w:pPr>
      <w:r>
        <w:rPr>
          <w:b/>
        </w:rPr>
        <w:t xml:space="preserve">Figure 14: Calculation of IRR </w:t>
      </w:r>
    </w:p>
    <w:p w14:paraId="3ADBAD51" w14:textId="77777777" w:rsidR="00D16674" w:rsidRDefault="00963D11">
      <w:pPr>
        <w:widowControl w:val="0"/>
        <w:pBdr>
          <w:top w:val="nil"/>
          <w:left w:val="nil"/>
          <w:bottom w:val="nil"/>
          <w:right w:val="nil"/>
          <w:between w:val="nil"/>
        </w:pBdr>
        <w:spacing w:before="30" w:after="30" w:line="360" w:lineRule="auto"/>
        <w:ind w:left="0" w:right="191"/>
        <w:jc w:val="center"/>
      </w:pPr>
      <w:r>
        <w:t xml:space="preserve">(Source: Author) </w:t>
      </w:r>
    </w:p>
    <w:p w14:paraId="1894DFEF" w14:textId="77777777" w:rsidR="00D16674" w:rsidRDefault="00963D11">
      <w:pPr>
        <w:widowControl w:val="0"/>
        <w:pBdr>
          <w:top w:val="nil"/>
          <w:left w:val="nil"/>
          <w:bottom w:val="nil"/>
          <w:right w:val="nil"/>
          <w:between w:val="nil"/>
        </w:pBdr>
        <w:spacing w:before="30" w:after="30" w:line="360" w:lineRule="auto"/>
        <w:ind w:left="0" w:right="191"/>
      </w:pPr>
      <w:r>
        <w:t xml:space="preserve">From the calculation of IRR, it is seen that for project A IRR is 22%, for project B IRR is 25% and for project C IRR is 14%. The most suitable project that can be considered by Jordans Plc is Project B (expand into internet sales) as IRR value is 25% and return rate expected from this project is higher. The profitability that is expected from this project is higher. Moreover, IRR is important for Jordans Plc as it will help the company to evaluate </w:t>
      </w:r>
      <w:r>
        <w:lastRenderedPageBreak/>
        <w:t xml:space="preserve">their stock buyback programs and is feasible for creating new outlets for the business. </w:t>
      </w:r>
    </w:p>
    <w:p w14:paraId="225F8FB2" w14:textId="77777777" w:rsidR="00D16674" w:rsidRDefault="00963D11">
      <w:pPr>
        <w:pStyle w:val="Heading3"/>
        <w:widowControl w:val="0"/>
        <w:ind w:left="0" w:firstLine="0"/>
      </w:pPr>
      <w:bookmarkStart w:id="20" w:name="_c7m8optbvtf0" w:colFirst="0" w:colLast="0"/>
      <w:bookmarkStart w:id="21" w:name="_Toc203841982"/>
      <w:bookmarkEnd w:id="20"/>
      <w:r>
        <w:t>C. Interpretation of results for management</w:t>
      </w:r>
      <w:bookmarkEnd w:id="21"/>
    </w:p>
    <w:p w14:paraId="47185829" w14:textId="77777777" w:rsidR="00D16674" w:rsidRDefault="00963D11">
      <w:pPr>
        <w:spacing w:before="0" w:after="0" w:line="360" w:lineRule="auto"/>
        <w:ind w:left="0" w:right="0"/>
      </w:pPr>
      <w:r>
        <w:t xml:space="preserve">When there is a potential investment opportunity the main aim of the finance manager is to maximize the value of the company. One of the best methods of appraisal techniques that can be considered is NPV (Net Present Value). This is widely regarded within financial theory as one of the most effective methods to understand investment decisions. Most of the companies are still using certain non-discounting methods alongside NPV but theoretically speaking NPV is superior and one of the simpler methods that can be taken into consideration for making any commitment to investment decisions (Salinas-Miranda et al., 2025). </w:t>
      </w:r>
    </w:p>
    <w:p w14:paraId="0BFAF517" w14:textId="44BF5480" w:rsidR="00D16674" w:rsidRDefault="00963D11">
      <w:pPr>
        <w:spacing w:before="0" w:after="0" w:line="360" w:lineRule="auto"/>
        <w:ind w:left="0" w:right="0"/>
      </w:pPr>
      <w:r>
        <w:t xml:space="preserve">NPV is considered as one of the most reliable investment appraisal methods because it is surrounded by the principle of financial economics and it aligns with maximization of wealth for </w:t>
      </w:r>
      <w:r w:rsidR="001B29EA">
        <w:t>the stakeholders</w:t>
      </w:r>
      <w:r>
        <w:t xml:space="preserve">. These financial metrics mainly function by providing discount to all the future cash flow of the project to their net present value by using discounting rate and it is subtracting from the initial investment. </w:t>
      </w:r>
    </w:p>
    <w:p w14:paraId="35991ED1" w14:textId="77777777" w:rsidR="00D16674" w:rsidRDefault="00963D11">
      <w:pPr>
        <w:numPr>
          <w:ilvl w:val="0"/>
          <w:numId w:val="4"/>
        </w:numPr>
        <w:spacing w:before="0" w:after="0" w:line="360" w:lineRule="auto"/>
        <w:ind w:right="0"/>
        <w:rPr>
          <w:b/>
          <w:i/>
        </w:rPr>
      </w:pPr>
      <w:r>
        <w:rPr>
          <w:b/>
          <w:i/>
        </w:rPr>
        <w:t xml:space="preserve">Key Arguments from theoretical implications: </w:t>
      </w:r>
    </w:p>
    <w:p w14:paraId="4E3FF8E3" w14:textId="77777777" w:rsidR="00D16674" w:rsidRDefault="00963D11">
      <w:pPr>
        <w:numPr>
          <w:ilvl w:val="0"/>
          <w:numId w:val="3"/>
        </w:numPr>
        <w:spacing w:before="0" w:after="0" w:line="360" w:lineRule="auto"/>
        <w:ind w:right="0"/>
        <w:rPr>
          <w:i/>
        </w:rPr>
      </w:pPr>
      <w:r>
        <w:rPr>
          <w:i/>
        </w:rPr>
        <w:t xml:space="preserve">NPV </w:t>
      </w:r>
      <w:r>
        <w:t>mainly includes the fact that money today is worth more than that of the amount in the future. Therefore, when there is discounting of the future cash flows, NPV helps in measurement of real value of the investment in terms of today’s value (Hussain et al., 2024).</w:t>
      </w:r>
    </w:p>
    <w:p w14:paraId="073C08D1" w14:textId="77777777" w:rsidR="00D16674" w:rsidRDefault="00963D11">
      <w:pPr>
        <w:numPr>
          <w:ilvl w:val="0"/>
          <w:numId w:val="3"/>
        </w:numPr>
        <w:spacing w:before="0" w:after="0" w:line="360" w:lineRule="auto"/>
        <w:ind w:right="0"/>
      </w:pPr>
      <w:r>
        <w:t xml:space="preserve">NPV focuses on the value of the firm by extending the wealth of stakeholders. There is direct link between value creation from NPV and it is superior to other methods as it indicates the most profitable business that can be risked over the time </w:t>
      </w:r>
    </w:p>
    <w:p w14:paraId="252AE011" w14:textId="0466C1C7" w:rsidR="00D16674" w:rsidRDefault="00963D11">
      <w:pPr>
        <w:numPr>
          <w:ilvl w:val="0"/>
          <w:numId w:val="3"/>
        </w:numPr>
        <w:spacing w:before="0" w:after="0" w:line="360" w:lineRule="auto"/>
        <w:ind w:right="0"/>
      </w:pPr>
      <w:r>
        <w:t xml:space="preserve">NPV helps in maintaining objective decision criteria, as unlike Payback Period, NPV is not arbitrary; </w:t>
      </w:r>
      <w:r w:rsidR="001B29EA">
        <w:t>rather,</w:t>
      </w:r>
      <w:r>
        <w:t xml:space="preserve"> NPV calculation provides ambiguous rules to indicate the profitability that can be earned from the business. When NPV is positive it is considered most desirable for the business and negative value is not considered desirable for making any investment decisions (Li, 2024). </w:t>
      </w:r>
    </w:p>
    <w:p w14:paraId="78E2B11B" w14:textId="77777777" w:rsidR="00D16674" w:rsidRDefault="00963D11">
      <w:pPr>
        <w:numPr>
          <w:ilvl w:val="0"/>
          <w:numId w:val="3"/>
        </w:numPr>
        <w:spacing w:before="0" w:after="0" w:line="360" w:lineRule="auto"/>
        <w:ind w:right="0"/>
      </w:pPr>
      <w:r>
        <w:t xml:space="preserve">NPV calculations take into consideration of Additivity Principle. All the present value over the project lifecycles are added and help in making investment portfolio decisions. This value can be adjusted at different levels of risks by modifying the discount rate (in this project it is considered at 6%) (Wang, 2021). </w:t>
      </w:r>
    </w:p>
    <w:p w14:paraId="2BB15D35" w14:textId="77777777" w:rsidR="00D16674" w:rsidRDefault="00963D11">
      <w:pPr>
        <w:spacing w:before="0" w:after="0" w:line="360" w:lineRule="auto"/>
        <w:ind w:left="0" w:right="0"/>
        <w:rPr>
          <w:b/>
          <w:i/>
        </w:rPr>
      </w:pPr>
      <w:r>
        <w:rPr>
          <w:b/>
          <w:i/>
        </w:rPr>
        <w:t xml:space="preserve">2. Popularity of other non-discounting methods </w:t>
      </w:r>
    </w:p>
    <w:p w14:paraId="4E519298" w14:textId="77777777" w:rsidR="00D16674" w:rsidRDefault="00963D11">
      <w:pPr>
        <w:spacing w:before="0" w:after="0" w:line="360" w:lineRule="auto"/>
        <w:ind w:left="0" w:right="0"/>
      </w:pPr>
      <w:r>
        <w:lastRenderedPageBreak/>
        <w:t xml:space="preserve">Though NPV has many theoretical advantages, there are certain non-discounting methods that are used in investment decisions and those are Payback Period and Accounting rate of return (ARR). These are used because of the following reasons: </w:t>
      </w:r>
    </w:p>
    <w:p w14:paraId="2A71B0FB" w14:textId="77777777" w:rsidR="00D16674" w:rsidRDefault="00963D11">
      <w:pPr>
        <w:numPr>
          <w:ilvl w:val="0"/>
          <w:numId w:val="1"/>
        </w:numPr>
        <w:spacing w:before="0" w:after="0" w:line="360" w:lineRule="auto"/>
        <w:ind w:right="0"/>
      </w:pPr>
      <w:r>
        <w:t xml:space="preserve">As these non-discounting methods are easy to explain and understand and this is made easy for non-financial stakeholders as it provides quick insights into how the investments can be recovered. </w:t>
      </w:r>
    </w:p>
    <w:p w14:paraId="669F45E7" w14:textId="0482728A" w:rsidR="00D16674" w:rsidRDefault="00963D11">
      <w:pPr>
        <w:numPr>
          <w:ilvl w:val="0"/>
          <w:numId w:val="1"/>
        </w:numPr>
        <w:spacing w:before="0" w:after="0" w:line="360" w:lineRule="auto"/>
        <w:ind w:right="0"/>
      </w:pPr>
      <w:r>
        <w:t xml:space="preserve">When the financial environment becomes </w:t>
      </w:r>
      <w:r w:rsidR="001B29EA">
        <w:t>uncertain, analysts</w:t>
      </w:r>
      <w:r>
        <w:t xml:space="preserve"> take into consideration liquidity factors. As these are short payback periods that provide lower exposure of risks to the initial investment and help in faster recovery of the capital which is important for cash-deficit firms (Liu et al., 2024).  </w:t>
      </w:r>
    </w:p>
    <w:p w14:paraId="07499C04" w14:textId="77777777" w:rsidR="00D16674" w:rsidRDefault="00963D11">
      <w:pPr>
        <w:numPr>
          <w:ilvl w:val="0"/>
          <w:numId w:val="1"/>
        </w:numPr>
        <w:spacing w:before="0" w:after="0" w:line="360" w:lineRule="auto"/>
        <w:ind w:right="0"/>
      </w:pPr>
      <w:r>
        <w:t xml:space="preserve">Some of the business firms' consideration of long-standing preferences for traditional metrics such as ARR and payback period as NPV calculation teaching needs a resource-intensive approach. </w:t>
      </w:r>
    </w:p>
    <w:p w14:paraId="2DF30AEA" w14:textId="77777777" w:rsidR="00D16674" w:rsidRDefault="00963D11">
      <w:pPr>
        <w:numPr>
          <w:ilvl w:val="0"/>
          <w:numId w:val="1"/>
        </w:numPr>
        <w:spacing w:before="0" w:after="0" w:line="360" w:lineRule="auto"/>
        <w:ind w:right="0"/>
      </w:pPr>
      <w:r>
        <w:t xml:space="preserve">Moreover, most of the business firms do not keep reliable forecasting data as most of the discounting procedures mainly require precise long-term cash flows and with proper discount rates. When these days are unreliable and unavailable then similar methods such as Payback period and ARR seems more practical (Chambers, 2024). </w:t>
      </w:r>
    </w:p>
    <w:p w14:paraId="5FF67518" w14:textId="77777777" w:rsidR="00D16674" w:rsidRDefault="00963D11">
      <w:pPr>
        <w:numPr>
          <w:ilvl w:val="0"/>
          <w:numId w:val="1"/>
        </w:numPr>
        <w:spacing w:before="0" w:after="0" w:line="360" w:lineRule="auto"/>
        <w:ind w:right="0"/>
      </w:pPr>
      <w:r>
        <w:t xml:space="preserve">It is seen that most of the companies mainly use other non-discounting methods as supplementary to NPV rather than complement tools as those tools provide additional insights about the investment decisions mainly in the screening time. </w:t>
      </w:r>
    </w:p>
    <w:p w14:paraId="0CF6FB81" w14:textId="77777777" w:rsidR="00D16674" w:rsidRDefault="00963D11">
      <w:pPr>
        <w:spacing w:line="360" w:lineRule="auto"/>
        <w:rPr>
          <w:b/>
          <w:i/>
        </w:rPr>
      </w:pPr>
      <w:r>
        <w:rPr>
          <w:b/>
          <w:i/>
        </w:rPr>
        <w:t xml:space="preserve">3. Other parameters to consider before making any investment decisions </w:t>
      </w:r>
    </w:p>
    <w:p w14:paraId="7A1B38E9" w14:textId="77777777" w:rsidR="00D16674" w:rsidRDefault="00963D11">
      <w:pPr>
        <w:spacing w:before="0" w:after="0" w:line="360" w:lineRule="auto"/>
        <w:ind w:left="0" w:right="0"/>
      </w:pPr>
      <w:r>
        <w:t>It is seen that financial appraisal methods of investment such as NPV do not provide all the financial metrics that are a requirement for making investment decisions (</w:t>
      </w:r>
      <w:proofErr w:type="spellStart"/>
      <w:r>
        <w:t>Uhleman</w:t>
      </w:r>
      <w:proofErr w:type="spellEnd"/>
      <w:r>
        <w:t xml:space="preserve"> et al., 2024).  Therefore, the requirements of other strategic and qualitative parameters are important. Some of the additional parameters are follows: </w:t>
      </w:r>
    </w:p>
    <w:p w14:paraId="01633391" w14:textId="77777777" w:rsidR="00D16674" w:rsidRDefault="00963D11">
      <w:pPr>
        <w:numPr>
          <w:ilvl w:val="0"/>
          <w:numId w:val="2"/>
        </w:numPr>
        <w:spacing w:before="0" w:after="0" w:line="360" w:lineRule="auto"/>
        <w:ind w:right="0"/>
      </w:pPr>
      <w:r>
        <w:t xml:space="preserve">Understanding the strategic fit: A company needs to change whether the investment decision is fitting with the strategic objectives and long-term vision of the company or not. If the project is fitting strategically then it can even accept the investment decision with marginal NPV (Liu et al., 2024). </w:t>
      </w:r>
    </w:p>
    <w:p w14:paraId="55BDEAF6" w14:textId="77777777" w:rsidR="00D16674" w:rsidRDefault="00963D11">
      <w:pPr>
        <w:numPr>
          <w:ilvl w:val="0"/>
          <w:numId w:val="2"/>
        </w:numPr>
        <w:spacing w:before="0" w:after="0" w:line="360" w:lineRule="auto"/>
        <w:ind w:right="0"/>
      </w:pPr>
      <w:r>
        <w:t xml:space="preserve">Environmental and regulatory impact: Companies need to see whether they are able to understand the environmental implications and legal standards. Otherwise, the companies will face legal fines that might lead to damage of reputation and this will outweigh the measures of financial returns (Hussain et al., 2025). </w:t>
      </w:r>
    </w:p>
    <w:p w14:paraId="71EBBC6D" w14:textId="77777777" w:rsidR="00D16674" w:rsidRDefault="00963D11">
      <w:pPr>
        <w:numPr>
          <w:ilvl w:val="0"/>
          <w:numId w:val="2"/>
        </w:numPr>
        <w:spacing w:before="0" w:after="0" w:line="360" w:lineRule="auto"/>
        <w:ind w:right="0"/>
      </w:pPr>
      <w:r>
        <w:lastRenderedPageBreak/>
        <w:t xml:space="preserve">Competitive response and marketing conditions: The company needs to understand how the investment will affect the competitors in the markets. It is important to consider the implications of customer preferences and market trends. </w:t>
      </w:r>
    </w:p>
    <w:p w14:paraId="7BA89DD3" w14:textId="0D283EA8" w:rsidR="00D16674" w:rsidRDefault="00963D11">
      <w:pPr>
        <w:numPr>
          <w:ilvl w:val="0"/>
          <w:numId w:val="2"/>
        </w:numPr>
        <w:spacing w:before="0" w:after="0" w:line="360" w:lineRule="auto"/>
        <w:ind w:right="0"/>
      </w:pPr>
      <w:r>
        <w:t xml:space="preserve">Resource constraints and operational capacity: It is important to look into the </w:t>
      </w:r>
      <w:r w:rsidR="001B29EA">
        <w:t>organizational</w:t>
      </w:r>
      <w:r>
        <w:t xml:space="preserve"> technology, workforce and other workforce to understand the investment decisions. </w:t>
      </w:r>
    </w:p>
    <w:p w14:paraId="0EBBAE27" w14:textId="77777777" w:rsidR="00D16674" w:rsidRDefault="00963D11">
      <w:pPr>
        <w:numPr>
          <w:ilvl w:val="0"/>
          <w:numId w:val="2"/>
        </w:numPr>
        <w:spacing w:before="0" w:after="0" w:line="360" w:lineRule="auto"/>
        <w:ind w:right="0"/>
      </w:pPr>
      <w:r>
        <w:t xml:space="preserve">Managerial experience and judgement: The decision makers need to look into their experience so that there can be assessment of qualitative risks and also identification of all the investment opportunities.  </w:t>
      </w:r>
    </w:p>
    <w:p w14:paraId="5114C371" w14:textId="77777777" w:rsidR="00D16674" w:rsidRDefault="00963D11">
      <w:pPr>
        <w:pStyle w:val="Heading3"/>
        <w:widowControl w:val="0"/>
        <w:ind w:left="0" w:firstLine="0"/>
      </w:pPr>
      <w:bookmarkStart w:id="22" w:name="_mb2kzb7i6ssv" w:colFirst="0" w:colLast="0"/>
      <w:bookmarkStart w:id="23" w:name="_Toc203841983"/>
      <w:bookmarkEnd w:id="22"/>
      <w:r>
        <w:t>D. Calculation of optimal investment policy that results from the total NPV of the investment policy</w:t>
      </w:r>
      <w:bookmarkEnd w:id="23"/>
      <w:r>
        <w:t xml:space="preserve"> </w:t>
      </w:r>
    </w:p>
    <w:p w14:paraId="249AA583" w14:textId="77777777" w:rsidR="00D16674" w:rsidRDefault="00963D11">
      <w:pPr>
        <w:widowControl w:val="0"/>
        <w:pBdr>
          <w:top w:val="nil"/>
          <w:left w:val="nil"/>
          <w:bottom w:val="nil"/>
          <w:right w:val="nil"/>
          <w:between w:val="nil"/>
        </w:pBdr>
        <w:spacing w:before="30" w:after="30" w:line="360" w:lineRule="auto"/>
        <w:ind w:left="12" w:right="191" w:hanging="9"/>
        <w:jc w:val="center"/>
        <w:rPr>
          <w:b/>
          <w:sz w:val="26"/>
          <w:szCs w:val="26"/>
        </w:rPr>
      </w:pPr>
      <w:r>
        <w:rPr>
          <w:b/>
          <w:noProof/>
          <w:sz w:val="26"/>
          <w:szCs w:val="26"/>
          <w:lang w:val="en-GB" w:eastAsia="en-GB"/>
        </w:rPr>
        <w:drawing>
          <wp:inline distT="114300" distB="114300" distL="114300" distR="114300" wp14:anchorId="0CBB8B41" wp14:editId="11DA0393">
            <wp:extent cx="5727326" cy="3454400"/>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5727326" cy="3454400"/>
                    </a:xfrm>
                    <a:prstGeom prst="rect">
                      <a:avLst/>
                    </a:prstGeom>
                    <a:ln/>
                  </pic:spPr>
                </pic:pic>
              </a:graphicData>
            </a:graphic>
          </wp:inline>
        </w:drawing>
      </w:r>
    </w:p>
    <w:p w14:paraId="5BCC55CD" w14:textId="77777777" w:rsidR="00D16674" w:rsidRDefault="00963D11">
      <w:pPr>
        <w:widowControl w:val="0"/>
        <w:pBdr>
          <w:top w:val="nil"/>
          <w:left w:val="nil"/>
          <w:bottom w:val="nil"/>
          <w:right w:val="nil"/>
          <w:between w:val="nil"/>
        </w:pBdr>
        <w:spacing w:before="30" w:after="30" w:line="360" w:lineRule="auto"/>
        <w:ind w:left="12" w:right="191" w:hanging="9"/>
        <w:jc w:val="center"/>
        <w:rPr>
          <w:b/>
        </w:rPr>
      </w:pPr>
      <w:r>
        <w:rPr>
          <w:b/>
        </w:rPr>
        <w:t>Figure 15: Optimal Investment Calculations</w:t>
      </w:r>
    </w:p>
    <w:p w14:paraId="490470B0" w14:textId="77777777" w:rsidR="00D16674" w:rsidRDefault="00963D11">
      <w:pPr>
        <w:widowControl w:val="0"/>
        <w:spacing w:before="30" w:after="30" w:line="360" w:lineRule="auto"/>
        <w:ind w:left="0" w:right="191"/>
        <w:jc w:val="center"/>
      </w:pPr>
      <w:r>
        <w:t xml:space="preserve">(Source: Author) </w:t>
      </w:r>
    </w:p>
    <w:p w14:paraId="4A63FA43" w14:textId="77777777" w:rsidR="00D16674" w:rsidRDefault="00963D11">
      <w:pPr>
        <w:widowControl w:val="0"/>
        <w:pBdr>
          <w:top w:val="nil"/>
          <w:left w:val="nil"/>
          <w:bottom w:val="nil"/>
          <w:right w:val="nil"/>
          <w:between w:val="nil"/>
        </w:pBdr>
        <w:spacing w:before="30" w:after="30" w:line="360" w:lineRule="auto"/>
        <w:ind w:left="12" w:right="191" w:hanging="9"/>
      </w:pPr>
      <w:r>
        <w:t>In situations where a business is capital-constrained, there is a need to spend the available capital on investment projects yielding the best return per pound of investment (</w:t>
      </w:r>
      <w:proofErr w:type="spellStart"/>
      <w:r>
        <w:rPr>
          <w:color w:val="222222"/>
          <w:highlight w:val="white"/>
        </w:rPr>
        <w:t>Yanore</w:t>
      </w:r>
      <w:proofErr w:type="spellEnd"/>
      <w:r>
        <w:rPr>
          <w:color w:val="222222"/>
          <w:highlight w:val="white"/>
        </w:rPr>
        <w:t>, Sok, and Oude Lansink, 2023</w:t>
      </w:r>
      <w:r>
        <w:t>). The amount of capital budget in the example of Jordons Plc is limited to 2,000,000. In order to make the best out of this budget, investment options are ranked in terms of the profitability index (PI), which is actually calculated by dividing the Net Present Value of the investment (NPV) by the price of the initial investment.</w:t>
      </w:r>
    </w:p>
    <w:p w14:paraId="7884AC83" w14:textId="77777777" w:rsidR="00D16674" w:rsidRDefault="00963D11">
      <w:pPr>
        <w:widowControl w:val="0"/>
        <w:pBdr>
          <w:top w:val="nil"/>
          <w:left w:val="nil"/>
          <w:bottom w:val="nil"/>
          <w:right w:val="nil"/>
          <w:between w:val="nil"/>
        </w:pBdr>
        <w:spacing w:before="30" w:after="30" w:line="360" w:lineRule="auto"/>
        <w:ind w:left="12" w:right="191" w:hanging="9"/>
      </w:pPr>
      <w:r>
        <w:t xml:space="preserve">The profitability indexes between the three projects are placed at Option B (developing to </w:t>
      </w:r>
      <w:r>
        <w:lastRenderedPageBreak/>
        <w:t>internet sales) with PI of 0.791, followed slightly by Option A (expanding the retail outlet) and Option B with PI of 0.700 and 0.428, respectively. Looking at this ranking, it can be seen that first of all, one should fully invest in Option B, which requires an investment of 1,000,000 and gives rise to the NPV of 791,108. This repeats the previous figures with a remaining budget of 1,000,000.</w:t>
      </w:r>
    </w:p>
    <w:p w14:paraId="14DB0512" w14:textId="77777777" w:rsidR="00D16674" w:rsidRDefault="00963D11">
      <w:pPr>
        <w:widowControl w:val="0"/>
        <w:pBdr>
          <w:top w:val="nil"/>
          <w:left w:val="nil"/>
          <w:bottom w:val="nil"/>
          <w:right w:val="nil"/>
          <w:between w:val="nil"/>
        </w:pBdr>
        <w:spacing w:before="30" w:after="30" w:line="360" w:lineRule="auto"/>
        <w:ind w:left="12" w:right="191" w:hanging="9"/>
      </w:pPr>
      <w:r>
        <w:t>Then, the firm ought to invest the amount of 600,000 to finance option A at full capacity to boost an extra NPV of 420,038. This amount gives a proceeds of 400,000 remaining to be invested partly in option C. There are variations in the profitability index of each option but even in the case of Option C, which offers the lowest profitability index, deployment of a fractional amount of investment of 400,000 pounds will still add more value in the form of 137,110 pounds to the total amount. Overall, the strategy uses all the available £2,000,000 investment budget and provides a total NPV of 1,348,256.</w:t>
      </w:r>
    </w:p>
    <w:p w14:paraId="315E312C" w14:textId="16269021" w:rsidR="00D16674" w:rsidRDefault="00963D11">
      <w:pPr>
        <w:widowControl w:val="0"/>
        <w:pBdr>
          <w:top w:val="nil"/>
          <w:left w:val="nil"/>
          <w:bottom w:val="nil"/>
          <w:right w:val="nil"/>
          <w:between w:val="nil"/>
        </w:pBdr>
        <w:spacing w:before="30" w:after="30" w:line="360" w:lineRule="auto"/>
        <w:ind w:left="12" w:right="191" w:hanging="9"/>
      </w:pPr>
      <w:r>
        <w:t xml:space="preserve">Using this method will result in Jordan PLC </w:t>
      </w:r>
      <w:r w:rsidR="001B29EA">
        <w:t>maximizing</w:t>
      </w:r>
      <w:r>
        <w:t xml:space="preserve"> its returns and </w:t>
      </w:r>
      <w:r w:rsidR="001B29EA">
        <w:t>optimizing</w:t>
      </w:r>
      <w:r>
        <w:t xml:space="preserve"> its project through efficiency and value addition, as the criteria to choose the project need priority. It allows the company to diversify its investment and focus on high-growth sectors without losing its financial condition (</w:t>
      </w:r>
      <w:r>
        <w:rPr>
          <w:color w:val="222222"/>
          <w:highlight w:val="white"/>
        </w:rPr>
        <w:t xml:space="preserve">Zhang </w:t>
      </w:r>
      <w:r>
        <w:rPr>
          <w:i/>
          <w:color w:val="222222"/>
          <w:highlight w:val="white"/>
        </w:rPr>
        <w:t xml:space="preserve">et al. </w:t>
      </w:r>
      <w:r>
        <w:rPr>
          <w:color w:val="222222"/>
          <w:highlight w:val="white"/>
        </w:rPr>
        <w:t>2022</w:t>
      </w:r>
      <w:r>
        <w:t xml:space="preserve">). The company, through this strategy, will be able to increase the wealth of shareholders and strategically grow in a profitable manner. </w:t>
      </w:r>
    </w:p>
    <w:p w14:paraId="05913037" w14:textId="77777777" w:rsidR="00D16674" w:rsidRDefault="00963D11">
      <w:pPr>
        <w:pStyle w:val="Heading1"/>
        <w:widowControl w:val="0"/>
        <w:ind w:left="12" w:right="191" w:hanging="9"/>
      </w:pPr>
      <w:bookmarkStart w:id="24" w:name="_gmbs5ptv50g5" w:colFirst="0" w:colLast="0"/>
      <w:bookmarkStart w:id="25" w:name="_Toc203841984"/>
      <w:bookmarkEnd w:id="24"/>
      <w:r>
        <w:t>Conclusion</w:t>
      </w:r>
      <w:bookmarkEnd w:id="25"/>
    </w:p>
    <w:p w14:paraId="2DF36F8B" w14:textId="3829AAC5" w:rsidR="00D16674" w:rsidRDefault="00963D11">
      <w:pPr>
        <w:widowControl w:val="0"/>
        <w:pBdr>
          <w:top w:val="nil"/>
          <w:left w:val="nil"/>
          <w:bottom w:val="nil"/>
          <w:right w:val="nil"/>
          <w:between w:val="nil"/>
        </w:pBdr>
        <w:spacing w:before="30" w:after="30" w:line="360" w:lineRule="auto"/>
        <w:ind w:left="0" w:right="0"/>
      </w:pPr>
      <w:r>
        <w:t xml:space="preserve">In this analysis report, it is shown that Admiral Group PLC has good profitability, efficient asset </w:t>
      </w:r>
      <w:r w:rsidR="006D2A77">
        <w:t>utilization</w:t>
      </w:r>
      <w:r>
        <w:t xml:space="preserve">, and great returns to shareholders. Important factors like ROCE and EPS indicate that 2024 is a good financial year for the company as it made underwriting, digital innovation, and regulatory changes this year. However, the liquidity of the firm is low according to the liquidity ratios, which indicates the reason why the short-term financial planning in the insurance industry has to be done carefully. </w:t>
      </w:r>
    </w:p>
    <w:p w14:paraId="6F0AFEDC" w14:textId="77777777" w:rsidR="00D16674" w:rsidRDefault="00963D11">
      <w:pPr>
        <w:widowControl w:val="0"/>
        <w:pBdr>
          <w:top w:val="nil"/>
          <w:left w:val="nil"/>
          <w:bottom w:val="nil"/>
          <w:right w:val="nil"/>
          <w:between w:val="nil"/>
        </w:pBdr>
        <w:spacing w:before="30" w:after="30" w:line="360" w:lineRule="auto"/>
        <w:ind w:left="0" w:right="0"/>
      </w:pPr>
      <w:r>
        <w:t xml:space="preserve">The investment appraisals, in the case of Jordon PLC, applied mainly the NPV and IRR methods for the results. It reveals that Option B (Develop into internet sales) is the most preferred investment option for the firm. The optimal investment rule in the case of capital rationing was to invest fully in option B and A, and the remaining balance in option C, and this generated a total NPV of 1348,256 pounds, hence creating maximum value. </w:t>
      </w:r>
    </w:p>
    <w:p w14:paraId="13E0362F" w14:textId="77777777" w:rsidR="00D16674" w:rsidRDefault="00963D11">
      <w:pPr>
        <w:widowControl w:val="0"/>
        <w:pBdr>
          <w:top w:val="nil"/>
          <w:left w:val="nil"/>
          <w:bottom w:val="nil"/>
          <w:right w:val="nil"/>
          <w:between w:val="nil"/>
        </w:pBdr>
        <w:spacing w:before="30" w:after="30" w:line="360" w:lineRule="auto"/>
        <w:ind w:left="0" w:right="0"/>
      </w:pPr>
      <w:r>
        <w:t>As a strategic measure must maintain proper control over the digital financial governance system and revise its capital structure to promote sustainability. Also, Jordan Plc needs to focus both on investments in line with the long-term trends in digital consumer trends, and efficient allocation of capital under resource limitations.</w:t>
      </w:r>
    </w:p>
    <w:p w14:paraId="1B8B7115" w14:textId="1D3C0DBE" w:rsidR="00D16674" w:rsidRDefault="00963D11">
      <w:pPr>
        <w:widowControl w:val="0"/>
        <w:pBdr>
          <w:top w:val="nil"/>
          <w:left w:val="nil"/>
          <w:bottom w:val="nil"/>
          <w:right w:val="nil"/>
          <w:between w:val="nil"/>
        </w:pBdr>
        <w:spacing w:before="30" w:after="30" w:line="360" w:lineRule="auto"/>
        <w:ind w:left="0" w:right="0"/>
      </w:pPr>
      <w:r>
        <w:lastRenderedPageBreak/>
        <w:t xml:space="preserve">Finally, this report highlights the need to carry out quality financial analysis and investment planning. Proper use of ratios coupled with effective capital budget techniques such as NPV and IRR, allows an </w:t>
      </w:r>
      <w:r w:rsidR="001B29EA">
        <w:t>organization</w:t>
      </w:r>
      <w:r>
        <w:t xml:space="preserve"> to make strategic </w:t>
      </w:r>
      <w:r w:rsidR="001B29EA">
        <w:t>decisions</w:t>
      </w:r>
      <w:r>
        <w:t xml:space="preserve">. Such practices are not only healthy for finances but also increase stakeholder confidence as well as long-term business resilience. </w:t>
      </w:r>
    </w:p>
    <w:p w14:paraId="4F7DFB75" w14:textId="77777777" w:rsidR="00D16674" w:rsidRDefault="00963D11">
      <w:pPr>
        <w:widowControl w:val="0"/>
        <w:pBdr>
          <w:top w:val="nil"/>
          <w:left w:val="nil"/>
          <w:bottom w:val="nil"/>
          <w:right w:val="nil"/>
          <w:between w:val="nil"/>
        </w:pBdr>
        <w:spacing w:before="30" w:after="30" w:line="360" w:lineRule="auto"/>
        <w:ind w:left="27" w:right="0"/>
        <w:jc w:val="left"/>
        <w:rPr>
          <w:sz w:val="32"/>
          <w:szCs w:val="32"/>
        </w:rPr>
      </w:pPr>
      <w:r>
        <w:br w:type="page"/>
      </w:r>
    </w:p>
    <w:p w14:paraId="2F24A6A0" w14:textId="77777777" w:rsidR="00D16674" w:rsidRDefault="00963D11">
      <w:pPr>
        <w:pStyle w:val="Heading1"/>
        <w:widowControl w:val="0"/>
        <w:ind w:left="27" w:right="0"/>
        <w:rPr>
          <w:sz w:val="32"/>
          <w:szCs w:val="32"/>
        </w:rPr>
      </w:pPr>
      <w:bookmarkStart w:id="26" w:name="_k4fzuobs8qvm" w:colFirst="0" w:colLast="0"/>
      <w:bookmarkStart w:id="27" w:name="_Toc203841985"/>
      <w:bookmarkEnd w:id="26"/>
      <w:r>
        <w:lastRenderedPageBreak/>
        <w:t>Bibliography</w:t>
      </w:r>
      <w:bookmarkEnd w:id="27"/>
    </w:p>
    <w:p w14:paraId="396BE08B" w14:textId="77777777" w:rsidR="0083771E" w:rsidRDefault="0083771E">
      <w:pPr>
        <w:spacing w:before="30" w:after="30" w:line="360" w:lineRule="auto"/>
        <w:ind w:left="0"/>
      </w:pPr>
      <w:proofErr w:type="spellStart"/>
      <w:r>
        <w:t>Admiralgroup</w:t>
      </w:r>
      <w:proofErr w:type="spellEnd"/>
      <w:r>
        <w:t xml:space="preserve">, 2024. Annual Report 2024. Available at: </w:t>
      </w:r>
      <w:hyperlink r:id="rId24">
        <w:r>
          <w:rPr>
            <w:color w:val="1155CC"/>
            <w:u w:val="single"/>
          </w:rPr>
          <w:t>https://admiralgroup.co.uk/static-files/bb441754-520f-4110-9ff1-fc6c286de099</w:t>
        </w:r>
      </w:hyperlink>
      <w:r>
        <w:t xml:space="preserve"> </w:t>
      </w:r>
    </w:p>
    <w:p w14:paraId="7A920929" w14:textId="77777777" w:rsidR="0083771E" w:rsidRDefault="0083771E">
      <w:pPr>
        <w:widowControl w:val="0"/>
        <w:pBdr>
          <w:top w:val="nil"/>
          <w:left w:val="nil"/>
          <w:bottom w:val="nil"/>
          <w:right w:val="nil"/>
          <w:between w:val="nil"/>
        </w:pBdr>
        <w:spacing w:before="30" w:after="30" w:line="360" w:lineRule="auto"/>
        <w:ind w:left="0" w:right="0"/>
        <w:rPr>
          <w:color w:val="222222"/>
          <w:highlight w:val="white"/>
        </w:rPr>
      </w:pPr>
      <w:r>
        <w:rPr>
          <w:color w:val="222222"/>
          <w:highlight w:val="white"/>
        </w:rPr>
        <w:t xml:space="preserve">Admiralgroup.co.uk, (2025). About the Admiral Group. Available at: </w:t>
      </w:r>
      <w:hyperlink r:id="rId25">
        <w:r>
          <w:rPr>
            <w:color w:val="1155CC"/>
            <w:highlight w:val="white"/>
            <w:u w:val="single"/>
          </w:rPr>
          <w:t>https://www.admiralgroup.co.uk/who-we-are/about-us</w:t>
        </w:r>
      </w:hyperlink>
      <w:r>
        <w:t>[</w:t>
      </w:r>
      <w:hyperlink r:id="rId26">
        <w:r>
          <w:rPr>
            <w:highlight w:val="white"/>
          </w:rPr>
          <w:t>Accessed</w:t>
        </w:r>
      </w:hyperlink>
      <w:r>
        <w:rPr>
          <w:color w:val="222222"/>
          <w:highlight w:val="white"/>
        </w:rPr>
        <w:t>: 19 July, 2025]</w:t>
      </w:r>
    </w:p>
    <w:p w14:paraId="4F7673D6" w14:textId="77777777" w:rsidR="0083771E" w:rsidRDefault="0083771E">
      <w:pPr>
        <w:spacing w:before="30" w:after="30" w:line="360" w:lineRule="auto"/>
        <w:ind w:left="0"/>
      </w:pPr>
      <w:proofErr w:type="spellStart"/>
      <w:r>
        <w:t>Asadujjaman</w:t>
      </w:r>
      <w:proofErr w:type="spellEnd"/>
      <w:r>
        <w:t xml:space="preserve">, M., Rahman, H.F., </w:t>
      </w:r>
      <w:proofErr w:type="spellStart"/>
      <w:r>
        <w:t>Chakrabortty</w:t>
      </w:r>
      <w:proofErr w:type="spellEnd"/>
      <w:r>
        <w:t>, R.K. and Ryan, M.J., 2021. An immune genetic algorithm for solving NPV-based resource constrained project scheduling problem. IEEE Access, 9, pp.26177-26195.</w:t>
      </w:r>
      <w:hyperlink r:id="rId27">
        <w:r>
          <w:rPr>
            <w:color w:val="1155CC"/>
            <w:u w:val="single"/>
          </w:rPr>
          <w:t>https://ieeexplore.ieee.org/abstract/document/9348902/</w:t>
        </w:r>
      </w:hyperlink>
    </w:p>
    <w:p w14:paraId="0E46C205" w14:textId="77777777" w:rsidR="0083771E" w:rsidRDefault="0083771E">
      <w:pPr>
        <w:spacing w:before="30" w:after="30" w:line="360" w:lineRule="auto"/>
        <w:ind w:left="0"/>
        <w:rPr>
          <w:color w:val="222222"/>
          <w:highlight w:val="white"/>
        </w:rPr>
      </w:pPr>
      <w:r>
        <w:rPr>
          <w:color w:val="222222"/>
          <w:highlight w:val="white"/>
        </w:rPr>
        <w:t xml:space="preserve">Astuti, W., 2021. A literature review of net profit margin. Social Science Studies, 1(2), pp.115-128. </w:t>
      </w:r>
      <w:hyperlink r:id="rId28">
        <w:r>
          <w:rPr>
            <w:color w:val="1155CC"/>
            <w:highlight w:val="white"/>
            <w:u w:val="single"/>
          </w:rPr>
          <w:t>https://profesionalmudacendekia.com/index.php/sss/article/download/226/109</w:t>
        </w:r>
      </w:hyperlink>
      <w:r>
        <w:rPr>
          <w:color w:val="222222"/>
          <w:highlight w:val="white"/>
        </w:rPr>
        <w:t xml:space="preserve"> </w:t>
      </w:r>
    </w:p>
    <w:p w14:paraId="4B8DF529" w14:textId="77777777" w:rsidR="0083771E" w:rsidRDefault="0083771E">
      <w:pPr>
        <w:spacing w:before="30" w:after="30" w:line="360" w:lineRule="auto"/>
        <w:ind w:left="0"/>
      </w:pPr>
      <w:r>
        <w:t xml:space="preserve">Babaei SA, B. and </w:t>
      </w:r>
      <w:proofErr w:type="spellStart"/>
      <w:r>
        <w:t>Jassbi</w:t>
      </w:r>
      <w:proofErr w:type="spellEnd"/>
      <w:r>
        <w:t>, A.J., 2022. Modified simple average internal rate of return. The Engineering Economist, 67(2), pp.157-169.https://www.tandfonline.com/doi/abs/10.1080/0013791X.2021.1944413</w:t>
      </w:r>
    </w:p>
    <w:p w14:paraId="2002FA57" w14:textId="77777777" w:rsidR="0083771E" w:rsidRDefault="0083771E">
      <w:pPr>
        <w:spacing w:before="30" w:after="30" w:line="360" w:lineRule="auto"/>
        <w:ind w:left="0"/>
      </w:pPr>
      <w:r>
        <w:t>Bae, G., Yoon, A. and Kim, S., 2024. Incentive Determination for Demand Response Considering Internal Rate of Return. Energies, 17(22), p.5660.</w:t>
      </w:r>
      <w:hyperlink r:id="rId29">
        <w:r>
          <w:rPr>
            <w:color w:val="1155CC"/>
            <w:u w:val="single"/>
          </w:rPr>
          <w:t>https://www.mdpi.com/1996-1073/17/22/5660</w:t>
        </w:r>
      </w:hyperlink>
    </w:p>
    <w:p w14:paraId="2D4AAA48" w14:textId="77777777" w:rsidR="0083771E" w:rsidRDefault="0083771E">
      <w:pPr>
        <w:spacing w:before="30" w:after="30" w:line="360" w:lineRule="auto"/>
        <w:ind w:left="0"/>
        <w:rPr>
          <w:color w:val="222222"/>
          <w:highlight w:val="white"/>
        </w:rPr>
      </w:pPr>
      <w:proofErr w:type="spellStart"/>
      <w:r>
        <w:rPr>
          <w:color w:val="222222"/>
          <w:highlight w:val="white"/>
        </w:rPr>
        <w:t>Chairunisa</w:t>
      </w:r>
      <w:proofErr w:type="spellEnd"/>
      <w:r>
        <w:rPr>
          <w:color w:val="222222"/>
          <w:highlight w:val="white"/>
        </w:rPr>
        <w:t xml:space="preserve">, S.S., </w:t>
      </w:r>
      <w:proofErr w:type="spellStart"/>
      <w:r>
        <w:rPr>
          <w:color w:val="222222"/>
          <w:highlight w:val="white"/>
        </w:rPr>
        <w:t>Digdowiseiso</w:t>
      </w:r>
      <w:proofErr w:type="spellEnd"/>
      <w:r>
        <w:rPr>
          <w:color w:val="222222"/>
          <w:highlight w:val="white"/>
        </w:rPr>
        <w:t xml:space="preserve">, K. and </w:t>
      </w:r>
      <w:proofErr w:type="spellStart"/>
      <w:r>
        <w:rPr>
          <w:color w:val="222222"/>
          <w:highlight w:val="white"/>
        </w:rPr>
        <w:t>Karyatun</w:t>
      </w:r>
      <w:proofErr w:type="spellEnd"/>
      <w:r>
        <w:rPr>
          <w:color w:val="222222"/>
          <w:highlight w:val="white"/>
        </w:rPr>
        <w:t xml:space="preserve">, S., 2023. The Effect of Total Assets Turnover, Debt to Assets Ratio, Cash Ratio and Current Ratio on Financial Performance of Companies </w:t>
      </w:r>
      <w:proofErr w:type="gramStart"/>
      <w:r>
        <w:rPr>
          <w:color w:val="222222"/>
          <w:highlight w:val="white"/>
        </w:rPr>
        <w:t>The</w:t>
      </w:r>
      <w:proofErr w:type="gramEnd"/>
      <w:r>
        <w:rPr>
          <w:color w:val="222222"/>
          <w:highlight w:val="white"/>
        </w:rPr>
        <w:t xml:space="preserve"> Hotel, Restaurant and Tourism Subsector in IDX for The Period 2016-2020. </w:t>
      </w:r>
      <w:proofErr w:type="spellStart"/>
      <w:r>
        <w:rPr>
          <w:color w:val="222222"/>
          <w:highlight w:val="white"/>
        </w:rPr>
        <w:t>Jurnal</w:t>
      </w:r>
      <w:proofErr w:type="spellEnd"/>
      <w:r>
        <w:rPr>
          <w:color w:val="222222"/>
          <w:highlight w:val="white"/>
        </w:rPr>
        <w:t xml:space="preserve"> Syntax Admiration, 4(3), pp.548-558. </w:t>
      </w:r>
      <w:hyperlink r:id="rId30">
        <w:r>
          <w:rPr>
            <w:color w:val="1155CC"/>
            <w:highlight w:val="white"/>
            <w:u w:val="single"/>
          </w:rPr>
          <w:t>https://jurnalsyntaxadmiration.com/index.php/jurnal/article/download/907/1307</w:t>
        </w:r>
      </w:hyperlink>
      <w:r>
        <w:rPr>
          <w:color w:val="222222"/>
          <w:highlight w:val="white"/>
        </w:rPr>
        <w:t xml:space="preserve"> </w:t>
      </w:r>
    </w:p>
    <w:p w14:paraId="24735B5C" w14:textId="77777777" w:rsidR="0083771E" w:rsidRDefault="0083771E">
      <w:pPr>
        <w:spacing w:before="0" w:after="0" w:line="360" w:lineRule="auto"/>
        <w:ind w:left="0" w:right="0"/>
        <w:rPr>
          <w:color w:val="222222"/>
          <w:highlight w:val="white"/>
        </w:rPr>
      </w:pPr>
      <w:r>
        <w:rPr>
          <w:color w:val="222222"/>
          <w:highlight w:val="white"/>
        </w:rPr>
        <w:t xml:space="preserve">Chambers, D.M., 2024. Net Present Value Calculations for Mining Post-Closure Financial Assurance. </w:t>
      </w:r>
      <w:r>
        <w:rPr>
          <w:i/>
          <w:color w:val="222222"/>
          <w:highlight w:val="white"/>
        </w:rPr>
        <w:t>Mine Water and the Environment</w:t>
      </w:r>
      <w:r>
        <w:rPr>
          <w:color w:val="222222"/>
          <w:highlight w:val="white"/>
        </w:rPr>
        <w:t xml:space="preserve">, </w:t>
      </w:r>
      <w:r>
        <w:rPr>
          <w:i/>
          <w:color w:val="222222"/>
          <w:highlight w:val="white"/>
        </w:rPr>
        <w:t>43</w:t>
      </w:r>
      <w:r>
        <w:rPr>
          <w:color w:val="222222"/>
          <w:highlight w:val="white"/>
        </w:rPr>
        <w:t>(3), pp.511-515.</w:t>
      </w:r>
      <w:hyperlink r:id="rId31">
        <w:r>
          <w:rPr>
            <w:color w:val="1155CC"/>
            <w:highlight w:val="white"/>
            <w:u w:val="single"/>
          </w:rPr>
          <w:t>https://link.springer.com/article/10.1007/s10230-024-00995-1</w:t>
        </w:r>
      </w:hyperlink>
    </w:p>
    <w:p w14:paraId="78848BAB" w14:textId="77777777" w:rsidR="0083771E" w:rsidRDefault="0083771E">
      <w:pPr>
        <w:spacing w:before="30" w:after="30" w:line="360" w:lineRule="auto"/>
        <w:ind w:left="0"/>
        <w:rPr>
          <w:color w:val="222222"/>
          <w:highlight w:val="white"/>
        </w:rPr>
      </w:pPr>
      <w:r>
        <w:rPr>
          <w:color w:val="222222"/>
          <w:highlight w:val="white"/>
        </w:rPr>
        <w:t xml:space="preserve">Chen, H. and Yoon, S.S., 2022. Does technology innovation in finance alleviate financing constraints and reduce debt-financing costs? Evidence from China. Asia Pacific Business Review, 28(4), pp.467-492. </w:t>
      </w:r>
      <w:hyperlink r:id="rId32">
        <w:r>
          <w:rPr>
            <w:color w:val="1155CC"/>
            <w:highlight w:val="white"/>
            <w:u w:val="single"/>
          </w:rPr>
          <w:t>https://www.researchgate.net/profile/Soon-Yoon-5/publication/348883329_Does_technology_innovation_in_finance_alleviate_financing_constraints_and_reduce_debt-financing_costs_Evidence_from_China/links/605f3b5d92851cd8ce6fa04d/Does-technology-innovation-in-finance-alleviate-financing-constraints-and-reduce-debt-financing-costs-Evidence-from-China.pdf?origin=journalDetail&amp;_tp=eyJwYWdlIjoiam91cm5hbERldGFpbCJ9</w:t>
        </w:r>
      </w:hyperlink>
      <w:r>
        <w:rPr>
          <w:color w:val="222222"/>
          <w:highlight w:val="white"/>
        </w:rPr>
        <w:t xml:space="preserve"> </w:t>
      </w:r>
    </w:p>
    <w:p w14:paraId="0FEF289E" w14:textId="77777777" w:rsidR="0083771E" w:rsidRDefault="0083771E">
      <w:pPr>
        <w:spacing w:before="30" w:after="30" w:line="360" w:lineRule="auto"/>
        <w:ind w:left="0"/>
        <w:rPr>
          <w:color w:val="222222"/>
          <w:highlight w:val="white"/>
        </w:rPr>
      </w:pPr>
      <w:proofErr w:type="spellStart"/>
      <w:r>
        <w:rPr>
          <w:color w:val="222222"/>
          <w:highlight w:val="white"/>
        </w:rPr>
        <w:lastRenderedPageBreak/>
        <w:t>Ezennia</w:t>
      </w:r>
      <w:proofErr w:type="spellEnd"/>
      <w:r>
        <w:rPr>
          <w:color w:val="222222"/>
          <w:highlight w:val="white"/>
        </w:rPr>
        <w:t xml:space="preserve">, A.S. and </w:t>
      </w:r>
      <w:proofErr w:type="spellStart"/>
      <w:r>
        <w:rPr>
          <w:color w:val="222222"/>
          <w:highlight w:val="white"/>
        </w:rPr>
        <w:t>Amahalu</w:t>
      </w:r>
      <w:proofErr w:type="spellEnd"/>
      <w:r>
        <w:rPr>
          <w:color w:val="222222"/>
          <w:highlight w:val="white"/>
        </w:rPr>
        <w:t xml:space="preserve">, N.N., 2024. GEARING RATIO AND PROFITABILITY OF LISTED CONSTRUCTION FIRMS IN NIGERIA. International Review of Financial Studies, 1(2), pp.1-37. </w:t>
      </w:r>
      <w:hyperlink r:id="rId33">
        <w:r>
          <w:rPr>
            <w:color w:val="1155CC"/>
            <w:highlight w:val="white"/>
            <w:u w:val="single"/>
          </w:rPr>
          <w:t>https://journals.unizik.edu.ng/irofs/article/download/5672/4708</w:t>
        </w:r>
      </w:hyperlink>
      <w:r>
        <w:rPr>
          <w:color w:val="222222"/>
          <w:highlight w:val="white"/>
        </w:rPr>
        <w:t xml:space="preserve"> </w:t>
      </w:r>
    </w:p>
    <w:p w14:paraId="64F5F4DC" w14:textId="77777777" w:rsidR="0083771E" w:rsidRDefault="0083771E">
      <w:pPr>
        <w:spacing w:before="0" w:after="0" w:line="360" w:lineRule="auto"/>
        <w:ind w:left="0" w:right="0"/>
        <w:rPr>
          <w:color w:val="222222"/>
          <w:highlight w:val="white"/>
        </w:rPr>
      </w:pPr>
      <w:r>
        <w:rPr>
          <w:color w:val="222222"/>
          <w:highlight w:val="white"/>
        </w:rPr>
        <w:t xml:space="preserve">Hussain, A., Khalid, Q.S., </w:t>
      </w:r>
      <w:proofErr w:type="spellStart"/>
      <w:r>
        <w:rPr>
          <w:color w:val="222222"/>
          <w:highlight w:val="white"/>
        </w:rPr>
        <w:t>Alkahtani</w:t>
      </w:r>
      <w:proofErr w:type="spellEnd"/>
      <w:r>
        <w:rPr>
          <w:color w:val="222222"/>
          <w:highlight w:val="white"/>
        </w:rPr>
        <w:t xml:space="preserve">, M. and Khan, A.M., 2024. A mathematical model for optimizing NPV and greenhouse gases for construction projects under carbon emissions constraints. </w:t>
      </w:r>
      <w:r>
        <w:rPr>
          <w:i/>
          <w:color w:val="222222"/>
          <w:highlight w:val="white"/>
        </w:rPr>
        <w:t>IEEE Access</w:t>
      </w:r>
      <w:r>
        <w:rPr>
          <w:color w:val="222222"/>
          <w:highlight w:val="white"/>
        </w:rPr>
        <w:t xml:space="preserve">, </w:t>
      </w:r>
      <w:r>
        <w:rPr>
          <w:i/>
          <w:color w:val="222222"/>
          <w:highlight w:val="white"/>
        </w:rPr>
        <w:t>12</w:t>
      </w:r>
      <w:r>
        <w:rPr>
          <w:color w:val="222222"/>
          <w:highlight w:val="white"/>
        </w:rPr>
        <w:t>, pp.31875-31891.</w:t>
      </w:r>
      <w:hyperlink r:id="rId34">
        <w:r>
          <w:rPr>
            <w:color w:val="1155CC"/>
            <w:highlight w:val="white"/>
            <w:u w:val="single"/>
          </w:rPr>
          <w:t>https://ieeexplore.ieee.org/abstract/document/10440077/</w:t>
        </w:r>
      </w:hyperlink>
    </w:p>
    <w:p w14:paraId="4ABF965B" w14:textId="77777777" w:rsidR="0083771E" w:rsidRDefault="0083771E">
      <w:pPr>
        <w:widowControl w:val="0"/>
        <w:pBdr>
          <w:top w:val="nil"/>
          <w:left w:val="nil"/>
          <w:bottom w:val="nil"/>
          <w:right w:val="nil"/>
          <w:between w:val="nil"/>
        </w:pBdr>
        <w:spacing w:before="30" w:after="30" w:line="360" w:lineRule="auto"/>
        <w:ind w:left="0" w:right="0"/>
        <w:rPr>
          <w:color w:val="222222"/>
          <w:highlight w:val="white"/>
        </w:rPr>
      </w:pPr>
      <w:r>
        <w:rPr>
          <w:color w:val="222222"/>
          <w:highlight w:val="white"/>
        </w:rPr>
        <w:t xml:space="preserve">Jain, Y.K., 2024. </w:t>
      </w:r>
      <w:r>
        <w:rPr>
          <w:i/>
          <w:color w:val="222222"/>
          <w:highlight w:val="white"/>
        </w:rPr>
        <w:t>Financial Management and Market Dynamics</w:t>
      </w:r>
      <w:r>
        <w:rPr>
          <w:color w:val="222222"/>
          <w:highlight w:val="white"/>
        </w:rPr>
        <w:t>. Xoffencerpublication.</w:t>
      </w:r>
      <w:hyperlink r:id="rId35">
        <w:r>
          <w:rPr>
            <w:color w:val="1155CC"/>
            <w:highlight w:val="white"/>
            <w:u w:val="single"/>
          </w:rPr>
          <w:t>https://books.google.com/books?hl=en&amp;lr=&amp;id=XIsrEQAAQBAJ&amp;oi=fnd&amp;pg=PA1&amp;dq=he+key+areas+of+business+finance+mainly+includes+financial+planning,+financial+analysis,+budgeting+and+forecasting,+capital+budgeting,+working+capital+management,+making+financial+decisions+with+risk+management+&amp;ots=JYybpYF-Et&amp;sig=5USohf2XXYUW7scq6lhn5uPEUl0</w:t>
        </w:r>
      </w:hyperlink>
    </w:p>
    <w:p w14:paraId="32F7F342" w14:textId="77777777" w:rsidR="0083771E" w:rsidRDefault="0083771E">
      <w:pPr>
        <w:spacing w:before="30" w:after="30" w:line="360" w:lineRule="auto"/>
        <w:ind w:left="0"/>
        <w:rPr>
          <w:color w:val="222222"/>
          <w:highlight w:val="white"/>
        </w:rPr>
      </w:pPr>
      <w:r>
        <w:rPr>
          <w:color w:val="222222"/>
          <w:highlight w:val="white"/>
        </w:rPr>
        <w:t xml:space="preserve">Jiang, D., Ni, Z., Chen, Y., Chen, X. and Na, C., 2022. Influence of financial shared services on the corporate debt cost under digitalization. Sustainability, 15(1), p.428. </w:t>
      </w:r>
      <w:hyperlink r:id="rId36">
        <w:r>
          <w:rPr>
            <w:color w:val="1155CC"/>
            <w:highlight w:val="white"/>
            <w:u w:val="single"/>
          </w:rPr>
          <w:t>https://www.mdpi.com/2071-1050/15/1/428</w:t>
        </w:r>
      </w:hyperlink>
      <w:r>
        <w:rPr>
          <w:color w:val="222222"/>
          <w:highlight w:val="white"/>
        </w:rPr>
        <w:t xml:space="preserve"> </w:t>
      </w:r>
    </w:p>
    <w:p w14:paraId="6D3BE86A" w14:textId="77777777" w:rsidR="0083771E" w:rsidRDefault="0083771E">
      <w:pPr>
        <w:spacing w:before="30" w:after="30" w:line="360" w:lineRule="auto"/>
        <w:ind w:left="0"/>
      </w:pPr>
      <w:r>
        <w:t xml:space="preserve">Jurčević, J., Pavić, I., Čović, N., Dolinar, D. and </w:t>
      </w:r>
      <w:proofErr w:type="spellStart"/>
      <w:r>
        <w:t>Zoričić</w:t>
      </w:r>
      <w:proofErr w:type="spellEnd"/>
      <w:r>
        <w:t xml:space="preserve">, D., 2022. Estimation of Internal Rate of Return for Battery Storage Systems with Parallel Revenue Streams: Cycle-Cost vs. Multi-Objective </w:t>
      </w:r>
      <w:proofErr w:type="spellStart"/>
      <w:r>
        <w:t>Optimisation</w:t>
      </w:r>
      <w:proofErr w:type="spellEnd"/>
      <w:r>
        <w:t xml:space="preserve"> Approach. Energies, 15(16), p.5859.</w:t>
      </w:r>
      <w:hyperlink r:id="rId37">
        <w:r>
          <w:rPr>
            <w:color w:val="1155CC"/>
            <w:u w:val="single"/>
          </w:rPr>
          <w:t>https://www.mdpi.com/1996-1073/15/16/5859</w:t>
        </w:r>
      </w:hyperlink>
    </w:p>
    <w:p w14:paraId="2E50289D" w14:textId="77777777" w:rsidR="0083771E" w:rsidRDefault="0083771E">
      <w:pPr>
        <w:spacing w:before="0" w:after="0" w:line="360" w:lineRule="auto"/>
        <w:ind w:left="0" w:right="0"/>
        <w:rPr>
          <w:color w:val="222222"/>
          <w:highlight w:val="white"/>
        </w:rPr>
      </w:pPr>
      <w:r>
        <w:rPr>
          <w:color w:val="222222"/>
          <w:highlight w:val="white"/>
        </w:rPr>
        <w:t xml:space="preserve">Liu, M., Hao, H., Sun, X., Qu, X., Wang, K., Qian, Y., Hao, X., Xun, D., Geng, J., Dou, H. and Deng, Y., 2024. Exploring the key technologies needed for the commercialization of electric flying cars: A levelized cost and profitability analysis. </w:t>
      </w:r>
      <w:r>
        <w:rPr>
          <w:i/>
          <w:color w:val="222222"/>
          <w:highlight w:val="white"/>
        </w:rPr>
        <w:t>Energy</w:t>
      </w:r>
      <w:r>
        <w:rPr>
          <w:color w:val="222222"/>
          <w:highlight w:val="white"/>
        </w:rPr>
        <w:t xml:space="preserve">, </w:t>
      </w:r>
      <w:r>
        <w:rPr>
          <w:i/>
          <w:color w:val="222222"/>
          <w:highlight w:val="white"/>
        </w:rPr>
        <w:t>303</w:t>
      </w:r>
      <w:r>
        <w:rPr>
          <w:color w:val="222222"/>
          <w:highlight w:val="white"/>
        </w:rPr>
        <w:t>, p.131991.</w:t>
      </w:r>
      <w:hyperlink r:id="rId38">
        <w:r>
          <w:rPr>
            <w:color w:val="1155CC"/>
            <w:highlight w:val="white"/>
            <w:u w:val="single"/>
          </w:rPr>
          <w:t>https://www.sciencedirect.com/science/article/pii/S036054422401764X</w:t>
        </w:r>
      </w:hyperlink>
    </w:p>
    <w:p w14:paraId="5432DD7C" w14:textId="77777777" w:rsidR="0083771E" w:rsidRDefault="0083771E">
      <w:pPr>
        <w:spacing w:before="30" w:after="30" w:line="360" w:lineRule="auto"/>
        <w:ind w:left="0"/>
        <w:rPr>
          <w:color w:val="222222"/>
          <w:highlight w:val="white"/>
        </w:rPr>
      </w:pPr>
      <w:r>
        <w:rPr>
          <w:color w:val="222222"/>
          <w:highlight w:val="white"/>
        </w:rPr>
        <w:t xml:space="preserve">Munir, A., </w:t>
      </w:r>
      <w:proofErr w:type="spellStart"/>
      <w:r>
        <w:rPr>
          <w:color w:val="222222"/>
          <w:highlight w:val="white"/>
        </w:rPr>
        <w:t>Kartanegara</w:t>
      </w:r>
      <w:proofErr w:type="spellEnd"/>
      <w:r>
        <w:rPr>
          <w:color w:val="222222"/>
          <w:highlight w:val="white"/>
        </w:rPr>
        <w:t xml:space="preserve">, A. and Haikal, F., 2025. ANALYSIS OF THE INFLUENCE OF EARNING PER SHARE RATIO (EPS), PRICE EARNING RATIO (P/E), AND PRICE BOOK VALUE RATIO (PBV) TO STOCK PRICES IN THE TECHNOLOGY COMPANY SUB-SECTOR: Earning per Share (EPS), Price </w:t>
      </w:r>
      <w:proofErr w:type="spellStart"/>
      <w:r>
        <w:rPr>
          <w:color w:val="222222"/>
          <w:highlight w:val="white"/>
        </w:rPr>
        <w:t>Earning</w:t>
      </w:r>
      <w:proofErr w:type="spellEnd"/>
      <w:r>
        <w:rPr>
          <w:color w:val="222222"/>
          <w:highlight w:val="white"/>
        </w:rPr>
        <w:t xml:space="preserve"> Ratio (P/E), Price to Book Value (PBV), and Stock Price. Journal of Management and Leadership, 8(1), pp.47-61. </w:t>
      </w:r>
      <w:hyperlink r:id="rId39">
        <w:r>
          <w:rPr>
            <w:color w:val="1155CC"/>
            <w:highlight w:val="white"/>
            <w:u w:val="single"/>
          </w:rPr>
          <w:t>https://www.jurnal.tau.ac.id/index.php/jml/article/download/841/540</w:t>
        </w:r>
      </w:hyperlink>
      <w:r>
        <w:rPr>
          <w:color w:val="222222"/>
          <w:highlight w:val="white"/>
        </w:rPr>
        <w:t xml:space="preserve"> </w:t>
      </w:r>
    </w:p>
    <w:p w14:paraId="3E67BEB4" w14:textId="77777777" w:rsidR="0083771E" w:rsidRDefault="0083771E">
      <w:pPr>
        <w:spacing w:before="30" w:after="30" w:line="360" w:lineRule="auto"/>
        <w:ind w:left="0"/>
        <w:rPr>
          <w:color w:val="222222"/>
          <w:highlight w:val="white"/>
        </w:rPr>
      </w:pPr>
      <w:r>
        <w:rPr>
          <w:color w:val="222222"/>
          <w:highlight w:val="white"/>
        </w:rPr>
        <w:t xml:space="preserve">Owuor, G.O., </w:t>
      </w:r>
      <w:proofErr w:type="spellStart"/>
      <w:r>
        <w:rPr>
          <w:color w:val="222222"/>
          <w:highlight w:val="white"/>
        </w:rPr>
        <w:t>Agusioma</w:t>
      </w:r>
      <w:proofErr w:type="spellEnd"/>
      <w:r>
        <w:rPr>
          <w:color w:val="222222"/>
          <w:highlight w:val="white"/>
        </w:rPr>
        <w:t xml:space="preserve">, N. and Wafula, F., 2021. Effect of accounts receivable management on the financial performance of chartered public universities in Kenya. International Journal of Current Aspects in Finance, Banking and Accounting, 3(1), pp.73-83. </w:t>
      </w:r>
      <w:hyperlink r:id="rId40">
        <w:r>
          <w:rPr>
            <w:color w:val="1155CC"/>
            <w:highlight w:val="white"/>
            <w:u w:val="single"/>
          </w:rPr>
          <w:t>https://www.researchgate.net/profile/Fredrick-Wafula/publication/354377319_Effect_of_Accounts_Receivable_Management_on_Financial_Performance_of_Chartered_Public_Universities_in_Kenya/links/6537d3e424bbe32d9a6c7572/Effect-of-Accounts-Receivable-Management-on-Financial-Performance-of-Chartered-Public-Universities-in-Kenya.pdf</w:t>
        </w:r>
      </w:hyperlink>
      <w:r>
        <w:rPr>
          <w:color w:val="222222"/>
          <w:highlight w:val="white"/>
        </w:rPr>
        <w:t xml:space="preserve"> </w:t>
      </w:r>
    </w:p>
    <w:p w14:paraId="2D0BE55F" w14:textId="77777777" w:rsidR="0083771E" w:rsidRDefault="0083771E">
      <w:pPr>
        <w:spacing w:before="30" w:after="30" w:line="360" w:lineRule="auto"/>
        <w:ind w:left="0"/>
        <w:rPr>
          <w:color w:val="222222"/>
          <w:highlight w:val="white"/>
        </w:rPr>
      </w:pPr>
      <w:proofErr w:type="spellStart"/>
      <w:r>
        <w:rPr>
          <w:color w:val="222222"/>
          <w:highlight w:val="white"/>
        </w:rPr>
        <w:t>Prasetio</w:t>
      </w:r>
      <w:proofErr w:type="spellEnd"/>
      <w:r>
        <w:rPr>
          <w:color w:val="222222"/>
          <w:highlight w:val="white"/>
        </w:rPr>
        <w:t xml:space="preserve">, A.E., Azizah, A., Salma, U. and </w:t>
      </w:r>
      <w:proofErr w:type="spellStart"/>
      <w:r>
        <w:rPr>
          <w:color w:val="222222"/>
          <w:highlight w:val="white"/>
        </w:rPr>
        <w:t>Daulay</w:t>
      </w:r>
      <w:proofErr w:type="spellEnd"/>
      <w:r>
        <w:rPr>
          <w:color w:val="222222"/>
          <w:highlight w:val="white"/>
        </w:rPr>
        <w:t xml:space="preserve">, Y., 2021. The Effect of Total Assets Turnover, Current Ratio and Financial TECHNOLOGY on the Profitability of Banking Companies in Indonesia. </w:t>
      </w:r>
      <w:proofErr w:type="spellStart"/>
      <w:r>
        <w:rPr>
          <w:color w:val="222222"/>
          <w:highlight w:val="white"/>
        </w:rPr>
        <w:t>Jurnal</w:t>
      </w:r>
      <w:proofErr w:type="spellEnd"/>
      <w:r>
        <w:rPr>
          <w:color w:val="222222"/>
          <w:highlight w:val="white"/>
        </w:rPr>
        <w:t xml:space="preserve"> </w:t>
      </w:r>
      <w:proofErr w:type="spellStart"/>
      <w:r>
        <w:rPr>
          <w:color w:val="222222"/>
          <w:highlight w:val="white"/>
        </w:rPr>
        <w:t>Ilmiah</w:t>
      </w:r>
      <w:proofErr w:type="spellEnd"/>
      <w:r>
        <w:rPr>
          <w:color w:val="222222"/>
          <w:highlight w:val="white"/>
        </w:rPr>
        <w:t xml:space="preserve"> </w:t>
      </w:r>
      <w:proofErr w:type="spellStart"/>
      <w:r>
        <w:rPr>
          <w:color w:val="222222"/>
          <w:highlight w:val="white"/>
        </w:rPr>
        <w:t>Manajemen</w:t>
      </w:r>
      <w:proofErr w:type="spellEnd"/>
      <w:r>
        <w:rPr>
          <w:color w:val="222222"/>
          <w:highlight w:val="white"/>
        </w:rPr>
        <w:t xml:space="preserve"> dan </w:t>
      </w:r>
      <w:proofErr w:type="spellStart"/>
      <w:r>
        <w:rPr>
          <w:color w:val="222222"/>
          <w:highlight w:val="white"/>
        </w:rPr>
        <w:t>Bisnis</w:t>
      </w:r>
      <w:proofErr w:type="spellEnd"/>
      <w:r>
        <w:rPr>
          <w:color w:val="222222"/>
          <w:highlight w:val="white"/>
        </w:rPr>
        <w:t xml:space="preserve">, 7(2), pp.253-262. </w:t>
      </w:r>
      <w:hyperlink r:id="rId41">
        <w:r>
          <w:rPr>
            <w:color w:val="1155CC"/>
            <w:highlight w:val="white"/>
            <w:u w:val="single"/>
          </w:rPr>
          <w:t>https://www.academia.edu/download/120967809/4654.pdf</w:t>
        </w:r>
      </w:hyperlink>
      <w:r>
        <w:rPr>
          <w:color w:val="222222"/>
          <w:highlight w:val="white"/>
        </w:rPr>
        <w:t xml:space="preserve"> </w:t>
      </w:r>
    </w:p>
    <w:p w14:paraId="3C6B2928" w14:textId="77777777" w:rsidR="0083771E" w:rsidRDefault="0083771E">
      <w:pPr>
        <w:spacing w:before="30" w:after="30" w:line="360" w:lineRule="auto"/>
        <w:ind w:left="0"/>
        <w:rPr>
          <w:color w:val="222222"/>
          <w:highlight w:val="white"/>
        </w:rPr>
      </w:pPr>
      <w:r>
        <w:rPr>
          <w:color w:val="222222"/>
          <w:highlight w:val="white"/>
        </w:rPr>
        <w:t xml:space="preserve">Rashid, C.A., 2021. The efficiency of financial ratios analysis to evaluate company’s profitability. Journal of Global Economics and Business, 2(4), pp.119-132. </w:t>
      </w:r>
      <w:hyperlink r:id="rId42">
        <w:r>
          <w:rPr>
            <w:color w:val="1155CC"/>
            <w:highlight w:val="white"/>
            <w:u w:val="single"/>
          </w:rPr>
          <w:t>https://www.researchgate.net/profile/Chnar-Rashid/publication/348686551_THE_EFFICIENCY_OF_FINANCIAL_RATIOS_ANALYSIS_TO_EVALUATE_COMPANY'S_PROFITABILITY/links/600ad9df92851c13fe2b24ba/THE-EFFICIENCY-OF-FINANCIAL-RATIOS-ANALYSIS-TO-EVALUATE-COMPANYS-PROFITABILITY.pdf</w:t>
        </w:r>
      </w:hyperlink>
      <w:r>
        <w:rPr>
          <w:color w:val="222222"/>
          <w:highlight w:val="white"/>
        </w:rPr>
        <w:t xml:space="preserve"> </w:t>
      </w:r>
    </w:p>
    <w:p w14:paraId="7616AD7C" w14:textId="77777777" w:rsidR="0083771E" w:rsidRDefault="0083771E">
      <w:pPr>
        <w:spacing w:before="30" w:after="30" w:line="360" w:lineRule="auto"/>
        <w:ind w:left="0"/>
        <w:rPr>
          <w:color w:val="222222"/>
          <w:highlight w:val="white"/>
        </w:rPr>
      </w:pPr>
      <w:r>
        <w:rPr>
          <w:color w:val="222222"/>
          <w:highlight w:val="white"/>
        </w:rPr>
        <w:t xml:space="preserve">Ren, S., 2022. Optimization of enterprise financial management and decision‐making systems based on big data. Journal of Mathematics, 2022(1), p.1708506. </w:t>
      </w:r>
      <w:hyperlink r:id="rId43">
        <w:r>
          <w:rPr>
            <w:color w:val="1155CC"/>
            <w:highlight w:val="white"/>
            <w:u w:val="single"/>
          </w:rPr>
          <w:t>https://onlinelibrary.wiley.com/doi/pdf/10.1155/2022/1708506</w:t>
        </w:r>
      </w:hyperlink>
      <w:r>
        <w:rPr>
          <w:color w:val="222222"/>
          <w:highlight w:val="white"/>
        </w:rPr>
        <w:t xml:space="preserve"> </w:t>
      </w:r>
    </w:p>
    <w:p w14:paraId="5F0A5299" w14:textId="77777777" w:rsidR="0083771E" w:rsidRDefault="0083771E">
      <w:pPr>
        <w:spacing w:before="0" w:after="0" w:line="360" w:lineRule="auto"/>
        <w:ind w:left="0" w:right="0"/>
        <w:rPr>
          <w:color w:val="222222"/>
          <w:highlight w:val="white"/>
        </w:rPr>
      </w:pPr>
      <w:r>
        <w:rPr>
          <w:color w:val="222222"/>
          <w:highlight w:val="white"/>
        </w:rPr>
        <w:t xml:space="preserve">Salinas-Miranda, E., </w:t>
      </w:r>
      <w:proofErr w:type="spellStart"/>
      <w:r>
        <w:rPr>
          <w:color w:val="222222"/>
          <w:highlight w:val="white"/>
        </w:rPr>
        <w:t>Birosh</w:t>
      </w:r>
      <w:proofErr w:type="spellEnd"/>
      <w:r>
        <w:rPr>
          <w:color w:val="222222"/>
          <w:highlight w:val="white"/>
        </w:rPr>
        <w:t xml:space="preserve">, A., </w:t>
      </w:r>
      <w:proofErr w:type="spellStart"/>
      <w:r>
        <w:rPr>
          <w:color w:val="222222"/>
          <w:highlight w:val="white"/>
        </w:rPr>
        <w:t>Mcinnes</w:t>
      </w:r>
      <w:proofErr w:type="spellEnd"/>
      <w:r>
        <w:rPr>
          <w:color w:val="222222"/>
          <w:highlight w:val="white"/>
        </w:rPr>
        <w:t xml:space="preserve">, M.D., Breau, R.H., Lam, E., McGrath, T.A., Flood, T.A. and </w:t>
      </w:r>
      <w:proofErr w:type="spellStart"/>
      <w:r>
        <w:rPr>
          <w:color w:val="222222"/>
          <w:highlight w:val="white"/>
        </w:rPr>
        <w:t>Schieda</w:t>
      </w:r>
      <w:proofErr w:type="spellEnd"/>
      <w:r>
        <w:rPr>
          <w:color w:val="222222"/>
          <w:highlight w:val="white"/>
        </w:rPr>
        <w:t xml:space="preserve">, N., 2025. NPV of </w:t>
      </w:r>
      <w:proofErr w:type="spellStart"/>
      <w:r>
        <w:rPr>
          <w:color w:val="222222"/>
          <w:highlight w:val="white"/>
        </w:rPr>
        <w:t>biparametric</w:t>
      </w:r>
      <w:proofErr w:type="spellEnd"/>
      <w:r>
        <w:rPr>
          <w:color w:val="222222"/>
          <w:highlight w:val="white"/>
        </w:rPr>
        <w:t xml:space="preserve"> and multiparametric prostate MRI: a comparative systematic review and meta-analysis. </w:t>
      </w:r>
      <w:r>
        <w:rPr>
          <w:i/>
          <w:color w:val="222222"/>
          <w:highlight w:val="white"/>
        </w:rPr>
        <w:t>American Journal of Roentgenology</w:t>
      </w:r>
      <w:r>
        <w:rPr>
          <w:color w:val="222222"/>
          <w:highlight w:val="white"/>
        </w:rPr>
        <w:t xml:space="preserve">, </w:t>
      </w:r>
      <w:r>
        <w:rPr>
          <w:i/>
          <w:color w:val="222222"/>
          <w:highlight w:val="white"/>
        </w:rPr>
        <w:t>224</w:t>
      </w:r>
      <w:r>
        <w:rPr>
          <w:color w:val="222222"/>
          <w:highlight w:val="white"/>
        </w:rPr>
        <w:t>(5), p.e2432328.</w:t>
      </w:r>
      <w:hyperlink r:id="rId44">
        <w:r>
          <w:rPr>
            <w:color w:val="1155CC"/>
            <w:highlight w:val="white"/>
            <w:u w:val="single"/>
          </w:rPr>
          <w:t>https://ajronline.org/</w:t>
        </w:r>
        <w:proofErr w:type="spellStart"/>
        <w:r>
          <w:rPr>
            <w:color w:val="1155CC"/>
            <w:highlight w:val="white"/>
            <w:u w:val="single"/>
          </w:rPr>
          <w:t>doi</w:t>
        </w:r>
        <w:proofErr w:type="spellEnd"/>
        <w:r>
          <w:rPr>
            <w:color w:val="1155CC"/>
            <w:highlight w:val="white"/>
            <w:u w:val="single"/>
          </w:rPr>
          <w:t>/abs/10.2214/ajr.24.32328</w:t>
        </w:r>
      </w:hyperlink>
    </w:p>
    <w:p w14:paraId="2A0FAECB" w14:textId="77777777" w:rsidR="0083771E" w:rsidRDefault="0083771E">
      <w:pPr>
        <w:spacing w:before="30" w:after="30" w:line="360" w:lineRule="auto"/>
        <w:ind w:left="0"/>
      </w:pPr>
      <w:r>
        <w:t>Sarsour, W.M. and Sabri, S.R.M., 2021, November. Investment valuation and the performance of companies with modified internal rate of return: A simulation Markov chain. In AIP Conference Proceedings (Vol. 2423, No. 1, p. 030006). AIP Publishing LLC.</w:t>
      </w:r>
      <w:hyperlink r:id="rId45">
        <w:r>
          <w:rPr>
            <w:color w:val="1155CC"/>
            <w:u w:val="single"/>
          </w:rPr>
          <w:t>https://pubs.aip.org/aip/acp/article-abstract/2423/1/030006/724663</w:t>
        </w:r>
      </w:hyperlink>
    </w:p>
    <w:p w14:paraId="36B17B36" w14:textId="77777777" w:rsidR="0083771E" w:rsidRDefault="0083771E">
      <w:pPr>
        <w:spacing w:before="30" w:after="30" w:line="360" w:lineRule="auto"/>
        <w:ind w:left="0"/>
      </w:pPr>
      <w:r>
        <w:t>Shou, T., 2022, July. A literature review on the net present value (NPV) valuation method. In 2022 2nd International Conference on Enterprise Management and Economic Development (ICEMED 2022) (pp. 826-830). Atlantis Press.</w:t>
      </w:r>
      <w:hyperlink r:id="rId46">
        <w:r>
          <w:rPr>
            <w:color w:val="1155CC"/>
            <w:u w:val="single"/>
          </w:rPr>
          <w:t>https://www.atlantis-press.com/proceedings/icemed-22/125975449</w:t>
        </w:r>
      </w:hyperlink>
    </w:p>
    <w:p w14:paraId="51D09BCF" w14:textId="77777777" w:rsidR="0083771E" w:rsidRDefault="0083771E">
      <w:pPr>
        <w:spacing w:before="30" w:after="30" w:line="360" w:lineRule="auto"/>
        <w:ind w:left="0"/>
        <w:rPr>
          <w:color w:val="222222"/>
          <w:highlight w:val="white"/>
        </w:rPr>
      </w:pPr>
      <w:r>
        <w:lastRenderedPageBreak/>
        <w:t>Statista.com, (2025). Internet sales in the UK. Available at: https://www.statista.com/statistics/380070/uk-internet-retail-monthly-sales-value/[</w:t>
      </w:r>
      <w:hyperlink r:id="rId47">
        <w:r>
          <w:rPr>
            <w:highlight w:val="white"/>
          </w:rPr>
          <w:t>Accessed</w:t>
        </w:r>
      </w:hyperlink>
      <w:r>
        <w:rPr>
          <w:color w:val="222222"/>
          <w:highlight w:val="white"/>
        </w:rPr>
        <w:t>: 19 July, 2025]</w:t>
      </w:r>
    </w:p>
    <w:p w14:paraId="4AF64232" w14:textId="77777777" w:rsidR="0083771E" w:rsidRDefault="0083771E">
      <w:pPr>
        <w:spacing w:before="30" w:after="30" w:line="360" w:lineRule="auto"/>
        <w:ind w:left="0"/>
        <w:rPr>
          <w:color w:val="222222"/>
          <w:highlight w:val="white"/>
        </w:rPr>
      </w:pPr>
      <w:proofErr w:type="spellStart"/>
      <w:r>
        <w:rPr>
          <w:color w:val="222222"/>
          <w:highlight w:val="white"/>
        </w:rPr>
        <w:t>Tulung</w:t>
      </w:r>
      <w:proofErr w:type="spellEnd"/>
      <w:r>
        <w:rPr>
          <w:color w:val="222222"/>
          <w:highlight w:val="white"/>
        </w:rPr>
        <w:t xml:space="preserve">, J.E., </w:t>
      </w:r>
      <w:proofErr w:type="spellStart"/>
      <w:r>
        <w:rPr>
          <w:color w:val="222222"/>
          <w:highlight w:val="white"/>
        </w:rPr>
        <w:t>Sondakh</w:t>
      </w:r>
      <w:proofErr w:type="spellEnd"/>
      <w:r>
        <w:rPr>
          <w:color w:val="222222"/>
          <w:highlight w:val="white"/>
        </w:rPr>
        <w:t xml:space="preserve">, J.J., Wangke, S.J.C. and </w:t>
      </w:r>
      <w:proofErr w:type="spellStart"/>
      <w:r>
        <w:rPr>
          <w:color w:val="222222"/>
          <w:highlight w:val="white"/>
        </w:rPr>
        <w:t>Posumah</w:t>
      </w:r>
      <w:proofErr w:type="spellEnd"/>
      <w:r>
        <w:rPr>
          <w:color w:val="222222"/>
          <w:highlight w:val="white"/>
        </w:rPr>
        <w:t xml:space="preserve">, R.F.K., 2024. EFFECTS OF CAPITAL RATIO, QUALITY OF RECEIVABLES, LIQUIDITY, AND GEARING RATIO ON PROFITABILITY: A STUDY FINANCIAL INSTITUTIONS’ GOVERNANCE. Journal of Governance and Regulation/Volume, 13(3). </w:t>
      </w:r>
      <w:hyperlink r:id="rId48">
        <w:r>
          <w:rPr>
            <w:color w:val="1155CC"/>
            <w:highlight w:val="white"/>
            <w:u w:val="single"/>
          </w:rPr>
          <w:t>https://virtusinterpress.org/IMG/pdf/jgrv13i3art4.pdf</w:t>
        </w:r>
      </w:hyperlink>
      <w:r>
        <w:rPr>
          <w:color w:val="222222"/>
          <w:highlight w:val="white"/>
        </w:rPr>
        <w:t xml:space="preserve"> </w:t>
      </w:r>
    </w:p>
    <w:p w14:paraId="64564484" w14:textId="77777777" w:rsidR="0083771E" w:rsidRDefault="0083771E">
      <w:pPr>
        <w:spacing w:before="0" w:after="0" w:line="360" w:lineRule="auto"/>
        <w:ind w:left="0" w:right="0"/>
        <w:rPr>
          <w:color w:val="222222"/>
          <w:highlight w:val="white"/>
        </w:rPr>
      </w:pPr>
      <w:r>
        <w:rPr>
          <w:color w:val="222222"/>
          <w:highlight w:val="white"/>
        </w:rPr>
        <w:t xml:space="preserve">Uhlemann, J.P.R., Oude Lansink, A., Leahy, J.J. and </w:t>
      </w:r>
      <w:proofErr w:type="spellStart"/>
      <w:r>
        <w:rPr>
          <w:color w:val="222222"/>
          <w:highlight w:val="white"/>
        </w:rPr>
        <w:t>Dalhaus</w:t>
      </w:r>
      <w:proofErr w:type="spellEnd"/>
      <w:r>
        <w:rPr>
          <w:color w:val="222222"/>
          <w:highlight w:val="white"/>
        </w:rPr>
        <w:t xml:space="preserve">, T., 2024. Do investments in phosphorus recovery from dairy processing wastewater pay </w:t>
      </w:r>
      <w:proofErr w:type="gramStart"/>
      <w:r>
        <w:rPr>
          <w:color w:val="222222"/>
          <w:highlight w:val="white"/>
        </w:rPr>
        <w:t>off?.</w:t>
      </w:r>
      <w:proofErr w:type="gramEnd"/>
      <w:r>
        <w:rPr>
          <w:color w:val="222222"/>
          <w:highlight w:val="white"/>
        </w:rPr>
        <w:t xml:space="preserve"> </w:t>
      </w:r>
      <w:r>
        <w:rPr>
          <w:i/>
          <w:color w:val="222222"/>
          <w:highlight w:val="white"/>
        </w:rPr>
        <w:t>Journal of Environmental Management</w:t>
      </w:r>
      <w:r>
        <w:rPr>
          <w:color w:val="222222"/>
          <w:highlight w:val="white"/>
        </w:rPr>
        <w:t xml:space="preserve">, </w:t>
      </w:r>
      <w:r>
        <w:rPr>
          <w:i/>
          <w:color w:val="222222"/>
          <w:highlight w:val="white"/>
        </w:rPr>
        <w:t>357</w:t>
      </w:r>
      <w:r>
        <w:rPr>
          <w:color w:val="222222"/>
          <w:highlight w:val="white"/>
        </w:rPr>
        <w:t>, p.120606.</w:t>
      </w:r>
      <w:hyperlink r:id="rId49">
        <w:r>
          <w:rPr>
            <w:color w:val="1155CC"/>
            <w:highlight w:val="white"/>
            <w:u w:val="single"/>
          </w:rPr>
          <w:t>https://www.sciencedirect.com/science/article/pii/S0301479724005929</w:t>
        </w:r>
      </w:hyperlink>
    </w:p>
    <w:p w14:paraId="5C8F5950" w14:textId="77777777" w:rsidR="0083771E" w:rsidRDefault="0083771E">
      <w:pPr>
        <w:spacing w:before="30" w:after="30" w:line="360" w:lineRule="auto"/>
        <w:ind w:left="0"/>
      </w:pPr>
      <w:r>
        <w:t>Wang, Y., 2021, December. The development and usage of NPV and IRR and their comparison. In 2021 3rd International Conference on Economic Management and Cultural Industry (ICEMCI 2021) (pp. 2044-2048). Atlantis Press.</w:t>
      </w:r>
      <w:hyperlink r:id="rId50">
        <w:r>
          <w:rPr>
            <w:color w:val="1155CC"/>
            <w:u w:val="single"/>
          </w:rPr>
          <w:t>https://www.atlantis-press.com/proceedings/icemci-21/125966320</w:t>
        </w:r>
      </w:hyperlink>
    </w:p>
    <w:p w14:paraId="02623858" w14:textId="77777777" w:rsidR="0083771E" w:rsidRDefault="0083771E">
      <w:pPr>
        <w:spacing w:before="30" w:after="30" w:line="360" w:lineRule="auto"/>
        <w:ind w:left="0"/>
        <w:rPr>
          <w:color w:val="222222"/>
          <w:highlight w:val="white"/>
        </w:rPr>
      </w:pPr>
      <w:proofErr w:type="spellStart"/>
      <w:r>
        <w:rPr>
          <w:color w:val="222222"/>
          <w:highlight w:val="white"/>
        </w:rPr>
        <w:t>Yanore</w:t>
      </w:r>
      <w:proofErr w:type="spellEnd"/>
      <w:r>
        <w:rPr>
          <w:color w:val="222222"/>
          <w:highlight w:val="white"/>
        </w:rPr>
        <w:t xml:space="preserve">, L., Sok, J. and Oude Lansink, A., 2023. Anticipate, wait or don't invest? The strategic net present value approach to study expansion decisions under policy uncertainty. Agribusiness, 39(2), pp.535-548. </w:t>
      </w:r>
      <w:hyperlink r:id="rId51">
        <w:r>
          <w:rPr>
            <w:color w:val="1155CC"/>
            <w:highlight w:val="white"/>
            <w:u w:val="single"/>
          </w:rPr>
          <w:t>https://onlinelibrary.wiley.com/doi/pdf/10.1002/agr.21780</w:t>
        </w:r>
      </w:hyperlink>
      <w:r>
        <w:rPr>
          <w:color w:val="222222"/>
          <w:highlight w:val="white"/>
        </w:rPr>
        <w:t xml:space="preserve"> </w:t>
      </w:r>
    </w:p>
    <w:p w14:paraId="0D183920" w14:textId="77777777" w:rsidR="0083771E" w:rsidRDefault="0083771E">
      <w:pPr>
        <w:spacing w:before="30" w:after="30" w:line="360" w:lineRule="auto"/>
        <w:ind w:left="0"/>
        <w:rPr>
          <w:color w:val="222222"/>
          <w:highlight w:val="white"/>
        </w:rPr>
      </w:pPr>
      <w:proofErr w:type="spellStart"/>
      <w:r>
        <w:rPr>
          <w:color w:val="222222"/>
          <w:highlight w:val="white"/>
        </w:rPr>
        <w:t>Yusrini</w:t>
      </w:r>
      <w:proofErr w:type="spellEnd"/>
      <w:r>
        <w:rPr>
          <w:color w:val="222222"/>
          <w:highlight w:val="white"/>
        </w:rPr>
        <w:t xml:space="preserve">, L., Hamid, S. and Khan, A.I., 2021. Working capital management and </w:t>
      </w:r>
      <w:proofErr w:type="gramStart"/>
      <w:r>
        <w:rPr>
          <w:color w:val="222222"/>
          <w:highlight w:val="white"/>
        </w:rPr>
        <w:t>firm‘</w:t>
      </w:r>
      <w:proofErr w:type="gramEnd"/>
      <w:r>
        <w:rPr>
          <w:color w:val="222222"/>
          <w:highlight w:val="white"/>
        </w:rPr>
        <w:t xml:space="preserve">s financial performance (ROCE). Turkish Online Journal of Qualitative Inquiry, 12(9), pp.1848-1862. </w:t>
      </w:r>
      <w:hyperlink r:id="rId52">
        <w:r>
          <w:rPr>
            <w:color w:val="1155CC"/>
            <w:highlight w:val="white"/>
            <w:u w:val="single"/>
          </w:rPr>
          <w:t>https://researchonline.gcu.ac.uk/files/99919188/99919108.pdf</w:t>
        </w:r>
      </w:hyperlink>
      <w:r>
        <w:rPr>
          <w:color w:val="222222"/>
          <w:highlight w:val="white"/>
        </w:rPr>
        <w:t xml:space="preserve"> </w:t>
      </w:r>
    </w:p>
    <w:p w14:paraId="75543A18" w14:textId="77777777" w:rsidR="0083771E" w:rsidRDefault="0083771E">
      <w:pPr>
        <w:spacing w:before="30" w:after="30" w:line="360" w:lineRule="auto"/>
        <w:ind w:left="0"/>
        <w:rPr>
          <w:color w:val="222222"/>
          <w:highlight w:val="white"/>
        </w:rPr>
      </w:pPr>
      <w:r>
        <w:rPr>
          <w:color w:val="222222"/>
          <w:highlight w:val="white"/>
        </w:rPr>
        <w:t xml:space="preserve">Zhang, M., Tang, Y., Liu, L. and Zhou, D., 2022. Optimal investment portfolio strategies for power enterprises under multi-policy scenarios of renewable energy. Renewable and Sustainable Energy Reviews, 154, p.111879. </w:t>
      </w:r>
      <w:hyperlink r:id="rId53">
        <w:r>
          <w:rPr>
            <w:color w:val="1155CC"/>
            <w:highlight w:val="white"/>
            <w:u w:val="single"/>
          </w:rPr>
          <w:t>https://www.sciencedirect.com/science/article/pii/S1364032121011461</w:t>
        </w:r>
      </w:hyperlink>
      <w:r>
        <w:rPr>
          <w:color w:val="222222"/>
          <w:highlight w:val="white"/>
        </w:rPr>
        <w:t xml:space="preserve"> </w:t>
      </w:r>
    </w:p>
    <w:p w14:paraId="0CC7ACB8" w14:textId="77777777" w:rsidR="00D16674" w:rsidRDefault="00D16674">
      <w:pPr>
        <w:spacing w:before="30" w:after="30" w:line="360" w:lineRule="auto"/>
        <w:ind w:left="0"/>
      </w:pPr>
    </w:p>
    <w:p w14:paraId="6339D041" w14:textId="77777777" w:rsidR="00D16674" w:rsidRDefault="00963D11">
      <w:pPr>
        <w:widowControl w:val="0"/>
        <w:pBdr>
          <w:top w:val="nil"/>
          <w:left w:val="nil"/>
          <w:bottom w:val="nil"/>
          <w:right w:val="nil"/>
          <w:between w:val="nil"/>
        </w:pBdr>
        <w:spacing w:before="30" w:after="30" w:line="360" w:lineRule="auto"/>
        <w:ind w:left="4" w:right="0"/>
        <w:rPr>
          <w:color w:val="2E74B5"/>
          <w:sz w:val="32"/>
          <w:szCs w:val="32"/>
        </w:rPr>
      </w:pPr>
      <w:r>
        <w:br w:type="page"/>
      </w:r>
    </w:p>
    <w:p w14:paraId="3BF73D68" w14:textId="77777777" w:rsidR="00D16674" w:rsidRDefault="00963D11">
      <w:pPr>
        <w:pStyle w:val="Heading1"/>
        <w:widowControl w:val="0"/>
        <w:ind w:left="4" w:right="0"/>
      </w:pPr>
      <w:bookmarkStart w:id="28" w:name="_90yx8x9ojznx" w:colFirst="0" w:colLast="0"/>
      <w:bookmarkStart w:id="29" w:name="_Toc203841986"/>
      <w:bookmarkEnd w:id="28"/>
      <w:r>
        <w:lastRenderedPageBreak/>
        <w:t>Appendix</w:t>
      </w:r>
      <w:bookmarkEnd w:id="29"/>
    </w:p>
    <w:p w14:paraId="16FB98EC" w14:textId="77777777" w:rsidR="00D16674" w:rsidRDefault="00963D11">
      <w:pPr>
        <w:pStyle w:val="Heading2"/>
        <w:widowControl w:val="0"/>
        <w:ind w:left="0" w:right="0" w:firstLine="0"/>
      </w:pPr>
      <w:bookmarkStart w:id="30" w:name="_c94taluepyrr" w:colFirst="0" w:colLast="0"/>
      <w:bookmarkStart w:id="31" w:name="_Toc203841987"/>
      <w:bookmarkEnd w:id="30"/>
      <w:r>
        <w:t xml:space="preserve">Appendix 1: </w:t>
      </w:r>
      <w:proofErr w:type="spellStart"/>
      <w:r>
        <w:t>Admiralgroup</w:t>
      </w:r>
      <w:proofErr w:type="spellEnd"/>
      <w:r>
        <w:t xml:space="preserve"> Income Statement 2024</w:t>
      </w:r>
      <w:bookmarkEnd w:id="31"/>
    </w:p>
    <w:p w14:paraId="4D265CEA" w14:textId="77777777" w:rsidR="00D16674" w:rsidRDefault="00963D11">
      <w:pPr>
        <w:widowControl w:val="0"/>
        <w:pBdr>
          <w:top w:val="nil"/>
          <w:left w:val="nil"/>
          <w:bottom w:val="nil"/>
          <w:right w:val="nil"/>
          <w:between w:val="nil"/>
        </w:pBdr>
        <w:spacing w:before="30" w:after="30" w:line="360" w:lineRule="auto"/>
        <w:ind w:left="0" w:right="0"/>
        <w:jc w:val="center"/>
        <w:rPr>
          <w:sz w:val="22"/>
          <w:szCs w:val="22"/>
        </w:rPr>
      </w:pPr>
      <w:r>
        <w:rPr>
          <w:noProof/>
          <w:sz w:val="22"/>
          <w:szCs w:val="22"/>
          <w:lang w:val="en-GB" w:eastAsia="en-GB"/>
        </w:rPr>
        <w:drawing>
          <wp:inline distT="114300" distB="114300" distL="114300" distR="114300" wp14:anchorId="73C7D266" wp14:editId="53DF9581">
            <wp:extent cx="5727326" cy="5905500"/>
            <wp:effectExtent l="0" t="0" r="0" b="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4"/>
                    <a:srcRect/>
                    <a:stretch>
                      <a:fillRect/>
                    </a:stretch>
                  </pic:blipFill>
                  <pic:spPr>
                    <a:xfrm>
                      <a:off x="0" y="0"/>
                      <a:ext cx="5727326" cy="5905500"/>
                    </a:xfrm>
                    <a:prstGeom prst="rect">
                      <a:avLst/>
                    </a:prstGeom>
                    <a:ln/>
                  </pic:spPr>
                </pic:pic>
              </a:graphicData>
            </a:graphic>
          </wp:inline>
        </w:drawing>
      </w:r>
    </w:p>
    <w:p w14:paraId="53C76C47" w14:textId="77777777" w:rsidR="00D16674" w:rsidRDefault="00963D11">
      <w:pPr>
        <w:widowControl w:val="0"/>
        <w:pBdr>
          <w:top w:val="nil"/>
          <w:left w:val="nil"/>
          <w:bottom w:val="nil"/>
          <w:right w:val="nil"/>
          <w:between w:val="nil"/>
        </w:pBdr>
        <w:spacing w:before="30" w:after="30" w:line="360" w:lineRule="auto"/>
        <w:ind w:left="0" w:right="0"/>
        <w:jc w:val="center"/>
        <w:rPr>
          <w:sz w:val="22"/>
          <w:szCs w:val="22"/>
        </w:rPr>
      </w:pPr>
      <w:r>
        <w:rPr>
          <w:sz w:val="22"/>
          <w:szCs w:val="22"/>
        </w:rPr>
        <w:t xml:space="preserve">(Source: </w:t>
      </w:r>
      <w:proofErr w:type="spellStart"/>
      <w:r>
        <w:rPr>
          <w:sz w:val="22"/>
          <w:szCs w:val="22"/>
        </w:rPr>
        <w:t>Admiralgroup</w:t>
      </w:r>
      <w:proofErr w:type="spellEnd"/>
      <w:r>
        <w:rPr>
          <w:sz w:val="22"/>
          <w:szCs w:val="22"/>
        </w:rPr>
        <w:t>, 2024)</w:t>
      </w:r>
    </w:p>
    <w:p w14:paraId="2491AF85" w14:textId="77777777" w:rsidR="00D16674" w:rsidRDefault="00963D11">
      <w:pPr>
        <w:widowControl w:val="0"/>
        <w:pBdr>
          <w:top w:val="nil"/>
          <w:left w:val="nil"/>
          <w:bottom w:val="nil"/>
          <w:right w:val="nil"/>
          <w:between w:val="nil"/>
        </w:pBdr>
        <w:spacing w:before="30" w:after="30" w:line="360" w:lineRule="auto"/>
        <w:ind w:left="0" w:right="0"/>
        <w:jc w:val="center"/>
        <w:rPr>
          <w:sz w:val="22"/>
          <w:szCs w:val="22"/>
        </w:rPr>
      </w:pPr>
      <w:r>
        <w:br w:type="page"/>
      </w:r>
    </w:p>
    <w:p w14:paraId="04073EFD" w14:textId="77777777" w:rsidR="00D16674" w:rsidRDefault="00963D11">
      <w:pPr>
        <w:pStyle w:val="Heading2"/>
        <w:widowControl w:val="0"/>
        <w:ind w:left="0" w:right="0" w:firstLine="0"/>
      </w:pPr>
      <w:bookmarkStart w:id="32" w:name="_gh0pw8jh17ua" w:colFirst="0" w:colLast="0"/>
      <w:bookmarkStart w:id="33" w:name="_Toc203841988"/>
      <w:bookmarkEnd w:id="32"/>
      <w:r>
        <w:lastRenderedPageBreak/>
        <w:t xml:space="preserve">Appendix 2: </w:t>
      </w:r>
      <w:proofErr w:type="spellStart"/>
      <w:r>
        <w:t>Admiralgroup</w:t>
      </w:r>
      <w:proofErr w:type="spellEnd"/>
      <w:r>
        <w:t xml:space="preserve"> Income Statement 2024</w:t>
      </w:r>
      <w:bookmarkEnd w:id="33"/>
    </w:p>
    <w:p w14:paraId="25080FD5" w14:textId="77777777" w:rsidR="00D16674" w:rsidRDefault="00963D11">
      <w:pPr>
        <w:widowControl w:val="0"/>
        <w:pBdr>
          <w:top w:val="nil"/>
          <w:left w:val="nil"/>
          <w:bottom w:val="nil"/>
          <w:right w:val="nil"/>
          <w:between w:val="nil"/>
        </w:pBdr>
        <w:spacing w:before="30" w:after="30" w:line="360" w:lineRule="auto"/>
        <w:ind w:left="0" w:right="0"/>
        <w:jc w:val="center"/>
        <w:rPr>
          <w:sz w:val="22"/>
          <w:szCs w:val="22"/>
        </w:rPr>
      </w:pPr>
      <w:r>
        <w:rPr>
          <w:noProof/>
          <w:sz w:val="22"/>
          <w:szCs w:val="22"/>
          <w:lang w:val="en-GB" w:eastAsia="en-GB"/>
        </w:rPr>
        <w:drawing>
          <wp:inline distT="114300" distB="114300" distL="114300" distR="114300" wp14:anchorId="437758D8" wp14:editId="54982E49">
            <wp:extent cx="5727326" cy="53848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5"/>
                    <a:srcRect/>
                    <a:stretch>
                      <a:fillRect/>
                    </a:stretch>
                  </pic:blipFill>
                  <pic:spPr>
                    <a:xfrm>
                      <a:off x="0" y="0"/>
                      <a:ext cx="5727326" cy="5384800"/>
                    </a:xfrm>
                    <a:prstGeom prst="rect">
                      <a:avLst/>
                    </a:prstGeom>
                    <a:ln/>
                  </pic:spPr>
                </pic:pic>
              </a:graphicData>
            </a:graphic>
          </wp:inline>
        </w:drawing>
      </w:r>
    </w:p>
    <w:p w14:paraId="41542064" w14:textId="77777777" w:rsidR="00D16674" w:rsidRDefault="00963D11">
      <w:pPr>
        <w:widowControl w:val="0"/>
        <w:spacing w:before="30" w:after="30" w:line="360" w:lineRule="auto"/>
        <w:ind w:left="0" w:right="0"/>
        <w:jc w:val="center"/>
        <w:rPr>
          <w:sz w:val="22"/>
          <w:szCs w:val="22"/>
        </w:rPr>
      </w:pPr>
      <w:r>
        <w:rPr>
          <w:sz w:val="22"/>
          <w:szCs w:val="22"/>
        </w:rPr>
        <w:t xml:space="preserve">(Source: </w:t>
      </w:r>
      <w:proofErr w:type="spellStart"/>
      <w:r>
        <w:rPr>
          <w:sz w:val="22"/>
          <w:szCs w:val="22"/>
        </w:rPr>
        <w:t>Admiralgroup</w:t>
      </w:r>
      <w:proofErr w:type="spellEnd"/>
      <w:r>
        <w:rPr>
          <w:sz w:val="22"/>
          <w:szCs w:val="22"/>
        </w:rPr>
        <w:t>, 2024)</w:t>
      </w:r>
    </w:p>
    <w:p w14:paraId="536B7724" w14:textId="77777777" w:rsidR="00D16674" w:rsidRDefault="00963D11">
      <w:pPr>
        <w:widowControl w:val="0"/>
        <w:spacing w:before="30" w:after="30" w:line="360" w:lineRule="auto"/>
        <w:ind w:left="0" w:right="0"/>
        <w:jc w:val="center"/>
        <w:rPr>
          <w:sz w:val="22"/>
          <w:szCs w:val="22"/>
        </w:rPr>
      </w:pPr>
      <w:r>
        <w:br w:type="page"/>
      </w:r>
    </w:p>
    <w:p w14:paraId="5CC67F9C" w14:textId="77777777" w:rsidR="00D16674" w:rsidRDefault="00963D11">
      <w:pPr>
        <w:pStyle w:val="Heading2"/>
        <w:widowControl w:val="0"/>
        <w:ind w:left="0" w:right="0" w:firstLine="0"/>
        <w:rPr>
          <w:sz w:val="22"/>
          <w:szCs w:val="22"/>
        </w:rPr>
      </w:pPr>
      <w:bookmarkStart w:id="34" w:name="_ckpkce7g3z8j" w:colFirst="0" w:colLast="0"/>
      <w:bookmarkStart w:id="35" w:name="_Toc203841989"/>
      <w:bookmarkEnd w:id="34"/>
      <w:r>
        <w:lastRenderedPageBreak/>
        <w:t>Appendix 3: Detailed Ratio Calculations</w:t>
      </w:r>
      <w:bookmarkEnd w:id="35"/>
    </w:p>
    <w:tbl>
      <w:tblPr>
        <w:tblStyle w:val="a"/>
        <w:tblW w:w="721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405"/>
        <w:gridCol w:w="1905"/>
        <w:gridCol w:w="1905"/>
      </w:tblGrid>
      <w:tr w:rsidR="00D16674" w14:paraId="7FE93513" w14:textId="77777777">
        <w:trPr>
          <w:trHeight w:val="510"/>
          <w:jc w:val="center"/>
        </w:trPr>
        <w:tc>
          <w:tcPr>
            <w:tcW w:w="7215" w:type="dxa"/>
            <w:gridSpan w:val="3"/>
            <w:tcBorders>
              <w:top w:val="single" w:sz="5" w:space="0" w:color="000000"/>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461A7437" w14:textId="77777777" w:rsidR="00D16674" w:rsidRDefault="00963D11">
            <w:pPr>
              <w:widowControl w:val="0"/>
              <w:spacing w:before="240" w:after="0" w:line="360" w:lineRule="auto"/>
              <w:ind w:left="0" w:right="0"/>
              <w:jc w:val="center"/>
              <w:rPr>
                <w:b/>
                <w:sz w:val="22"/>
                <w:szCs w:val="22"/>
              </w:rPr>
            </w:pPr>
            <w:r>
              <w:rPr>
                <w:b/>
                <w:sz w:val="22"/>
                <w:szCs w:val="22"/>
              </w:rPr>
              <w:t>Profitability Ratios</w:t>
            </w:r>
          </w:p>
        </w:tc>
      </w:tr>
      <w:tr w:rsidR="00D16674" w14:paraId="6C0B5498" w14:textId="77777777">
        <w:trPr>
          <w:trHeight w:val="315"/>
          <w:jc w:val="center"/>
        </w:trPr>
        <w:tc>
          <w:tcPr>
            <w:tcW w:w="7215" w:type="dxa"/>
            <w:gridSpan w:val="3"/>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30A6049A" w14:textId="77777777" w:rsidR="00D16674" w:rsidRDefault="00963D11">
            <w:pPr>
              <w:widowControl w:val="0"/>
              <w:spacing w:before="240" w:after="0" w:line="360" w:lineRule="auto"/>
              <w:ind w:left="0" w:right="0"/>
              <w:jc w:val="center"/>
              <w:rPr>
                <w:b/>
                <w:sz w:val="22"/>
                <w:szCs w:val="22"/>
              </w:rPr>
            </w:pPr>
            <w:r>
              <w:rPr>
                <w:b/>
                <w:sz w:val="22"/>
                <w:szCs w:val="22"/>
              </w:rPr>
              <w:t>Return on Capital Employed (ROCE)</w:t>
            </w:r>
          </w:p>
        </w:tc>
      </w:tr>
      <w:tr w:rsidR="00D16674" w14:paraId="2D8FC5A3" w14:textId="77777777">
        <w:trPr>
          <w:trHeight w:val="315"/>
          <w:jc w:val="center"/>
        </w:trPr>
        <w:tc>
          <w:tcPr>
            <w:tcW w:w="3405" w:type="dxa"/>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09B94475" w14:textId="77777777" w:rsidR="00D16674" w:rsidRDefault="00963D11">
            <w:pPr>
              <w:widowControl w:val="0"/>
              <w:spacing w:before="240" w:after="0" w:line="360" w:lineRule="auto"/>
              <w:ind w:left="0" w:right="0"/>
              <w:jc w:val="center"/>
              <w:rPr>
                <w:b/>
                <w:sz w:val="22"/>
                <w:szCs w:val="22"/>
              </w:rPr>
            </w:pPr>
            <w:r>
              <w:rPr>
                <w:b/>
                <w:sz w:val="22"/>
                <w:szCs w:val="22"/>
              </w:rPr>
              <w:t>Ratio (£M)</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2383EC16" w14:textId="77777777" w:rsidR="00D16674" w:rsidRDefault="00963D11">
            <w:pPr>
              <w:widowControl w:val="0"/>
              <w:spacing w:before="240" w:after="0" w:line="360" w:lineRule="auto"/>
              <w:ind w:left="0" w:right="0"/>
              <w:jc w:val="right"/>
              <w:rPr>
                <w:b/>
                <w:sz w:val="22"/>
                <w:szCs w:val="22"/>
              </w:rPr>
            </w:pPr>
            <w:r>
              <w:rPr>
                <w:b/>
                <w:sz w:val="22"/>
                <w:szCs w:val="22"/>
              </w:rPr>
              <w:t>2023</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1704C895" w14:textId="77777777" w:rsidR="00D16674" w:rsidRDefault="00963D11">
            <w:pPr>
              <w:widowControl w:val="0"/>
              <w:spacing w:before="240" w:after="0" w:line="360" w:lineRule="auto"/>
              <w:ind w:left="0" w:right="0"/>
              <w:jc w:val="right"/>
              <w:rPr>
                <w:b/>
                <w:sz w:val="22"/>
                <w:szCs w:val="22"/>
              </w:rPr>
            </w:pPr>
            <w:r>
              <w:rPr>
                <w:b/>
                <w:sz w:val="22"/>
                <w:szCs w:val="22"/>
              </w:rPr>
              <w:t>2024</w:t>
            </w:r>
          </w:p>
        </w:tc>
      </w:tr>
      <w:tr w:rsidR="00D16674" w14:paraId="07E43F9A" w14:textId="77777777">
        <w:trPr>
          <w:trHeight w:val="315"/>
          <w:jc w:val="center"/>
        </w:trPr>
        <w:tc>
          <w:tcPr>
            <w:tcW w:w="3405" w:type="dxa"/>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7F9DB8F4" w14:textId="77777777" w:rsidR="00D16674" w:rsidRDefault="00963D11">
            <w:pPr>
              <w:widowControl w:val="0"/>
              <w:spacing w:before="240" w:after="0" w:line="360" w:lineRule="auto"/>
              <w:ind w:left="0" w:right="0"/>
              <w:jc w:val="center"/>
              <w:rPr>
                <w:sz w:val="22"/>
                <w:szCs w:val="22"/>
              </w:rPr>
            </w:pPr>
            <w:r>
              <w:rPr>
                <w:sz w:val="22"/>
                <w:szCs w:val="22"/>
              </w:rPr>
              <w:t>Operating Profit</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60CD786D" w14:textId="77777777" w:rsidR="00D16674" w:rsidRDefault="00963D11">
            <w:pPr>
              <w:widowControl w:val="0"/>
              <w:spacing w:before="240" w:after="0" w:line="360" w:lineRule="auto"/>
              <w:ind w:left="0" w:right="0"/>
              <w:jc w:val="right"/>
              <w:rPr>
                <w:sz w:val="22"/>
                <w:szCs w:val="22"/>
              </w:rPr>
            </w:pPr>
            <w:r>
              <w:rPr>
                <w:sz w:val="22"/>
                <w:szCs w:val="22"/>
              </w:rPr>
              <w:t>£462.90</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4591DD51" w14:textId="77777777" w:rsidR="00D16674" w:rsidRDefault="00963D11">
            <w:pPr>
              <w:widowControl w:val="0"/>
              <w:spacing w:before="240" w:after="0" w:line="360" w:lineRule="auto"/>
              <w:ind w:left="0" w:right="0"/>
              <w:jc w:val="right"/>
              <w:rPr>
                <w:sz w:val="22"/>
                <w:szCs w:val="22"/>
              </w:rPr>
            </w:pPr>
            <w:r>
              <w:rPr>
                <w:sz w:val="22"/>
                <w:szCs w:val="22"/>
              </w:rPr>
              <w:t>£865.70</w:t>
            </w:r>
          </w:p>
        </w:tc>
      </w:tr>
      <w:tr w:rsidR="00D16674" w14:paraId="668C2872" w14:textId="77777777">
        <w:trPr>
          <w:trHeight w:val="315"/>
          <w:jc w:val="center"/>
        </w:trPr>
        <w:tc>
          <w:tcPr>
            <w:tcW w:w="3405" w:type="dxa"/>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5A689BE2" w14:textId="77777777" w:rsidR="00D16674" w:rsidRDefault="00963D11">
            <w:pPr>
              <w:widowControl w:val="0"/>
              <w:spacing w:before="240" w:after="0" w:line="360" w:lineRule="auto"/>
              <w:ind w:left="0" w:right="0"/>
              <w:jc w:val="center"/>
              <w:rPr>
                <w:sz w:val="22"/>
                <w:szCs w:val="22"/>
              </w:rPr>
            </w:pPr>
            <w:r>
              <w:rPr>
                <w:sz w:val="22"/>
                <w:szCs w:val="22"/>
              </w:rPr>
              <w:t>Total Assets</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7A311BFE" w14:textId="77777777" w:rsidR="00D16674" w:rsidRDefault="00963D11">
            <w:pPr>
              <w:widowControl w:val="0"/>
              <w:spacing w:before="240" w:after="0" w:line="360" w:lineRule="auto"/>
              <w:ind w:left="0" w:right="0"/>
              <w:jc w:val="right"/>
              <w:rPr>
                <w:sz w:val="22"/>
                <w:szCs w:val="22"/>
              </w:rPr>
            </w:pPr>
            <w:r>
              <w:rPr>
                <w:sz w:val="22"/>
                <w:szCs w:val="22"/>
              </w:rPr>
              <w:t>£7,096.20</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490BD8E2" w14:textId="77777777" w:rsidR="00D16674" w:rsidRDefault="00963D11">
            <w:pPr>
              <w:widowControl w:val="0"/>
              <w:spacing w:before="240" w:after="0" w:line="360" w:lineRule="auto"/>
              <w:ind w:left="0" w:right="0"/>
              <w:jc w:val="right"/>
              <w:rPr>
                <w:sz w:val="22"/>
                <w:szCs w:val="22"/>
              </w:rPr>
            </w:pPr>
            <w:r>
              <w:rPr>
                <w:sz w:val="22"/>
                <w:szCs w:val="22"/>
              </w:rPr>
              <w:t>£7,944.20</w:t>
            </w:r>
          </w:p>
        </w:tc>
      </w:tr>
      <w:tr w:rsidR="00D16674" w14:paraId="37DD488E" w14:textId="77777777">
        <w:trPr>
          <w:trHeight w:val="315"/>
          <w:jc w:val="center"/>
        </w:trPr>
        <w:tc>
          <w:tcPr>
            <w:tcW w:w="3405" w:type="dxa"/>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29F88F28" w14:textId="77777777" w:rsidR="00D16674" w:rsidRDefault="00963D11">
            <w:pPr>
              <w:widowControl w:val="0"/>
              <w:spacing w:before="240" w:after="0" w:line="360" w:lineRule="auto"/>
              <w:ind w:left="0" w:right="0"/>
              <w:jc w:val="center"/>
              <w:rPr>
                <w:sz w:val="22"/>
                <w:szCs w:val="22"/>
              </w:rPr>
            </w:pPr>
            <w:r>
              <w:rPr>
                <w:sz w:val="22"/>
                <w:szCs w:val="22"/>
              </w:rPr>
              <w:t>Current Liabilities</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3F98C108" w14:textId="77777777" w:rsidR="00D16674" w:rsidRDefault="00963D11">
            <w:pPr>
              <w:widowControl w:val="0"/>
              <w:spacing w:before="240" w:after="0" w:line="360" w:lineRule="auto"/>
              <w:ind w:left="0" w:right="0"/>
              <w:jc w:val="right"/>
              <w:rPr>
                <w:sz w:val="22"/>
                <w:szCs w:val="22"/>
              </w:rPr>
            </w:pPr>
            <w:r>
              <w:rPr>
                <w:sz w:val="22"/>
                <w:szCs w:val="22"/>
              </w:rPr>
              <w:t>£4,892.40</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62321F07" w14:textId="77777777" w:rsidR="00D16674" w:rsidRDefault="00963D11">
            <w:pPr>
              <w:widowControl w:val="0"/>
              <w:spacing w:before="240" w:after="0" w:line="360" w:lineRule="auto"/>
              <w:ind w:left="0" w:right="0"/>
              <w:jc w:val="right"/>
              <w:rPr>
                <w:sz w:val="22"/>
                <w:szCs w:val="22"/>
              </w:rPr>
            </w:pPr>
            <w:r>
              <w:rPr>
                <w:sz w:val="22"/>
                <w:szCs w:val="22"/>
              </w:rPr>
              <w:t>£5,171.70</w:t>
            </w:r>
          </w:p>
        </w:tc>
      </w:tr>
      <w:tr w:rsidR="00D16674" w14:paraId="76917755" w14:textId="77777777">
        <w:trPr>
          <w:trHeight w:val="315"/>
          <w:jc w:val="center"/>
        </w:trPr>
        <w:tc>
          <w:tcPr>
            <w:tcW w:w="7215" w:type="dxa"/>
            <w:gridSpan w:val="3"/>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3F353079" w14:textId="77777777" w:rsidR="00D16674" w:rsidRDefault="00963D11">
            <w:pPr>
              <w:widowControl w:val="0"/>
              <w:spacing w:before="240" w:after="0" w:line="360" w:lineRule="auto"/>
              <w:ind w:left="0" w:right="0"/>
              <w:jc w:val="center"/>
              <w:rPr>
                <w:sz w:val="22"/>
                <w:szCs w:val="22"/>
              </w:rPr>
            </w:pPr>
            <w:r>
              <w:rPr>
                <w:sz w:val="22"/>
                <w:szCs w:val="22"/>
              </w:rPr>
              <w:t>Operating Profit / (Total Assets - Current Liabilities) * %</w:t>
            </w:r>
          </w:p>
        </w:tc>
      </w:tr>
      <w:tr w:rsidR="00D16674" w14:paraId="6BADF311" w14:textId="77777777">
        <w:trPr>
          <w:trHeight w:val="315"/>
          <w:jc w:val="center"/>
        </w:trPr>
        <w:tc>
          <w:tcPr>
            <w:tcW w:w="3405" w:type="dxa"/>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459BEEDD" w14:textId="77777777" w:rsidR="00D16674" w:rsidRDefault="00963D11">
            <w:pPr>
              <w:widowControl w:val="0"/>
              <w:spacing w:before="240" w:after="0" w:line="360" w:lineRule="auto"/>
              <w:ind w:left="0" w:right="0"/>
              <w:jc w:val="center"/>
              <w:rPr>
                <w:b/>
                <w:sz w:val="22"/>
                <w:szCs w:val="22"/>
              </w:rPr>
            </w:pPr>
            <w:r>
              <w:rPr>
                <w:b/>
                <w:sz w:val="22"/>
                <w:szCs w:val="22"/>
              </w:rPr>
              <w:t>ROCE</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0A277F36" w14:textId="77777777" w:rsidR="00D16674" w:rsidRDefault="00963D11">
            <w:pPr>
              <w:widowControl w:val="0"/>
              <w:spacing w:before="240" w:after="0" w:line="360" w:lineRule="auto"/>
              <w:ind w:left="0" w:right="0"/>
              <w:jc w:val="right"/>
              <w:rPr>
                <w:b/>
                <w:sz w:val="22"/>
                <w:szCs w:val="22"/>
              </w:rPr>
            </w:pPr>
            <w:r>
              <w:rPr>
                <w:b/>
                <w:sz w:val="22"/>
                <w:szCs w:val="22"/>
              </w:rPr>
              <w:t>21.00%</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2847F5D0" w14:textId="77777777" w:rsidR="00D16674" w:rsidRDefault="00963D11">
            <w:pPr>
              <w:widowControl w:val="0"/>
              <w:spacing w:before="240" w:after="0" w:line="360" w:lineRule="auto"/>
              <w:ind w:left="0" w:right="0"/>
              <w:jc w:val="right"/>
              <w:rPr>
                <w:b/>
                <w:sz w:val="22"/>
                <w:szCs w:val="22"/>
              </w:rPr>
            </w:pPr>
            <w:r>
              <w:rPr>
                <w:b/>
                <w:sz w:val="22"/>
                <w:szCs w:val="22"/>
              </w:rPr>
              <w:t>31.22%</w:t>
            </w:r>
          </w:p>
        </w:tc>
      </w:tr>
      <w:tr w:rsidR="00D16674" w14:paraId="0313E6F5" w14:textId="77777777">
        <w:trPr>
          <w:trHeight w:val="315"/>
          <w:jc w:val="center"/>
        </w:trPr>
        <w:tc>
          <w:tcPr>
            <w:tcW w:w="7215" w:type="dxa"/>
            <w:gridSpan w:val="3"/>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0B52D076" w14:textId="77777777" w:rsidR="00D16674" w:rsidRDefault="00963D11">
            <w:pPr>
              <w:widowControl w:val="0"/>
              <w:spacing w:before="240" w:after="0" w:line="360" w:lineRule="auto"/>
              <w:ind w:left="0" w:right="0"/>
              <w:jc w:val="center"/>
              <w:rPr>
                <w:sz w:val="22"/>
                <w:szCs w:val="22"/>
              </w:rPr>
            </w:pPr>
            <w:r>
              <w:rPr>
                <w:sz w:val="22"/>
                <w:szCs w:val="22"/>
              </w:rPr>
              <w:t xml:space="preserve"> </w:t>
            </w:r>
          </w:p>
        </w:tc>
      </w:tr>
      <w:tr w:rsidR="00D16674" w14:paraId="0841EC98" w14:textId="77777777">
        <w:trPr>
          <w:trHeight w:val="315"/>
          <w:jc w:val="center"/>
        </w:trPr>
        <w:tc>
          <w:tcPr>
            <w:tcW w:w="7215" w:type="dxa"/>
            <w:gridSpan w:val="3"/>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2D8FFF4D" w14:textId="77777777" w:rsidR="00D16674" w:rsidRDefault="00963D11">
            <w:pPr>
              <w:widowControl w:val="0"/>
              <w:spacing w:before="240" w:after="0" w:line="360" w:lineRule="auto"/>
              <w:ind w:left="0" w:right="0"/>
              <w:jc w:val="center"/>
              <w:rPr>
                <w:b/>
                <w:sz w:val="22"/>
                <w:szCs w:val="22"/>
              </w:rPr>
            </w:pPr>
            <w:r>
              <w:rPr>
                <w:b/>
                <w:sz w:val="22"/>
                <w:szCs w:val="22"/>
              </w:rPr>
              <w:t>Net Profit Margin</w:t>
            </w:r>
          </w:p>
        </w:tc>
      </w:tr>
      <w:tr w:rsidR="00D16674" w14:paraId="159749B0" w14:textId="77777777">
        <w:trPr>
          <w:trHeight w:val="315"/>
          <w:jc w:val="center"/>
        </w:trPr>
        <w:tc>
          <w:tcPr>
            <w:tcW w:w="3405" w:type="dxa"/>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641E2F80" w14:textId="77777777" w:rsidR="00D16674" w:rsidRDefault="00963D11">
            <w:pPr>
              <w:widowControl w:val="0"/>
              <w:spacing w:before="240" w:after="0" w:line="360" w:lineRule="auto"/>
              <w:ind w:left="0" w:right="0"/>
              <w:jc w:val="center"/>
              <w:rPr>
                <w:b/>
                <w:sz w:val="22"/>
                <w:szCs w:val="22"/>
              </w:rPr>
            </w:pPr>
            <w:r>
              <w:rPr>
                <w:b/>
                <w:sz w:val="22"/>
                <w:szCs w:val="22"/>
              </w:rPr>
              <w:t>Ratio (£M)</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751128C0" w14:textId="77777777" w:rsidR="00D16674" w:rsidRDefault="00963D11">
            <w:pPr>
              <w:widowControl w:val="0"/>
              <w:spacing w:before="240" w:after="0" w:line="360" w:lineRule="auto"/>
              <w:ind w:left="0" w:right="0"/>
              <w:jc w:val="right"/>
              <w:rPr>
                <w:b/>
                <w:sz w:val="22"/>
                <w:szCs w:val="22"/>
              </w:rPr>
            </w:pPr>
            <w:r>
              <w:rPr>
                <w:b/>
                <w:sz w:val="22"/>
                <w:szCs w:val="22"/>
              </w:rPr>
              <w:t>2023</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2E553321" w14:textId="77777777" w:rsidR="00D16674" w:rsidRDefault="00963D11">
            <w:pPr>
              <w:widowControl w:val="0"/>
              <w:spacing w:before="240" w:after="0" w:line="360" w:lineRule="auto"/>
              <w:ind w:left="0" w:right="0"/>
              <w:jc w:val="right"/>
              <w:rPr>
                <w:b/>
                <w:sz w:val="22"/>
                <w:szCs w:val="22"/>
              </w:rPr>
            </w:pPr>
            <w:r>
              <w:rPr>
                <w:b/>
                <w:sz w:val="22"/>
                <w:szCs w:val="22"/>
              </w:rPr>
              <w:t>2024</w:t>
            </w:r>
          </w:p>
        </w:tc>
      </w:tr>
      <w:tr w:rsidR="00D16674" w14:paraId="1F0B96C3" w14:textId="77777777">
        <w:trPr>
          <w:trHeight w:val="315"/>
          <w:jc w:val="center"/>
        </w:trPr>
        <w:tc>
          <w:tcPr>
            <w:tcW w:w="3405" w:type="dxa"/>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67F2B077" w14:textId="77777777" w:rsidR="00D16674" w:rsidRDefault="00963D11">
            <w:pPr>
              <w:widowControl w:val="0"/>
              <w:spacing w:before="240" w:after="0" w:line="360" w:lineRule="auto"/>
              <w:ind w:left="0" w:right="0"/>
              <w:jc w:val="center"/>
              <w:rPr>
                <w:sz w:val="22"/>
                <w:szCs w:val="22"/>
              </w:rPr>
            </w:pPr>
            <w:r>
              <w:rPr>
                <w:sz w:val="22"/>
                <w:szCs w:val="22"/>
              </w:rPr>
              <w:t>Net Profit</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6468A2AA" w14:textId="77777777" w:rsidR="00D16674" w:rsidRDefault="00963D11">
            <w:pPr>
              <w:widowControl w:val="0"/>
              <w:spacing w:before="240" w:after="0" w:line="360" w:lineRule="auto"/>
              <w:ind w:left="0" w:right="0"/>
              <w:jc w:val="right"/>
              <w:rPr>
                <w:sz w:val="22"/>
                <w:szCs w:val="22"/>
              </w:rPr>
            </w:pPr>
            <w:r>
              <w:rPr>
                <w:sz w:val="22"/>
                <w:szCs w:val="22"/>
              </w:rPr>
              <w:t>£337.20</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1D354101" w14:textId="77777777" w:rsidR="00D16674" w:rsidRDefault="00963D11">
            <w:pPr>
              <w:widowControl w:val="0"/>
              <w:spacing w:before="240" w:after="0" w:line="360" w:lineRule="auto"/>
              <w:ind w:left="0" w:right="0"/>
              <w:jc w:val="right"/>
              <w:rPr>
                <w:sz w:val="22"/>
                <w:szCs w:val="22"/>
              </w:rPr>
            </w:pPr>
            <w:r>
              <w:rPr>
                <w:sz w:val="22"/>
                <w:szCs w:val="22"/>
              </w:rPr>
              <w:t>£662.90</w:t>
            </w:r>
          </w:p>
        </w:tc>
      </w:tr>
      <w:tr w:rsidR="00D16674" w14:paraId="0B87386C" w14:textId="77777777">
        <w:trPr>
          <w:trHeight w:val="315"/>
          <w:jc w:val="center"/>
        </w:trPr>
        <w:tc>
          <w:tcPr>
            <w:tcW w:w="3405" w:type="dxa"/>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1AA370B0" w14:textId="77777777" w:rsidR="00D16674" w:rsidRDefault="00963D11">
            <w:pPr>
              <w:widowControl w:val="0"/>
              <w:spacing w:before="240" w:after="0" w:line="360" w:lineRule="auto"/>
              <w:ind w:left="0" w:right="0"/>
              <w:jc w:val="center"/>
              <w:rPr>
                <w:sz w:val="22"/>
                <w:szCs w:val="22"/>
              </w:rPr>
            </w:pPr>
            <w:r>
              <w:rPr>
                <w:sz w:val="22"/>
                <w:szCs w:val="22"/>
              </w:rPr>
              <w:t>Revenue</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0B26CC1C" w14:textId="77777777" w:rsidR="00D16674" w:rsidRDefault="00963D11">
            <w:pPr>
              <w:widowControl w:val="0"/>
              <w:spacing w:before="240" w:after="0" w:line="360" w:lineRule="auto"/>
              <w:ind w:left="0" w:right="0"/>
              <w:jc w:val="right"/>
              <w:rPr>
                <w:sz w:val="22"/>
                <w:szCs w:val="22"/>
              </w:rPr>
            </w:pPr>
            <w:r>
              <w:rPr>
                <w:sz w:val="22"/>
                <w:szCs w:val="22"/>
              </w:rPr>
              <w:t>£3,486.10</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6A70FC2D" w14:textId="77777777" w:rsidR="00D16674" w:rsidRDefault="00963D11">
            <w:pPr>
              <w:widowControl w:val="0"/>
              <w:spacing w:before="240" w:after="0" w:line="360" w:lineRule="auto"/>
              <w:ind w:left="0" w:right="0"/>
              <w:jc w:val="right"/>
              <w:rPr>
                <w:sz w:val="22"/>
                <w:szCs w:val="22"/>
              </w:rPr>
            </w:pPr>
            <w:r>
              <w:rPr>
                <w:sz w:val="22"/>
                <w:szCs w:val="22"/>
              </w:rPr>
              <w:t>£4,776.20</w:t>
            </w:r>
          </w:p>
        </w:tc>
      </w:tr>
      <w:tr w:rsidR="00D16674" w14:paraId="66BB150A" w14:textId="77777777">
        <w:trPr>
          <w:trHeight w:val="315"/>
          <w:jc w:val="center"/>
        </w:trPr>
        <w:tc>
          <w:tcPr>
            <w:tcW w:w="7215" w:type="dxa"/>
            <w:gridSpan w:val="3"/>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5D8C3431" w14:textId="77777777" w:rsidR="00D16674" w:rsidRDefault="00963D11">
            <w:pPr>
              <w:widowControl w:val="0"/>
              <w:spacing w:before="240" w:after="0" w:line="360" w:lineRule="auto"/>
              <w:ind w:left="0" w:right="0"/>
              <w:jc w:val="center"/>
              <w:rPr>
                <w:sz w:val="22"/>
                <w:szCs w:val="22"/>
              </w:rPr>
            </w:pPr>
            <w:r>
              <w:rPr>
                <w:sz w:val="22"/>
                <w:szCs w:val="22"/>
              </w:rPr>
              <w:t>Net Profit / Revenue * %</w:t>
            </w:r>
          </w:p>
        </w:tc>
      </w:tr>
      <w:tr w:rsidR="00D16674" w14:paraId="763F3AA2" w14:textId="77777777">
        <w:trPr>
          <w:trHeight w:val="315"/>
          <w:jc w:val="center"/>
        </w:trPr>
        <w:tc>
          <w:tcPr>
            <w:tcW w:w="3405" w:type="dxa"/>
            <w:tcBorders>
              <w:top w:val="nil"/>
              <w:left w:val="single" w:sz="5" w:space="0" w:color="000000"/>
              <w:bottom w:val="single" w:sz="5" w:space="0" w:color="000000"/>
              <w:right w:val="single" w:sz="5" w:space="0" w:color="000000"/>
            </w:tcBorders>
            <w:shd w:val="clear" w:color="auto" w:fill="E2EFDA"/>
            <w:tcMar>
              <w:top w:w="0" w:type="dxa"/>
              <w:left w:w="100" w:type="dxa"/>
              <w:bottom w:w="0" w:type="dxa"/>
              <w:right w:w="100" w:type="dxa"/>
            </w:tcMar>
          </w:tcPr>
          <w:p w14:paraId="32230749" w14:textId="77777777" w:rsidR="00D16674" w:rsidRDefault="00963D11">
            <w:pPr>
              <w:widowControl w:val="0"/>
              <w:spacing w:before="240" w:after="0" w:line="360" w:lineRule="auto"/>
              <w:ind w:left="0" w:right="0"/>
              <w:jc w:val="center"/>
              <w:rPr>
                <w:b/>
                <w:sz w:val="22"/>
                <w:szCs w:val="22"/>
              </w:rPr>
            </w:pPr>
            <w:r>
              <w:rPr>
                <w:b/>
                <w:sz w:val="22"/>
                <w:szCs w:val="22"/>
              </w:rPr>
              <w:t>Net Profit Margin</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04DB4F85" w14:textId="77777777" w:rsidR="00D16674" w:rsidRDefault="00963D11">
            <w:pPr>
              <w:widowControl w:val="0"/>
              <w:spacing w:before="240" w:after="0" w:line="360" w:lineRule="auto"/>
              <w:ind w:left="0" w:right="0"/>
              <w:jc w:val="right"/>
              <w:rPr>
                <w:b/>
                <w:sz w:val="22"/>
                <w:szCs w:val="22"/>
              </w:rPr>
            </w:pPr>
            <w:r>
              <w:rPr>
                <w:b/>
                <w:sz w:val="22"/>
                <w:szCs w:val="22"/>
              </w:rPr>
              <w:t>9.67%</w:t>
            </w:r>
          </w:p>
        </w:tc>
        <w:tc>
          <w:tcPr>
            <w:tcW w:w="1905" w:type="dxa"/>
            <w:tcBorders>
              <w:top w:val="nil"/>
              <w:left w:val="nil"/>
              <w:bottom w:val="single" w:sz="5" w:space="0" w:color="000000"/>
              <w:right w:val="single" w:sz="5" w:space="0" w:color="000000"/>
            </w:tcBorders>
            <w:shd w:val="clear" w:color="auto" w:fill="E2EFDA"/>
            <w:tcMar>
              <w:top w:w="0" w:type="dxa"/>
              <w:left w:w="100" w:type="dxa"/>
              <w:bottom w:w="0" w:type="dxa"/>
              <w:right w:w="100" w:type="dxa"/>
            </w:tcMar>
          </w:tcPr>
          <w:p w14:paraId="6C86462E" w14:textId="77777777" w:rsidR="00D16674" w:rsidRDefault="00963D11">
            <w:pPr>
              <w:widowControl w:val="0"/>
              <w:spacing w:before="240" w:after="0" w:line="360" w:lineRule="auto"/>
              <w:ind w:left="0" w:right="0"/>
              <w:jc w:val="right"/>
              <w:rPr>
                <w:b/>
                <w:sz w:val="22"/>
                <w:szCs w:val="22"/>
              </w:rPr>
            </w:pPr>
            <w:r>
              <w:rPr>
                <w:b/>
                <w:sz w:val="22"/>
                <w:szCs w:val="22"/>
              </w:rPr>
              <w:t>13.88%</w:t>
            </w:r>
          </w:p>
        </w:tc>
      </w:tr>
    </w:tbl>
    <w:p w14:paraId="72B956A7" w14:textId="77777777" w:rsidR="00D16674" w:rsidRDefault="00D16674">
      <w:pPr>
        <w:widowControl w:val="0"/>
        <w:spacing w:before="30" w:after="30" w:line="360" w:lineRule="auto"/>
        <w:ind w:left="0" w:right="0"/>
        <w:jc w:val="left"/>
        <w:rPr>
          <w:sz w:val="22"/>
          <w:szCs w:val="22"/>
        </w:rPr>
      </w:pPr>
    </w:p>
    <w:tbl>
      <w:tblPr>
        <w:tblStyle w:val="a0"/>
        <w:tblW w:w="70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270"/>
        <w:gridCol w:w="1905"/>
        <w:gridCol w:w="1905"/>
      </w:tblGrid>
      <w:tr w:rsidR="00D16674" w14:paraId="2EC27250" w14:textId="77777777">
        <w:trPr>
          <w:trHeight w:val="510"/>
          <w:jc w:val="center"/>
        </w:trPr>
        <w:tc>
          <w:tcPr>
            <w:tcW w:w="7080" w:type="dxa"/>
            <w:gridSpan w:val="3"/>
            <w:tcBorders>
              <w:top w:val="single" w:sz="5" w:space="0" w:color="000000"/>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4B3E43F9" w14:textId="77777777" w:rsidR="00D16674" w:rsidRDefault="00963D11">
            <w:pPr>
              <w:widowControl w:val="0"/>
              <w:spacing w:before="240" w:after="0" w:line="360" w:lineRule="auto"/>
              <w:ind w:left="0" w:right="0"/>
              <w:jc w:val="center"/>
              <w:rPr>
                <w:b/>
                <w:sz w:val="22"/>
                <w:szCs w:val="22"/>
              </w:rPr>
            </w:pPr>
            <w:r>
              <w:rPr>
                <w:b/>
                <w:sz w:val="22"/>
                <w:szCs w:val="22"/>
              </w:rPr>
              <w:t>Liquidity Ratios</w:t>
            </w:r>
          </w:p>
        </w:tc>
      </w:tr>
      <w:tr w:rsidR="00D16674" w14:paraId="72B27369" w14:textId="77777777">
        <w:trPr>
          <w:trHeight w:val="315"/>
          <w:jc w:val="center"/>
        </w:trPr>
        <w:tc>
          <w:tcPr>
            <w:tcW w:w="7080" w:type="dxa"/>
            <w:gridSpan w:val="3"/>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74A82C25" w14:textId="77777777" w:rsidR="00D16674" w:rsidRDefault="00963D11">
            <w:pPr>
              <w:widowControl w:val="0"/>
              <w:spacing w:before="240" w:after="0" w:line="360" w:lineRule="auto"/>
              <w:ind w:left="0" w:right="0"/>
              <w:jc w:val="center"/>
              <w:rPr>
                <w:b/>
                <w:sz w:val="22"/>
                <w:szCs w:val="22"/>
              </w:rPr>
            </w:pPr>
            <w:r>
              <w:rPr>
                <w:b/>
                <w:sz w:val="22"/>
                <w:szCs w:val="22"/>
              </w:rPr>
              <w:t>Current Ratio</w:t>
            </w:r>
          </w:p>
        </w:tc>
      </w:tr>
      <w:tr w:rsidR="00D16674" w14:paraId="4BB803DE" w14:textId="77777777">
        <w:trPr>
          <w:trHeight w:val="315"/>
          <w:jc w:val="center"/>
        </w:trPr>
        <w:tc>
          <w:tcPr>
            <w:tcW w:w="3270"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4302799B" w14:textId="77777777" w:rsidR="00D16674" w:rsidRDefault="00963D11">
            <w:pPr>
              <w:widowControl w:val="0"/>
              <w:spacing w:before="240" w:after="0" w:line="360" w:lineRule="auto"/>
              <w:ind w:left="0" w:right="0"/>
              <w:jc w:val="center"/>
              <w:rPr>
                <w:b/>
                <w:sz w:val="22"/>
                <w:szCs w:val="22"/>
              </w:rPr>
            </w:pPr>
            <w:r>
              <w:rPr>
                <w:b/>
                <w:sz w:val="22"/>
                <w:szCs w:val="22"/>
              </w:rPr>
              <w:t>Ratio (£M)</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51000FE4" w14:textId="77777777" w:rsidR="00D16674" w:rsidRDefault="00963D11">
            <w:pPr>
              <w:widowControl w:val="0"/>
              <w:spacing w:before="240" w:after="0" w:line="360" w:lineRule="auto"/>
              <w:ind w:left="0" w:right="0"/>
              <w:jc w:val="right"/>
              <w:rPr>
                <w:b/>
                <w:sz w:val="22"/>
                <w:szCs w:val="22"/>
              </w:rPr>
            </w:pPr>
            <w:r>
              <w:rPr>
                <w:b/>
                <w:sz w:val="22"/>
                <w:szCs w:val="22"/>
              </w:rPr>
              <w:t>2023</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0A6E7CD7" w14:textId="77777777" w:rsidR="00D16674" w:rsidRDefault="00963D11">
            <w:pPr>
              <w:widowControl w:val="0"/>
              <w:spacing w:before="240" w:after="0" w:line="360" w:lineRule="auto"/>
              <w:ind w:left="0" w:right="0"/>
              <w:jc w:val="right"/>
              <w:rPr>
                <w:b/>
                <w:sz w:val="22"/>
                <w:szCs w:val="22"/>
              </w:rPr>
            </w:pPr>
            <w:r>
              <w:rPr>
                <w:b/>
                <w:sz w:val="22"/>
                <w:szCs w:val="22"/>
              </w:rPr>
              <w:t>2024</w:t>
            </w:r>
          </w:p>
        </w:tc>
      </w:tr>
      <w:tr w:rsidR="00D16674" w14:paraId="6A4F3ABA" w14:textId="77777777">
        <w:trPr>
          <w:trHeight w:val="315"/>
          <w:jc w:val="center"/>
        </w:trPr>
        <w:tc>
          <w:tcPr>
            <w:tcW w:w="3270"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6D794B97" w14:textId="77777777" w:rsidR="00D16674" w:rsidRDefault="00963D11">
            <w:pPr>
              <w:widowControl w:val="0"/>
              <w:spacing w:before="240" w:after="0" w:line="360" w:lineRule="auto"/>
              <w:ind w:left="0" w:right="0"/>
              <w:jc w:val="center"/>
              <w:rPr>
                <w:sz w:val="22"/>
                <w:szCs w:val="22"/>
              </w:rPr>
            </w:pPr>
            <w:r>
              <w:rPr>
                <w:sz w:val="22"/>
                <w:szCs w:val="22"/>
              </w:rPr>
              <w:t>Current Assets</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6155C7EE" w14:textId="77777777" w:rsidR="00D16674" w:rsidRDefault="00963D11">
            <w:pPr>
              <w:widowControl w:val="0"/>
              <w:spacing w:before="240" w:after="0" w:line="360" w:lineRule="auto"/>
              <w:ind w:left="0" w:right="0"/>
              <w:jc w:val="right"/>
              <w:rPr>
                <w:sz w:val="22"/>
                <w:szCs w:val="22"/>
              </w:rPr>
            </w:pPr>
            <w:r>
              <w:rPr>
                <w:sz w:val="22"/>
                <w:szCs w:val="22"/>
              </w:rPr>
              <w:t>£2,900.80</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32E3DAD7" w14:textId="77777777" w:rsidR="00D16674" w:rsidRDefault="00963D11">
            <w:pPr>
              <w:widowControl w:val="0"/>
              <w:spacing w:before="240" w:after="0" w:line="360" w:lineRule="auto"/>
              <w:ind w:left="0" w:right="0"/>
              <w:jc w:val="right"/>
              <w:rPr>
                <w:sz w:val="22"/>
                <w:szCs w:val="22"/>
              </w:rPr>
            </w:pPr>
            <w:r>
              <w:rPr>
                <w:sz w:val="22"/>
                <w:szCs w:val="22"/>
              </w:rPr>
              <w:t>£2,681.20</w:t>
            </w:r>
          </w:p>
        </w:tc>
      </w:tr>
      <w:tr w:rsidR="00D16674" w14:paraId="475F6A9F" w14:textId="77777777">
        <w:trPr>
          <w:trHeight w:val="315"/>
          <w:jc w:val="center"/>
        </w:trPr>
        <w:tc>
          <w:tcPr>
            <w:tcW w:w="3270"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7C8CDC7D" w14:textId="77777777" w:rsidR="00D16674" w:rsidRDefault="00963D11">
            <w:pPr>
              <w:widowControl w:val="0"/>
              <w:spacing w:before="240" w:after="0" w:line="360" w:lineRule="auto"/>
              <w:ind w:left="0" w:right="0"/>
              <w:jc w:val="center"/>
              <w:rPr>
                <w:sz w:val="22"/>
                <w:szCs w:val="22"/>
              </w:rPr>
            </w:pPr>
            <w:r>
              <w:rPr>
                <w:sz w:val="22"/>
                <w:szCs w:val="22"/>
              </w:rPr>
              <w:t>Current Liabilities</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42F3AF55" w14:textId="77777777" w:rsidR="00D16674" w:rsidRDefault="00963D11">
            <w:pPr>
              <w:widowControl w:val="0"/>
              <w:spacing w:before="240" w:after="0" w:line="360" w:lineRule="auto"/>
              <w:ind w:left="0" w:right="0"/>
              <w:jc w:val="right"/>
              <w:rPr>
                <w:sz w:val="22"/>
                <w:szCs w:val="22"/>
              </w:rPr>
            </w:pPr>
            <w:r>
              <w:rPr>
                <w:sz w:val="22"/>
                <w:szCs w:val="22"/>
              </w:rPr>
              <w:t>£4,892.40</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199A168A" w14:textId="77777777" w:rsidR="00D16674" w:rsidRDefault="00963D11">
            <w:pPr>
              <w:widowControl w:val="0"/>
              <w:spacing w:before="240" w:after="0" w:line="360" w:lineRule="auto"/>
              <w:ind w:left="0" w:right="0"/>
              <w:jc w:val="right"/>
              <w:rPr>
                <w:sz w:val="22"/>
                <w:szCs w:val="22"/>
              </w:rPr>
            </w:pPr>
            <w:r>
              <w:rPr>
                <w:sz w:val="22"/>
                <w:szCs w:val="22"/>
              </w:rPr>
              <w:t>£5,171.70</w:t>
            </w:r>
          </w:p>
        </w:tc>
      </w:tr>
      <w:tr w:rsidR="00D16674" w14:paraId="7D1F9848" w14:textId="77777777">
        <w:trPr>
          <w:trHeight w:val="315"/>
          <w:jc w:val="center"/>
        </w:trPr>
        <w:tc>
          <w:tcPr>
            <w:tcW w:w="7080" w:type="dxa"/>
            <w:gridSpan w:val="3"/>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328A4255" w14:textId="77777777" w:rsidR="00D16674" w:rsidRDefault="00963D11">
            <w:pPr>
              <w:widowControl w:val="0"/>
              <w:spacing w:before="240" w:after="0" w:line="360" w:lineRule="auto"/>
              <w:ind w:left="0" w:right="0"/>
              <w:jc w:val="center"/>
              <w:rPr>
                <w:sz w:val="22"/>
                <w:szCs w:val="22"/>
              </w:rPr>
            </w:pPr>
            <w:r>
              <w:rPr>
                <w:sz w:val="22"/>
                <w:szCs w:val="22"/>
              </w:rPr>
              <w:lastRenderedPageBreak/>
              <w:t>Current Assets / Current Liabilities</w:t>
            </w:r>
          </w:p>
        </w:tc>
      </w:tr>
      <w:tr w:rsidR="00D16674" w14:paraId="390EDF3A" w14:textId="77777777">
        <w:trPr>
          <w:trHeight w:val="315"/>
          <w:jc w:val="center"/>
        </w:trPr>
        <w:tc>
          <w:tcPr>
            <w:tcW w:w="3270"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40220774" w14:textId="77777777" w:rsidR="00D16674" w:rsidRDefault="00963D11">
            <w:pPr>
              <w:widowControl w:val="0"/>
              <w:spacing w:before="240" w:after="0" w:line="360" w:lineRule="auto"/>
              <w:ind w:left="0" w:right="0"/>
              <w:jc w:val="center"/>
              <w:rPr>
                <w:b/>
                <w:sz w:val="22"/>
                <w:szCs w:val="22"/>
              </w:rPr>
            </w:pPr>
            <w:r>
              <w:rPr>
                <w:b/>
                <w:sz w:val="22"/>
                <w:szCs w:val="22"/>
              </w:rPr>
              <w:t>Current Ratio</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7484CC5F" w14:textId="77777777" w:rsidR="00D16674" w:rsidRDefault="00963D11">
            <w:pPr>
              <w:widowControl w:val="0"/>
              <w:spacing w:before="240" w:after="0" w:line="360" w:lineRule="auto"/>
              <w:ind w:left="0" w:right="0"/>
              <w:jc w:val="right"/>
              <w:rPr>
                <w:b/>
                <w:sz w:val="22"/>
                <w:szCs w:val="22"/>
              </w:rPr>
            </w:pPr>
            <w:r>
              <w:rPr>
                <w:b/>
                <w:sz w:val="22"/>
                <w:szCs w:val="22"/>
              </w:rPr>
              <w:t>0.59</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25A1538C" w14:textId="77777777" w:rsidR="00D16674" w:rsidRDefault="00963D11">
            <w:pPr>
              <w:widowControl w:val="0"/>
              <w:spacing w:before="240" w:after="0" w:line="360" w:lineRule="auto"/>
              <w:ind w:left="0" w:right="0"/>
              <w:jc w:val="right"/>
              <w:rPr>
                <w:b/>
                <w:sz w:val="22"/>
                <w:szCs w:val="22"/>
              </w:rPr>
            </w:pPr>
            <w:r>
              <w:rPr>
                <w:b/>
                <w:sz w:val="22"/>
                <w:szCs w:val="22"/>
              </w:rPr>
              <w:t>0.52</w:t>
            </w:r>
          </w:p>
        </w:tc>
      </w:tr>
      <w:tr w:rsidR="00D16674" w14:paraId="4B7324F7" w14:textId="77777777">
        <w:trPr>
          <w:trHeight w:val="315"/>
          <w:jc w:val="center"/>
        </w:trPr>
        <w:tc>
          <w:tcPr>
            <w:tcW w:w="7080" w:type="dxa"/>
            <w:gridSpan w:val="3"/>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0A9684D9" w14:textId="77777777" w:rsidR="00D16674" w:rsidRDefault="00963D11">
            <w:pPr>
              <w:widowControl w:val="0"/>
              <w:spacing w:before="240" w:after="0" w:line="360" w:lineRule="auto"/>
              <w:ind w:left="0" w:right="0"/>
              <w:jc w:val="center"/>
              <w:rPr>
                <w:b/>
                <w:sz w:val="22"/>
                <w:szCs w:val="22"/>
              </w:rPr>
            </w:pPr>
            <w:r>
              <w:rPr>
                <w:b/>
                <w:sz w:val="22"/>
                <w:szCs w:val="22"/>
              </w:rPr>
              <w:t xml:space="preserve"> </w:t>
            </w:r>
          </w:p>
        </w:tc>
      </w:tr>
      <w:tr w:rsidR="00D16674" w14:paraId="7DF5209D" w14:textId="77777777">
        <w:trPr>
          <w:trHeight w:val="315"/>
          <w:jc w:val="center"/>
        </w:trPr>
        <w:tc>
          <w:tcPr>
            <w:tcW w:w="7080" w:type="dxa"/>
            <w:gridSpan w:val="3"/>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1B5DF10C" w14:textId="77777777" w:rsidR="00D16674" w:rsidRDefault="00963D11">
            <w:pPr>
              <w:widowControl w:val="0"/>
              <w:spacing w:before="240" w:after="0" w:line="360" w:lineRule="auto"/>
              <w:ind w:left="0" w:right="0"/>
              <w:jc w:val="center"/>
              <w:rPr>
                <w:b/>
                <w:sz w:val="22"/>
                <w:szCs w:val="22"/>
              </w:rPr>
            </w:pPr>
            <w:r>
              <w:rPr>
                <w:b/>
                <w:sz w:val="22"/>
                <w:szCs w:val="22"/>
              </w:rPr>
              <w:t>Cash Ratio</w:t>
            </w:r>
          </w:p>
        </w:tc>
      </w:tr>
      <w:tr w:rsidR="00D16674" w14:paraId="55B8D09B" w14:textId="77777777">
        <w:trPr>
          <w:trHeight w:val="315"/>
          <w:jc w:val="center"/>
        </w:trPr>
        <w:tc>
          <w:tcPr>
            <w:tcW w:w="3270"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3FF11D46" w14:textId="77777777" w:rsidR="00D16674" w:rsidRDefault="00963D11">
            <w:pPr>
              <w:widowControl w:val="0"/>
              <w:spacing w:before="240" w:after="0" w:line="360" w:lineRule="auto"/>
              <w:ind w:left="0" w:right="0"/>
              <w:jc w:val="center"/>
              <w:rPr>
                <w:b/>
                <w:sz w:val="22"/>
                <w:szCs w:val="22"/>
              </w:rPr>
            </w:pPr>
            <w:r>
              <w:rPr>
                <w:b/>
                <w:sz w:val="22"/>
                <w:szCs w:val="22"/>
              </w:rPr>
              <w:t>Ratio (£M)</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1FFCD22F" w14:textId="77777777" w:rsidR="00D16674" w:rsidRDefault="00963D11">
            <w:pPr>
              <w:widowControl w:val="0"/>
              <w:spacing w:before="240" w:after="0" w:line="360" w:lineRule="auto"/>
              <w:ind w:left="0" w:right="0"/>
              <w:jc w:val="right"/>
              <w:rPr>
                <w:b/>
                <w:sz w:val="22"/>
                <w:szCs w:val="22"/>
              </w:rPr>
            </w:pPr>
            <w:r>
              <w:rPr>
                <w:b/>
                <w:sz w:val="22"/>
                <w:szCs w:val="22"/>
              </w:rPr>
              <w:t>2023</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4118210D" w14:textId="77777777" w:rsidR="00D16674" w:rsidRDefault="00963D11">
            <w:pPr>
              <w:widowControl w:val="0"/>
              <w:spacing w:before="240" w:after="0" w:line="360" w:lineRule="auto"/>
              <w:ind w:left="0" w:right="0"/>
              <w:jc w:val="right"/>
              <w:rPr>
                <w:b/>
                <w:sz w:val="22"/>
                <w:szCs w:val="22"/>
              </w:rPr>
            </w:pPr>
            <w:r>
              <w:rPr>
                <w:b/>
                <w:sz w:val="22"/>
                <w:szCs w:val="22"/>
              </w:rPr>
              <w:t>2024</w:t>
            </w:r>
          </w:p>
        </w:tc>
      </w:tr>
      <w:tr w:rsidR="00D16674" w14:paraId="5E58E1F2" w14:textId="77777777">
        <w:trPr>
          <w:trHeight w:val="315"/>
          <w:jc w:val="center"/>
        </w:trPr>
        <w:tc>
          <w:tcPr>
            <w:tcW w:w="3270"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2E279ED4" w14:textId="77777777" w:rsidR="00D16674" w:rsidRDefault="00963D11">
            <w:pPr>
              <w:widowControl w:val="0"/>
              <w:spacing w:before="240" w:after="0" w:line="360" w:lineRule="auto"/>
              <w:ind w:left="0" w:right="0"/>
              <w:jc w:val="center"/>
              <w:rPr>
                <w:sz w:val="22"/>
                <w:szCs w:val="22"/>
              </w:rPr>
            </w:pPr>
            <w:r>
              <w:rPr>
                <w:sz w:val="22"/>
                <w:szCs w:val="22"/>
              </w:rPr>
              <w:t>Cash</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410500A9" w14:textId="77777777" w:rsidR="00D16674" w:rsidRDefault="00963D11">
            <w:pPr>
              <w:widowControl w:val="0"/>
              <w:spacing w:before="240" w:after="0" w:line="360" w:lineRule="auto"/>
              <w:ind w:left="0" w:right="0"/>
              <w:jc w:val="right"/>
              <w:rPr>
                <w:sz w:val="22"/>
                <w:szCs w:val="22"/>
              </w:rPr>
            </w:pPr>
            <w:r>
              <w:rPr>
                <w:sz w:val="22"/>
                <w:szCs w:val="22"/>
              </w:rPr>
              <w:t>£353.10</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77F71E78" w14:textId="77777777" w:rsidR="00D16674" w:rsidRDefault="00963D11">
            <w:pPr>
              <w:widowControl w:val="0"/>
              <w:spacing w:before="240" w:after="0" w:line="360" w:lineRule="auto"/>
              <w:ind w:left="0" w:right="0"/>
              <w:jc w:val="right"/>
              <w:rPr>
                <w:sz w:val="22"/>
                <w:szCs w:val="22"/>
              </w:rPr>
            </w:pPr>
            <w:r>
              <w:rPr>
                <w:sz w:val="22"/>
                <w:szCs w:val="22"/>
              </w:rPr>
              <w:t>£313.60</w:t>
            </w:r>
          </w:p>
        </w:tc>
      </w:tr>
      <w:tr w:rsidR="00D16674" w14:paraId="39CBB930" w14:textId="77777777">
        <w:trPr>
          <w:trHeight w:val="315"/>
          <w:jc w:val="center"/>
        </w:trPr>
        <w:tc>
          <w:tcPr>
            <w:tcW w:w="3270"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12E0E09A" w14:textId="77777777" w:rsidR="00D16674" w:rsidRDefault="00963D11">
            <w:pPr>
              <w:widowControl w:val="0"/>
              <w:spacing w:before="240" w:after="0" w:line="360" w:lineRule="auto"/>
              <w:ind w:left="0" w:right="0"/>
              <w:jc w:val="center"/>
              <w:rPr>
                <w:sz w:val="22"/>
                <w:szCs w:val="22"/>
              </w:rPr>
            </w:pPr>
            <w:r>
              <w:rPr>
                <w:sz w:val="22"/>
                <w:szCs w:val="22"/>
              </w:rPr>
              <w:t>Current Liabilities</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581525B2" w14:textId="77777777" w:rsidR="00D16674" w:rsidRDefault="00963D11">
            <w:pPr>
              <w:widowControl w:val="0"/>
              <w:spacing w:before="240" w:after="0" w:line="360" w:lineRule="auto"/>
              <w:ind w:left="0" w:right="0"/>
              <w:jc w:val="right"/>
              <w:rPr>
                <w:sz w:val="22"/>
                <w:szCs w:val="22"/>
              </w:rPr>
            </w:pPr>
            <w:r>
              <w:rPr>
                <w:sz w:val="22"/>
                <w:szCs w:val="22"/>
              </w:rPr>
              <w:t>£4,892.40</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3E540EE2" w14:textId="77777777" w:rsidR="00D16674" w:rsidRDefault="00963D11">
            <w:pPr>
              <w:widowControl w:val="0"/>
              <w:spacing w:before="240" w:after="0" w:line="360" w:lineRule="auto"/>
              <w:ind w:left="0" w:right="0"/>
              <w:jc w:val="right"/>
              <w:rPr>
                <w:sz w:val="22"/>
                <w:szCs w:val="22"/>
              </w:rPr>
            </w:pPr>
            <w:r>
              <w:rPr>
                <w:sz w:val="22"/>
                <w:szCs w:val="22"/>
              </w:rPr>
              <w:t>£5,171.70</w:t>
            </w:r>
          </w:p>
        </w:tc>
      </w:tr>
      <w:tr w:rsidR="00D16674" w14:paraId="37829862" w14:textId="77777777">
        <w:trPr>
          <w:trHeight w:val="315"/>
          <w:jc w:val="center"/>
        </w:trPr>
        <w:tc>
          <w:tcPr>
            <w:tcW w:w="7080" w:type="dxa"/>
            <w:gridSpan w:val="3"/>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578C2C0B" w14:textId="77777777" w:rsidR="00D16674" w:rsidRDefault="00963D11">
            <w:pPr>
              <w:widowControl w:val="0"/>
              <w:spacing w:before="240" w:after="0" w:line="360" w:lineRule="auto"/>
              <w:ind w:left="0" w:right="0"/>
              <w:jc w:val="center"/>
              <w:rPr>
                <w:sz w:val="22"/>
                <w:szCs w:val="22"/>
              </w:rPr>
            </w:pPr>
            <w:r>
              <w:rPr>
                <w:sz w:val="22"/>
                <w:szCs w:val="22"/>
              </w:rPr>
              <w:t>Cash / Current Liabilities</w:t>
            </w:r>
          </w:p>
        </w:tc>
      </w:tr>
      <w:tr w:rsidR="00D16674" w14:paraId="44CF0A12" w14:textId="77777777">
        <w:trPr>
          <w:trHeight w:val="315"/>
          <w:jc w:val="center"/>
        </w:trPr>
        <w:tc>
          <w:tcPr>
            <w:tcW w:w="3270" w:type="dxa"/>
            <w:tcBorders>
              <w:top w:val="nil"/>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281CC125" w14:textId="77777777" w:rsidR="00D16674" w:rsidRDefault="00963D11">
            <w:pPr>
              <w:widowControl w:val="0"/>
              <w:spacing w:before="240" w:after="0" w:line="360" w:lineRule="auto"/>
              <w:ind w:left="0" w:right="0"/>
              <w:jc w:val="center"/>
              <w:rPr>
                <w:b/>
                <w:sz w:val="22"/>
                <w:szCs w:val="22"/>
              </w:rPr>
            </w:pPr>
            <w:r>
              <w:rPr>
                <w:b/>
                <w:sz w:val="22"/>
                <w:szCs w:val="22"/>
              </w:rPr>
              <w:t>Cash Ratio</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722A5E3D" w14:textId="77777777" w:rsidR="00D16674" w:rsidRDefault="00963D11">
            <w:pPr>
              <w:widowControl w:val="0"/>
              <w:spacing w:before="240" w:after="0" w:line="360" w:lineRule="auto"/>
              <w:ind w:left="0" w:right="0"/>
              <w:jc w:val="right"/>
              <w:rPr>
                <w:b/>
                <w:sz w:val="22"/>
                <w:szCs w:val="22"/>
              </w:rPr>
            </w:pPr>
            <w:r>
              <w:rPr>
                <w:b/>
                <w:sz w:val="22"/>
                <w:szCs w:val="22"/>
              </w:rPr>
              <w:t>0.07</w:t>
            </w:r>
          </w:p>
        </w:tc>
        <w:tc>
          <w:tcPr>
            <w:tcW w:w="1905" w:type="dxa"/>
            <w:tcBorders>
              <w:top w:val="nil"/>
              <w:left w:val="nil"/>
              <w:bottom w:val="single" w:sz="5" w:space="0" w:color="000000"/>
              <w:right w:val="single" w:sz="5" w:space="0" w:color="000000"/>
            </w:tcBorders>
            <w:shd w:val="clear" w:color="auto" w:fill="FFF2CC"/>
            <w:tcMar>
              <w:top w:w="0" w:type="dxa"/>
              <w:left w:w="100" w:type="dxa"/>
              <w:bottom w:w="0" w:type="dxa"/>
              <w:right w:w="100" w:type="dxa"/>
            </w:tcMar>
          </w:tcPr>
          <w:p w14:paraId="5E6E3408" w14:textId="77777777" w:rsidR="00D16674" w:rsidRDefault="00963D11">
            <w:pPr>
              <w:widowControl w:val="0"/>
              <w:spacing w:before="240" w:after="0" w:line="360" w:lineRule="auto"/>
              <w:ind w:left="0" w:right="0"/>
              <w:jc w:val="right"/>
              <w:rPr>
                <w:b/>
                <w:sz w:val="22"/>
                <w:szCs w:val="22"/>
              </w:rPr>
            </w:pPr>
            <w:r>
              <w:rPr>
                <w:b/>
                <w:sz w:val="22"/>
                <w:szCs w:val="22"/>
              </w:rPr>
              <w:t>0.06</w:t>
            </w:r>
          </w:p>
        </w:tc>
      </w:tr>
    </w:tbl>
    <w:p w14:paraId="55C23558" w14:textId="77777777" w:rsidR="00D16674" w:rsidRDefault="00D16674">
      <w:pPr>
        <w:widowControl w:val="0"/>
        <w:spacing w:before="30" w:after="30" w:line="360" w:lineRule="auto"/>
        <w:ind w:left="0" w:right="0"/>
        <w:jc w:val="left"/>
        <w:rPr>
          <w:sz w:val="22"/>
          <w:szCs w:val="22"/>
        </w:rPr>
      </w:pPr>
    </w:p>
    <w:tbl>
      <w:tblPr>
        <w:tblStyle w:val="a1"/>
        <w:tblW w:w="720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660"/>
        <w:gridCol w:w="1770"/>
        <w:gridCol w:w="1770"/>
      </w:tblGrid>
      <w:tr w:rsidR="00D16674" w14:paraId="167C0BDE" w14:textId="77777777">
        <w:trPr>
          <w:trHeight w:val="315"/>
          <w:jc w:val="center"/>
        </w:trPr>
        <w:tc>
          <w:tcPr>
            <w:tcW w:w="7200" w:type="dxa"/>
            <w:gridSpan w:val="3"/>
            <w:tcBorders>
              <w:top w:val="single" w:sz="5" w:space="0" w:color="000000"/>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168564E3" w14:textId="77777777" w:rsidR="00D16674" w:rsidRDefault="00963D11">
            <w:pPr>
              <w:widowControl w:val="0"/>
              <w:spacing w:before="240" w:after="0" w:line="276" w:lineRule="auto"/>
              <w:ind w:left="0" w:right="0"/>
              <w:jc w:val="center"/>
              <w:rPr>
                <w:b/>
                <w:sz w:val="22"/>
                <w:szCs w:val="22"/>
              </w:rPr>
            </w:pPr>
            <w:r>
              <w:rPr>
                <w:b/>
                <w:sz w:val="22"/>
                <w:szCs w:val="22"/>
              </w:rPr>
              <w:t>Gearing Ratios</w:t>
            </w:r>
          </w:p>
        </w:tc>
      </w:tr>
      <w:tr w:rsidR="00D16674" w14:paraId="41937035" w14:textId="77777777">
        <w:trPr>
          <w:trHeight w:val="315"/>
          <w:jc w:val="center"/>
        </w:trPr>
        <w:tc>
          <w:tcPr>
            <w:tcW w:w="7200" w:type="dxa"/>
            <w:gridSpan w:val="3"/>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2FE00E5A" w14:textId="77777777" w:rsidR="00D16674" w:rsidRDefault="00963D11">
            <w:pPr>
              <w:widowControl w:val="0"/>
              <w:spacing w:before="240" w:after="0" w:line="276" w:lineRule="auto"/>
              <w:ind w:left="0" w:right="0"/>
              <w:jc w:val="center"/>
              <w:rPr>
                <w:b/>
                <w:sz w:val="22"/>
                <w:szCs w:val="22"/>
              </w:rPr>
            </w:pPr>
            <w:r>
              <w:rPr>
                <w:b/>
                <w:sz w:val="22"/>
                <w:szCs w:val="22"/>
              </w:rPr>
              <w:t>Debt-to-Equity Ratio</w:t>
            </w:r>
          </w:p>
        </w:tc>
      </w:tr>
      <w:tr w:rsidR="00D16674" w14:paraId="6CC442B3" w14:textId="77777777">
        <w:trPr>
          <w:trHeight w:val="315"/>
          <w:jc w:val="center"/>
        </w:trPr>
        <w:tc>
          <w:tcPr>
            <w:tcW w:w="3660" w:type="dxa"/>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50446F1B" w14:textId="77777777" w:rsidR="00D16674" w:rsidRDefault="00963D11">
            <w:pPr>
              <w:widowControl w:val="0"/>
              <w:spacing w:before="240" w:after="0" w:line="276" w:lineRule="auto"/>
              <w:ind w:left="0" w:right="0"/>
              <w:jc w:val="center"/>
              <w:rPr>
                <w:b/>
                <w:sz w:val="22"/>
                <w:szCs w:val="22"/>
              </w:rPr>
            </w:pPr>
            <w:r>
              <w:rPr>
                <w:b/>
                <w:sz w:val="22"/>
                <w:szCs w:val="22"/>
              </w:rPr>
              <w:t>Ratio (£M)</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6C672E15" w14:textId="77777777" w:rsidR="00D16674" w:rsidRDefault="00963D11">
            <w:pPr>
              <w:widowControl w:val="0"/>
              <w:spacing w:before="240" w:after="0" w:line="276" w:lineRule="auto"/>
              <w:ind w:left="0" w:right="0"/>
              <w:jc w:val="right"/>
              <w:rPr>
                <w:b/>
                <w:sz w:val="22"/>
                <w:szCs w:val="22"/>
              </w:rPr>
            </w:pPr>
            <w:r>
              <w:rPr>
                <w:b/>
                <w:sz w:val="22"/>
                <w:szCs w:val="22"/>
              </w:rPr>
              <w:t>2023</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4D5FBC36" w14:textId="77777777" w:rsidR="00D16674" w:rsidRDefault="00963D11">
            <w:pPr>
              <w:widowControl w:val="0"/>
              <w:spacing w:before="240" w:after="0" w:line="276" w:lineRule="auto"/>
              <w:ind w:left="0" w:right="0"/>
              <w:jc w:val="right"/>
              <w:rPr>
                <w:b/>
                <w:sz w:val="22"/>
                <w:szCs w:val="22"/>
              </w:rPr>
            </w:pPr>
            <w:r>
              <w:rPr>
                <w:b/>
                <w:sz w:val="22"/>
                <w:szCs w:val="22"/>
              </w:rPr>
              <w:t>2024</w:t>
            </w:r>
          </w:p>
        </w:tc>
      </w:tr>
      <w:tr w:rsidR="00D16674" w14:paraId="125F720D" w14:textId="77777777">
        <w:trPr>
          <w:trHeight w:val="315"/>
          <w:jc w:val="center"/>
        </w:trPr>
        <w:tc>
          <w:tcPr>
            <w:tcW w:w="3660" w:type="dxa"/>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403FBA20" w14:textId="77777777" w:rsidR="00D16674" w:rsidRDefault="00963D11">
            <w:pPr>
              <w:widowControl w:val="0"/>
              <w:spacing w:before="240" w:after="0" w:line="276" w:lineRule="auto"/>
              <w:ind w:left="0" w:right="0"/>
              <w:jc w:val="center"/>
              <w:rPr>
                <w:sz w:val="22"/>
                <w:szCs w:val="22"/>
              </w:rPr>
            </w:pPr>
            <w:r>
              <w:rPr>
                <w:sz w:val="22"/>
                <w:szCs w:val="22"/>
              </w:rPr>
              <w:t>Total Debt</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67D42315" w14:textId="77777777" w:rsidR="00D16674" w:rsidRDefault="00963D11">
            <w:pPr>
              <w:widowControl w:val="0"/>
              <w:spacing w:before="240" w:after="0" w:line="276" w:lineRule="auto"/>
              <w:ind w:left="0" w:right="0"/>
              <w:jc w:val="right"/>
              <w:rPr>
                <w:sz w:val="22"/>
                <w:szCs w:val="22"/>
              </w:rPr>
            </w:pPr>
            <w:r>
              <w:rPr>
                <w:sz w:val="22"/>
                <w:szCs w:val="22"/>
              </w:rPr>
              <w:t>£992.80</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5052C514" w14:textId="77777777" w:rsidR="00D16674" w:rsidRDefault="00963D11">
            <w:pPr>
              <w:widowControl w:val="0"/>
              <w:spacing w:before="240" w:after="0" w:line="276" w:lineRule="auto"/>
              <w:ind w:left="0" w:right="0"/>
              <w:jc w:val="right"/>
              <w:rPr>
                <w:sz w:val="22"/>
                <w:szCs w:val="22"/>
              </w:rPr>
            </w:pPr>
            <w:r>
              <w:rPr>
                <w:sz w:val="22"/>
                <w:szCs w:val="22"/>
              </w:rPr>
              <w:t>£1,370.70</w:t>
            </w:r>
          </w:p>
        </w:tc>
      </w:tr>
      <w:tr w:rsidR="00D16674" w14:paraId="1B66D8BA" w14:textId="77777777">
        <w:trPr>
          <w:trHeight w:val="315"/>
          <w:jc w:val="center"/>
        </w:trPr>
        <w:tc>
          <w:tcPr>
            <w:tcW w:w="3660" w:type="dxa"/>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72A711C5" w14:textId="77777777" w:rsidR="00D16674" w:rsidRDefault="00963D11">
            <w:pPr>
              <w:widowControl w:val="0"/>
              <w:spacing w:before="240" w:after="0" w:line="276" w:lineRule="auto"/>
              <w:ind w:left="0" w:right="0"/>
              <w:jc w:val="center"/>
              <w:rPr>
                <w:sz w:val="22"/>
                <w:szCs w:val="22"/>
              </w:rPr>
            </w:pPr>
            <w:r>
              <w:rPr>
                <w:sz w:val="22"/>
                <w:szCs w:val="22"/>
              </w:rPr>
              <w:t>Total Equity</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0E61A37D" w14:textId="77777777" w:rsidR="00D16674" w:rsidRDefault="00963D11">
            <w:pPr>
              <w:widowControl w:val="0"/>
              <w:spacing w:before="240" w:after="0" w:line="276" w:lineRule="auto"/>
              <w:ind w:left="0" w:right="0"/>
              <w:jc w:val="right"/>
              <w:rPr>
                <w:sz w:val="22"/>
                <w:szCs w:val="22"/>
              </w:rPr>
            </w:pPr>
            <w:r>
              <w:rPr>
                <w:sz w:val="22"/>
                <w:szCs w:val="22"/>
              </w:rPr>
              <w:t>£6,103.40</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52C99BB2" w14:textId="77777777" w:rsidR="00D16674" w:rsidRDefault="00963D11">
            <w:pPr>
              <w:widowControl w:val="0"/>
              <w:spacing w:before="240" w:after="0" w:line="276" w:lineRule="auto"/>
              <w:ind w:left="0" w:right="0"/>
              <w:jc w:val="right"/>
              <w:rPr>
                <w:sz w:val="22"/>
                <w:szCs w:val="22"/>
              </w:rPr>
            </w:pPr>
            <w:r>
              <w:rPr>
                <w:sz w:val="22"/>
                <w:szCs w:val="22"/>
              </w:rPr>
              <w:t>£6,573.50</w:t>
            </w:r>
          </w:p>
        </w:tc>
      </w:tr>
      <w:tr w:rsidR="00D16674" w14:paraId="1B453576" w14:textId="77777777">
        <w:trPr>
          <w:trHeight w:val="315"/>
          <w:jc w:val="center"/>
        </w:trPr>
        <w:tc>
          <w:tcPr>
            <w:tcW w:w="7200" w:type="dxa"/>
            <w:gridSpan w:val="3"/>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539521F9" w14:textId="77777777" w:rsidR="00D16674" w:rsidRDefault="00963D11">
            <w:pPr>
              <w:widowControl w:val="0"/>
              <w:spacing w:before="240" w:after="0" w:line="276" w:lineRule="auto"/>
              <w:ind w:left="0" w:right="0"/>
              <w:jc w:val="center"/>
              <w:rPr>
                <w:sz w:val="22"/>
                <w:szCs w:val="22"/>
              </w:rPr>
            </w:pPr>
            <w:r>
              <w:rPr>
                <w:sz w:val="22"/>
                <w:szCs w:val="22"/>
              </w:rPr>
              <w:t>Total Debt / Total Equity</w:t>
            </w:r>
          </w:p>
        </w:tc>
      </w:tr>
      <w:tr w:rsidR="00D16674" w14:paraId="4AD7F87C" w14:textId="77777777">
        <w:trPr>
          <w:trHeight w:val="315"/>
          <w:jc w:val="center"/>
        </w:trPr>
        <w:tc>
          <w:tcPr>
            <w:tcW w:w="3660" w:type="dxa"/>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4920A7D7" w14:textId="77777777" w:rsidR="00D16674" w:rsidRDefault="00963D11">
            <w:pPr>
              <w:widowControl w:val="0"/>
              <w:spacing w:before="240" w:after="0" w:line="276" w:lineRule="auto"/>
              <w:ind w:left="0" w:right="0"/>
              <w:jc w:val="center"/>
              <w:rPr>
                <w:b/>
                <w:sz w:val="22"/>
                <w:szCs w:val="22"/>
              </w:rPr>
            </w:pPr>
            <w:r>
              <w:rPr>
                <w:b/>
                <w:sz w:val="22"/>
                <w:szCs w:val="22"/>
              </w:rPr>
              <w:t>Debt-to-Equity Ratio</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04D3B0E3" w14:textId="77777777" w:rsidR="00D16674" w:rsidRDefault="00963D11">
            <w:pPr>
              <w:widowControl w:val="0"/>
              <w:spacing w:before="240" w:after="0" w:line="276" w:lineRule="auto"/>
              <w:ind w:left="0" w:right="0"/>
              <w:jc w:val="right"/>
              <w:rPr>
                <w:b/>
                <w:sz w:val="22"/>
                <w:szCs w:val="22"/>
              </w:rPr>
            </w:pPr>
            <w:r>
              <w:rPr>
                <w:b/>
                <w:sz w:val="22"/>
                <w:szCs w:val="22"/>
              </w:rPr>
              <w:t>0.16</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48359668" w14:textId="77777777" w:rsidR="00D16674" w:rsidRDefault="00963D11">
            <w:pPr>
              <w:widowControl w:val="0"/>
              <w:spacing w:before="240" w:after="0" w:line="276" w:lineRule="auto"/>
              <w:ind w:left="0" w:right="0"/>
              <w:jc w:val="right"/>
              <w:rPr>
                <w:b/>
                <w:sz w:val="22"/>
                <w:szCs w:val="22"/>
              </w:rPr>
            </w:pPr>
            <w:r>
              <w:rPr>
                <w:b/>
                <w:sz w:val="22"/>
                <w:szCs w:val="22"/>
              </w:rPr>
              <w:t>0.21</w:t>
            </w:r>
          </w:p>
        </w:tc>
      </w:tr>
      <w:tr w:rsidR="00D16674" w14:paraId="5E4F7BDC" w14:textId="77777777">
        <w:trPr>
          <w:trHeight w:val="315"/>
          <w:jc w:val="center"/>
        </w:trPr>
        <w:tc>
          <w:tcPr>
            <w:tcW w:w="7200" w:type="dxa"/>
            <w:gridSpan w:val="3"/>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5A648BAE" w14:textId="77777777" w:rsidR="00D16674" w:rsidRDefault="00963D11">
            <w:pPr>
              <w:widowControl w:val="0"/>
              <w:spacing w:before="240" w:after="0" w:line="276" w:lineRule="auto"/>
              <w:ind w:left="0" w:right="0"/>
              <w:jc w:val="center"/>
              <w:rPr>
                <w:sz w:val="22"/>
                <w:szCs w:val="22"/>
              </w:rPr>
            </w:pPr>
            <w:r>
              <w:rPr>
                <w:sz w:val="22"/>
                <w:szCs w:val="22"/>
              </w:rPr>
              <w:t xml:space="preserve"> </w:t>
            </w:r>
          </w:p>
        </w:tc>
      </w:tr>
      <w:tr w:rsidR="00D16674" w14:paraId="47B24303" w14:textId="77777777">
        <w:trPr>
          <w:trHeight w:val="315"/>
          <w:jc w:val="center"/>
        </w:trPr>
        <w:tc>
          <w:tcPr>
            <w:tcW w:w="7200" w:type="dxa"/>
            <w:gridSpan w:val="3"/>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2A4F851C" w14:textId="77777777" w:rsidR="00D16674" w:rsidRDefault="00963D11">
            <w:pPr>
              <w:widowControl w:val="0"/>
              <w:spacing w:before="240" w:after="0" w:line="276" w:lineRule="auto"/>
              <w:ind w:left="0" w:right="0"/>
              <w:jc w:val="center"/>
              <w:rPr>
                <w:b/>
                <w:sz w:val="22"/>
                <w:szCs w:val="22"/>
              </w:rPr>
            </w:pPr>
            <w:r>
              <w:rPr>
                <w:b/>
                <w:sz w:val="22"/>
                <w:szCs w:val="22"/>
              </w:rPr>
              <w:t>Interest Cover</w:t>
            </w:r>
          </w:p>
        </w:tc>
      </w:tr>
      <w:tr w:rsidR="00D16674" w14:paraId="5A3A861B" w14:textId="77777777">
        <w:trPr>
          <w:trHeight w:val="315"/>
          <w:jc w:val="center"/>
        </w:trPr>
        <w:tc>
          <w:tcPr>
            <w:tcW w:w="3660" w:type="dxa"/>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1CC19AA4" w14:textId="77777777" w:rsidR="00D16674" w:rsidRDefault="00963D11">
            <w:pPr>
              <w:widowControl w:val="0"/>
              <w:spacing w:before="240" w:after="0" w:line="276" w:lineRule="auto"/>
              <w:ind w:left="0" w:right="0"/>
              <w:jc w:val="center"/>
              <w:rPr>
                <w:b/>
                <w:sz w:val="22"/>
                <w:szCs w:val="22"/>
              </w:rPr>
            </w:pPr>
            <w:r>
              <w:rPr>
                <w:b/>
                <w:sz w:val="22"/>
                <w:szCs w:val="22"/>
              </w:rPr>
              <w:t>Ratio (£M)</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4A56432B" w14:textId="77777777" w:rsidR="00D16674" w:rsidRDefault="00963D11">
            <w:pPr>
              <w:widowControl w:val="0"/>
              <w:spacing w:before="240" w:after="0" w:line="276" w:lineRule="auto"/>
              <w:ind w:left="0" w:right="0"/>
              <w:jc w:val="right"/>
              <w:rPr>
                <w:b/>
                <w:sz w:val="22"/>
                <w:szCs w:val="22"/>
              </w:rPr>
            </w:pPr>
            <w:r>
              <w:rPr>
                <w:b/>
                <w:sz w:val="22"/>
                <w:szCs w:val="22"/>
              </w:rPr>
              <w:t>2023</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6A5BAE4C" w14:textId="77777777" w:rsidR="00D16674" w:rsidRDefault="00963D11">
            <w:pPr>
              <w:widowControl w:val="0"/>
              <w:spacing w:before="240" w:after="0" w:line="276" w:lineRule="auto"/>
              <w:ind w:left="0" w:right="0"/>
              <w:jc w:val="right"/>
              <w:rPr>
                <w:b/>
                <w:sz w:val="22"/>
                <w:szCs w:val="22"/>
              </w:rPr>
            </w:pPr>
            <w:r>
              <w:rPr>
                <w:b/>
                <w:sz w:val="22"/>
                <w:szCs w:val="22"/>
              </w:rPr>
              <w:t>2024</w:t>
            </w:r>
          </w:p>
        </w:tc>
      </w:tr>
      <w:tr w:rsidR="00D16674" w14:paraId="30D14F8A" w14:textId="77777777">
        <w:trPr>
          <w:trHeight w:val="315"/>
          <w:jc w:val="center"/>
        </w:trPr>
        <w:tc>
          <w:tcPr>
            <w:tcW w:w="3660" w:type="dxa"/>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12379440" w14:textId="77777777" w:rsidR="00D16674" w:rsidRDefault="00963D11">
            <w:pPr>
              <w:widowControl w:val="0"/>
              <w:spacing w:before="240" w:after="0" w:line="276" w:lineRule="auto"/>
              <w:ind w:left="0" w:right="0"/>
              <w:jc w:val="center"/>
              <w:rPr>
                <w:sz w:val="22"/>
                <w:szCs w:val="22"/>
              </w:rPr>
            </w:pPr>
            <w:r>
              <w:rPr>
                <w:sz w:val="22"/>
                <w:szCs w:val="22"/>
              </w:rPr>
              <w:t>Operating Profit</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793F17F0" w14:textId="77777777" w:rsidR="00D16674" w:rsidRDefault="00963D11">
            <w:pPr>
              <w:widowControl w:val="0"/>
              <w:spacing w:before="240" w:after="0" w:line="276" w:lineRule="auto"/>
              <w:ind w:left="0" w:right="0"/>
              <w:jc w:val="right"/>
              <w:rPr>
                <w:sz w:val="22"/>
                <w:szCs w:val="22"/>
              </w:rPr>
            </w:pPr>
            <w:r>
              <w:rPr>
                <w:sz w:val="22"/>
                <w:szCs w:val="22"/>
              </w:rPr>
              <w:t>£462.90</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04865757" w14:textId="77777777" w:rsidR="00D16674" w:rsidRDefault="00963D11">
            <w:pPr>
              <w:widowControl w:val="0"/>
              <w:spacing w:before="240" w:after="0" w:line="276" w:lineRule="auto"/>
              <w:ind w:left="0" w:right="0"/>
              <w:jc w:val="right"/>
              <w:rPr>
                <w:sz w:val="22"/>
                <w:szCs w:val="22"/>
              </w:rPr>
            </w:pPr>
            <w:r>
              <w:rPr>
                <w:sz w:val="22"/>
                <w:szCs w:val="22"/>
              </w:rPr>
              <w:t>£865.70</w:t>
            </w:r>
          </w:p>
        </w:tc>
      </w:tr>
      <w:tr w:rsidR="00D16674" w14:paraId="472DC2C7" w14:textId="77777777">
        <w:trPr>
          <w:trHeight w:val="315"/>
          <w:jc w:val="center"/>
        </w:trPr>
        <w:tc>
          <w:tcPr>
            <w:tcW w:w="3660" w:type="dxa"/>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68E53E0B" w14:textId="77777777" w:rsidR="00D16674" w:rsidRDefault="00963D11">
            <w:pPr>
              <w:widowControl w:val="0"/>
              <w:spacing w:before="240" w:after="0" w:line="276" w:lineRule="auto"/>
              <w:ind w:left="0" w:right="0"/>
              <w:jc w:val="center"/>
              <w:rPr>
                <w:sz w:val="22"/>
                <w:szCs w:val="22"/>
              </w:rPr>
            </w:pPr>
            <w:r>
              <w:rPr>
                <w:sz w:val="22"/>
                <w:szCs w:val="22"/>
              </w:rPr>
              <w:t>Interest Expenses</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3D8A0ED4" w14:textId="77777777" w:rsidR="00D16674" w:rsidRDefault="00963D11">
            <w:pPr>
              <w:widowControl w:val="0"/>
              <w:spacing w:before="240" w:after="0" w:line="276" w:lineRule="auto"/>
              <w:ind w:left="0" w:right="0"/>
              <w:jc w:val="right"/>
              <w:rPr>
                <w:sz w:val="22"/>
                <w:szCs w:val="22"/>
              </w:rPr>
            </w:pPr>
            <w:r>
              <w:rPr>
                <w:sz w:val="22"/>
                <w:szCs w:val="22"/>
              </w:rPr>
              <w:t>£26.80</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7467A4E4" w14:textId="77777777" w:rsidR="00D16674" w:rsidRDefault="00963D11">
            <w:pPr>
              <w:widowControl w:val="0"/>
              <w:spacing w:before="240" w:after="0" w:line="276" w:lineRule="auto"/>
              <w:ind w:left="0" w:right="0"/>
              <w:jc w:val="right"/>
              <w:rPr>
                <w:sz w:val="22"/>
                <w:szCs w:val="22"/>
              </w:rPr>
            </w:pPr>
            <w:r>
              <w:rPr>
                <w:sz w:val="22"/>
                <w:szCs w:val="22"/>
              </w:rPr>
              <w:t>£37.20</w:t>
            </w:r>
          </w:p>
        </w:tc>
      </w:tr>
      <w:tr w:rsidR="00D16674" w14:paraId="3784008F" w14:textId="77777777">
        <w:trPr>
          <w:trHeight w:val="315"/>
          <w:jc w:val="center"/>
        </w:trPr>
        <w:tc>
          <w:tcPr>
            <w:tcW w:w="7200" w:type="dxa"/>
            <w:gridSpan w:val="3"/>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41962130" w14:textId="77777777" w:rsidR="00D16674" w:rsidRDefault="00963D11">
            <w:pPr>
              <w:widowControl w:val="0"/>
              <w:spacing w:before="240" w:after="0" w:line="276" w:lineRule="auto"/>
              <w:ind w:left="0" w:right="0"/>
              <w:jc w:val="center"/>
              <w:rPr>
                <w:sz w:val="22"/>
                <w:szCs w:val="22"/>
              </w:rPr>
            </w:pPr>
            <w:r>
              <w:rPr>
                <w:sz w:val="22"/>
                <w:szCs w:val="22"/>
              </w:rPr>
              <w:t>Operating Profit / Interest Expenses</w:t>
            </w:r>
          </w:p>
        </w:tc>
      </w:tr>
      <w:tr w:rsidR="00D16674" w14:paraId="3C1CFAA8" w14:textId="77777777">
        <w:trPr>
          <w:trHeight w:val="315"/>
          <w:jc w:val="center"/>
        </w:trPr>
        <w:tc>
          <w:tcPr>
            <w:tcW w:w="3660" w:type="dxa"/>
            <w:tcBorders>
              <w:top w:val="nil"/>
              <w:left w:val="single" w:sz="5" w:space="0" w:color="000000"/>
              <w:bottom w:val="single" w:sz="5" w:space="0" w:color="000000"/>
              <w:right w:val="single" w:sz="5" w:space="0" w:color="000000"/>
            </w:tcBorders>
            <w:shd w:val="clear" w:color="auto" w:fill="D9E1F2"/>
            <w:tcMar>
              <w:top w:w="0" w:type="dxa"/>
              <w:left w:w="100" w:type="dxa"/>
              <w:bottom w:w="0" w:type="dxa"/>
              <w:right w:w="100" w:type="dxa"/>
            </w:tcMar>
          </w:tcPr>
          <w:p w14:paraId="5E164AC9" w14:textId="77777777" w:rsidR="00D16674" w:rsidRDefault="00963D11">
            <w:pPr>
              <w:widowControl w:val="0"/>
              <w:spacing w:before="240" w:after="0" w:line="276" w:lineRule="auto"/>
              <w:ind w:left="0" w:right="0"/>
              <w:jc w:val="center"/>
              <w:rPr>
                <w:b/>
                <w:sz w:val="22"/>
                <w:szCs w:val="22"/>
              </w:rPr>
            </w:pPr>
            <w:r>
              <w:rPr>
                <w:b/>
                <w:sz w:val="22"/>
                <w:szCs w:val="22"/>
              </w:rPr>
              <w:t>Interest Cover</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183FDCE2" w14:textId="77777777" w:rsidR="00D16674" w:rsidRDefault="00963D11">
            <w:pPr>
              <w:widowControl w:val="0"/>
              <w:spacing w:before="240" w:after="0" w:line="276" w:lineRule="auto"/>
              <w:ind w:left="0" w:right="0"/>
              <w:jc w:val="right"/>
              <w:rPr>
                <w:b/>
                <w:sz w:val="22"/>
                <w:szCs w:val="22"/>
              </w:rPr>
            </w:pPr>
            <w:r>
              <w:rPr>
                <w:b/>
                <w:sz w:val="22"/>
                <w:szCs w:val="22"/>
              </w:rPr>
              <w:t>17.27</w:t>
            </w:r>
          </w:p>
        </w:tc>
        <w:tc>
          <w:tcPr>
            <w:tcW w:w="1770" w:type="dxa"/>
            <w:tcBorders>
              <w:top w:val="nil"/>
              <w:left w:val="nil"/>
              <w:bottom w:val="single" w:sz="5" w:space="0" w:color="000000"/>
              <w:right w:val="single" w:sz="5" w:space="0" w:color="000000"/>
            </w:tcBorders>
            <w:shd w:val="clear" w:color="auto" w:fill="D9E1F2"/>
            <w:tcMar>
              <w:top w:w="0" w:type="dxa"/>
              <w:left w:w="100" w:type="dxa"/>
              <w:bottom w:w="0" w:type="dxa"/>
              <w:right w:w="100" w:type="dxa"/>
            </w:tcMar>
          </w:tcPr>
          <w:p w14:paraId="6509981A" w14:textId="77777777" w:rsidR="00D16674" w:rsidRDefault="00963D11">
            <w:pPr>
              <w:widowControl w:val="0"/>
              <w:spacing w:before="240" w:after="0" w:line="276" w:lineRule="auto"/>
              <w:ind w:left="0" w:right="0"/>
              <w:jc w:val="right"/>
              <w:rPr>
                <w:b/>
                <w:sz w:val="22"/>
                <w:szCs w:val="22"/>
              </w:rPr>
            </w:pPr>
            <w:r>
              <w:rPr>
                <w:b/>
                <w:sz w:val="22"/>
                <w:szCs w:val="22"/>
              </w:rPr>
              <w:t>23.27</w:t>
            </w:r>
          </w:p>
        </w:tc>
      </w:tr>
    </w:tbl>
    <w:p w14:paraId="3EC8D75F" w14:textId="77777777" w:rsidR="00D16674" w:rsidRDefault="00D16674">
      <w:pPr>
        <w:widowControl w:val="0"/>
        <w:spacing w:before="30" w:after="30" w:line="360" w:lineRule="auto"/>
        <w:ind w:left="0" w:right="0"/>
        <w:jc w:val="left"/>
        <w:rPr>
          <w:sz w:val="22"/>
          <w:szCs w:val="22"/>
        </w:rPr>
      </w:pPr>
    </w:p>
    <w:tbl>
      <w:tblPr>
        <w:tblStyle w:val="a2"/>
        <w:tblW w:w="711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510"/>
        <w:gridCol w:w="1800"/>
        <w:gridCol w:w="1800"/>
      </w:tblGrid>
      <w:tr w:rsidR="00D16674" w14:paraId="75843126" w14:textId="77777777">
        <w:trPr>
          <w:trHeight w:val="510"/>
          <w:jc w:val="center"/>
        </w:trPr>
        <w:tc>
          <w:tcPr>
            <w:tcW w:w="7110" w:type="dxa"/>
            <w:gridSpan w:val="3"/>
            <w:tcBorders>
              <w:top w:val="single" w:sz="5" w:space="0" w:color="000000"/>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39FB3745" w14:textId="77777777" w:rsidR="00D16674" w:rsidRDefault="00963D11">
            <w:pPr>
              <w:widowControl w:val="0"/>
              <w:spacing w:before="240" w:after="0" w:line="276" w:lineRule="auto"/>
              <w:ind w:left="0" w:right="0"/>
              <w:jc w:val="center"/>
              <w:rPr>
                <w:b/>
                <w:sz w:val="22"/>
                <w:szCs w:val="22"/>
              </w:rPr>
            </w:pPr>
            <w:r>
              <w:rPr>
                <w:b/>
                <w:sz w:val="22"/>
                <w:szCs w:val="22"/>
              </w:rPr>
              <w:lastRenderedPageBreak/>
              <w:t>Efficiency Ratios</w:t>
            </w:r>
          </w:p>
        </w:tc>
      </w:tr>
      <w:tr w:rsidR="00D16674" w14:paraId="205E4261" w14:textId="77777777">
        <w:trPr>
          <w:trHeight w:val="315"/>
          <w:jc w:val="center"/>
        </w:trPr>
        <w:tc>
          <w:tcPr>
            <w:tcW w:w="7110" w:type="dxa"/>
            <w:gridSpan w:val="3"/>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6B5E6BE6" w14:textId="77777777" w:rsidR="00D16674" w:rsidRDefault="00963D11">
            <w:pPr>
              <w:widowControl w:val="0"/>
              <w:spacing w:before="240" w:after="0" w:line="276" w:lineRule="auto"/>
              <w:ind w:left="0" w:right="0"/>
              <w:jc w:val="center"/>
              <w:rPr>
                <w:b/>
                <w:sz w:val="22"/>
                <w:szCs w:val="22"/>
              </w:rPr>
            </w:pPr>
            <w:r>
              <w:rPr>
                <w:b/>
                <w:sz w:val="22"/>
                <w:szCs w:val="22"/>
              </w:rPr>
              <w:t>Asset Turnover</w:t>
            </w:r>
          </w:p>
        </w:tc>
      </w:tr>
      <w:tr w:rsidR="00D16674" w14:paraId="63E8ACEA" w14:textId="77777777">
        <w:trPr>
          <w:trHeight w:val="315"/>
          <w:jc w:val="center"/>
        </w:trPr>
        <w:tc>
          <w:tcPr>
            <w:tcW w:w="3510" w:type="dxa"/>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5B254566" w14:textId="77777777" w:rsidR="00D16674" w:rsidRDefault="00963D11">
            <w:pPr>
              <w:widowControl w:val="0"/>
              <w:spacing w:before="240" w:after="0" w:line="276" w:lineRule="auto"/>
              <w:ind w:left="0" w:right="0"/>
              <w:jc w:val="center"/>
              <w:rPr>
                <w:b/>
                <w:sz w:val="22"/>
                <w:szCs w:val="22"/>
              </w:rPr>
            </w:pPr>
            <w:r>
              <w:rPr>
                <w:b/>
                <w:sz w:val="22"/>
                <w:szCs w:val="22"/>
              </w:rPr>
              <w:t>Ratio (£M)</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3FE442CE" w14:textId="77777777" w:rsidR="00D16674" w:rsidRDefault="00963D11">
            <w:pPr>
              <w:widowControl w:val="0"/>
              <w:spacing w:before="240" w:after="0" w:line="276" w:lineRule="auto"/>
              <w:ind w:left="0" w:right="0"/>
              <w:jc w:val="right"/>
              <w:rPr>
                <w:b/>
                <w:sz w:val="22"/>
                <w:szCs w:val="22"/>
              </w:rPr>
            </w:pPr>
            <w:r>
              <w:rPr>
                <w:b/>
                <w:sz w:val="22"/>
                <w:szCs w:val="22"/>
              </w:rPr>
              <w:t>2023</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32E3B021" w14:textId="77777777" w:rsidR="00D16674" w:rsidRDefault="00963D11">
            <w:pPr>
              <w:widowControl w:val="0"/>
              <w:spacing w:before="240" w:after="0" w:line="276" w:lineRule="auto"/>
              <w:ind w:left="0" w:right="0"/>
              <w:jc w:val="right"/>
              <w:rPr>
                <w:b/>
                <w:sz w:val="22"/>
                <w:szCs w:val="22"/>
              </w:rPr>
            </w:pPr>
            <w:r>
              <w:rPr>
                <w:b/>
                <w:sz w:val="22"/>
                <w:szCs w:val="22"/>
              </w:rPr>
              <w:t>2024</w:t>
            </w:r>
          </w:p>
        </w:tc>
      </w:tr>
      <w:tr w:rsidR="00D16674" w14:paraId="72664816" w14:textId="77777777">
        <w:trPr>
          <w:trHeight w:val="315"/>
          <w:jc w:val="center"/>
        </w:trPr>
        <w:tc>
          <w:tcPr>
            <w:tcW w:w="3510" w:type="dxa"/>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703E7F6C" w14:textId="77777777" w:rsidR="00D16674" w:rsidRDefault="00963D11">
            <w:pPr>
              <w:widowControl w:val="0"/>
              <w:spacing w:before="240" w:after="0" w:line="276" w:lineRule="auto"/>
              <w:ind w:left="0" w:right="0"/>
              <w:jc w:val="center"/>
              <w:rPr>
                <w:sz w:val="22"/>
                <w:szCs w:val="22"/>
              </w:rPr>
            </w:pPr>
            <w:r>
              <w:rPr>
                <w:sz w:val="22"/>
                <w:szCs w:val="22"/>
              </w:rPr>
              <w:t>Revenue</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28AB3A16" w14:textId="77777777" w:rsidR="00D16674" w:rsidRDefault="00963D11">
            <w:pPr>
              <w:widowControl w:val="0"/>
              <w:spacing w:before="240" w:after="0" w:line="276" w:lineRule="auto"/>
              <w:ind w:left="0" w:right="0"/>
              <w:jc w:val="right"/>
              <w:rPr>
                <w:sz w:val="22"/>
                <w:szCs w:val="22"/>
              </w:rPr>
            </w:pPr>
            <w:r>
              <w:rPr>
                <w:sz w:val="22"/>
                <w:szCs w:val="22"/>
              </w:rPr>
              <w:t>£3,486.10</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4BE02E8A" w14:textId="77777777" w:rsidR="00D16674" w:rsidRDefault="00963D11">
            <w:pPr>
              <w:widowControl w:val="0"/>
              <w:spacing w:before="240" w:after="0" w:line="276" w:lineRule="auto"/>
              <w:ind w:left="0" w:right="0"/>
              <w:jc w:val="right"/>
              <w:rPr>
                <w:sz w:val="22"/>
                <w:szCs w:val="22"/>
              </w:rPr>
            </w:pPr>
            <w:r>
              <w:rPr>
                <w:sz w:val="22"/>
                <w:szCs w:val="22"/>
              </w:rPr>
              <w:t>£4,776.20</w:t>
            </w:r>
          </w:p>
        </w:tc>
      </w:tr>
      <w:tr w:rsidR="00D16674" w14:paraId="297412B1" w14:textId="77777777">
        <w:trPr>
          <w:trHeight w:val="315"/>
          <w:jc w:val="center"/>
        </w:trPr>
        <w:tc>
          <w:tcPr>
            <w:tcW w:w="3510" w:type="dxa"/>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58E859AB" w14:textId="77777777" w:rsidR="00D16674" w:rsidRDefault="00963D11">
            <w:pPr>
              <w:widowControl w:val="0"/>
              <w:spacing w:before="240" w:after="0" w:line="276" w:lineRule="auto"/>
              <w:ind w:left="0" w:right="0"/>
              <w:jc w:val="center"/>
              <w:rPr>
                <w:sz w:val="22"/>
                <w:szCs w:val="22"/>
              </w:rPr>
            </w:pPr>
            <w:r>
              <w:rPr>
                <w:sz w:val="22"/>
                <w:szCs w:val="22"/>
              </w:rPr>
              <w:t>Total Assets</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64C4E1B1" w14:textId="77777777" w:rsidR="00D16674" w:rsidRDefault="00963D11">
            <w:pPr>
              <w:widowControl w:val="0"/>
              <w:spacing w:before="240" w:after="0" w:line="276" w:lineRule="auto"/>
              <w:ind w:left="0" w:right="0"/>
              <w:jc w:val="right"/>
              <w:rPr>
                <w:sz w:val="22"/>
                <w:szCs w:val="22"/>
              </w:rPr>
            </w:pPr>
            <w:r>
              <w:rPr>
                <w:sz w:val="22"/>
                <w:szCs w:val="22"/>
              </w:rPr>
              <w:t>£7,096.20</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701324B4" w14:textId="77777777" w:rsidR="00D16674" w:rsidRDefault="00963D11">
            <w:pPr>
              <w:widowControl w:val="0"/>
              <w:spacing w:before="240" w:after="0" w:line="276" w:lineRule="auto"/>
              <w:ind w:left="0" w:right="0"/>
              <w:jc w:val="right"/>
              <w:rPr>
                <w:sz w:val="22"/>
                <w:szCs w:val="22"/>
              </w:rPr>
            </w:pPr>
            <w:r>
              <w:rPr>
                <w:sz w:val="22"/>
                <w:szCs w:val="22"/>
              </w:rPr>
              <w:t>£7,944.20</w:t>
            </w:r>
          </w:p>
        </w:tc>
      </w:tr>
      <w:tr w:rsidR="00D16674" w14:paraId="771B71A6" w14:textId="77777777">
        <w:trPr>
          <w:trHeight w:val="315"/>
          <w:jc w:val="center"/>
        </w:trPr>
        <w:tc>
          <w:tcPr>
            <w:tcW w:w="7110" w:type="dxa"/>
            <w:gridSpan w:val="3"/>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64FDC92B" w14:textId="77777777" w:rsidR="00D16674" w:rsidRDefault="00963D11">
            <w:pPr>
              <w:widowControl w:val="0"/>
              <w:spacing w:before="240" w:after="0" w:line="276" w:lineRule="auto"/>
              <w:ind w:left="0" w:right="0"/>
              <w:jc w:val="center"/>
              <w:rPr>
                <w:sz w:val="22"/>
                <w:szCs w:val="22"/>
              </w:rPr>
            </w:pPr>
            <w:r>
              <w:rPr>
                <w:sz w:val="22"/>
                <w:szCs w:val="22"/>
              </w:rPr>
              <w:t>Revenue / Average total assets</w:t>
            </w:r>
          </w:p>
        </w:tc>
      </w:tr>
      <w:tr w:rsidR="00D16674" w14:paraId="1B5E7343" w14:textId="77777777">
        <w:trPr>
          <w:trHeight w:val="315"/>
          <w:jc w:val="center"/>
        </w:trPr>
        <w:tc>
          <w:tcPr>
            <w:tcW w:w="3510" w:type="dxa"/>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72E3F73F" w14:textId="77777777" w:rsidR="00D16674" w:rsidRDefault="00963D11">
            <w:pPr>
              <w:widowControl w:val="0"/>
              <w:spacing w:before="240" w:after="0" w:line="276" w:lineRule="auto"/>
              <w:ind w:left="0" w:right="0"/>
              <w:jc w:val="center"/>
              <w:rPr>
                <w:b/>
                <w:sz w:val="22"/>
                <w:szCs w:val="22"/>
              </w:rPr>
            </w:pPr>
            <w:r>
              <w:rPr>
                <w:b/>
                <w:sz w:val="22"/>
                <w:szCs w:val="22"/>
              </w:rPr>
              <w:t>Asset Turnover</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2E91152A" w14:textId="77777777" w:rsidR="00D16674" w:rsidRDefault="00963D11">
            <w:pPr>
              <w:widowControl w:val="0"/>
              <w:spacing w:before="240" w:after="0" w:line="276" w:lineRule="auto"/>
              <w:ind w:left="0" w:right="0"/>
              <w:jc w:val="right"/>
              <w:rPr>
                <w:b/>
                <w:sz w:val="22"/>
                <w:szCs w:val="22"/>
              </w:rPr>
            </w:pPr>
            <w:r>
              <w:rPr>
                <w:b/>
                <w:sz w:val="22"/>
                <w:szCs w:val="22"/>
              </w:rPr>
              <w:t>0.46</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0EE5A7AE" w14:textId="77777777" w:rsidR="00D16674" w:rsidRDefault="00963D11">
            <w:pPr>
              <w:widowControl w:val="0"/>
              <w:spacing w:before="240" w:after="0" w:line="276" w:lineRule="auto"/>
              <w:ind w:left="0" w:right="0"/>
              <w:jc w:val="right"/>
              <w:rPr>
                <w:b/>
                <w:sz w:val="22"/>
                <w:szCs w:val="22"/>
              </w:rPr>
            </w:pPr>
            <w:r>
              <w:rPr>
                <w:b/>
                <w:sz w:val="22"/>
                <w:szCs w:val="22"/>
              </w:rPr>
              <w:t>0.64</w:t>
            </w:r>
          </w:p>
        </w:tc>
      </w:tr>
      <w:tr w:rsidR="00D16674" w14:paraId="5B016FC4" w14:textId="77777777">
        <w:trPr>
          <w:trHeight w:val="315"/>
          <w:jc w:val="center"/>
        </w:trPr>
        <w:tc>
          <w:tcPr>
            <w:tcW w:w="7110" w:type="dxa"/>
            <w:gridSpan w:val="3"/>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11789BE6" w14:textId="77777777" w:rsidR="00D16674" w:rsidRDefault="00963D11">
            <w:pPr>
              <w:widowControl w:val="0"/>
              <w:spacing w:before="240" w:after="0" w:line="276" w:lineRule="auto"/>
              <w:ind w:left="0" w:right="0"/>
              <w:jc w:val="center"/>
              <w:rPr>
                <w:b/>
                <w:sz w:val="22"/>
                <w:szCs w:val="22"/>
              </w:rPr>
            </w:pPr>
            <w:r>
              <w:rPr>
                <w:b/>
                <w:sz w:val="22"/>
                <w:szCs w:val="22"/>
              </w:rPr>
              <w:t xml:space="preserve"> </w:t>
            </w:r>
          </w:p>
        </w:tc>
      </w:tr>
      <w:tr w:rsidR="00D16674" w14:paraId="115E9A23" w14:textId="77777777">
        <w:trPr>
          <w:trHeight w:val="315"/>
          <w:jc w:val="center"/>
        </w:trPr>
        <w:tc>
          <w:tcPr>
            <w:tcW w:w="7110" w:type="dxa"/>
            <w:gridSpan w:val="3"/>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6129884B" w14:textId="77777777" w:rsidR="00D16674" w:rsidRDefault="00963D11">
            <w:pPr>
              <w:widowControl w:val="0"/>
              <w:spacing w:before="240" w:after="0" w:line="276" w:lineRule="auto"/>
              <w:ind w:left="0" w:right="0"/>
              <w:jc w:val="center"/>
              <w:rPr>
                <w:b/>
                <w:sz w:val="22"/>
                <w:szCs w:val="22"/>
              </w:rPr>
            </w:pPr>
            <w:r>
              <w:rPr>
                <w:b/>
                <w:sz w:val="22"/>
                <w:szCs w:val="22"/>
              </w:rPr>
              <w:t>Receivable Days</w:t>
            </w:r>
          </w:p>
        </w:tc>
      </w:tr>
      <w:tr w:rsidR="00D16674" w14:paraId="2A315DAF" w14:textId="77777777">
        <w:trPr>
          <w:trHeight w:val="315"/>
          <w:jc w:val="center"/>
        </w:trPr>
        <w:tc>
          <w:tcPr>
            <w:tcW w:w="3510" w:type="dxa"/>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754BF1F9" w14:textId="77777777" w:rsidR="00D16674" w:rsidRDefault="00963D11">
            <w:pPr>
              <w:widowControl w:val="0"/>
              <w:spacing w:before="240" w:after="0" w:line="276" w:lineRule="auto"/>
              <w:ind w:left="0" w:right="0"/>
              <w:jc w:val="center"/>
              <w:rPr>
                <w:b/>
                <w:sz w:val="22"/>
                <w:szCs w:val="22"/>
              </w:rPr>
            </w:pPr>
            <w:r>
              <w:rPr>
                <w:b/>
                <w:sz w:val="22"/>
                <w:szCs w:val="22"/>
              </w:rPr>
              <w:t>Ratio (£M)</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7D8EE5AC" w14:textId="77777777" w:rsidR="00D16674" w:rsidRDefault="00963D11">
            <w:pPr>
              <w:widowControl w:val="0"/>
              <w:spacing w:before="240" w:after="0" w:line="276" w:lineRule="auto"/>
              <w:ind w:left="0" w:right="0"/>
              <w:jc w:val="right"/>
              <w:rPr>
                <w:b/>
                <w:sz w:val="22"/>
                <w:szCs w:val="22"/>
              </w:rPr>
            </w:pPr>
            <w:r>
              <w:rPr>
                <w:b/>
                <w:sz w:val="22"/>
                <w:szCs w:val="22"/>
              </w:rPr>
              <w:t>2023</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6E0E0060" w14:textId="77777777" w:rsidR="00D16674" w:rsidRDefault="00963D11">
            <w:pPr>
              <w:widowControl w:val="0"/>
              <w:spacing w:before="240" w:after="0" w:line="276" w:lineRule="auto"/>
              <w:ind w:left="0" w:right="0"/>
              <w:jc w:val="right"/>
              <w:rPr>
                <w:b/>
                <w:sz w:val="22"/>
                <w:szCs w:val="22"/>
              </w:rPr>
            </w:pPr>
            <w:r>
              <w:rPr>
                <w:b/>
                <w:sz w:val="22"/>
                <w:szCs w:val="22"/>
              </w:rPr>
              <w:t>2024</w:t>
            </w:r>
          </w:p>
        </w:tc>
      </w:tr>
      <w:tr w:rsidR="00D16674" w14:paraId="6412FBA9" w14:textId="77777777">
        <w:trPr>
          <w:trHeight w:val="315"/>
          <w:jc w:val="center"/>
        </w:trPr>
        <w:tc>
          <w:tcPr>
            <w:tcW w:w="3510" w:type="dxa"/>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42E3D153" w14:textId="77777777" w:rsidR="00D16674" w:rsidRDefault="00963D11">
            <w:pPr>
              <w:widowControl w:val="0"/>
              <w:spacing w:before="240" w:after="0" w:line="276" w:lineRule="auto"/>
              <w:ind w:left="0" w:right="0"/>
              <w:jc w:val="center"/>
              <w:rPr>
                <w:sz w:val="22"/>
                <w:szCs w:val="22"/>
              </w:rPr>
            </w:pPr>
            <w:r>
              <w:rPr>
                <w:sz w:val="22"/>
                <w:szCs w:val="22"/>
              </w:rPr>
              <w:t>Accounts receivables</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38E23352" w14:textId="77777777" w:rsidR="00D16674" w:rsidRDefault="00963D11">
            <w:pPr>
              <w:widowControl w:val="0"/>
              <w:spacing w:before="240" w:after="0" w:line="276" w:lineRule="auto"/>
              <w:ind w:left="0" w:right="0"/>
              <w:jc w:val="right"/>
              <w:rPr>
                <w:sz w:val="22"/>
                <w:szCs w:val="22"/>
              </w:rPr>
            </w:pPr>
            <w:r>
              <w:rPr>
                <w:sz w:val="22"/>
                <w:szCs w:val="22"/>
              </w:rPr>
              <w:t>£409.90</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58D7A648" w14:textId="77777777" w:rsidR="00D16674" w:rsidRDefault="00963D11">
            <w:pPr>
              <w:widowControl w:val="0"/>
              <w:spacing w:before="240" w:after="0" w:line="276" w:lineRule="auto"/>
              <w:ind w:left="0" w:right="0"/>
              <w:jc w:val="right"/>
              <w:rPr>
                <w:sz w:val="22"/>
                <w:szCs w:val="22"/>
              </w:rPr>
            </w:pPr>
            <w:r>
              <w:rPr>
                <w:sz w:val="22"/>
                <w:szCs w:val="22"/>
              </w:rPr>
              <w:t>£225.20</w:t>
            </w:r>
          </w:p>
        </w:tc>
      </w:tr>
      <w:tr w:rsidR="00D16674" w14:paraId="7195FF8E" w14:textId="77777777">
        <w:trPr>
          <w:trHeight w:val="315"/>
          <w:jc w:val="center"/>
        </w:trPr>
        <w:tc>
          <w:tcPr>
            <w:tcW w:w="3510" w:type="dxa"/>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474D64A0" w14:textId="77777777" w:rsidR="00D16674" w:rsidRDefault="00963D11">
            <w:pPr>
              <w:widowControl w:val="0"/>
              <w:spacing w:before="240" w:after="0" w:line="276" w:lineRule="auto"/>
              <w:ind w:left="0" w:right="0"/>
              <w:jc w:val="center"/>
              <w:rPr>
                <w:sz w:val="22"/>
                <w:szCs w:val="22"/>
              </w:rPr>
            </w:pPr>
            <w:r>
              <w:rPr>
                <w:sz w:val="22"/>
                <w:szCs w:val="22"/>
              </w:rPr>
              <w:t>Revenue</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7F1A2CFB" w14:textId="77777777" w:rsidR="00D16674" w:rsidRDefault="00963D11">
            <w:pPr>
              <w:widowControl w:val="0"/>
              <w:spacing w:before="240" w:after="0" w:line="276" w:lineRule="auto"/>
              <w:ind w:left="0" w:right="0"/>
              <w:jc w:val="right"/>
              <w:rPr>
                <w:sz w:val="22"/>
                <w:szCs w:val="22"/>
              </w:rPr>
            </w:pPr>
            <w:r>
              <w:rPr>
                <w:sz w:val="22"/>
                <w:szCs w:val="22"/>
              </w:rPr>
              <w:t>£3,486.10</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2A3C97BD" w14:textId="77777777" w:rsidR="00D16674" w:rsidRDefault="00963D11">
            <w:pPr>
              <w:widowControl w:val="0"/>
              <w:spacing w:before="240" w:after="0" w:line="276" w:lineRule="auto"/>
              <w:ind w:left="0" w:right="0"/>
              <w:jc w:val="right"/>
              <w:rPr>
                <w:sz w:val="22"/>
                <w:szCs w:val="22"/>
              </w:rPr>
            </w:pPr>
            <w:r>
              <w:rPr>
                <w:sz w:val="22"/>
                <w:szCs w:val="22"/>
              </w:rPr>
              <w:t>£4,776.20</w:t>
            </w:r>
          </w:p>
        </w:tc>
      </w:tr>
      <w:tr w:rsidR="00D16674" w14:paraId="378217F7" w14:textId="77777777">
        <w:trPr>
          <w:trHeight w:val="315"/>
          <w:jc w:val="center"/>
        </w:trPr>
        <w:tc>
          <w:tcPr>
            <w:tcW w:w="7110" w:type="dxa"/>
            <w:gridSpan w:val="3"/>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2279D8E2" w14:textId="77777777" w:rsidR="00D16674" w:rsidRDefault="00963D11">
            <w:pPr>
              <w:widowControl w:val="0"/>
              <w:spacing w:before="240" w:after="0" w:line="276" w:lineRule="auto"/>
              <w:ind w:left="0" w:right="0"/>
              <w:jc w:val="center"/>
              <w:rPr>
                <w:sz w:val="22"/>
                <w:szCs w:val="22"/>
              </w:rPr>
            </w:pPr>
            <w:r>
              <w:rPr>
                <w:sz w:val="22"/>
                <w:szCs w:val="22"/>
              </w:rPr>
              <w:t>Accounts receivables/ Revenue * 365</w:t>
            </w:r>
          </w:p>
        </w:tc>
      </w:tr>
      <w:tr w:rsidR="00D16674" w14:paraId="187A3360" w14:textId="77777777">
        <w:trPr>
          <w:trHeight w:val="315"/>
          <w:jc w:val="center"/>
        </w:trPr>
        <w:tc>
          <w:tcPr>
            <w:tcW w:w="3510" w:type="dxa"/>
            <w:tcBorders>
              <w:top w:val="nil"/>
              <w:left w:val="single" w:sz="5" w:space="0" w:color="000000"/>
              <w:bottom w:val="single" w:sz="5" w:space="0" w:color="000000"/>
              <w:right w:val="single" w:sz="5" w:space="0" w:color="000000"/>
            </w:tcBorders>
            <w:shd w:val="clear" w:color="auto" w:fill="FCE4D6"/>
            <w:tcMar>
              <w:top w:w="0" w:type="dxa"/>
              <w:left w:w="100" w:type="dxa"/>
              <w:bottom w:w="0" w:type="dxa"/>
              <w:right w:w="100" w:type="dxa"/>
            </w:tcMar>
          </w:tcPr>
          <w:p w14:paraId="14DE2B9C" w14:textId="77777777" w:rsidR="00D16674" w:rsidRDefault="00963D11">
            <w:pPr>
              <w:widowControl w:val="0"/>
              <w:spacing w:before="240" w:after="0" w:line="276" w:lineRule="auto"/>
              <w:ind w:left="0" w:right="0"/>
              <w:jc w:val="center"/>
              <w:rPr>
                <w:b/>
                <w:sz w:val="22"/>
                <w:szCs w:val="22"/>
              </w:rPr>
            </w:pPr>
            <w:r>
              <w:rPr>
                <w:b/>
                <w:sz w:val="22"/>
                <w:szCs w:val="22"/>
              </w:rPr>
              <w:t>Receivable Days</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2A3BC116" w14:textId="77777777" w:rsidR="00D16674" w:rsidRDefault="00963D11">
            <w:pPr>
              <w:widowControl w:val="0"/>
              <w:spacing w:before="240" w:after="0" w:line="276" w:lineRule="auto"/>
              <w:ind w:left="0" w:right="0"/>
              <w:jc w:val="right"/>
              <w:rPr>
                <w:b/>
                <w:sz w:val="22"/>
                <w:szCs w:val="22"/>
              </w:rPr>
            </w:pPr>
            <w:r>
              <w:rPr>
                <w:b/>
                <w:sz w:val="22"/>
                <w:szCs w:val="22"/>
              </w:rPr>
              <w:t>42.92</w:t>
            </w:r>
          </w:p>
        </w:tc>
        <w:tc>
          <w:tcPr>
            <w:tcW w:w="1800" w:type="dxa"/>
            <w:tcBorders>
              <w:top w:val="nil"/>
              <w:left w:val="nil"/>
              <w:bottom w:val="single" w:sz="5" w:space="0" w:color="000000"/>
              <w:right w:val="single" w:sz="5" w:space="0" w:color="000000"/>
            </w:tcBorders>
            <w:shd w:val="clear" w:color="auto" w:fill="FCE4D6"/>
            <w:tcMar>
              <w:top w:w="0" w:type="dxa"/>
              <w:left w:w="100" w:type="dxa"/>
              <w:bottom w:w="0" w:type="dxa"/>
              <w:right w:w="100" w:type="dxa"/>
            </w:tcMar>
          </w:tcPr>
          <w:p w14:paraId="516B326C" w14:textId="77777777" w:rsidR="00D16674" w:rsidRDefault="00963D11">
            <w:pPr>
              <w:widowControl w:val="0"/>
              <w:spacing w:before="240" w:after="0" w:line="276" w:lineRule="auto"/>
              <w:ind w:left="0" w:right="0"/>
              <w:jc w:val="right"/>
              <w:rPr>
                <w:b/>
                <w:sz w:val="22"/>
                <w:szCs w:val="22"/>
              </w:rPr>
            </w:pPr>
            <w:r>
              <w:rPr>
                <w:b/>
                <w:sz w:val="22"/>
                <w:szCs w:val="22"/>
              </w:rPr>
              <w:t>17.21</w:t>
            </w:r>
          </w:p>
        </w:tc>
      </w:tr>
    </w:tbl>
    <w:p w14:paraId="2311B10F" w14:textId="77777777" w:rsidR="00D16674" w:rsidRDefault="00D16674">
      <w:pPr>
        <w:widowControl w:val="0"/>
        <w:spacing w:before="30" w:after="30" w:line="360" w:lineRule="auto"/>
        <w:ind w:left="0" w:right="0"/>
        <w:jc w:val="left"/>
        <w:rPr>
          <w:sz w:val="22"/>
          <w:szCs w:val="22"/>
        </w:rPr>
      </w:pPr>
    </w:p>
    <w:tbl>
      <w:tblPr>
        <w:tblStyle w:val="a3"/>
        <w:tblW w:w="706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985"/>
        <w:gridCol w:w="2040"/>
        <w:gridCol w:w="2040"/>
      </w:tblGrid>
      <w:tr w:rsidR="00D16674" w14:paraId="525153C8" w14:textId="77777777">
        <w:trPr>
          <w:trHeight w:val="315"/>
          <w:jc w:val="center"/>
        </w:trPr>
        <w:tc>
          <w:tcPr>
            <w:tcW w:w="7065" w:type="dxa"/>
            <w:gridSpan w:val="3"/>
            <w:tcBorders>
              <w:top w:val="single" w:sz="5" w:space="0" w:color="000000"/>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78C2555A" w14:textId="77777777" w:rsidR="00D16674" w:rsidRDefault="00963D11">
            <w:pPr>
              <w:widowControl w:val="0"/>
              <w:spacing w:before="240" w:after="0" w:line="276" w:lineRule="auto"/>
              <w:ind w:left="0" w:right="0"/>
              <w:jc w:val="center"/>
              <w:rPr>
                <w:b/>
                <w:sz w:val="22"/>
                <w:szCs w:val="22"/>
              </w:rPr>
            </w:pPr>
            <w:r>
              <w:rPr>
                <w:b/>
                <w:sz w:val="22"/>
                <w:szCs w:val="22"/>
              </w:rPr>
              <w:t>Investor Ratios</w:t>
            </w:r>
          </w:p>
        </w:tc>
      </w:tr>
      <w:tr w:rsidR="00D16674" w14:paraId="6F823D38" w14:textId="77777777">
        <w:trPr>
          <w:trHeight w:val="315"/>
          <w:jc w:val="center"/>
        </w:trPr>
        <w:tc>
          <w:tcPr>
            <w:tcW w:w="7065" w:type="dxa"/>
            <w:gridSpan w:val="3"/>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150803B0" w14:textId="77777777" w:rsidR="00D16674" w:rsidRDefault="00963D11">
            <w:pPr>
              <w:widowControl w:val="0"/>
              <w:spacing w:before="240" w:after="0" w:line="276" w:lineRule="auto"/>
              <w:ind w:left="0" w:right="0"/>
              <w:jc w:val="center"/>
              <w:rPr>
                <w:b/>
                <w:sz w:val="22"/>
                <w:szCs w:val="22"/>
              </w:rPr>
            </w:pPr>
            <w:r>
              <w:rPr>
                <w:b/>
                <w:sz w:val="22"/>
                <w:szCs w:val="22"/>
              </w:rPr>
              <w:t>Earnings per Share (EPS)</w:t>
            </w:r>
          </w:p>
        </w:tc>
      </w:tr>
      <w:tr w:rsidR="00D16674" w14:paraId="68E6089D" w14:textId="77777777">
        <w:trPr>
          <w:trHeight w:val="315"/>
          <w:jc w:val="center"/>
        </w:trPr>
        <w:tc>
          <w:tcPr>
            <w:tcW w:w="2985" w:type="dxa"/>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727375B7" w14:textId="77777777" w:rsidR="00D16674" w:rsidRDefault="00963D11">
            <w:pPr>
              <w:widowControl w:val="0"/>
              <w:spacing w:before="240" w:after="0" w:line="276" w:lineRule="auto"/>
              <w:ind w:left="0" w:right="0"/>
              <w:jc w:val="center"/>
              <w:rPr>
                <w:b/>
                <w:sz w:val="22"/>
                <w:szCs w:val="22"/>
              </w:rPr>
            </w:pPr>
            <w:r>
              <w:rPr>
                <w:b/>
                <w:sz w:val="22"/>
                <w:szCs w:val="22"/>
              </w:rPr>
              <w:t>Ratio (£M)</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5277EEBB" w14:textId="77777777" w:rsidR="00D16674" w:rsidRDefault="00963D11">
            <w:pPr>
              <w:widowControl w:val="0"/>
              <w:spacing w:before="240" w:after="0" w:line="276" w:lineRule="auto"/>
              <w:ind w:left="0" w:right="0"/>
              <w:jc w:val="right"/>
              <w:rPr>
                <w:b/>
                <w:sz w:val="22"/>
                <w:szCs w:val="22"/>
              </w:rPr>
            </w:pPr>
            <w:r>
              <w:rPr>
                <w:b/>
                <w:sz w:val="22"/>
                <w:szCs w:val="22"/>
              </w:rPr>
              <w:t>2023</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5E0E6282" w14:textId="77777777" w:rsidR="00D16674" w:rsidRDefault="00963D11">
            <w:pPr>
              <w:widowControl w:val="0"/>
              <w:spacing w:before="240" w:after="0" w:line="276" w:lineRule="auto"/>
              <w:ind w:left="0" w:right="0"/>
              <w:jc w:val="right"/>
              <w:rPr>
                <w:b/>
                <w:sz w:val="22"/>
                <w:szCs w:val="22"/>
              </w:rPr>
            </w:pPr>
            <w:r>
              <w:rPr>
                <w:b/>
                <w:sz w:val="22"/>
                <w:szCs w:val="22"/>
              </w:rPr>
              <w:t>2024</w:t>
            </w:r>
          </w:p>
        </w:tc>
      </w:tr>
      <w:tr w:rsidR="00D16674" w14:paraId="1E1B3368" w14:textId="77777777">
        <w:trPr>
          <w:trHeight w:val="315"/>
          <w:jc w:val="center"/>
        </w:trPr>
        <w:tc>
          <w:tcPr>
            <w:tcW w:w="2985" w:type="dxa"/>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5BE564BF" w14:textId="77777777" w:rsidR="00D16674" w:rsidRDefault="00963D11">
            <w:pPr>
              <w:widowControl w:val="0"/>
              <w:spacing w:before="240" w:after="0" w:line="276" w:lineRule="auto"/>
              <w:ind w:left="0" w:right="0"/>
              <w:jc w:val="center"/>
              <w:rPr>
                <w:sz w:val="22"/>
                <w:szCs w:val="22"/>
              </w:rPr>
            </w:pPr>
            <w:r>
              <w:rPr>
                <w:sz w:val="22"/>
                <w:szCs w:val="22"/>
              </w:rPr>
              <w:t>Net Profit</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0A56DAF1" w14:textId="77777777" w:rsidR="00D16674" w:rsidRDefault="00963D11">
            <w:pPr>
              <w:widowControl w:val="0"/>
              <w:spacing w:before="240" w:after="0" w:line="276" w:lineRule="auto"/>
              <w:ind w:left="0" w:right="0"/>
              <w:jc w:val="right"/>
              <w:rPr>
                <w:sz w:val="22"/>
                <w:szCs w:val="22"/>
              </w:rPr>
            </w:pPr>
            <w:r>
              <w:rPr>
                <w:sz w:val="22"/>
                <w:szCs w:val="22"/>
              </w:rPr>
              <w:t>£337.20</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411A0413" w14:textId="77777777" w:rsidR="00D16674" w:rsidRDefault="00963D11">
            <w:pPr>
              <w:widowControl w:val="0"/>
              <w:spacing w:before="240" w:after="0" w:line="276" w:lineRule="auto"/>
              <w:ind w:left="0" w:right="0"/>
              <w:jc w:val="right"/>
              <w:rPr>
                <w:sz w:val="22"/>
                <w:szCs w:val="22"/>
              </w:rPr>
            </w:pPr>
            <w:r>
              <w:rPr>
                <w:sz w:val="22"/>
                <w:szCs w:val="22"/>
              </w:rPr>
              <w:t>£662.90</w:t>
            </w:r>
          </w:p>
        </w:tc>
      </w:tr>
      <w:tr w:rsidR="00D16674" w14:paraId="08038F41" w14:textId="77777777">
        <w:trPr>
          <w:trHeight w:val="315"/>
          <w:jc w:val="center"/>
        </w:trPr>
        <w:tc>
          <w:tcPr>
            <w:tcW w:w="2985" w:type="dxa"/>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148FE2D8" w14:textId="77777777" w:rsidR="00D16674" w:rsidRDefault="00963D11">
            <w:pPr>
              <w:widowControl w:val="0"/>
              <w:spacing w:before="240" w:after="0" w:line="276" w:lineRule="auto"/>
              <w:ind w:left="0" w:right="0"/>
              <w:jc w:val="center"/>
              <w:rPr>
                <w:sz w:val="22"/>
                <w:szCs w:val="22"/>
              </w:rPr>
            </w:pPr>
            <w:r>
              <w:rPr>
                <w:sz w:val="22"/>
                <w:szCs w:val="22"/>
              </w:rPr>
              <w:t>Total Shares</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6EFE2593" w14:textId="77777777" w:rsidR="00D16674" w:rsidRDefault="00963D11">
            <w:pPr>
              <w:widowControl w:val="0"/>
              <w:spacing w:before="240" w:after="0" w:line="276" w:lineRule="auto"/>
              <w:ind w:left="0" w:right="0"/>
              <w:jc w:val="right"/>
              <w:rPr>
                <w:sz w:val="22"/>
                <w:szCs w:val="22"/>
              </w:rPr>
            </w:pPr>
            <w:r>
              <w:rPr>
                <w:sz w:val="22"/>
                <w:szCs w:val="22"/>
              </w:rPr>
              <w:t>306.30</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26F45F95" w14:textId="77777777" w:rsidR="00D16674" w:rsidRDefault="00963D11">
            <w:pPr>
              <w:widowControl w:val="0"/>
              <w:spacing w:before="240" w:after="0" w:line="276" w:lineRule="auto"/>
              <w:ind w:left="0" w:right="0"/>
              <w:jc w:val="right"/>
              <w:rPr>
                <w:sz w:val="22"/>
                <w:szCs w:val="22"/>
              </w:rPr>
            </w:pPr>
            <w:r>
              <w:rPr>
                <w:sz w:val="22"/>
                <w:szCs w:val="22"/>
              </w:rPr>
              <w:t>306.30</w:t>
            </w:r>
          </w:p>
        </w:tc>
      </w:tr>
      <w:tr w:rsidR="00D16674" w14:paraId="63A374CB" w14:textId="77777777">
        <w:trPr>
          <w:trHeight w:val="315"/>
          <w:jc w:val="center"/>
        </w:trPr>
        <w:tc>
          <w:tcPr>
            <w:tcW w:w="7065" w:type="dxa"/>
            <w:gridSpan w:val="3"/>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0B9B65F7" w14:textId="77777777" w:rsidR="00D16674" w:rsidRDefault="00963D11">
            <w:pPr>
              <w:widowControl w:val="0"/>
              <w:spacing w:before="240" w:after="0" w:line="276" w:lineRule="auto"/>
              <w:ind w:left="0" w:right="0"/>
              <w:jc w:val="center"/>
              <w:rPr>
                <w:sz w:val="22"/>
                <w:szCs w:val="22"/>
              </w:rPr>
            </w:pPr>
            <w:r>
              <w:rPr>
                <w:sz w:val="22"/>
                <w:szCs w:val="22"/>
              </w:rPr>
              <w:t>Net Profit / Total Shares</w:t>
            </w:r>
          </w:p>
        </w:tc>
      </w:tr>
      <w:tr w:rsidR="00D16674" w14:paraId="2A570AF6" w14:textId="77777777">
        <w:trPr>
          <w:trHeight w:val="315"/>
          <w:jc w:val="center"/>
        </w:trPr>
        <w:tc>
          <w:tcPr>
            <w:tcW w:w="2985" w:type="dxa"/>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10C47534" w14:textId="77777777" w:rsidR="00D16674" w:rsidRDefault="00963D11">
            <w:pPr>
              <w:widowControl w:val="0"/>
              <w:spacing w:before="240" w:after="0" w:line="276" w:lineRule="auto"/>
              <w:ind w:left="0" w:right="0"/>
              <w:jc w:val="center"/>
              <w:rPr>
                <w:b/>
                <w:sz w:val="22"/>
                <w:szCs w:val="22"/>
              </w:rPr>
            </w:pPr>
            <w:r>
              <w:rPr>
                <w:b/>
                <w:sz w:val="22"/>
                <w:szCs w:val="22"/>
              </w:rPr>
              <w:t>EPS</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5BD0FD1E" w14:textId="77777777" w:rsidR="00D16674" w:rsidRDefault="00963D11">
            <w:pPr>
              <w:widowControl w:val="0"/>
              <w:spacing w:before="240" w:after="0" w:line="276" w:lineRule="auto"/>
              <w:ind w:left="0" w:right="0"/>
              <w:jc w:val="right"/>
              <w:rPr>
                <w:b/>
                <w:sz w:val="22"/>
                <w:szCs w:val="22"/>
              </w:rPr>
            </w:pPr>
            <w:r>
              <w:rPr>
                <w:b/>
                <w:sz w:val="22"/>
                <w:szCs w:val="22"/>
              </w:rPr>
              <w:t>£1.10</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7B8B4EB2" w14:textId="77777777" w:rsidR="00D16674" w:rsidRDefault="00963D11">
            <w:pPr>
              <w:widowControl w:val="0"/>
              <w:spacing w:before="240" w:after="0" w:line="276" w:lineRule="auto"/>
              <w:ind w:left="0" w:right="0"/>
              <w:jc w:val="right"/>
              <w:rPr>
                <w:b/>
                <w:sz w:val="22"/>
                <w:szCs w:val="22"/>
              </w:rPr>
            </w:pPr>
            <w:r>
              <w:rPr>
                <w:b/>
                <w:sz w:val="22"/>
                <w:szCs w:val="22"/>
              </w:rPr>
              <w:t>£2.16</w:t>
            </w:r>
          </w:p>
        </w:tc>
      </w:tr>
      <w:tr w:rsidR="00D16674" w14:paraId="509D3F3D" w14:textId="77777777">
        <w:trPr>
          <w:trHeight w:val="315"/>
          <w:jc w:val="center"/>
        </w:trPr>
        <w:tc>
          <w:tcPr>
            <w:tcW w:w="7065" w:type="dxa"/>
            <w:gridSpan w:val="3"/>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684C426D" w14:textId="77777777" w:rsidR="00D16674" w:rsidRDefault="00963D11">
            <w:pPr>
              <w:widowControl w:val="0"/>
              <w:spacing w:before="240" w:after="0" w:line="276" w:lineRule="auto"/>
              <w:ind w:left="0" w:right="0"/>
              <w:jc w:val="center"/>
              <w:rPr>
                <w:sz w:val="22"/>
                <w:szCs w:val="22"/>
              </w:rPr>
            </w:pPr>
            <w:r>
              <w:rPr>
                <w:sz w:val="22"/>
                <w:szCs w:val="22"/>
              </w:rPr>
              <w:t xml:space="preserve"> </w:t>
            </w:r>
          </w:p>
        </w:tc>
      </w:tr>
      <w:tr w:rsidR="00D16674" w14:paraId="1D6C23FF" w14:textId="77777777">
        <w:trPr>
          <w:trHeight w:val="315"/>
          <w:jc w:val="center"/>
        </w:trPr>
        <w:tc>
          <w:tcPr>
            <w:tcW w:w="7065" w:type="dxa"/>
            <w:gridSpan w:val="3"/>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3B8FF9BA" w14:textId="77777777" w:rsidR="00D16674" w:rsidRDefault="00963D11">
            <w:pPr>
              <w:widowControl w:val="0"/>
              <w:spacing w:before="240" w:after="0" w:line="276" w:lineRule="auto"/>
              <w:ind w:left="0" w:right="0"/>
              <w:jc w:val="center"/>
              <w:rPr>
                <w:b/>
                <w:sz w:val="22"/>
                <w:szCs w:val="22"/>
              </w:rPr>
            </w:pPr>
            <w:r>
              <w:rPr>
                <w:b/>
                <w:sz w:val="22"/>
                <w:szCs w:val="22"/>
              </w:rPr>
              <w:t>Price to Earnings (P/E) ratio</w:t>
            </w:r>
          </w:p>
        </w:tc>
      </w:tr>
      <w:tr w:rsidR="00D16674" w14:paraId="6C9D8121" w14:textId="77777777">
        <w:trPr>
          <w:trHeight w:val="315"/>
          <w:jc w:val="center"/>
        </w:trPr>
        <w:tc>
          <w:tcPr>
            <w:tcW w:w="2985" w:type="dxa"/>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58ADB5CB" w14:textId="77777777" w:rsidR="00D16674" w:rsidRDefault="00963D11">
            <w:pPr>
              <w:widowControl w:val="0"/>
              <w:spacing w:before="240" w:after="0" w:line="276" w:lineRule="auto"/>
              <w:ind w:left="0" w:right="0"/>
              <w:jc w:val="center"/>
              <w:rPr>
                <w:b/>
                <w:sz w:val="22"/>
                <w:szCs w:val="22"/>
              </w:rPr>
            </w:pPr>
            <w:r>
              <w:rPr>
                <w:b/>
                <w:sz w:val="22"/>
                <w:szCs w:val="22"/>
              </w:rPr>
              <w:t>Ratio (£M)</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1B240384" w14:textId="77777777" w:rsidR="00D16674" w:rsidRDefault="00963D11">
            <w:pPr>
              <w:widowControl w:val="0"/>
              <w:spacing w:before="240" w:after="0" w:line="276" w:lineRule="auto"/>
              <w:ind w:left="0" w:right="0"/>
              <w:jc w:val="right"/>
              <w:rPr>
                <w:b/>
                <w:sz w:val="22"/>
                <w:szCs w:val="22"/>
              </w:rPr>
            </w:pPr>
            <w:r>
              <w:rPr>
                <w:b/>
                <w:sz w:val="22"/>
                <w:szCs w:val="22"/>
              </w:rPr>
              <w:t>2023</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4FA79F77" w14:textId="77777777" w:rsidR="00D16674" w:rsidRDefault="00963D11">
            <w:pPr>
              <w:widowControl w:val="0"/>
              <w:spacing w:before="240" w:after="0" w:line="276" w:lineRule="auto"/>
              <w:ind w:left="0" w:right="0"/>
              <w:jc w:val="right"/>
              <w:rPr>
                <w:b/>
                <w:sz w:val="22"/>
                <w:szCs w:val="22"/>
              </w:rPr>
            </w:pPr>
            <w:r>
              <w:rPr>
                <w:b/>
                <w:sz w:val="22"/>
                <w:szCs w:val="22"/>
              </w:rPr>
              <w:t>2024</w:t>
            </w:r>
          </w:p>
        </w:tc>
      </w:tr>
      <w:tr w:rsidR="00D16674" w14:paraId="43961053" w14:textId="77777777">
        <w:trPr>
          <w:trHeight w:val="315"/>
          <w:jc w:val="center"/>
        </w:trPr>
        <w:tc>
          <w:tcPr>
            <w:tcW w:w="2985" w:type="dxa"/>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716FB437" w14:textId="77777777" w:rsidR="00D16674" w:rsidRDefault="00963D11">
            <w:pPr>
              <w:widowControl w:val="0"/>
              <w:spacing w:before="240" w:after="0" w:line="276" w:lineRule="auto"/>
              <w:ind w:left="0" w:right="0"/>
              <w:jc w:val="center"/>
              <w:rPr>
                <w:sz w:val="22"/>
                <w:szCs w:val="22"/>
              </w:rPr>
            </w:pPr>
            <w:r>
              <w:rPr>
                <w:sz w:val="22"/>
                <w:szCs w:val="22"/>
              </w:rPr>
              <w:t>Share Price</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65618B1A" w14:textId="77777777" w:rsidR="00D16674" w:rsidRDefault="00963D11">
            <w:pPr>
              <w:widowControl w:val="0"/>
              <w:spacing w:before="240" w:after="0" w:line="276" w:lineRule="auto"/>
              <w:ind w:left="0" w:right="0"/>
              <w:jc w:val="right"/>
              <w:rPr>
                <w:sz w:val="22"/>
                <w:szCs w:val="22"/>
              </w:rPr>
            </w:pPr>
            <w:r>
              <w:rPr>
                <w:sz w:val="22"/>
                <w:szCs w:val="22"/>
              </w:rPr>
              <w:t>£439.99</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6A225EA7" w14:textId="77777777" w:rsidR="00D16674" w:rsidRDefault="00963D11">
            <w:pPr>
              <w:widowControl w:val="0"/>
              <w:spacing w:before="240" w:after="0" w:line="276" w:lineRule="auto"/>
              <w:ind w:left="0" w:right="0"/>
              <w:jc w:val="right"/>
              <w:rPr>
                <w:sz w:val="22"/>
                <w:szCs w:val="22"/>
              </w:rPr>
            </w:pPr>
            <w:r>
              <w:rPr>
                <w:sz w:val="22"/>
                <w:szCs w:val="22"/>
              </w:rPr>
              <w:t>£542.76</w:t>
            </w:r>
          </w:p>
        </w:tc>
      </w:tr>
      <w:tr w:rsidR="00D16674" w14:paraId="4FFC223E" w14:textId="77777777">
        <w:trPr>
          <w:trHeight w:val="315"/>
          <w:jc w:val="center"/>
        </w:trPr>
        <w:tc>
          <w:tcPr>
            <w:tcW w:w="2985" w:type="dxa"/>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6EFD09F4" w14:textId="77777777" w:rsidR="00D16674" w:rsidRDefault="00963D11">
            <w:pPr>
              <w:widowControl w:val="0"/>
              <w:spacing w:before="240" w:after="0" w:line="276" w:lineRule="auto"/>
              <w:ind w:left="0" w:right="0"/>
              <w:jc w:val="center"/>
              <w:rPr>
                <w:sz w:val="22"/>
                <w:szCs w:val="22"/>
              </w:rPr>
            </w:pPr>
            <w:r>
              <w:rPr>
                <w:sz w:val="22"/>
                <w:szCs w:val="22"/>
              </w:rPr>
              <w:lastRenderedPageBreak/>
              <w:t>EPS</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7C73D29E" w14:textId="77777777" w:rsidR="00D16674" w:rsidRDefault="00963D11">
            <w:pPr>
              <w:widowControl w:val="0"/>
              <w:spacing w:before="240" w:after="0" w:line="276" w:lineRule="auto"/>
              <w:ind w:left="0" w:right="0"/>
              <w:jc w:val="right"/>
              <w:rPr>
                <w:sz w:val="22"/>
                <w:szCs w:val="22"/>
              </w:rPr>
            </w:pPr>
            <w:r>
              <w:rPr>
                <w:sz w:val="22"/>
                <w:szCs w:val="22"/>
              </w:rPr>
              <w:t>£1.10</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0263F6B5" w14:textId="77777777" w:rsidR="00D16674" w:rsidRDefault="00963D11">
            <w:pPr>
              <w:widowControl w:val="0"/>
              <w:spacing w:before="240" w:after="0" w:line="276" w:lineRule="auto"/>
              <w:ind w:left="0" w:right="0"/>
              <w:jc w:val="right"/>
              <w:rPr>
                <w:sz w:val="22"/>
                <w:szCs w:val="22"/>
              </w:rPr>
            </w:pPr>
            <w:r>
              <w:rPr>
                <w:sz w:val="22"/>
                <w:szCs w:val="22"/>
              </w:rPr>
              <w:t>£2.16</w:t>
            </w:r>
          </w:p>
        </w:tc>
      </w:tr>
      <w:tr w:rsidR="00D16674" w14:paraId="0E322012" w14:textId="77777777">
        <w:trPr>
          <w:trHeight w:val="315"/>
          <w:jc w:val="center"/>
        </w:trPr>
        <w:tc>
          <w:tcPr>
            <w:tcW w:w="7065" w:type="dxa"/>
            <w:gridSpan w:val="3"/>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16BA8FFA" w14:textId="77777777" w:rsidR="00D16674" w:rsidRDefault="00963D11">
            <w:pPr>
              <w:widowControl w:val="0"/>
              <w:spacing w:before="240" w:after="0" w:line="276" w:lineRule="auto"/>
              <w:ind w:left="0" w:right="0"/>
              <w:jc w:val="center"/>
              <w:rPr>
                <w:sz w:val="22"/>
                <w:szCs w:val="22"/>
              </w:rPr>
            </w:pPr>
            <w:r>
              <w:rPr>
                <w:sz w:val="22"/>
                <w:szCs w:val="22"/>
              </w:rPr>
              <w:t>Share Price / EPS</w:t>
            </w:r>
          </w:p>
        </w:tc>
      </w:tr>
      <w:tr w:rsidR="00D16674" w14:paraId="45C6EE66" w14:textId="77777777">
        <w:trPr>
          <w:trHeight w:val="315"/>
          <w:jc w:val="center"/>
        </w:trPr>
        <w:tc>
          <w:tcPr>
            <w:tcW w:w="2985" w:type="dxa"/>
            <w:tcBorders>
              <w:top w:val="nil"/>
              <w:left w:val="single" w:sz="5" w:space="0" w:color="000000"/>
              <w:bottom w:val="single" w:sz="5" w:space="0" w:color="000000"/>
              <w:right w:val="single" w:sz="5" w:space="0" w:color="000000"/>
            </w:tcBorders>
            <w:shd w:val="clear" w:color="auto" w:fill="FFD9E8"/>
            <w:tcMar>
              <w:top w:w="0" w:type="dxa"/>
              <w:left w:w="100" w:type="dxa"/>
              <w:bottom w:w="0" w:type="dxa"/>
              <w:right w:w="100" w:type="dxa"/>
            </w:tcMar>
          </w:tcPr>
          <w:p w14:paraId="3405197F" w14:textId="77777777" w:rsidR="00D16674" w:rsidRDefault="00963D11">
            <w:pPr>
              <w:widowControl w:val="0"/>
              <w:spacing w:before="240" w:after="0" w:line="276" w:lineRule="auto"/>
              <w:ind w:left="0" w:right="0"/>
              <w:jc w:val="center"/>
              <w:rPr>
                <w:b/>
                <w:sz w:val="22"/>
                <w:szCs w:val="22"/>
              </w:rPr>
            </w:pPr>
            <w:r>
              <w:rPr>
                <w:b/>
                <w:sz w:val="22"/>
                <w:szCs w:val="22"/>
              </w:rPr>
              <w:t>P/E Ratio</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42AFF780" w14:textId="77777777" w:rsidR="00D16674" w:rsidRDefault="00963D11">
            <w:pPr>
              <w:widowControl w:val="0"/>
              <w:spacing w:before="240" w:after="0" w:line="276" w:lineRule="auto"/>
              <w:ind w:left="0" w:right="0"/>
              <w:jc w:val="right"/>
              <w:rPr>
                <w:b/>
                <w:sz w:val="22"/>
                <w:szCs w:val="22"/>
              </w:rPr>
            </w:pPr>
            <w:r>
              <w:rPr>
                <w:b/>
                <w:sz w:val="22"/>
                <w:szCs w:val="22"/>
              </w:rPr>
              <w:t>399.67</w:t>
            </w:r>
          </w:p>
        </w:tc>
        <w:tc>
          <w:tcPr>
            <w:tcW w:w="2040" w:type="dxa"/>
            <w:tcBorders>
              <w:top w:val="nil"/>
              <w:left w:val="nil"/>
              <w:bottom w:val="single" w:sz="5" w:space="0" w:color="000000"/>
              <w:right w:val="single" w:sz="5" w:space="0" w:color="000000"/>
            </w:tcBorders>
            <w:shd w:val="clear" w:color="auto" w:fill="FFD9E8"/>
            <w:tcMar>
              <w:top w:w="0" w:type="dxa"/>
              <w:left w:w="100" w:type="dxa"/>
              <w:bottom w:w="0" w:type="dxa"/>
              <w:right w:w="100" w:type="dxa"/>
            </w:tcMar>
          </w:tcPr>
          <w:p w14:paraId="73B6C596" w14:textId="77777777" w:rsidR="00D16674" w:rsidRDefault="00963D11">
            <w:pPr>
              <w:widowControl w:val="0"/>
              <w:spacing w:before="240" w:after="0" w:line="276" w:lineRule="auto"/>
              <w:ind w:left="0" w:right="0"/>
              <w:jc w:val="right"/>
              <w:rPr>
                <w:b/>
                <w:sz w:val="22"/>
                <w:szCs w:val="22"/>
              </w:rPr>
            </w:pPr>
            <w:r>
              <w:rPr>
                <w:b/>
                <w:sz w:val="22"/>
                <w:szCs w:val="22"/>
              </w:rPr>
              <w:t>250.79</w:t>
            </w:r>
          </w:p>
        </w:tc>
      </w:tr>
    </w:tbl>
    <w:p w14:paraId="7BB48FE6" w14:textId="77777777" w:rsidR="00D16674" w:rsidRDefault="00963D11">
      <w:pPr>
        <w:widowControl w:val="0"/>
        <w:spacing w:before="30" w:after="30" w:line="360" w:lineRule="auto"/>
        <w:ind w:left="0" w:right="0"/>
        <w:jc w:val="center"/>
        <w:rPr>
          <w:sz w:val="22"/>
          <w:szCs w:val="22"/>
        </w:rPr>
      </w:pPr>
      <w:r>
        <w:rPr>
          <w:sz w:val="22"/>
          <w:szCs w:val="22"/>
        </w:rPr>
        <w:t>(Source: Author)</w:t>
      </w:r>
    </w:p>
    <w:sectPr w:rsidR="00D16674" w:rsidSect="000E5ECA">
      <w:footerReference w:type="default" r:id="rId56"/>
      <w:pgSz w:w="11900" w:h="16840"/>
      <w:pgMar w:top="1425" w:right="1444" w:bottom="1035" w:left="1442" w:header="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F07D4" w14:textId="77777777" w:rsidR="00573C62" w:rsidRDefault="00573C62" w:rsidP="000E5ECA">
      <w:pPr>
        <w:spacing w:before="0" w:after="0"/>
      </w:pPr>
      <w:r>
        <w:separator/>
      </w:r>
    </w:p>
  </w:endnote>
  <w:endnote w:type="continuationSeparator" w:id="0">
    <w:p w14:paraId="4EB0969A" w14:textId="77777777" w:rsidR="00573C62" w:rsidRDefault="00573C62" w:rsidP="000E5ECA">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26880"/>
      <w:docPartObj>
        <w:docPartGallery w:val="Page Numbers (Bottom of Page)"/>
        <w:docPartUnique/>
      </w:docPartObj>
    </w:sdtPr>
    <w:sdtEndPr>
      <w:rPr>
        <w:noProof/>
      </w:rPr>
    </w:sdtEndPr>
    <w:sdtContent>
      <w:p w14:paraId="25EB1D18" w14:textId="08FC5155" w:rsidR="000E5ECA" w:rsidRDefault="000E5ECA">
        <w:pPr>
          <w:pStyle w:val="Footer"/>
          <w:jc w:val="right"/>
        </w:pPr>
        <w:r>
          <w:fldChar w:fldCharType="begin"/>
        </w:r>
        <w:r>
          <w:instrText xml:space="preserve"> PAGE   \* MERGEFORMAT </w:instrText>
        </w:r>
        <w:r>
          <w:fldChar w:fldCharType="separate"/>
        </w:r>
        <w:r w:rsidR="00AD4930">
          <w:rPr>
            <w:noProof/>
          </w:rPr>
          <w:t>3</w:t>
        </w:r>
        <w:r>
          <w:rPr>
            <w:noProof/>
          </w:rPr>
          <w:fldChar w:fldCharType="end"/>
        </w:r>
      </w:p>
    </w:sdtContent>
  </w:sdt>
  <w:p w14:paraId="35F9F453" w14:textId="77777777" w:rsidR="000E5ECA" w:rsidRDefault="000E5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8EA60E" w14:textId="77777777" w:rsidR="00573C62" w:rsidRDefault="00573C62" w:rsidP="000E5ECA">
      <w:pPr>
        <w:spacing w:before="0" w:after="0"/>
      </w:pPr>
      <w:r>
        <w:separator/>
      </w:r>
    </w:p>
  </w:footnote>
  <w:footnote w:type="continuationSeparator" w:id="0">
    <w:p w14:paraId="6012D607" w14:textId="77777777" w:rsidR="00573C62" w:rsidRDefault="00573C62" w:rsidP="000E5ECA">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65480"/>
    <w:multiLevelType w:val="multilevel"/>
    <w:tmpl w:val="17821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263A94"/>
    <w:multiLevelType w:val="hybridMultilevel"/>
    <w:tmpl w:val="BF605E98"/>
    <w:lvl w:ilvl="0" w:tplc="9B5EE9A4">
      <w:start w:val="1"/>
      <w:numFmt w:val="upperLetter"/>
      <w:lvlText w:val="%1."/>
      <w:lvlJc w:val="left"/>
      <w:pPr>
        <w:ind w:left="363" w:hanging="360"/>
      </w:pPr>
      <w:rPr>
        <w:rFonts w:hint="default"/>
      </w:rPr>
    </w:lvl>
    <w:lvl w:ilvl="1" w:tplc="04090019" w:tentative="1">
      <w:start w:val="1"/>
      <w:numFmt w:val="lowerLetter"/>
      <w:lvlText w:val="%2."/>
      <w:lvlJc w:val="left"/>
      <w:pPr>
        <w:ind w:left="1083" w:hanging="360"/>
      </w:pPr>
    </w:lvl>
    <w:lvl w:ilvl="2" w:tplc="0409001B" w:tentative="1">
      <w:start w:val="1"/>
      <w:numFmt w:val="lowerRoman"/>
      <w:lvlText w:val="%3."/>
      <w:lvlJc w:val="right"/>
      <w:pPr>
        <w:ind w:left="1803" w:hanging="180"/>
      </w:pPr>
    </w:lvl>
    <w:lvl w:ilvl="3" w:tplc="0409000F" w:tentative="1">
      <w:start w:val="1"/>
      <w:numFmt w:val="decimal"/>
      <w:lvlText w:val="%4."/>
      <w:lvlJc w:val="left"/>
      <w:pPr>
        <w:ind w:left="2523" w:hanging="360"/>
      </w:pPr>
    </w:lvl>
    <w:lvl w:ilvl="4" w:tplc="04090019" w:tentative="1">
      <w:start w:val="1"/>
      <w:numFmt w:val="lowerLetter"/>
      <w:lvlText w:val="%5."/>
      <w:lvlJc w:val="left"/>
      <w:pPr>
        <w:ind w:left="3243" w:hanging="360"/>
      </w:pPr>
    </w:lvl>
    <w:lvl w:ilvl="5" w:tplc="0409001B" w:tentative="1">
      <w:start w:val="1"/>
      <w:numFmt w:val="lowerRoman"/>
      <w:lvlText w:val="%6."/>
      <w:lvlJc w:val="right"/>
      <w:pPr>
        <w:ind w:left="3963" w:hanging="180"/>
      </w:pPr>
    </w:lvl>
    <w:lvl w:ilvl="6" w:tplc="0409000F" w:tentative="1">
      <w:start w:val="1"/>
      <w:numFmt w:val="decimal"/>
      <w:lvlText w:val="%7."/>
      <w:lvlJc w:val="left"/>
      <w:pPr>
        <w:ind w:left="4683" w:hanging="360"/>
      </w:pPr>
    </w:lvl>
    <w:lvl w:ilvl="7" w:tplc="04090019" w:tentative="1">
      <w:start w:val="1"/>
      <w:numFmt w:val="lowerLetter"/>
      <w:lvlText w:val="%8."/>
      <w:lvlJc w:val="left"/>
      <w:pPr>
        <w:ind w:left="5403" w:hanging="360"/>
      </w:pPr>
    </w:lvl>
    <w:lvl w:ilvl="8" w:tplc="0409001B" w:tentative="1">
      <w:start w:val="1"/>
      <w:numFmt w:val="lowerRoman"/>
      <w:lvlText w:val="%9."/>
      <w:lvlJc w:val="right"/>
      <w:pPr>
        <w:ind w:left="6123" w:hanging="180"/>
      </w:pPr>
    </w:lvl>
  </w:abstractNum>
  <w:abstractNum w:abstractNumId="2" w15:restartNumberingAfterBreak="0">
    <w:nsid w:val="4ACF3266"/>
    <w:multiLevelType w:val="multilevel"/>
    <w:tmpl w:val="57DE5A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C7E6B31"/>
    <w:multiLevelType w:val="multilevel"/>
    <w:tmpl w:val="0100D8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BF3C69"/>
    <w:multiLevelType w:val="multilevel"/>
    <w:tmpl w:val="7F4E6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5229303">
    <w:abstractNumId w:val="4"/>
  </w:num>
  <w:num w:numId="2" w16cid:durableId="678657896">
    <w:abstractNumId w:val="0"/>
  </w:num>
  <w:num w:numId="3" w16cid:durableId="52850783">
    <w:abstractNumId w:val="3"/>
  </w:num>
  <w:num w:numId="4" w16cid:durableId="2015374450">
    <w:abstractNumId w:val="2"/>
  </w:num>
  <w:num w:numId="5" w16cid:durableId="1811629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6674"/>
    <w:rsid w:val="000C4580"/>
    <w:rsid w:val="000E5ECA"/>
    <w:rsid w:val="001B29EA"/>
    <w:rsid w:val="00573C62"/>
    <w:rsid w:val="0059455B"/>
    <w:rsid w:val="005C24FF"/>
    <w:rsid w:val="005E0BA1"/>
    <w:rsid w:val="006D2A77"/>
    <w:rsid w:val="006E10F7"/>
    <w:rsid w:val="0083771E"/>
    <w:rsid w:val="00963D11"/>
    <w:rsid w:val="00AD4930"/>
    <w:rsid w:val="00CB1C17"/>
    <w:rsid w:val="00CB230E"/>
    <w:rsid w:val="00D16674"/>
    <w:rsid w:val="00D57314"/>
    <w:rsid w:val="00FC4A6A"/>
    <w:rsid w:val="00FD3C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290F9"/>
  <w15:docId w15:val="{49E0E475-4777-4537-996E-B4A47E43A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before="28" w:after="40"/>
        <w:ind w:left="2" w:right="-5"/>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0" w:after="30" w:line="360" w:lineRule="auto"/>
      <w:jc w:val="left"/>
      <w:outlineLvl w:val="0"/>
    </w:pPr>
    <w:rPr>
      <w:b/>
      <w:sz w:val="28"/>
      <w:szCs w:val="28"/>
    </w:rPr>
  </w:style>
  <w:style w:type="paragraph" w:styleId="Heading2">
    <w:name w:val="heading 2"/>
    <w:basedOn w:val="Normal"/>
    <w:next w:val="Normal"/>
    <w:uiPriority w:val="9"/>
    <w:unhideWhenUsed/>
    <w:qFormat/>
    <w:pPr>
      <w:keepNext/>
      <w:keepLines/>
      <w:spacing w:before="30" w:after="30" w:line="360" w:lineRule="auto"/>
      <w:ind w:left="12" w:right="191" w:hanging="9"/>
      <w:jc w:val="left"/>
      <w:outlineLvl w:val="1"/>
    </w:pPr>
    <w:rPr>
      <w:b/>
      <w:sz w:val="26"/>
      <w:szCs w:val="26"/>
    </w:rPr>
  </w:style>
  <w:style w:type="paragraph" w:styleId="Heading3">
    <w:name w:val="heading 3"/>
    <w:basedOn w:val="Normal"/>
    <w:next w:val="Normal"/>
    <w:uiPriority w:val="9"/>
    <w:unhideWhenUsed/>
    <w:qFormat/>
    <w:pPr>
      <w:keepNext/>
      <w:keepLines/>
      <w:spacing w:before="30" w:after="30" w:line="360" w:lineRule="auto"/>
      <w:ind w:left="12" w:right="191" w:hanging="9"/>
      <w:outlineLvl w:val="2"/>
    </w:pPr>
    <w:rPr>
      <w:b/>
    </w:rPr>
  </w:style>
  <w:style w:type="paragraph" w:styleId="Heading4">
    <w:name w:val="heading 4"/>
    <w:basedOn w:val="Normal"/>
    <w:next w:val="Normal"/>
    <w:uiPriority w:val="9"/>
    <w:semiHidden/>
    <w:unhideWhenUsed/>
    <w:qFormat/>
    <w:pPr>
      <w:keepNext/>
      <w:keepLines/>
      <w:spacing w:before="240"/>
      <w:outlineLvl w:val="3"/>
    </w:pPr>
    <w:rPr>
      <w:b/>
    </w:rPr>
  </w:style>
  <w:style w:type="paragraph" w:styleId="Heading5">
    <w:name w:val="heading 5"/>
    <w:basedOn w:val="Normal"/>
    <w:next w:val="Normal"/>
    <w:uiPriority w:val="9"/>
    <w:semiHidden/>
    <w:unhideWhenUsed/>
    <w:qFormat/>
    <w:pPr>
      <w:keepNext/>
      <w:keepLines/>
      <w:spacing w:before="220"/>
      <w:outlineLvl w:val="4"/>
    </w:pPr>
    <w:rPr>
      <w:b/>
      <w:sz w:val="22"/>
      <w:szCs w:val="22"/>
    </w:rPr>
  </w:style>
  <w:style w:type="paragraph" w:styleId="Heading6">
    <w:name w:val="heading 6"/>
    <w:basedOn w:val="Normal"/>
    <w:next w:val="Normal"/>
    <w:uiPriority w:val="9"/>
    <w:semiHidden/>
    <w:unhideWhenUsed/>
    <w:qFormat/>
    <w:pPr>
      <w:keepNext/>
      <w:keepLines/>
      <w:spacing w:before="20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table" w:customStyle="1" w:styleId="a3">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57314"/>
    <w:pPr>
      <w:spacing w:before="240" w:after="0" w:line="259" w:lineRule="auto"/>
      <w:ind w:left="0" w:right="0"/>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57314"/>
    <w:pPr>
      <w:spacing w:after="100"/>
      <w:ind w:left="0"/>
    </w:pPr>
  </w:style>
  <w:style w:type="paragraph" w:styleId="TOC2">
    <w:name w:val="toc 2"/>
    <w:basedOn w:val="Normal"/>
    <w:next w:val="Normal"/>
    <w:autoRedefine/>
    <w:uiPriority w:val="39"/>
    <w:unhideWhenUsed/>
    <w:rsid w:val="00D57314"/>
    <w:pPr>
      <w:spacing w:after="100"/>
      <w:ind w:left="240"/>
    </w:pPr>
  </w:style>
  <w:style w:type="paragraph" w:styleId="TOC3">
    <w:name w:val="toc 3"/>
    <w:basedOn w:val="Normal"/>
    <w:next w:val="Normal"/>
    <w:autoRedefine/>
    <w:uiPriority w:val="39"/>
    <w:unhideWhenUsed/>
    <w:rsid w:val="00D57314"/>
    <w:pPr>
      <w:spacing w:after="100"/>
      <w:ind w:left="480"/>
    </w:pPr>
  </w:style>
  <w:style w:type="character" w:styleId="Hyperlink">
    <w:name w:val="Hyperlink"/>
    <w:basedOn w:val="DefaultParagraphFont"/>
    <w:uiPriority w:val="99"/>
    <w:unhideWhenUsed/>
    <w:rsid w:val="00D57314"/>
    <w:rPr>
      <w:color w:val="0000FF" w:themeColor="hyperlink"/>
      <w:u w:val="single"/>
    </w:rPr>
  </w:style>
  <w:style w:type="paragraph" w:styleId="Header">
    <w:name w:val="header"/>
    <w:basedOn w:val="Normal"/>
    <w:link w:val="HeaderChar"/>
    <w:uiPriority w:val="99"/>
    <w:unhideWhenUsed/>
    <w:rsid w:val="000E5ECA"/>
    <w:pPr>
      <w:tabs>
        <w:tab w:val="center" w:pos="4680"/>
        <w:tab w:val="right" w:pos="9360"/>
      </w:tabs>
      <w:spacing w:before="0" w:after="0"/>
    </w:pPr>
  </w:style>
  <w:style w:type="character" w:customStyle="1" w:styleId="HeaderChar">
    <w:name w:val="Header Char"/>
    <w:basedOn w:val="DefaultParagraphFont"/>
    <w:link w:val="Header"/>
    <w:uiPriority w:val="99"/>
    <w:rsid w:val="000E5ECA"/>
  </w:style>
  <w:style w:type="paragraph" w:styleId="Footer">
    <w:name w:val="footer"/>
    <w:basedOn w:val="Normal"/>
    <w:link w:val="FooterChar"/>
    <w:uiPriority w:val="99"/>
    <w:unhideWhenUsed/>
    <w:rsid w:val="000E5ECA"/>
    <w:pPr>
      <w:tabs>
        <w:tab w:val="center" w:pos="4680"/>
        <w:tab w:val="right" w:pos="9360"/>
      </w:tabs>
      <w:spacing w:before="0" w:after="0"/>
    </w:pPr>
  </w:style>
  <w:style w:type="character" w:customStyle="1" w:styleId="FooterChar">
    <w:name w:val="Footer Char"/>
    <w:basedOn w:val="DefaultParagraphFont"/>
    <w:link w:val="Footer"/>
    <w:uiPriority w:val="99"/>
    <w:rsid w:val="000E5ECA"/>
  </w:style>
  <w:style w:type="table" w:styleId="TableGrid">
    <w:name w:val="Table Grid"/>
    <w:basedOn w:val="TableNormal"/>
    <w:uiPriority w:val="39"/>
    <w:rsid w:val="006D2A77"/>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21576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dmiralgroup.co.uk/who-we-are/about-us%5BAccessed" TargetMode="External"/><Relationship Id="rId39" Type="http://schemas.openxmlformats.org/officeDocument/2006/relationships/hyperlink" Target="https://www.jurnal.tau.ac.id/index.php/jml/article/download/841/540" TargetMode="External"/><Relationship Id="rId21" Type="http://schemas.openxmlformats.org/officeDocument/2006/relationships/image" Target="media/image14.png"/><Relationship Id="rId34" Type="http://schemas.openxmlformats.org/officeDocument/2006/relationships/hyperlink" Target="https://ieeexplore.ieee.org/abstract/document/10440077/" TargetMode="External"/><Relationship Id="rId42" Type="http://schemas.openxmlformats.org/officeDocument/2006/relationships/hyperlink" Target="https://www.researchgate.net/profile/Chnar-Rashid/publication/348686551_THE_EFFICIENCY_OF_FINANCIAL_RATIOS_ANALYSIS_TO_EVALUATE_COMPANY'S_PROFITABILITY/links/600ad9df92851c13fe2b24ba/THE-EFFICIENCY-OF-FINANCIAL-RATIOS-ANALYSIS-TO-EVALUATE-COMPANYS-PROFITABILITY.pdf" TargetMode="External"/><Relationship Id="rId47" Type="http://schemas.openxmlformats.org/officeDocument/2006/relationships/hyperlink" Target="https://www.admiralgroup.co.uk/who-we-are/about-us%5BAccessed" TargetMode="External"/><Relationship Id="rId50" Type="http://schemas.openxmlformats.org/officeDocument/2006/relationships/hyperlink" Target="https://www.atlantis-press.com/proceedings/icemci-21/125966320" TargetMode="External"/><Relationship Id="rId55" Type="http://schemas.openxmlformats.org/officeDocument/2006/relationships/image" Target="media/image1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mdpi.com/1996-1073/17/22/5660" TargetMode="External"/><Relationship Id="rId11" Type="http://schemas.openxmlformats.org/officeDocument/2006/relationships/image" Target="media/image4.png"/><Relationship Id="rId24" Type="http://schemas.openxmlformats.org/officeDocument/2006/relationships/hyperlink" Target="https://admiralgroup.co.uk/static-files/bb441754-520f-4110-9ff1-fc6c286de099" TargetMode="External"/><Relationship Id="rId32" Type="http://schemas.openxmlformats.org/officeDocument/2006/relationships/hyperlink" Target="https://www.researchgate.net/profile/Soon-Yoon-5/publication/348883329_Does_technology_innovation_in_finance_alleviate_financing_constraints_and_reduce_debt-financing_costs_Evidence_from_China/links/605f3b5d92851cd8ce6fa04d/Does-technology-innovation-in-finance-alleviate-financing-constraints-and-reduce-debt-financing-costs-Evidence-from-China.pdf?origin=journalDetail&amp;_tp=eyJwYWdlIjoiam91cm5hbERldGFpbCJ9" TargetMode="External"/><Relationship Id="rId37" Type="http://schemas.openxmlformats.org/officeDocument/2006/relationships/hyperlink" Target="https://www.mdpi.com/1996-1073/15/16/5859" TargetMode="External"/><Relationship Id="rId40" Type="http://schemas.openxmlformats.org/officeDocument/2006/relationships/hyperlink" Target="https://www.researchgate.net/profile/Fredrick-Wafula/publication/354377319_Effect_of_Accounts_Receivable_Management_on_Financial_Performance_of_Chartered_Public_Universities_in_Kenya/links/6537d3e424bbe32d9a6c7572/Effect-of-Accounts-Receivable-Management-on-Financial-Performance-of-Chartered-Public-Universities-in-Kenya.pdf" TargetMode="External"/><Relationship Id="rId45" Type="http://schemas.openxmlformats.org/officeDocument/2006/relationships/hyperlink" Target="https://pubs.aip.org/aip/acp/article-abstract/2423/1/030006/724663" TargetMode="External"/><Relationship Id="rId53" Type="http://schemas.openxmlformats.org/officeDocument/2006/relationships/hyperlink" Target="https://www.sciencedirect.com/science/article/pii/S1364032121011461"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ieeexplore.ieee.org/abstract/document/9348902/" TargetMode="External"/><Relationship Id="rId30" Type="http://schemas.openxmlformats.org/officeDocument/2006/relationships/hyperlink" Target="https://jurnalsyntaxadmiration.com/index.php/jurnal/article/download/907/1307" TargetMode="External"/><Relationship Id="rId35" Type="http://schemas.openxmlformats.org/officeDocument/2006/relationships/hyperlink" Target="https://books.google.com/books?hl=en&amp;lr=&amp;id=XIsrEQAAQBAJ&amp;oi=fnd&amp;pg=PA1&amp;dq=he+key+areas+of+business+finance+mainly+includes+financial+planning,+financial+analysis,+budgeting+and+forecasting,+capital+budgeting,+working+capital+management,+making+financial+decisions+with+risk+management+&amp;ots=JYybpYF-Et&amp;sig=5USohf2XXYUW7scq6lhn5uPEUl0" TargetMode="External"/><Relationship Id="rId43" Type="http://schemas.openxmlformats.org/officeDocument/2006/relationships/hyperlink" Target="https://onlinelibrary.wiley.com/doi/pdf/10.1155/2022/1708506" TargetMode="External"/><Relationship Id="rId48" Type="http://schemas.openxmlformats.org/officeDocument/2006/relationships/hyperlink" Target="https://virtusinterpress.org/IMG/pdf/jgrv13i3art4.pdf"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onlinelibrary.wiley.com/doi/pdf/10.1002/agr.2178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dmiralgroup.co.uk/who-we-are/about-us%5BAccessed" TargetMode="External"/><Relationship Id="rId33" Type="http://schemas.openxmlformats.org/officeDocument/2006/relationships/hyperlink" Target="https://journals.unizik.edu.ng/irofs/article/download/5672/4708" TargetMode="External"/><Relationship Id="rId38" Type="http://schemas.openxmlformats.org/officeDocument/2006/relationships/hyperlink" Target="https://www.sciencedirect.com/science/article/pii/S036054422401764X" TargetMode="External"/><Relationship Id="rId46" Type="http://schemas.openxmlformats.org/officeDocument/2006/relationships/hyperlink" Target="https://www.atlantis-press.com/proceedings/icemed-22/125975449" TargetMode="External"/><Relationship Id="rId20" Type="http://schemas.openxmlformats.org/officeDocument/2006/relationships/image" Target="media/image13.png"/><Relationship Id="rId41" Type="http://schemas.openxmlformats.org/officeDocument/2006/relationships/hyperlink" Target="https://www.academia.edu/download/120967809/4654.pdf" TargetMode="External"/><Relationship Id="rId54"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profesionalmudacendekia.com/index.php/sss/article/download/226/109" TargetMode="External"/><Relationship Id="rId36" Type="http://schemas.openxmlformats.org/officeDocument/2006/relationships/hyperlink" Target="https://www.mdpi.com/2071-1050/15/1/428" TargetMode="External"/><Relationship Id="rId49" Type="http://schemas.openxmlformats.org/officeDocument/2006/relationships/hyperlink" Target="https://www.sciencedirect.com/science/article/pii/S0301479724005929"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link.springer.com/article/10.1007/s10230-024-00995-1" TargetMode="External"/><Relationship Id="rId44" Type="http://schemas.openxmlformats.org/officeDocument/2006/relationships/hyperlink" Target="https://ajronline.org/doi/abs/10.2214/ajr.24.32328" TargetMode="External"/><Relationship Id="rId52" Type="http://schemas.openxmlformats.org/officeDocument/2006/relationships/hyperlink" Target="https://researchonline.gcu.ac.uk/files/99919188/999191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6A66E-C616-460E-AAF9-C0C2E1F01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31</Pages>
  <Words>7396</Words>
  <Characters>42159</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Hrushikesk Goud</cp:lastModifiedBy>
  <cp:revision>2</cp:revision>
  <dcterms:created xsi:type="dcterms:W3CDTF">2025-07-19T12:53:00Z</dcterms:created>
  <dcterms:modified xsi:type="dcterms:W3CDTF">2025-07-21T16:02:00Z</dcterms:modified>
</cp:coreProperties>
</file>