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889EA" w14:textId="33E9CB84" w:rsidR="0000238B" w:rsidRDefault="00684AA0" w:rsidP="00684AA0">
      <w:pPr>
        <w:spacing w:line="360" w:lineRule="auto"/>
        <w:rPr>
          <w:rFonts w:ascii="Arial" w:hAnsi="Arial" w:cs="Arial"/>
          <w:sz w:val="24"/>
          <w:szCs w:val="24"/>
        </w:rPr>
      </w:pPr>
      <w:r w:rsidRPr="00DF29BC">
        <w:rPr>
          <w:rFonts w:ascii="Arial" w:hAnsi="Arial" w:cs="Arial"/>
          <w:sz w:val="24"/>
          <w:szCs w:val="24"/>
        </w:rPr>
        <w:t>AI Statement:</w:t>
      </w:r>
      <w:r>
        <w:rPr>
          <w:rFonts w:ascii="Arial" w:hAnsi="Arial" w:cs="Arial"/>
          <w:sz w:val="24"/>
          <w:szCs w:val="24"/>
        </w:rPr>
        <w:t xml:space="preserve"> I acknowledge the use of Quillbot (</w:t>
      </w:r>
      <w:hyperlink r:id="rId9" w:history="1">
        <w:r w:rsidRPr="005977EB">
          <w:rPr>
            <w:rStyle w:val="Hyperlink"/>
            <w:rFonts w:ascii="Arial" w:hAnsi="Arial" w:cs="Arial"/>
            <w:sz w:val="24"/>
            <w:szCs w:val="24"/>
          </w:rPr>
          <w:t>https://quillbot.com/grammar-check</w:t>
        </w:r>
      </w:hyperlink>
      <w:r>
        <w:rPr>
          <w:rFonts w:ascii="Arial" w:hAnsi="Arial" w:cs="Arial"/>
          <w:sz w:val="24"/>
          <w:szCs w:val="24"/>
        </w:rPr>
        <w:t>) on 22/02/2025 to proof to grammar check. I used the prompt: Grammar checker.</w:t>
      </w:r>
      <w:r>
        <w:rPr>
          <w:rFonts w:ascii="Arial" w:hAnsi="Arial" w:cs="Arial"/>
          <w:sz w:val="24"/>
          <w:szCs w:val="24"/>
        </w:rPr>
        <w:br/>
        <w:t xml:space="preserve">I confirm that I have not presented any AI generated text as my own work. I confirm I have copies of my drafts, notes and other resources I used before, and after the use of AI tools which I may be asked to provide in evidence. </w:t>
      </w:r>
    </w:p>
    <w:p w14:paraId="3A13C795" w14:textId="77777777" w:rsidR="00684AA0" w:rsidRPr="00471EA0" w:rsidRDefault="00684AA0" w:rsidP="00684AA0">
      <w:pPr>
        <w:spacing w:line="360" w:lineRule="auto"/>
        <w:rPr>
          <w:rFonts w:ascii="Arial" w:hAnsi="Arial" w:cs="Arial"/>
          <w:sz w:val="24"/>
          <w:szCs w:val="24"/>
        </w:rPr>
      </w:pPr>
    </w:p>
    <w:p w14:paraId="64A71B6C"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 xml:space="preserve">Bilingualism and multilingualism are becoming increasingly more common today, as stated by Bialystok, </w:t>
      </w:r>
      <w:r w:rsidRPr="00614436">
        <w:rPr>
          <w:rFonts w:ascii="Arial" w:hAnsi="Arial" w:cs="Arial"/>
          <w:i/>
          <w:iCs/>
          <w:sz w:val="24"/>
          <w:szCs w:val="24"/>
        </w:rPr>
        <w:t xml:space="preserve">et al. </w:t>
      </w:r>
      <w:r w:rsidRPr="00614436">
        <w:rPr>
          <w:rFonts w:ascii="Arial" w:hAnsi="Arial" w:cs="Arial"/>
          <w:sz w:val="24"/>
          <w:szCs w:val="24"/>
        </w:rPr>
        <w:t>(date).</w:t>
      </w:r>
      <w:r w:rsidRPr="00614436">
        <w:rPr>
          <w:rFonts w:ascii="Arial" w:hAnsi="Arial" w:cs="Arial"/>
          <w:i/>
          <w:iCs/>
          <w:sz w:val="24"/>
          <w:szCs w:val="24"/>
        </w:rPr>
        <w:t xml:space="preserve"> </w:t>
      </w:r>
      <w:r w:rsidRPr="00614436">
        <w:rPr>
          <w:rFonts w:ascii="Arial" w:hAnsi="Arial" w:cs="Arial"/>
          <w:sz w:val="24"/>
          <w:szCs w:val="24"/>
        </w:rPr>
        <w:t>Within large states of America, over 20% of individuals claim to speak a language other than English within the household. 50% of individuals within more urban areas also express that they do not speak English within the household. Tekyi-Ahrin expresses the benefits that come with being bilingual / multilingual as well as defining them as the ability to speak and understand one or more languages. The benefits involved include cognitive development, improved language skills, cultural awareness and much more. This paper will focus on the benefits of multilingualism and why it may be important for children to learn a second language. It is also important to mention that the approach of how children are taught a second language changes how much a child can learn, which will be further discussed in this paper.</w:t>
      </w:r>
    </w:p>
    <w:p w14:paraId="79D3E58F"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Benefits of multilingualism.</w:t>
      </w:r>
    </w:p>
    <w:p w14:paraId="511A8B4B"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Baker, (1988). attempts to reassure readers that children will not perform worse by learning a second language, instead children will be able to increase their ability to develop. The book also demonstrates the concern of there not being enough time for children to play when they must learn a second language. Baker argues against this point by explaining that multilingualism can be a part of play. This is backed up by Jean Piaget’s concept of learning by doing, as demonstrated by Reese, (2011) Learning by doing has been around for many years and is still heavily applied in children’s education today. The article describes the large number of theorists that back up Piaget’s work, such as Montessori, Lisina and many more, by explaining the importance of allowing children to play in order to learn, meaning children can develop a second language through this.</w:t>
      </w:r>
    </w:p>
    <w:p w14:paraId="025EAF44"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 xml:space="preserve">Tekyi-Ahrin’s (date). statement of the benefits of bilingualism / multilingualism is backed up further by Farhan, (date). Which both state that children who learn a </w:t>
      </w:r>
      <w:r w:rsidRPr="00614436">
        <w:rPr>
          <w:rFonts w:ascii="Arial" w:hAnsi="Arial" w:cs="Arial"/>
          <w:sz w:val="24"/>
          <w:szCs w:val="24"/>
        </w:rPr>
        <w:lastRenderedPageBreak/>
        <w:t>second language can obtain neurological and cognitive benefits throughout early childhood. It is not to be forgotten that the earlier in childhood the individual is, the more they are likely to learn, as it may have more lasting effects on the child. One important benefit to note is the academic potential through bilingualism. As stated by Farhan, (date) allows a child to become more creative and flexible with their thinking, therefore allowing them to progress further academically.</w:t>
      </w:r>
    </w:p>
    <w:p w14:paraId="05767037"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Like the sources above have stated, the individual in the recording displayed that children can learn a second language with play being involved, therefore further enhancing a child’s learning experience.</w:t>
      </w:r>
    </w:p>
    <w:p w14:paraId="2BBB9D6A"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Welsh / English as an additional language (WAL/EAL) </w:t>
      </w:r>
    </w:p>
    <w:p w14:paraId="5792B527"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br/>
        <w:t>Welsh / English as an additional language is described as a term used to describe individuals who can speak more than one language and comes in multiple stages which determine what level of competence a child is at within language development, ranging from A to E. Within the recording, the practitioner focuses on teaching children at stage C, meaning that they are developing competence within the language. (Crolla, and Treffers-Daller, 2017).</w:t>
      </w:r>
    </w:p>
    <w:p w14:paraId="323C78F7"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As stated by Heller, (2020). The environment and social interactions in which children are taught are vital for their learning. It is further implicated that children who are in their comfortable environments can be exposed to another language without any issues in development; instead, they can learn more. Heller also explains how a learning approach can change depending on the age of the child. Language Acquisition Development was developed by Noam Chomsky in 1960 to help children with additional learning needs learn a second language without challenges that other children may not face. Levelt, (date). It is stated by Levelt, that Bruner adds onto this concept by introducing a language acquisition support system, which means that practitioners need to focus on their pace, repetition and enthusiasm to help support children with ALN. Within the recording, the practitioner attempts to control the pace, repetition and enthusiasm to support children with ALN.</w:t>
      </w:r>
    </w:p>
    <w:p w14:paraId="54F96B27"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Brain development and multilingualism.</w:t>
      </w:r>
    </w:p>
    <w:p w14:paraId="7F90A5AF"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lastRenderedPageBreak/>
        <w:t>Beyin, and Halit, (2019). Explain in depth how multilingualism allows the brain to develop more than if children were not learning a second language. As stated in the article, this is due to the fact that the brain will be connecting more neurones, therefore reshaping the speech lobe and enhancing long-term health, self-control, memory and critical thinking. As stated by Thomas, and, Roberts, (2011). A child can develop competence in a language as soon as 2 years old. Due to this statement, children may be able to develop their cognitive abilities to better prepare themselves in the future. Furthermore, the article states that it is important for a second language to be learnt at an earlier stage in life due to it being more difficult for adults to become bilingual. In contrast to this. Kroll and Groot, (2005). Explain Ellen Bialystock’s perspective on multilingualism and how it can have some consequences, not just benefits. This is due to children having tests on their competence within a second language, resulting in children becoming more stressed and learning less as a result. Bialystock also states that it is believed that children who are learning a second language show no evidence of having improved ability to read and write, as any evidence collected was not consistent with the benefits of multilingualism. One consideration that needs to be made is that all children are different and develop at their own levels, as a result, LASS was implemented.</w:t>
      </w:r>
    </w:p>
    <w:p w14:paraId="6B3127B4"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Divergent thinking.</w:t>
      </w:r>
    </w:p>
    <w:p w14:paraId="57CD0B6A" w14:textId="2822A373"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 xml:space="preserve">As stated by Baer, (1993). Divergent thinking is the ability to use creativity to solve many tasks which an individual is given throughout life, and without divergent thinking being considered, it is unlikely that creative thinking cannot be tested efficiently. Fürst, and Grin, (2017). Display through studies that have been performed that bilingual / multilingual individuals tend to perform divergent thinking tasks better than individuals who are monolingual. This is due to the ability of bilingual individuals to become more fluent, flexible and creative with their ideas. Bialystock, and Craik, (2008). Talks about the potential future benefits that multilingualism has due to divergent thinking. The article states that multilingualism / bilingualism can protect an elderly individual's cognitive abilities due to the brain being more active than others, and as a result, it can prevent dementia from taking place within the elderly. It is stated that individuals who were bilingual obtained dementia symptoms 4 years later than those who were monolingual. In contrast to this, Guilford had a theory that divergent thinking did not allow for intelligence but instead supported variation. </w:t>
      </w:r>
      <w:r w:rsidRPr="00614436">
        <w:rPr>
          <w:rFonts w:ascii="Arial" w:hAnsi="Arial" w:cs="Arial"/>
          <w:sz w:val="24"/>
          <w:szCs w:val="24"/>
        </w:rPr>
        <w:lastRenderedPageBreak/>
        <w:t xml:space="preserve">(Dorfman and Gassimova, 2017). This was believed because there was not a correlation between the variation of numerical intelligence and literacy intelligence. However, Guilford did believe that divergent thinking and variation did go hand in hand. Within the recording the practitioner asks questions such as ‘How are you?’ This would not be divergent thinking however, when the lecturer asks ‘why?’, that would result in divergent thinking, as the children </w:t>
      </w:r>
      <w:r w:rsidR="009D72A5" w:rsidRPr="00614436">
        <w:rPr>
          <w:rFonts w:ascii="Arial" w:hAnsi="Arial" w:cs="Arial"/>
          <w:sz w:val="24"/>
          <w:szCs w:val="24"/>
        </w:rPr>
        <w:t>must</w:t>
      </w:r>
      <w:r w:rsidRPr="00614436">
        <w:rPr>
          <w:rFonts w:ascii="Arial" w:hAnsi="Arial" w:cs="Arial"/>
          <w:sz w:val="24"/>
          <w:szCs w:val="24"/>
        </w:rPr>
        <w:t xml:space="preserve"> consider multiple reasons for why they may be feeling the way they are.</w:t>
      </w:r>
    </w:p>
    <w:p w14:paraId="703BD86B"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Programs and frameworks supporting Bilingualism.</w:t>
      </w:r>
    </w:p>
    <w:p w14:paraId="42EA64D3" w14:textId="77777777" w:rsidR="00614436" w:rsidRPr="00614436" w:rsidRDefault="00614436" w:rsidP="00684AA0">
      <w:pPr>
        <w:spacing w:line="360" w:lineRule="auto"/>
        <w:rPr>
          <w:rFonts w:ascii="Arial" w:hAnsi="Arial" w:cs="Arial"/>
          <w:sz w:val="24"/>
          <w:szCs w:val="24"/>
        </w:rPr>
      </w:pPr>
      <w:r w:rsidRPr="00614436">
        <w:rPr>
          <w:rFonts w:ascii="Arial" w:hAnsi="Arial" w:cs="Arial"/>
          <w:sz w:val="24"/>
          <w:szCs w:val="24"/>
        </w:rPr>
        <w:t xml:space="preserve">Baker talks about different frameworks to help individuals support and become bilingual. (Schwartz, </w:t>
      </w:r>
      <w:r w:rsidRPr="00614436">
        <w:rPr>
          <w:rFonts w:ascii="Arial" w:hAnsi="Arial" w:cs="Arial"/>
          <w:i/>
          <w:iCs/>
          <w:sz w:val="24"/>
          <w:szCs w:val="24"/>
        </w:rPr>
        <w:t xml:space="preserve">et al. </w:t>
      </w:r>
      <w:r w:rsidRPr="00614436">
        <w:rPr>
          <w:rFonts w:ascii="Arial" w:hAnsi="Arial" w:cs="Arial"/>
          <w:sz w:val="24"/>
          <w:szCs w:val="24"/>
        </w:rPr>
        <w:t>2015). The article explains these approaches, with one being the two-way programme, which describes the language being learnt needing to be 50% the second language and 50% the first language. An example was given where Spanish children were expected to speak English with children who were fluent in English and children who spoke Spanish. Problematically, this could result in children completely separating from each other to speak their native language. However, children who were able to communicate with other children in another language were able to develop competence. Another example that was given was the use of 30% second language and 70% native; however, the issue with this was the individuals struggled to speak the second language due to the lack of exposure. Within the recording it can be assumed that the practitioner uses this form of teaching by saying something in the second language and explaining it in the first.</w:t>
      </w:r>
    </w:p>
    <w:p w14:paraId="318AF79D" w14:textId="3DC165D5" w:rsidR="00F41B17" w:rsidRPr="007B06E8" w:rsidRDefault="00850692" w:rsidP="00684AA0">
      <w:pPr>
        <w:spacing w:line="360" w:lineRule="auto"/>
        <w:rPr>
          <w:rFonts w:ascii="Arial" w:hAnsi="Arial" w:cs="Arial"/>
          <w:sz w:val="24"/>
          <w:szCs w:val="24"/>
        </w:rPr>
      </w:pPr>
      <w:r>
        <w:rPr>
          <w:rFonts w:ascii="Arial" w:hAnsi="Arial" w:cs="Arial"/>
          <w:sz w:val="24"/>
          <w:szCs w:val="24"/>
        </w:rPr>
        <w:t xml:space="preserve">From the evidence provided, it could be considered that children gain more benefits from </w:t>
      </w:r>
      <w:r w:rsidR="001468BE">
        <w:rPr>
          <w:rFonts w:ascii="Arial" w:hAnsi="Arial" w:cs="Arial"/>
          <w:sz w:val="24"/>
          <w:szCs w:val="24"/>
        </w:rPr>
        <w:t>obtaining a second language which last throughout their whole lives, by dec</w:t>
      </w:r>
      <w:r w:rsidR="00E76C6C">
        <w:rPr>
          <w:rFonts w:ascii="Arial" w:hAnsi="Arial" w:cs="Arial"/>
          <w:sz w:val="24"/>
          <w:szCs w:val="24"/>
        </w:rPr>
        <w:t xml:space="preserve">lining the occurrence of dementia and increasing their ability to critically think. It may also be clear that children </w:t>
      </w:r>
      <w:r w:rsidR="00786E4F">
        <w:rPr>
          <w:rFonts w:ascii="Arial" w:hAnsi="Arial" w:cs="Arial"/>
          <w:sz w:val="24"/>
          <w:szCs w:val="24"/>
        </w:rPr>
        <w:t xml:space="preserve">learn better from the age of 2 than adults would learning a second language and as a result </w:t>
      </w:r>
      <w:r w:rsidR="00460F7C">
        <w:rPr>
          <w:rFonts w:ascii="Arial" w:hAnsi="Arial" w:cs="Arial"/>
          <w:sz w:val="24"/>
          <w:szCs w:val="24"/>
        </w:rPr>
        <w:t>have</w:t>
      </w:r>
      <w:r w:rsidR="004D709F">
        <w:rPr>
          <w:rFonts w:ascii="Arial" w:hAnsi="Arial" w:cs="Arial"/>
          <w:sz w:val="24"/>
          <w:szCs w:val="24"/>
        </w:rPr>
        <w:t xml:space="preserve"> little risk of becoming stressed </w:t>
      </w:r>
      <w:r w:rsidR="007E28C6">
        <w:rPr>
          <w:rFonts w:ascii="Arial" w:hAnsi="Arial" w:cs="Arial"/>
          <w:sz w:val="24"/>
          <w:szCs w:val="24"/>
        </w:rPr>
        <w:t xml:space="preserve">while learning a second language. </w:t>
      </w:r>
    </w:p>
    <w:p w14:paraId="0D8696DD" w14:textId="7422E2A4" w:rsidR="00895585" w:rsidRPr="00E457B4" w:rsidRDefault="00895585" w:rsidP="00684AA0">
      <w:pPr>
        <w:spacing w:line="360" w:lineRule="auto"/>
        <w:rPr>
          <w:rFonts w:ascii="Arial" w:hAnsi="Arial" w:cs="Arial"/>
          <w:sz w:val="24"/>
          <w:szCs w:val="24"/>
        </w:rPr>
      </w:pPr>
    </w:p>
    <w:p w14:paraId="5C213993" w14:textId="77777777" w:rsidR="001702E1" w:rsidRDefault="001702E1" w:rsidP="00684AA0">
      <w:pPr>
        <w:spacing w:line="360" w:lineRule="auto"/>
        <w:rPr>
          <w:rFonts w:ascii="Arial" w:hAnsi="Arial" w:cs="Arial"/>
          <w:sz w:val="24"/>
          <w:szCs w:val="24"/>
        </w:rPr>
      </w:pPr>
    </w:p>
    <w:p w14:paraId="12A7A3C9" w14:textId="77777777" w:rsidR="001702E1" w:rsidRDefault="001702E1" w:rsidP="00684AA0">
      <w:pPr>
        <w:spacing w:line="360" w:lineRule="auto"/>
        <w:rPr>
          <w:rFonts w:ascii="Arial" w:hAnsi="Arial" w:cs="Arial"/>
          <w:sz w:val="24"/>
          <w:szCs w:val="24"/>
        </w:rPr>
      </w:pPr>
    </w:p>
    <w:p w14:paraId="5B4E991E" w14:textId="77777777" w:rsidR="001702E1" w:rsidRDefault="001702E1" w:rsidP="00684AA0">
      <w:pPr>
        <w:spacing w:line="360" w:lineRule="auto"/>
        <w:rPr>
          <w:rFonts w:ascii="Arial" w:hAnsi="Arial" w:cs="Arial"/>
          <w:sz w:val="24"/>
          <w:szCs w:val="24"/>
        </w:rPr>
      </w:pPr>
    </w:p>
    <w:p w14:paraId="7F565D3F" w14:textId="44430CCB" w:rsidR="00895585" w:rsidRPr="00E457B4" w:rsidRDefault="0073568D" w:rsidP="00684AA0">
      <w:pPr>
        <w:spacing w:line="360" w:lineRule="auto"/>
        <w:rPr>
          <w:rFonts w:ascii="Arial" w:hAnsi="Arial" w:cs="Arial"/>
          <w:sz w:val="24"/>
          <w:szCs w:val="24"/>
        </w:rPr>
      </w:pPr>
      <w:r>
        <w:rPr>
          <w:rFonts w:ascii="Arial" w:hAnsi="Arial" w:cs="Arial"/>
          <w:sz w:val="24"/>
          <w:szCs w:val="24"/>
        </w:rPr>
        <w:lastRenderedPageBreak/>
        <w:t xml:space="preserve">Reference list. </w:t>
      </w:r>
    </w:p>
    <w:p w14:paraId="2F44263C" w14:textId="77777777" w:rsidR="00895585" w:rsidRPr="00E457B4" w:rsidRDefault="00895585" w:rsidP="00684AA0">
      <w:pPr>
        <w:spacing w:line="360" w:lineRule="auto"/>
        <w:rPr>
          <w:rFonts w:ascii="Arial" w:hAnsi="Arial" w:cs="Arial"/>
          <w:sz w:val="24"/>
          <w:szCs w:val="24"/>
        </w:rPr>
      </w:pPr>
    </w:p>
    <w:p w14:paraId="16229F2F" w14:textId="77777777" w:rsidR="00A06BE1" w:rsidRDefault="00A06BE1" w:rsidP="00684AA0">
      <w:pPr>
        <w:spacing w:line="360" w:lineRule="auto"/>
        <w:rPr>
          <w:rFonts w:ascii="Arial" w:hAnsi="Arial" w:cs="Arial"/>
          <w:sz w:val="24"/>
          <w:szCs w:val="24"/>
        </w:rPr>
      </w:pPr>
      <w:r>
        <w:rPr>
          <w:rFonts w:ascii="Arial" w:hAnsi="Arial" w:cs="Arial"/>
          <w:sz w:val="24"/>
          <w:szCs w:val="24"/>
        </w:rPr>
        <w:t xml:space="preserve">Abraham, W. (1975) </w:t>
      </w:r>
      <w:r w:rsidRPr="00680FDD">
        <w:rPr>
          <w:rFonts w:ascii="Arial" w:hAnsi="Arial" w:cs="Arial"/>
          <w:i/>
          <w:iCs/>
          <w:sz w:val="24"/>
          <w:szCs w:val="24"/>
        </w:rPr>
        <w:t>Contributions to an understanding of linguistics.</w:t>
      </w:r>
      <w:r w:rsidRPr="00E457B4">
        <w:rPr>
          <w:rFonts w:ascii="Arial" w:hAnsi="Arial" w:cs="Arial"/>
          <w:sz w:val="24"/>
          <w:szCs w:val="24"/>
        </w:rPr>
        <w:t xml:space="preserve"> </w:t>
      </w:r>
      <w:r>
        <w:rPr>
          <w:rFonts w:ascii="Arial" w:hAnsi="Arial" w:cs="Arial"/>
          <w:sz w:val="24"/>
          <w:szCs w:val="24"/>
        </w:rPr>
        <w:t xml:space="preserve">Netherlands: </w:t>
      </w:r>
      <w:r w:rsidRPr="00E457B4">
        <w:rPr>
          <w:rFonts w:ascii="Arial" w:hAnsi="Arial" w:cs="Arial"/>
          <w:sz w:val="24"/>
          <w:szCs w:val="24"/>
        </w:rPr>
        <w:t xml:space="preserve">The peter De Ridder Press. </w:t>
      </w:r>
    </w:p>
    <w:p w14:paraId="49418DD7" w14:textId="77777777" w:rsidR="00A06BE1" w:rsidRPr="00E457B4" w:rsidRDefault="00A06BE1" w:rsidP="00684AA0">
      <w:pPr>
        <w:spacing w:line="360" w:lineRule="auto"/>
        <w:rPr>
          <w:rFonts w:ascii="Arial" w:hAnsi="Arial" w:cs="Arial"/>
          <w:sz w:val="24"/>
          <w:szCs w:val="24"/>
        </w:rPr>
      </w:pPr>
      <w:r w:rsidRPr="00E457B4">
        <w:rPr>
          <w:rFonts w:ascii="Arial" w:hAnsi="Arial" w:cs="Arial"/>
          <w:sz w:val="24"/>
          <w:szCs w:val="24"/>
        </w:rPr>
        <w:t>Andrews</w:t>
      </w:r>
      <w:r>
        <w:rPr>
          <w:rFonts w:ascii="Arial" w:hAnsi="Arial" w:cs="Arial"/>
          <w:sz w:val="24"/>
          <w:szCs w:val="24"/>
        </w:rPr>
        <w:t>, R. (</w:t>
      </w:r>
      <w:r w:rsidRPr="00E457B4">
        <w:rPr>
          <w:rFonts w:ascii="Arial" w:hAnsi="Arial" w:cs="Arial"/>
          <w:sz w:val="24"/>
          <w:szCs w:val="24"/>
        </w:rPr>
        <w:t>2009</w:t>
      </w:r>
      <w:r>
        <w:rPr>
          <w:rFonts w:ascii="Arial" w:hAnsi="Arial" w:cs="Arial"/>
          <w:sz w:val="24"/>
          <w:szCs w:val="24"/>
        </w:rPr>
        <w:t>)</w:t>
      </w:r>
      <w:r w:rsidRPr="00E457B4">
        <w:rPr>
          <w:rFonts w:ascii="Arial" w:hAnsi="Arial" w:cs="Arial"/>
          <w:sz w:val="24"/>
          <w:szCs w:val="24"/>
        </w:rPr>
        <w:t xml:space="preserve"> </w:t>
      </w:r>
      <w:r w:rsidRPr="00BE0529">
        <w:rPr>
          <w:rFonts w:ascii="Arial" w:hAnsi="Arial" w:cs="Arial"/>
          <w:i/>
          <w:iCs/>
          <w:sz w:val="24"/>
          <w:szCs w:val="24"/>
        </w:rPr>
        <w:t>Review of research in English as an additional language (EAL)</w:t>
      </w:r>
      <w:r>
        <w:rPr>
          <w:rFonts w:ascii="Arial" w:hAnsi="Arial" w:cs="Arial"/>
          <w:sz w:val="24"/>
          <w:szCs w:val="24"/>
        </w:rPr>
        <w:t xml:space="preserve">. </w:t>
      </w:r>
      <w:r w:rsidRPr="00E457B4">
        <w:rPr>
          <w:rFonts w:ascii="Arial" w:hAnsi="Arial" w:cs="Arial"/>
          <w:sz w:val="24"/>
          <w:szCs w:val="24"/>
        </w:rPr>
        <w:t xml:space="preserve"> London</w:t>
      </w:r>
      <w:r>
        <w:rPr>
          <w:rFonts w:ascii="Arial" w:hAnsi="Arial" w:cs="Arial"/>
          <w:sz w:val="24"/>
          <w:szCs w:val="24"/>
        </w:rPr>
        <w:t xml:space="preserve">: </w:t>
      </w:r>
      <w:r w:rsidRPr="00E457B4">
        <w:rPr>
          <w:rFonts w:ascii="Arial" w:hAnsi="Arial" w:cs="Arial"/>
          <w:sz w:val="24"/>
          <w:szCs w:val="24"/>
        </w:rPr>
        <w:t xml:space="preserve">NRDC Publications. </w:t>
      </w:r>
    </w:p>
    <w:p w14:paraId="72EB3AAF"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 xml:space="preserve">Baer, J. (1993) </w:t>
      </w:r>
      <w:r w:rsidRPr="00B121C4">
        <w:rPr>
          <w:rFonts w:ascii="Arial" w:hAnsi="Arial" w:cs="Arial"/>
          <w:i/>
          <w:iCs/>
          <w:sz w:val="24"/>
          <w:szCs w:val="24"/>
        </w:rPr>
        <w:t>Creativity and Divergent Thinking: A Task-Specific Approach</w:t>
      </w:r>
      <w:r>
        <w:rPr>
          <w:rFonts w:ascii="Arial" w:hAnsi="Arial" w:cs="Arial"/>
          <w:i/>
          <w:iCs/>
          <w:sz w:val="24"/>
          <w:szCs w:val="24"/>
        </w:rPr>
        <w:t>.</w:t>
      </w:r>
      <w:r>
        <w:rPr>
          <w:rFonts w:ascii="Arial" w:hAnsi="Arial" w:cs="Arial"/>
          <w:sz w:val="24"/>
          <w:szCs w:val="24"/>
        </w:rPr>
        <w:t xml:space="preserve"> New York: </w:t>
      </w:r>
      <w:r w:rsidRPr="00E457B4">
        <w:rPr>
          <w:rFonts w:ascii="Arial" w:hAnsi="Arial" w:cs="Arial"/>
          <w:sz w:val="24"/>
          <w:szCs w:val="24"/>
        </w:rPr>
        <w:t xml:space="preserve">Psychology Press. </w:t>
      </w:r>
    </w:p>
    <w:p w14:paraId="453733A6" w14:textId="77777777" w:rsidR="00A06BE1" w:rsidRPr="00E457B4" w:rsidRDefault="00A06BE1" w:rsidP="00684AA0">
      <w:pPr>
        <w:spacing w:line="360" w:lineRule="auto"/>
        <w:rPr>
          <w:rFonts w:ascii="Arial" w:hAnsi="Arial" w:cs="Arial"/>
          <w:sz w:val="24"/>
          <w:szCs w:val="24"/>
        </w:rPr>
      </w:pPr>
      <w:r>
        <w:rPr>
          <w:rFonts w:ascii="Arial" w:hAnsi="Arial" w:cs="Arial"/>
          <w:sz w:val="24"/>
          <w:szCs w:val="24"/>
        </w:rPr>
        <w:t xml:space="preserve">Baker, C. (1998) </w:t>
      </w:r>
      <w:r>
        <w:rPr>
          <w:rFonts w:ascii="Arial" w:hAnsi="Arial" w:cs="Arial"/>
          <w:i/>
          <w:iCs/>
          <w:sz w:val="24"/>
          <w:szCs w:val="24"/>
        </w:rPr>
        <w:t xml:space="preserve">Key issues in Bilingualism and Bilingual education. </w:t>
      </w:r>
      <w:r>
        <w:rPr>
          <w:rFonts w:ascii="Arial" w:hAnsi="Arial" w:cs="Arial"/>
          <w:sz w:val="24"/>
          <w:szCs w:val="24"/>
        </w:rPr>
        <w:t xml:space="preserve">Philadelphia: Multilingual Matters LTD. </w:t>
      </w:r>
    </w:p>
    <w:p w14:paraId="71C54CAE"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Beyin</w:t>
      </w:r>
      <w:r>
        <w:rPr>
          <w:rFonts w:ascii="Arial" w:hAnsi="Arial" w:cs="Arial"/>
          <w:sz w:val="24"/>
          <w:szCs w:val="24"/>
        </w:rPr>
        <w:t xml:space="preserve">, </w:t>
      </w:r>
      <w:r w:rsidRPr="00E457B4">
        <w:rPr>
          <w:rFonts w:ascii="Arial" w:hAnsi="Arial" w:cs="Arial"/>
          <w:sz w:val="24"/>
          <w:szCs w:val="24"/>
        </w:rPr>
        <w:t>Ç</w:t>
      </w:r>
      <w:r>
        <w:rPr>
          <w:rFonts w:ascii="Arial" w:hAnsi="Arial" w:cs="Arial"/>
          <w:sz w:val="24"/>
          <w:szCs w:val="24"/>
        </w:rPr>
        <w:t>.V.C.</w:t>
      </w:r>
      <w:r w:rsidRPr="00E457B4">
        <w:rPr>
          <w:rFonts w:ascii="Arial" w:hAnsi="Arial" w:cs="Arial"/>
          <w:sz w:val="24"/>
          <w:szCs w:val="24"/>
        </w:rPr>
        <w:t xml:space="preserve"> and ATLİ</w:t>
      </w:r>
      <w:r>
        <w:rPr>
          <w:rFonts w:ascii="Arial" w:hAnsi="Arial" w:cs="Arial"/>
          <w:sz w:val="24"/>
          <w:szCs w:val="24"/>
        </w:rPr>
        <w:t xml:space="preserve">, M.H. (2019) </w:t>
      </w:r>
      <w:r w:rsidRPr="00C06BD0">
        <w:rPr>
          <w:rFonts w:ascii="Arial" w:hAnsi="Arial" w:cs="Arial"/>
          <w:sz w:val="24"/>
          <w:szCs w:val="24"/>
        </w:rPr>
        <w:t>’Multilingualism and a Multilingual brain’</w:t>
      </w:r>
      <w:r>
        <w:rPr>
          <w:rFonts w:ascii="Arial" w:hAnsi="Arial" w:cs="Arial"/>
          <w:sz w:val="24"/>
          <w:szCs w:val="24"/>
        </w:rPr>
        <w:t xml:space="preserve"> </w:t>
      </w:r>
      <w:r>
        <w:rPr>
          <w:rFonts w:ascii="Arial" w:hAnsi="Arial" w:cs="Arial"/>
          <w:i/>
          <w:iCs/>
          <w:sz w:val="24"/>
          <w:szCs w:val="24"/>
        </w:rPr>
        <w:t xml:space="preserve">International Journal of Language. </w:t>
      </w:r>
      <w:r>
        <w:rPr>
          <w:rFonts w:ascii="Arial" w:hAnsi="Arial" w:cs="Arial"/>
          <w:sz w:val="24"/>
          <w:szCs w:val="24"/>
        </w:rPr>
        <w:t xml:space="preserve">7(3), pp. 554-571 Available at: </w:t>
      </w:r>
      <w:hyperlink r:id="rId10" w:history="1">
        <w:r w:rsidRPr="00E457B4">
          <w:rPr>
            <w:rStyle w:val="Hyperlink"/>
            <w:rFonts w:ascii="Arial" w:hAnsi="Arial" w:cs="Arial"/>
            <w:sz w:val="24"/>
            <w:szCs w:val="24"/>
          </w:rPr>
          <w:t>https://d1wqtxts1xzle7.cloudfront.net/101095359/3787295f-b92f-404b-bff7-2709bac2b66a-libre.pdf?1681545774=&amp;response-content-disposition=inline%3B+filename%3DCokdillilik_ve_Cokdilli_Beyin.pdf&amp;Expires=1742984541&amp;Signature=Yl5hMRY2YXvPtmmGAgS6EFeO2gg91ufWHfHxFNYCjW0~M4sXX8iv-biWCuazS-HeqUV2nhBzV8t7~oWK1BYu1uRuyXU8otH8bH7e7ngeE5kIF3o~duvs1C407ytcSq7En-H6jOI~f8XpNR~S2E-FfNFAJMwmDUrZTCRzdHFWdOuuTEhaO~fg9WEpAj6rBJ3SNduddLfJVyXiZFlRlE4hcGIZAXSfOwrDLL9j0c-LjTTY~UUX7fBYpVBRvOqrHYukybUEjh5~gpe4LcFZRmJSI1MLYvwtP-RomjLF~WhB-p0J6g2OIRh9Mo0p6gPTPfUUjDVN66YoWBh~DgCwy3b~3A__&amp;Key-Pair-Id=APKAJLOHF5GGSLRBV4ZA</w:t>
        </w:r>
      </w:hyperlink>
    </w:p>
    <w:p w14:paraId="391BA633" w14:textId="77777777" w:rsidR="00A06BE1" w:rsidRDefault="00A06BE1" w:rsidP="00684AA0">
      <w:pPr>
        <w:spacing w:line="360" w:lineRule="auto"/>
        <w:rPr>
          <w:rFonts w:ascii="Arial" w:hAnsi="Arial" w:cs="Arial"/>
          <w:color w:val="000000" w:themeColor="text1"/>
          <w:sz w:val="24"/>
          <w:szCs w:val="24"/>
        </w:rPr>
      </w:pPr>
      <w:hyperlink r:id="rId11" w:anchor="con1" w:history="1">
        <w:r w:rsidRPr="00E457B4">
          <w:rPr>
            <w:rStyle w:val="Hyperlink"/>
            <w:rFonts w:ascii="Arial" w:hAnsi="Arial" w:cs="Arial"/>
            <w:color w:val="000000" w:themeColor="text1"/>
            <w:sz w:val="24"/>
            <w:szCs w:val="24"/>
            <w:u w:val="none"/>
          </w:rPr>
          <w:t>Bialystok</w:t>
        </w:r>
      </w:hyperlink>
      <w:r>
        <w:rPr>
          <w:rFonts w:ascii="Arial" w:hAnsi="Arial" w:cs="Arial"/>
          <w:sz w:val="24"/>
          <w:szCs w:val="24"/>
        </w:rPr>
        <w:t>, E.</w:t>
      </w:r>
      <w:r w:rsidRPr="00E457B4">
        <w:rPr>
          <w:rFonts w:ascii="Arial" w:hAnsi="Arial" w:cs="Arial"/>
          <w:color w:val="000000" w:themeColor="text1"/>
          <w:sz w:val="24"/>
          <w:szCs w:val="24"/>
        </w:rPr>
        <w:t> and </w:t>
      </w:r>
      <w:hyperlink r:id="rId12" w:anchor="con2" w:history="1">
        <w:r w:rsidRPr="00E457B4">
          <w:rPr>
            <w:rStyle w:val="Hyperlink"/>
            <w:rFonts w:ascii="Arial" w:hAnsi="Arial" w:cs="Arial"/>
            <w:color w:val="000000" w:themeColor="text1"/>
            <w:sz w:val="24"/>
            <w:szCs w:val="24"/>
            <w:u w:val="none"/>
          </w:rPr>
          <w:t>Craik</w:t>
        </w:r>
      </w:hyperlink>
      <w:r>
        <w:rPr>
          <w:rFonts w:ascii="Arial" w:hAnsi="Arial" w:cs="Arial"/>
          <w:color w:val="000000" w:themeColor="text1"/>
          <w:sz w:val="24"/>
          <w:szCs w:val="24"/>
        </w:rPr>
        <w:t xml:space="preserve">, </w:t>
      </w:r>
      <w:r w:rsidRPr="001C3E36">
        <w:rPr>
          <w:rFonts w:ascii="Arial" w:hAnsi="Arial" w:cs="Arial"/>
          <w:color w:val="000000" w:themeColor="text1"/>
          <w:sz w:val="24"/>
          <w:szCs w:val="24"/>
        </w:rPr>
        <w:t>F</w:t>
      </w:r>
      <w:r>
        <w:rPr>
          <w:rFonts w:ascii="Arial" w:hAnsi="Arial" w:cs="Arial"/>
          <w:color w:val="000000" w:themeColor="text1"/>
          <w:sz w:val="24"/>
          <w:szCs w:val="24"/>
        </w:rPr>
        <w:t>.</w:t>
      </w:r>
      <w:r w:rsidRPr="001C3E36">
        <w:rPr>
          <w:rFonts w:ascii="Arial" w:hAnsi="Arial" w:cs="Arial"/>
          <w:color w:val="000000" w:themeColor="text1"/>
          <w:sz w:val="24"/>
          <w:szCs w:val="24"/>
        </w:rPr>
        <w:t>I.M. </w:t>
      </w:r>
      <w:r>
        <w:rPr>
          <w:rFonts w:ascii="Arial" w:hAnsi="Arial" w:cs="Arial"/>
          <w:color w:val="000000" w:themeColor="text1"/>
          <w:sz w:val="24"/>
          <w:szCs w:val="24"/>
        </w:rPr>
        <w:t xml:space="preserve">(2010) ‘Cognitive and Linguistic Processing in the Bilingual mind’, </w:t>
      </w:r>
      <w:r>
        <w:rPr>
          <w:rFonts w:ascii="Arial" w:hAnsi="Arial" w:cs="Arial"/>
          <w:i/>
          <w:iCs/>
          <w:color w:val="000000" w:themeColor="text1"/>
          <w:sz w:val="24"/>
          <w:szCs w:val="24"/>
        </w:rPr>
        <w:t>Sage Journals</w:t>
      </w:r>
      <w:r>
        <w:rPr>
          <w:rFonts w:ascii="Arial" w:hAnsi="Arial" w:cs="Arial"/>
          <w:color w:val="000000" w:themeColor="text1"/>
          <w:sz w:val="24"/>
          <w:szCs w:val="24"/>
        </w:rPr>
        <w:t xml:space="preserve">, 19(1), (no page range). Available at: </w:t>
      </w:r>
      <w:hyperlink r:id="rId13" w:history="1">
        <w:r w:rsidRPr="00D02C54">
          <w:rPr>
            <w:rStyle w:val="Hyperlink"/>
            <w:rFonts w:ascii="Arial" w:hAnsi="Arial" w:cs="Arial"/>
            <w:sz w:val="24"/>
            <w:szCs w:val="24"/>
          </w:rPr>
          <w:t>https://journals.sagepub.com/doi/10.1177/0963721409358571</w:t>
        </w:r>
      </w:hyperlink>
    </w:p>
    <w:p w14:paraId="74C3B715" w14:textId="77777777" w:rsidR="00A06BE1" w:rsidRPr="00E457B4" w:rsidRDefault="00A06BE1" w:rsidP="00684AA0">
      <w:pPr>
        <w:spacing w:line="360" w:lineRule="auto"/>
        <w:rPr>
          <w:rFonts w:ascii="Arial" w:hAnsi="Arial" w:cs="Arial"/>
          <w:sz w:val="24"/>
          <w:szCs w:val="24"/>
        </w:rPr>
      </w:pPr>
      <w:r w:rsidRPr="00E457B4">
        <w:rPr>
          <w:rFonts w:ascii="Arial" w:hAnsi="Arial" w:cs="Arial"/>
          <w:sz w:val="24"/>
          <w:szCs w:val="24"/>
          <w:lang w:val="en"/>
        </w:rPr>
        <w:br/>
      </w:r>
      <w:r w:rsidRPr="00E457B4">
        <w:rPr>
          <w:rFonts w:ascii="Arial" w:hAnsi="Arial" w:cs="Arial"/>
          <w:sz w:val="24"/>
          <w:szCs w:val="24"/>
        </w:rPr>
        <w:t>Bialystok, Ellen, and Janet F Werker. (2017)</w:t>
      </w:r>
      <w:r>
        <w:rPr>
          <w:rFonts w:ascii="Arial" w:hAnsi="Arial" w:cs="Arial"/>
          <w:sz w:val="24"/>
          <w:szCs w:val="24"/>
        </w:rPr>
        <w:t xml:space="preserve"> ‘</w:t>
      </w:r>
      <w:r w:rsidRPr="00E457B4">
        <w:rPr>
          <w:rFonts w:ascii="Arial" w:hAnsi="Arial" w:cs="Arial"/>
          <w:sz w:val="24"/>
          <w:szCs w:val="24"/>
        </w:rPr>
        <w:t xml:space="preserve">Editorial: The systematic effects of </w:t>
      </w:r>
      <w:r w:rsidRPr="00E457B4">
        <w:rPr>
          <w:rFonts w:ascii="Arial" w:hAnsi="Arial" w:cs="Arial"/>
          <w:sz w:val="24"/>
          <w:szCs w:val="24"/>
        </w:rPr>
        <w:lastRenderedPageBreak/>
        <w:t>bilingualism on children's development.</w:t>
      </w:r>
      <w:r>
        <w:rPr>
          <w:rFonts w:ascii="Arial" w:hAnsi="Arial" w:cs="Arial"/>
          <w:sz w:val="24"/>
          <w:szCs w:val="24"/>
        </w:rPr>
        <w:t>’</w:t>
      </w:r>
      <w:r w:rsidRPr="00E457B4">
        <w:rPr>
          <w:rFonts w:ascii="Arial" w:hAnsi="Arial" w:cs="Arial"/>
          <w:sz w:val="24"/>
          <w:szCs w:val="24"/>
        </w:rPr>
        <w:t> </w:t>
      </w:r>
      <w:r w:rsidRPr="00E457B4">
        <w:rPr>
          <w:rFonts w:ascii="Arial" w:hAnsi="Arial" w:cs="Arial"/>
          <w:i/>
          <w:iCs/>
          <w:sz w:val="24"/>
          <w:szCs w:val="24"/>
        </w:rPr>
        <w:t>Developmental science</w:t>
      </w:r>
      <w:r>
        <w:rPr>
          <w:rFonts w:ascii="Arial" w:hAnsi="Arial" w:cs="Arial"/>
          <w:i/>
          <w:iCs/>
          <w:sz w:val="24"/>
          <w:szCs w:val="24"/>
        </w:rPr>
        <w:t>,</w:t>
      </w:r>
      <w:r w:rsidRPr="00E457B4">
        <w:rPr>
          <w:rFonts w:ascii="Arial" w:hAnsi="Arial" w:cs="Arial"/>
          <w:sz w:val="24"/>
          <w:szCs w:val="24"/>
        </w:rPr>
        <w:t> vol. 20</w:t>
      </w:r>
      <w:r>
        <w:rPr>
          <w:rFonts w:ascii="Arial" w:hAnsi="Arial" w:cs="Arial"/>
          <w:sz w:val="24"/>
          <w:szCs w:val="24"/>
        </w:rPr>
        <w:t>(</w:t>
      </w:r>
      <w:r w:rsidRPr="00E457B4">
        <w:rPr>
          <w:rFonts w:ascii="Arial" w:hAnsi="Arial" w:cs="Arial"/>
          <w:sz w:val="24"/>
          <w:szCs w:val="24"/>
        </w:rPr>
        <w:t>1</w:t>
      </w:r>
      <w:r>
        <w:rPr>
          <w:rFonts w:ascii="Arial" w:hAnsi="Arial" w:cs="Arial"/>
          <w:sz w:val="24"/>
          <w:szCs w:val="24"/>
        </w:rPr>
        <w:t xml:space="preserve">), 10-1111. Available at: </w:t>
      </w:r>
      <w:hyperlink r:id="rId14" w:history="1">
        <w:r w:rsidRPr="00D02C54">
          <w:rPr>
            <w:rStyle w:val="Hyperlink"/>
            <w:rFonts w:ascii="Arial" w:hAnsi="Arial" w:cs="Arial"/>
            <w:sz w:val="24"/>
            <w:szCs w:val="24"/>
          </w:rPr>
          <w:t>https://pubmed.ncbi.nlm.nih.gov/28032441/</w:t>
        </w:r>
      </w:hyperlink>
    </w:p>
    <w:p w14:paraId="1353A88D" w14:textId="77777777" w:rsidR="00A06BE1" w:rsidRPr="00E457B4" w:rsidRDefault="00A06BE1" w:rsidP="00684AA0">
      <w:pPr>
        <w:spacing w:line="360" w:lineRule="auto"/>
        <w:rPr>
          <w:rFonts w:ascii="Arial" w:hAnsi="Arial" w:cs="Arial"/>
          <w:sz w:val="24"/>
          <w:szCs w:val="24"/>
        </w:rPr>
      </w:pPr>
      <w:r w:rsidRPr="00E457B4">
        <w:rPr>
          <w:rFonts w:ascii="Arial" w:hAnsi="Arial" w:cs="Arial"/>
          <w:sz w:val="24"/>
          <w:szCs w:val="24"/>
        </w:rPr>
        <w:t>Crolla,</w:t>
      </w:r>
      <w:r>
        <w:rPr>
          <w:rFonts w:ascii="Arial" w:hAnsi="Arial" w:cs="Arial"/>
          <w:sz w:val="24"/>
          <w:szCs w:val="24"/>
        </w:rPr>
        <w:t xml:space="preserve"> C. and</w:t>
      </w:r>
      <w:r w:rsidRPr="00E457B4">
        <w:rPr>
          <w:rFonts w:ascii="Arial" w:hAnsi="Arial" w:cs="Arial"/>
          <w:sz w:val="24"/>
          <w:szCs w:val="24"/>
        </w:rPr>
        <w:t xml:space="preserve"> Treffers-Daller</w:t>
      </w:r>
      <w:r>
        <w:rPr>
          <w:rFonts w:ascii="Arial" w:hAnsi="Arial" w:cs="Arial"/>
          <w:sz w:val="24"/>
          <w:szCs w:val="24"/>
        </w:rPr>
        <w:t xml:space="preserve">, </w:t>
      </w:r>
      <w:r w:rsidRPr="00E457B4">
        <w:rPr>
          <w:rFonts w:ascii="Arial" w:hAnsi="Arial" w:cs="Arial"/>
          <w:sz w:val="24"/>
          <w:szCs w:val="24"/>
        </w:rPr>
        <w:t>J</w:t>
      </w:r>
      <w:r>
        <w:rPr>
          <w:rFonts w:ascii="Arial" w:hAnsi="Arial" w:cs="Arial"/>
          <w:sz w:val="24"/>
          <w:szCs w:val="24"/>
        </w:rPr>
        <w:t xml:space="preserve">. (2017) </w:t>
      </w:r>
      <w:r>
        <w:rPr>
          <w:rFonts w:ascii="Arial" w:hAnsi="Arial" w:cs="Arial"/>
          <w:i/>
          <w:iCs/>
          <w:sz w:val="24"/>
          <w:szCs w:val="24"/>
        </w:rPr>
        <w:t>A guide to supporting EAL Learners.</w:t>
      </w:r>
      <w:r>
        <w:rPr>
          <w:rFonts w:ascii="Arial" w:hAnsi="Arial" w:cs="Arial"/>
          <w:sz w:val="24"/>
          <w:szCs w:val="24"/>
        </w:rPr>
        <w:t xml:space="preserve"> Oxford: Oxford Owl Publications.</w:t>
      </w:r>
    </w:p>
    <w:p w14:paraId="0B75EFE2"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Dorfman,</w:t>
      </w:r>
      <w:r>
        <w:rPr>
          <w:rFonts w:ascii="Arial" w:hAnsi="Arial" w:cs="Arial"/>
          <w:sz w:val="24"/>
          <w:szCs w:val="24"/>
        </w:rPr>
        <w:t xml:space="preserve"> L. and</w:t>
      </w:r>
      <w:r w:rsidRPr="00E457B4">
        <w:rPr>
          <w:rFonts w:ascii="Arial" w:hAnsi="Arial" w:cs="Arial"/>
          <w:sz w:val="24"/>
          <w:szCs w:val="24"/>
        </w:rPr>
        <w:t xml:space="preserve"> Gassimova.</w:t>
      </w:r>
      <w:r>
        <w:rPr>
          <w:rFonts w:ascii="Arial" w:hAnsi="Arial" w:cs="Arial"/>
          <w:sz w:val="24"/>
          <w:szCs w:val="24"/>
        </w:rPr>
        <w:t xml:space="preserve"> V. (2017) ‘A variation account of divergent thinking’, </w:t>
      </w:r>
      <w:r>
        <w:rPr>
          <w:rFonts w:ascii="Arial" w:hAnsi="Arial" w:cs="Arial"/>
          <w:i/>
          <w:iCs/>
          <w:sz w:val="24"/>
          <w:szCs w:val="24"/>
        </w:rPr>
        <w:t xml:space="preserve">Journal of Literature and Art Studies, </w:t>
      </w:r>
      <w:r>
        <w:rPr>
          <w:rFonts w:ascii="Arial" w:hAnsi="Arial" w:cs="Arial"/>
          <w:sz w:val="24"/>
          <w:szCs w:val="24"/>
        </w:rPr>
        <w:t xml:space="preserve">7(8), pp. 1039-1053. Available at: </w:t>
      </w:r>
      <w:hyperlink r:id="rId15" w:history="1">
        <w:r w:rsidRPr="00D02C54">
          <w:rPr>
            <w:rStyle w:val="Hyperlink"/>
            <w:rFonts w:ascii="Arial" w:hAnsi="Arial" w:cs="Arial"/>
            <w:sz w:val="24"/>
            <w:szCs w:val="24"/>
          </w:rPr>
          <w:t>https://www.davidpublisher.com/index.php/Home/Article/index?id=31556.html</w:t>
        </w:r>
      </w:hyperlink>
    </w:p>
    <w:p w14:paraId="46806F97" w14:textId="77777777" w:rsidR="00A06BE1" w:rsidRPr="00E457B4" w:rsidRDefault="00A06BE1" w:rsidP="00684AA0">
      <w:pPr>
        <w:spacing w:line="360" w:lineRule="auto"/>
        <w:rPr>
          <w:rFonts w:ascii="Arial" w:hAnsi="Arial" w:cs="Arial"/>
          <w:sz w:val="24"/>
          <w:szCs w:val="24"/>
        </w:rPr>
      </w:pPr>
      <w:r w:rsidRPr="00E457B4">
        <w:rPr>
          <w:rFonts w:ascii="Arial" w:hAnsi="Arial" w:cs="Arial"/>
          <w:sz w:val="24"/>
          <w:szCs w:val="24"/>
        </w:rPr>
        <w:t>Farhan,</w:t>
      </w:r>
      <w:r>
        <w:rPr>
          <w:rFonts w:ascii="Arial" w:hAnsi="Arial" w:cs="Arial"/>
          <w:sz w:val="24"/>
          <w:szCs w:val="24"/>
        </w:rPr>
        <w:t xml:space="preserve"> R. (2019) ‘The benefits of Bilingualism’ </w:t>
      </w:r>
      <w:r>
        <w:rPr>
          <w:rFonts w:ascii="Arial" w:hAnsi="Arial" w:cs="Arial"/>
          <w:i/>
          <w:iCs/>
          <w:sz w:val="24"/>
          <w:szCs w:val="24"/>
        </w:rPr>
        <w:t>Learning to teach language, arts, Mathematics, science and social studies through research and practice</w:t>
      </w:r>
      <w:r>
        <w:rPr>
          <w:rFonts w:ascii="Arial" w:hAnsi="Arial" w:cs="Arial"/>
          <w:sz w:val="24"/>
          <w:szCs w:val="24"/>
        </w:rPr>
        <w:t xml:space="preserve">, (8)1, Available at: </w:t>
      </w:r>
      <w:hyperlink r:id="rId16" w:history="1">
        <w:r w:rsidRPr="00E457B4">
          <w:rPr>
            <w:rStyle w:val="Hyperlink"/>
            <w:rFonts w:ascii="Arial" w:hAnsi="Arial" w:cs="Arial"/>
            <w:sz w:val="24"/>
            <w:szCs w:val="24"/>
          </w:rPr>
          <w:t>https://openjournals.utoledo.edu/index.php/learningtoteach/article/view/289/163</w:t>
        </w:r>
      </w:hyperlink>
    </w:p>
    <w:p w14:paraId="4845E06D"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Fürst, G. and Grin, F. (2017) ‘Multilingualism and creativity: a multivariate approach’, </w:t>
      </w:r>
      <w:r w:rsidRPr="00E457B4">
        <w:rPr>
          <w:rFonts w:ascii="Arial" w:hAnsi="Arial" w:cs="Arial"/>
          <w:i/>
          <w:iCs/>
          <w:sz w:val="24"/>
          <w:szCs w:val="24"/>
        </w:rPr>
        <w:t>Journal of Multilingual and Multicultural Development</w:t>
      </w:r>
      <w:r w:rsidRPr="00E457B4">
        <w:rPr>
          <w:rFonts w:ascii="Arial" w:hAnsi="Arial" w:cs="Arial"/>
          <w:sz w:val="24"/>
          <w:szCs w:val="24"/>
        </w:rPr>
        <w:t xml:space="preserve">, 39(4), pp. 341–355. </w:t>
      </w:r>
      <w:r>
        <w:rPr>
          <w:rFonts w:ascii="Arial" w:hAnsi="Arial" w:cs="Arial"/>
          <w:sz w:val="24"/>
          <w:szCs w:val="24"/>
        </w:rPr>
        <w:t xml:space="preserve">Available at: </w:t>
      </w:r>
      <w:hyperlink r:id="rId17" w:anchor="abstract" w:history="1">
        <w:r w:rsidRPr="00E457B4">
          <w:rPr>
            <w:rStyle w:val="Hyperlink"/>
            <w:rFonts w:ascii="Arial" w:hAnsi="Arial" w:cs="Arial"/>
            <w:sz w:val="24"/>
            <w:szCs w:val="24"/>
          </w:rPr>
          <w:t>https://www.tandfonline.com/doi/full/10.1080/01434632.2017.1389948?casa_token=QxlAnMVCrnEAAAAA%3A03Qd6zrzVksBEml6M_R1Zj67Dpy8Ql9U53wqzIqadok_ypun1_RU-_WurLjthU1OheBo3jJ6lg#abstract</w:t>
        </w:r>
      </w:hyperlink>
    </w:p>
    <w:p w14:paraId="3BBF9701" w14:textId="77777777" w:rsidR="00A06BE1" w:rsidRDefault="00A06BE1" w:rsidP="00684AA0">
      <w:pPr>
        <w:spacing w:line="360" w:lineRule="auto"/>
        <w:rPr>
          <w:rFonts w:ascii="Arial" w:hAnsi="Arial" w:cs="Arial"/>
          <w:i/>
          <w:iCs/>
          <w:sz w:val="24"/>
          <w:szCs w:val="24"/>
        </w:rPr>
      </w:pPr>
      <w:r w:rsidRPr="00E457B4">
        <w:rPr>
          <w:rFonts w:ascii="Arial" w:hAnsi="Arial" w:cs="Arial"/>
          <w:sz w:val="24"/>
          <w:szCs w:val="24"/>
        </w:rPr>
        <w:t>Heller</w:t>
      </w:r>
      <w:r>
        <w:rPr>
          <w:rFonts w:ascii="Arial" w:hAnsi="Arial" w:cs="Arial"/>
          <w:sz w:val="24"/>
          <w:szCs w:val="24"/>
        </w:rPr>
        <w:t xml:space="preserve">, M.C (2020) </w:t>
      </w:r>
      <w:r w:rsidRPr="00700B19">
        <w:rPr>
          <w:rFonts w:ascii="Arial" w:hAnsi="Arial" w:cs="Arial"/>
          <w:i/>
          <w:iCs/>
          <w:sz w:val="24"/>
          <w:szCs w:val="24"/>
        </w:rPr>
        <w:t>Supporting second language learning in the early elementary years: A research practitioner approach.</w:t>
      </w:r>
      <w:r>
        <w:rPr>
          <w:rFonts w:ascii="Arial" w:hAnsi="Arial" w:cs="Arial"/>
          <w:i/>
          <w:iCs/>
          <w:sz w:val="24"/>
          <w:szCs w:val="24"/>
        </w:rPr>
        <w:t xml:space="preserve"> </w:t>
      </w:r>
      <w:r w:rsidRPr="00016191">
        <w:rPr>
          <w:rFonts w:ascii="Arial" w:hAnsi="Arial" w:cs="Arial"/>
          <w:sz w:val="24"/>
          <w:szCs w:val="24"/>
        </w:rPr>
        <w:t>Oslo: University of Oslo.</w:t>
      </w:r>
      <w:r>
        <w:rPr>
          <w:rFonts w:ascii="Arial" w:hAnsi="Arial" w:cs="Arial"/>
          <w:i/>
          <w:iCs/>
          <w:sz w:val="24"/>
          <w:szCs w:val="24"/>
        </w:rPr>
        <w:t xml:space="preserve"> </w:t>
      </w:r>
    </w:p>
    <w:p w14:paraId="4010E04C" w14:textId="77777777" w:rsidR="00A06BE1" w:rsidRPr="00E457B4" w:rsidRDefault="00A06BE1" w:rsidP="00684AA0">
      <w:pPr>
        <w:spacing w:line="360" w:lineRule="auto"/>
        <w:rPr>
          <w:rFonts w:ascii="Arial" w:hAnsi="Arial" w:cs="Arial"/>
          <w:sz w:val="24"/>
          <w:szCs w:val="24"/>
        </w:rPr>
      </w:pPr>
      <w:hyperlink r:id="rId18" w:history="1">
        <w:r w:rsidRPr="00E457B4">
          <w:rPr>
            <w:rStyle w:val="Hyperlink"/>
            <w:rFonts w:ascii="Arial" w:hAnsi="Arial" w:cs="Arial"/>
            <w:sz w:val="24"/>
            <w:szCs w:val="24"/>
          </w:rPr>
          <w:t>https://davidpublisher.com/Public/uploads/Contribute/5943344a0b71b.pdf</w:t>
        </w:r>
      </w:hyperlink>
    </w:p>
    <w:p w14:paraId="6279A2C4" w14:textId="77777777" w:rsidR="00A06BE1" w:rsidRPr="00E457B4" w:rsidRDefault="00A06BE1" w:rsidP="00684AA0">
      <w:pPr>
        <w:spacing w:line="360" w:lineRule="auto"/>
        <w:rPr>
          <w:rFonts w:ascii="Arial" w:hAnsi="Arial" w:cs="Arial"/>
          <w:sz w:val="24"/>
          <w:szCs w:val="24"/>
        </w:rPr>
      </w:pPr>
      <w:hyperlink r:id="rId19" w:history="1">
        <w:r w:rsidRPr="00E457B4">
          <w:rPr>
            <w:rStyle w:val="Hyperlink"/>
            <w:rFonts w:ascii="Arial" w:hAnsi="Arial" w:cs="Arial"/>
            <w:sz w:val="24"/>
            <w:szCs w:val="24"/>
          </w:rPr>
          <w:t>https://openjournals.utoledo.edu/index.php/learningtoteach/article/view/289/163</w:t>
        </w:r>
      </w:hyperlink>
    </w:p>
    <w:p w14:paraId="6F662D44" w14:textId="77777777" w:rsidR="00A06BE1" w:rsidRPr="00E457B4" w:rsidRDefault="00A06BE1" w:rsidP="00684AA0">
      <w:pPr>
        <w:spacing w:line="360" w:lineRule="auto"/>
        <w:rPr>
          <w:rFonts w:ascii="Arial" w:hAnsi="Arial" w:cs="Arial"/>
          <w:sz w:val="24"/>
          <w:szCs w:val="24"/>
        </w:rPr>
      </w:pPr>
      <w:hyperlink r:id="rId20" w:history="1">
        <w:r w:rsidRPr="00E457B4">
          <w:rPr>
            <w:rStyle w:val="Hyperlink"/>
            <w:rFonts w:ascii="Arial" w:hAnsi="Arial" w:cs="Arial"/>
            <w:sz w:val="24"/>
            <w:szCs w:val="24"/>
          </w:rPr>
          <w:t>https://psycnet.apa.org/fulltext/2014-55719-001.html</w:t>
        </w:r>
      </w:hyperlink>
    </w:p>
    <w:p w14:paraId="3DE37168" w14:textId="77777777" w:rsidR="00A06BE1" w:rsidRPr="00E457B4" w:rsidRDefault="00A06BE1" w:rsidP="00684AA0">
      <w:pPr>
        <w:spacing w:line="360" w:lineRule="auto"/>
        <w:rPr>
          <w:rFonts w:ascii="Arial" w:hAnsi="Arial" w:cs="Arial"/>
          <w:sz w:val="24"/>
          <w:szCs w:val="24"/>
          <w:lang w:val="en"/>
        </w:rPr>
      </w:pPr>
      <w:r w:rsidRPr="00E457B4">
        <w:rPr>
          <w:rFonts w:ascii="Arial" w:hAnsi="Arial" w:cs="Arial"/>
          <w:sz w:val="24"/>
          <w:szCs w:val="24"/>
          <w:lang w:val="en"/>
        </w:rPr>
        <w:t>https://www.researchgate.net/profile/Oliver-Tekyi-Arhin/publication/369065583_The_benefits_of_bilingualism_in_early_childhood_education/links/64081921b1704f343fb1f71b/The-benefits-of-bilingualism-in-early-childhood-education?__cf_chl_tk=_TArDb.zJlyctHm2vBkoI5zeAWkJk.rpRKUJ8sm3ep0-1742209695-1.0.1.1-Eq2k1A5ChaksF.63Rp.25tYE0r2JSWGTaIWYBPE7EE8</w:t>
      </w:r>
    </w:p>
    <w:p w14:paraId="5982653E" w14:textId="77777777" w:rsidR="00A06BE1" w:rsidRPr="00E457B4" w:rsidRDefault="00A06BE1" w:rsidP="00684AA0">
      <w:pPr>
        <w:spacing w:line="360" w:lineRule="auto"/>
        <w:rPr>
          <w:rFonts w:ascii="Arial" w:hAnsi="Arial" w:cs="Arial"/>
          <w:sz w:val="24"/>
          <w:szCs w:val="24"/>
        </w:rPr>
      </w:pPr>
      <w:hyperlink r:id="rId21" w:anchor="d1e196" w:history="1">
        <w:r w:rsidRPr="00E457B4">
          <w:rPr>
            <w:rStyle w:val="Hyperlink"/>
            <w:rFonts w:ascii="Arial" w:hAnsi="Arial" w:cs="Arial"/>
            <w:sz w:val="24"/>
            <w:szCs w:val="24"/>
          </w:rPr>
          <w:t>https://www.tandfonline.com/doi/full/10.1080/07908318.2015.1103250?casa_token=iX3yE2n4_j4AAAAA%3AxUbfTMfNAxJ3L-</w:t>
        </w:r>
        <w:r w:rsidRPr="00E457B4">
          <w:rPr>
            <w:rStyle w:val="Hyperlink"/>
            <w:rFonts w:ascii="Arial" w:hAnsi="Arial" w:cs="Arial"/>
            <w:sz w:val="24"/>
            <w:szCs w:val="24"/>
          </w:rPr>
          <w:lastRenderedPageBreak/>
          <w:t>GEkZHgR8Bc8sv9E7lWiWLx2luLG3UBUY91NkjtE-8LQ-Kg_wzhFFKSWrSUjA#d1e196</w:t>
        </w:r>
      </w:hyperlink>
    </w:p>
    <w:p w14:paraId="7A72D9C8" w14:textId="77777777" w:rsidR="00A06BE1" w:rsidRPr="002A1324" w:rsidRDefault="00A06BE1" w:rsidP="00684AA0">
      <w:pPr>
        <w:spacing w:line="360" w:lineRule="auto"/>
        <w:rPr>
          <w:rFonts w:ascii="Arial" w:hAnsi="Arial" w:cs="Arial"/>
          <w:sz w:val="24"/>
          <w:szCs w:val="24"/>
        </w:rPr>
      </w:pPr>
      <w:r w:rsidRPr="00E457B4">
        <w:rPr>
          <w:rFonts w:ascii="Arial" w:hAnsi="Arial" w:cs="Arial"/>
          <w:sz w:val="24"/>
          <w:szCs w:val="24"/>
        </w:rPr>
        <w:t>Kroll</w:t>
      </w:r>
      <w:r>
        <w:rPr>
          <w:rFonts w:ascii="Arial" w:hAnsi="Arial" w:cs="Arial"/>
          <w:sz w:val="24"/>
          <w:szCs w:val="24"/>
        </w:rPr>
        <w:t>,</w:t>
      </w:r>
      <w:r w:rsidRPr="00E457B4">
        <w:rPr>
          <w:rFonts w:ascii="Arial" w:hAnsi="Arial" w:cs="Arial"/>
          <w:sz w:val="24"/>
          <w:szCs w:val="24"/>
        </w:rPr>
        <w:t xml:space="preserve"> J</w:t>
      </w:r>
      <w:r>
        <w:rPr>
          <w:rFonts w:ascii="Arial" w:hAnsi="Arial" w:cs="Arial"/>
          <w:sz w:val="24"/>
          <w:szCs w:val="24"/>
        </w:rPr>
        <w:t>.</w:t>
      </w:r>
      <w:r w:rsidRPr="00E457B4">
        <w:rPr>
          <w:rFonts w:ascii="Arial" w:hAnsi="Arial" w:cs="Arial"/>
          <w:sz w:val="24"/>
          <w:szCs w:val="24"/>
        </w:rPr>
        <w:t>F</w:t>
      </w:r>
      <w:r>
        <w:rPr>
          <w:rFonts w:ascii="Arial" w:hAnsi="Arial" w:cs="Arial"/>
          <w:sz w:val="24"/>
          <w:szCs w:val="24"/>
        </w:rPr>
        <w:t>.</w:t>
      </w:r>
      <w:r w:rsidRPr="00E457B4">
        <w:rPr>
          <w:rFonts w:ascii="Arial" w:hAnsi="Arial" w:cs="Arial"/>
          <w:sz w:val="24"/>
          <w:szCs w:val="24"/>
        </w:rPr>
        <w:t xml:space="preserve"> and Groot</w:t>
      </w:r>
      <w:r>
        <w:rPr>
          <w:rFonts w:ascii="Arial" w:hAnsi="Arial" w:cs="Arial"/>
          <w:sz w:val="24"/>
          <w:szCs w:val="24"/>
        </w:rPr>
        <w:t xml:space="preserve">, </w:t>
      </w:r>
      <w:r w:rsidRPr="00E457B4">
        <w:rPr>
          <w:rFonts w:ascii="Arial" w:hAnsi="Arial" w:cs="Arial"/>
          <w:sz w:val="24"/>
          <w:szCs w:val="24"/>
        </w:rPr>
        <w:t>E</w:t>
      </w:r>
      <w:r>
        <w:rPr>
          <w:rFonts w:ascii="Arial" w:hAnsi="Arial" w:cs="Arial"/>
          <w:sz w:val="24"/>
          <w:szCs w:val="24"/>
        </w:rPr>
        <w:t>.</w:t>
      </w:r>
      <w:r w:rsidRPr="00E457B4">
        <w:rPr>
          <w:rFonts w:ascii="Arial" w:hAnsi="Arial" w:cs="Arial"/>
          <w:sz w:val="24"/>
          <w:szCs w:val="24"/>
        </w:rPr>
        <w:t>M</w:t>
      </w:r>
      <w:r>
        <w:rPr>
          <w:rFonts w:ascii="Arial" w:hAnsi="Arial" w:cs="Arial"/>
          <w:sz w:val="24"/>
          <w:szCs w:val="24"/>
        </w:rPr>
        <w:t>.</w:t>
      </w:r>
      <w:r w:rsidRPr="00E457B4">
        <w:rPr>
          <w:rFonts w:ascii="Arial" w:hAnsi="Arial" w:cs="Arial"/>
          <w:sz w:val="24"/>
          <w:szCs w:val="24"/>
        </w:rPr>
        <w:t>B</w:t>
      </w:r>
      <w:r>
        <w:rPr>
          <w:rFonts w:ascii="Arial" w:hAnsi="Arial" w:cs="Arial"/>
          <w:sz w:val="24"/>
          <w:szCs w:val="24"/>
        </w:rPr>
        <w:t>.</w:t>
      </w:r>
      <w:r w:rsidRPr="00E457B4">
        <w:rPr>
          <w:rFonts w:ascii="Arial" w:hAnsi="Arial" w:cs="Arial"/>
          <w:sz w:val="24"/>
          <w:szCs w:val="24"/>
        </w:rPr>
        <w:t>D</w:t>
      </w:r>
      <w:r>
        <w:rPr>
          <w:rFonts w:ascii="Arial" w:hAnsi="Arial" w:cs="Arial"/>
          <w:sz w:val="24"/>
          <w:szCs w:val="24"/>
        </w:rPr>
        <w:t xml:space="preserve">. (2005) </w:t>
      </w:r>
      <w:r w:rsidRPr="007108C2">
        <w:rPr>
          <w:rFonts w:ascii="Arial" w:hAnsi="Arial" w:cs="Arial"/>
          <w:i/>
          <w:iCs/>
          <w:sz w:val="24"/>
          <w:szCs w:val="24"/>
        </w:rPr>
        <w:t>Handbook of Bilingualism. Psycholinguistics approach.</w:t>
      </w:r>
      <w:r>
        <w:rPr>
          <w:rFonts w:ascii="Arial" w:hAnsi="Arial" w:cs="Arial"/>
          <w:i/>
          <w:iCs/>
          <w:sz w:val="24"/>
          <w:szCs w:val="24"/>
        </w:rPr>
        <w:t xml:space="preserve"> </w:t>
      </w:r>
      <w:r>
        <w:rPr>
          <w:rFonts w:ascii="Arial" w:hAnsi="Arial" w:cs="Arial"/>
          <w:sz w:val="24"/>
          <w:szCs w:val="24"/>
        </w:rPr>
        <w:t>Oxford:</w:t>
      </w:r>
      <w:r w:rsidRPr="007108C2">
        <w:rPr>
          <w:rFonts w:ascii="Arial" w:hAnsi="Arial" w:cs="Arial"/>
          <w:i/>
          <w:iCs/>
          <w:sz w:val="24"/>
          <w:szCs w:val="24"/>
        </w:rPr>
        <w:t xml:space="preserve"> </w:t>
      </w:r>
      <w:r>
        <w:rPr>
          <w:rFonts w:ascii="Arial" w:hAnsi="Arial" w:cs="Arial"/>
          <w:i/>
          <w:iCs/>
          <w:sz w:val="24"/>
          <w:szCs w:val="24"/>
        </w:rPr>
        <w:t xml:space="preserve">Oxford University Press. </w:t>
      </w:r>
    </w:p>
    <w:p w14:paraId="2319BAD4"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Reese, H. W. (2011). The learning-by-doing principle.</w:t>
      </w:r>
      <w:r w:rsidRPr="00E457B4">
        <w:rPr>
          <w:rFonts w:ascii="Arial" w:hAnsi="Arial" w:cs="Arial"/>
          <w:i/>
          <w:iCs/>
          <w:sz w:val="24"/>
          <w:szCs w:val="24"/>
        </w:rPr>
        <w:t xml:space="preserve">Behavioral Development Bulletin, </w:t>
      </w:r>
      <w:r w:rsidRPr="001864C8">
        <w:rPr>
          <w:rFonts w:ascii="Arial" w:hAnsi="Arial" w:cs="Arial"/>
          <w:sz w:val="24"/>
          <w:szCs w:val="24"/>
        </w:rPr>
        <w:t>17(1),</w:t>
      </w:r>
      <w:r w:rsidRPr="00E457B4">
        <w:rPr>
          <w:rFonts w:ascii="Arial" w:hAnsi="Arial" w:cs="Arial"/>
          <w:sz w:val="24"/>
          <w:szCs w:val="24"/>
        </w:rPr>
        <w:t xml:space="preserve"> 1–19. </w:t>
      </w:r>
      <w:r>
        <w:rPr>
          <w:rFonts w:ascii="Arial" w:hAnsi="Arial" w:cs="Arial"/>
          <w:sz w:val="24"/>
          <w:szCs w:val="24"/>
        </w:rPr>
        <w:t xml:space="preserve">Available at: </w:t>
      </w:r>
      <w:hyperlink r:id="rId22" w:history="1">
        <w:r w:rsidRPr="00D02C54">
          <w:rPr>
            <w:rStyle w:val="Hyperlink"/>
            <w:rFonts w:ascii="Arial" w:hAnsi="Arial" w:cs="Arial"/>
            <w:sz w:val="24"/>
            <w:szCs w:val="24"/>
          </w:rPr>
          <w:t>https://psycnet.apa.org/fulltext/2014-55719-001.html</w:t>
        </w:r>
      </w:hyperlink>
    </w:p>
    <w:p w14:paraId="2D212385"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Schwartz, M. </w:t>
      </w:r>
      <w:r>
        <w:rPr>
          <w:rFonts w:ascii="Arial" w:hAnsi="Arial" w:cs="Arial"/>
          <w:i/>
          <w:iCs/>
          <w:sz w:val="24"/>
          <w:szCs w:val="24"/>
        </w:rPr>
        <w:t>Koh, P.W. Chen, B.X. Sinke, M. and Geva, E.</w:t>
      </w:r>
      <w:r w:rsidRPr="00E457B4">
        <w:rPr>
          <w:rFonts w:ascii="Arial" w:hAnsi="Arial" w:cs="Arial"/>
          <w:sz w:val="24"/>
          <w:szCs w:val="24"/>
        </w:rPr>
        <w:t xml:space="preserve"> (2015) ‘Through the lens of teachers in two bilingual programmes: a look at early bilingual education’, </w:t>
      </w:r>
      <w:r w:rsidRPr="00E457B4">
        <w:rPr>
          <w:rFonts w:ascii="Arial" w:hAnsi="Arial" w:cs="Arial"/>
          <w:i/>
          <w:iCs/>
          <w:sz w:val="24"/>
          <w:szCs w:val="24"/>
        </w:rPr>
        <w:t>Language, Culture and Curriculum</w:t>
      </w:r>
      <w:r w:rsidRPr="00E457B4">
        <w:rPr>
          <w:rFonts w:ascii="Arial" w:hAnsi="Arial" w:cs="Arial"/>
          <w:sz w:val="24"/>
          <w:szCs w:val="24"/>
        </w:rPr>
        <w:t xml:space="preserve">, 29(2), pp. 141–168. </w:t>
      </w:r>
      <w:r>
        <w:rPr>
          <w:rFonts w:ascii="Arial" w:hAnsi="Arial" w:cs="Arial"/>
          <w:sz w:val="24"/>
          <w:szCs w:val="24"/>
        </w:rPr>
        <w:t xml:space="preserve">Available at: </w:t>
      </w:r>
      <w:hyperlink r:id="rId23" w:history="1">
        <w:r w:rsidRPr="00D02C54">
          <w:rPr>
            <w:rStyle w:val="Hyperlink"/>
            <w:rFonts w:ascii="Arial" w:hAnsi="Arial" w:cs="Arial"/>
            <w:sz w:val="24"/>
            <w:szCs w:val="24"/>
          </w:rPr>
          <w:t>https://www.tandfonline.com/doi/abs/10.1080/07908318.2015.1103250</w:t>
        </w:r>
      </w:hyperlink>
    </w:p>
    <w:p w14:paraId="6B5C6A40" w14:textId="77777777" w:rsidR="00A06BE1" w:rsidRDefault="00A06BE1" w:rsidP="00684AA0">
      <w:pPr>
        <w:spacing w:line="360" w:lineRule="auto"/>
        <w:rPr>
          <w:rFonts w:ascii="Arial" w:hAnsi="Arial" w:cs="Arial"/>
          <w:sz w:val="24"/>
          <w:szCs w:val="24"/>
        </w:rPr>
      </w:pPr>
      <w:r w:rsidRPr="00E457B4">
        <w:rPr>
          <w:rFonts w:ascii="Arial" w:hAnsi="Arial" w:cs="Arial"/>
          <w:sz w:val="24"/>
          <w:szCs w:val="24"/>
        </w:rPr>
        <w:t>S</w:t>
      </w:r>
      <w:r>
        <w:rPr>
          <w:rFonts w:ascii="Arial" w:hAnsi="Arial" w:cs="Arial"/>
          <w:sz w:val="24"/>
          <w:szCs w:val="24"/>
        </w:rPr>
        <w:t>hanker, S.</w:t>
      </w:r>
      <w:r w:rsidRPr="00E457B4">
        <w:rPr>
          <w:rFonts w:ascii="Arial" w:hAnsi="Arial" w:cs="Arial"/>
          <w:sz w:val="24"/>
          <w:szCs w:val="24"/>
        </w:rPr>
        <w:t xml:space="preserve">G. </w:t>
      </w:r>
      <w:r>
        <w:rPr>
          <w:rFonts w:ascii="Arial" w:hAnsi="Arial" w:cs="Arial"/>
          <w:sz w:val="24"/>
          <w:szCs w:val="24"/>
        </w:rPr>
        <w:t>and</w:t>
      </w:r>
      <w:r w:rsidRPr="00E457B4">
        <w:rPr>
          <w:rFonts w:ascii="Arial" w:hAnsi="Arial" w:cs="Arial"/>
          <w:sz w:val="24"/>
          <w:szCs w:val="24"/>
        </w:rPr>
        <w:t xml:space="preserve"> Bakhurst</w:t>
      </w:r>
      <w:r>
        <w:rPr>
          <w:rFonts w:ascii="Arial" w:hAnsi="Arial" w:cs="Arial"/>
          <w:sz w:val="24"/>
          <w:szCs w:val="24"/>
        </w:rPr>
        <w:t>, D. (2001)</w:t>
      </w:r>
      <w:r w:rsidRPr="00E457B4">
        <w:rPr>
          <w:rFonts w:ascii="Arial" w:hAnsi="Arial" w:cs="Arial"/>
          <w:sz w:val="24"/>
          <w:szCs w:val="24"/>
        </w:rPr>
        <w:t xml:space="preserve"> </w:t>
      </w:r>
      <w:r w:rsidRPr="003F5827">
        <w:rPr>
          <w:rFonts w:ascii="Arial" w:hAnsi="Arial" w:cs="Arial"/>
          <w:i/>
          <w:iCs/>
          <w:sz w:val="24"/>
          <w:szCs w:val="24"/>
        </w:rPr>
        <w:t>Language, Culture and Self.</w:t>
      </w:r>
      <w:r w:rsidRPr="00E457B4">
        <w:rPr>
          <w:rFonts w:ascii="Arial" w:hAnsi="Arial" w:cs="Arial"/>
          <w:sz w:val="24"/>
          <w:szCs w:val="24"/>
        </w:rPr>
        <w:t xml:space="preserve"> London: Sage Publications</w:t>
      </w:r>
      <w:r>
        <w:rPr>
          <w:rFonts w:ascii="Arial" w:hAnsi="Arial" w:cs="Arial"/>
          <w:sz w:val="24"/>
          <w:szCs w:val="24"/>
        </w:rPr>
        <w:t>.</w:t>
      </w:r>
    </w:p>
    <w:p w14:paraId="5364F749" w14:textId="77777777" w:rsidR="00A06BE1" w:rsidRPr="00E457B4" w:rsidRDefault="00A06BE1" w:rsidP="00684AA0">
      <w:pPr>
        <w:spacing w:line="360" w:lineRule="auto"/>
        <w:rPr>
          <w:rFonts w:ascii="Arial" w:hAnsi="Arial" w:cs="Arial"/>
          <w:sz w:val="24"/>
          <w:szCs w:val="24"/>
        </w:rPr>
      </w:pPr>
      <w:r w:rsidRPr="00E457B4">
        <w:rPr>
          <w:rFonts w:ascii="Arial" w:hAnsi="Arial" w:cs="Arial"/>
          <w:sz w:val="24"/>
          <w:szCs w:val="24"/>
        </w:rPr>
        <w:t>Thomas, E. M. and Roberts, D. B. (2011) ‘Exploring bilinguals’ social use of language inside and out of the minority language classroom’, </w:t>
      </w:r>
      <w:r w:rsidRPr="00E457B4">
        <w:rPr>
          <w:rFonts w:ascii="Arial" w:hAnsi="Arial" w:cs="Arial"/>
          <w:i/>
          <w:iCs/>
          <w:sz w:val="24"/>
          <w:szCs w:val="24"/>
        </w:rPr>
        <w:t>Language and Education</w:t>
      </w:r>
      <w:r w:rsidRPr="00E457B4">
        <w:rPr>
          <w:rFonts w:ascii="Arial" w:hAnsi="Arial" w:cs="Arial"/>
          <w:sz w:val="24"/>
          <w:szCs w:val="24"/>
        </w:rPr>
        <w:t xml:space="preserve">, 25(2), pp. 89–108. </w:t>
      </w:r>
      <w:r>
        <w:rPr>
          <w:rFonts w:ascii="Arial" w:hAnsi="Arial" w:cs="Arial"/>
          <w:sz w:val="24"/>
          <w:szCs w:val="24"/>
        </w:rPr>
        <w:t xml:space="preserve">Available at: </w:t>
      </w:r>
      <w:hyperlink r:id="rId24" w:history="1">
        <w:r w:rsidRPr="00E457B4">
          <w:rPr>
            <w:rStyle w:val="Hyperlink"/>
            <w:rFonts w:ascii="Arial" w:hAnsi="Arial" w:cs="Arial"/>
            <w:sz w:val="24"/>
            <w:szCs w:val="24"/>
          </w:rPr>
          <w:t>https://www.tandfonline.com/doi/full/10.1080/09500782.2010.544743?scroll=top&amp;needAccess=true</w:t>
        </w:r>
      </w:hyperlink>
    </w:p>
    <w:p w14:paraId="45F4E91F" w14:textId="77777777" w:rsidR="00E858DB" w:rsidRDefault="00E858DB" w:rsidP="00684AA0">
      <w:pPr>
        <w:spacing w:line="360" w:lineRule="auto"/>
      </w:pPr>
    </w:p>
    <w:p w14:paraId="3E0A906C" w14:textId="316F7DF0" w:rsidR="00581F88" w:rsidRDefault="00581F88"/>
    <w:sectPr w:rsidR="00581F8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27BA7" w14:textId="77777777" w:rsidR="00BD6D0A" w:rsidRDefault="00BD6D0A" w:rsidP="008B5089">
      <w:pPr>
        <w:spacing w:after="0" w:line="240" w:lineRule="auto"/>
      </w:pPr>
      <w:r>
        <w:separator/>
      </w:r>
    </w:p>
  </w:endnote>
  <w:endnote w:type="continuationSeparator" w:id="0">
    <w:p w14:paraId="2107FD93" w14:textId="77777777" w:rsidR="00BD6D0A" w:rsidRDefault="00BD6D0A" w:rsidP="008B5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3FCD9" w14:textId="77777777" w:rsidR="00BD6D0A" w:rsidRDefault="00BD6D0A" w:rsidP="008B5089">
      <w:pPr>
        <w:spacing w:after="0" w:line="240" w:lineRule="auto"/>
      </w:pPr>
      <w:r>
        <w:separator/>
      </w:r>
    </w:p>
  </w:footnote>
  <w:footnote w:type="continuationSeparator" w:id="0">
    <w:p w14:paraId="73B46A90" w14:textId="77777777" w:rsidR="00BD6D0A" w:rsidRDefault="00BD6D0A" w:rsidP="008B50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E7E7D6" w14:textId="4D7205EB" w:rsidR="008B5089" w:rsidRDefault="00A363FE">
    <w:pPr>
      <w:pStyle w:val="Header"/>
    </w:pPr>
    <w:r>
      <w:t>2004479</w:t>
    </w:r>
    <w:r>
      <w:tab/>
      <w:t>ECEY4020</w:t>
    </w:r>
    <w:r>
      <w:tab/>
      <w:t xml:space="preserve">Word count: </w:t>
    </w:r>
    <w:r w:rsidR="00684AA0">
      <w:t>1412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04C"/>
    <w:rsid w:val="000009A5"/>
    <w:rsid w:val="00001509"/>
    <w:rsid w:val="0000238B"/>
    <w:rsid w:val="000025D4"/>
    <w:rsid w:val="00005848"/>
    <w:rsid w:val="00005E14"/>
    <w:rsid w:val="00011F32"/>
    <w:rsid w:val="0001264C"/>
    <w:rsid w:val="00016191"/>
    <w:rsid w:val="000279F1"/>
    <w:rsid w:val="000328E7"/>
    <w:rsid w:val="00033281"/>
    <w:rsid w:val="000332F8"/>
    <w:rsid w:val="00051081"/>
    <w:rsid w:val="00056220"/>
    <w:rsid w:val="00065355"/>
    <w:rsid w:val="00066CCB"/>
    <w:rsid w:val="00067206"/>
    <w:rsid w:val="00067EC4"/>
    <w:rsid w:val="00075EAA"/>
    <w:rsid w:val="00076FAB"/>
    <w:rsid w:val="000816BA"/>
    <w:rsid w:val="00081E7A"/>
    <w:rsid w:val="00090151"/>
    <w:rsid w:val="000915FA"/>
    <w:rsid w:val="000A13B8"/>
    <w:rsid w:val="000A3048"/>
    <w:rsid w:val="000B2B6C"/>
    <w:rsid w:val="000B4CE9"/>
    <w:rsid w:val="000B7226"/>
    <w:rsid w:val="000C0A21"/>
    <w:rsid w:val="000C6337"/>
    <w:rsid w:val="000C72DD"/>
    <w:rsid w:val="000D4049"/>
    <w:rsid w:val="000D784F"/>
    <w:rsid w:val="000E11CD"/>
    <w:rsid w:val="000E6C06"/>
    <w:rsid w:val="000F6FE6"/>
    <w:rsid w:val="00100232"/>
    <w:rsid w:val="00102086"/>
    <w:rsid w:val="00106120"/>
    <w:rsid w:val="00107E3B"/>
    <w:rsid w:val="00113153"/>
    <w:rsid w:val="00121F58"/>
    <w:rsid w:val="001223F4"/>
    <w:rsid w:val="00123ADA"/>
    <w:rsid w:val="001318A1"/>
    <w:rsid w:val="00132D8E"/>
    <w:rsid w:val="00134E0D"/>
    <w:rsid w:val="001468BE"/>
    <w:rsid w:val="00156147"/>
    <w:rsid w:val="00163635"/>
    <w:rsid w:val="00163734"/>
    <w:rsid w:val="00167528"/>
    <w:rsid w:val="001702E1"/>
    <w:rsid w:val="00171F0C"/>
    <w:rsid w:val="00173DB9"/>
    <w:rsid w:val="00175437"/>
    <w:rsid w:val="00182267"/>
    <w:rsid w:val="001827E3"/>
    <w:rsid w:val="0018337B"/>
    <w:rsid w:val="0018585B"/>
    <w:rsid w:val="001864C8"/>
    <w:rsid w:val="0019114E"/>
    <w:rsid w:val="00196D31"/>
    <w:rsid w:val="001B1A90"/>
    <w:rsid w:val="001B4814"/>
    <w:rsid w:val="001B67FD"/>
    <w:rsid w:val="001B6E72"/>
    <w:rsid w:val="001C3DFB"/>
    <w:rsid w:val="001C3E36"/>
    <w:rsid w:val="001D5F7D"/>
    <w:rsid w:val="001D68BD"/>
    <w:rsid w:val="001D7466"/>
    <w:rsid w:val="001E4E98"/>
    <w:rsid w:val="001E6F97"/>
    <w:rsid w:val="001E7569"/>
    <w:rsid w:val="001F0F1A"/>
    <w:rsid w:val="001F0FD3"/>
    <w:rsid w:val="001F6DFC"/>
    <w:rsid w:val="0020253F"/>
    <w:rsid w:val="00203C4B"/>
    <w:rsid w:val="00204267"/>
    <w:rsid w:val="0020492D"/>
    <w:rsid w:val="00205BCC"/>
    <w:rsid w:val="002101DE"/>
    <w:rsid w:val="0021046A"/>
    <w:rsid w:val="00213FB5"/>
    <w:rsid w:val="00215C7A"/>
    <w:rsid w:val="00216AF0"/>
    <w:rsid w:val="0021764A"/>
    <w:rsid w:val="00232E5E"/>
    <w:rsid w:val="00240A33"/>
    <w:rsid w:val="00241A9B"/>
    <w:rsid w:val="0024456C"/>
    <w:rsid w:val="002503FA"/>
    <w:rsid w:val="00252C41"/>
    <w:rsid w:val="0026257A"/>
    <w:rsid w:val="0026404C"/>
    <w:rsid w:val="00267E23"/>
    <w:rsid w:val="002718F6"/>
    <w:rsid w:val="002765CD"/>
    <w:rsid w:val="0028293D"/>
    <w:rsid w:val="00283F63"/>
    <w:rsid w:val="0028516C"/>
    <w:rsid w:val="00287EEC"/>
    <w:rsid w:val="00296DB3"/>
    <w:rsid w:val="002A1324"/>
    <w:rsid w:val="002A1D48"/>
    <w:rsid w:val="002B327B"/>
    <w:rsid w:val="002B5803"/>
    <w:rsid w:val="002B5C69"/>
    <w:rsid w:val="002C0B67"/>
    <w:rsid w:val="002C469A"/>
    <w:rsid w:val="002C4D03"/>
    <w:rsid w:val="002E3690"/>
    <w:rsid w:val="002E773D"/>
    <w:rsid w:val="002E7DA0"/>
    <w:rsid w:val="002F1C94"/>
    <w:rsid w:val="002F4189"/>
    <w:rsid w:val="003011D7"/>
    <w:rsid w:val="00304BE7"/>
    <w:rsid w:val="00305292"/>
    <w:rsid w:val="003109BA"/>
    <w:rsid w:val="0031190D"/>
    <w:rsid w:val="00312309"/>
    <w:rsid w:val="00312447"/>
    <w:rsid w:val="003156C2"/>
    <w:rsid w:val="00324099"/>
    <w:rsid w:val="00333CFD"/>
    <w:rsid w:val="00344653"/>
    <w:rsid w:val="00350150"/>
    <w:rsid w:val="00353ADF"/>
    <w:rsid w:val="00362AB0"/>
    <w:rsid w:val="00370E67"/>
    <w:rsid w:val="00371AF0"/>
    <w:rsid w:val="00371F13"/>
    <w:rsid w:val="00373A01"/>
    <w:rsid w:val="00380CC6"/>
    <w:rsid w:val="00384433"/>
    <w:rsid w:val="00391DF0"/>
    <w:rsid w:val="00395656"/>
    <w:rsid w:val="003C29EE"/>
    <w:rsid w:val="003E26AB"/>
    <w:rsid w:val="003E7D03"/>
    <w:rsid w:val="003F5827"/>
    <w:rsid w:val="00404551"/>
    <w:rsid w:val="004048D1"/>
    <w:rsid w:val="004053AA"/>
    <w:rsid w:val="00416185"/>
    <w:rsid w:val="00431F80"/>
    <w:rsid w:val="00432C17"/>
    <w:rsid w:val="00441DDB"/>
    <w:rsid w:val="0044220E"/>
    <w:rsid w:val="00444586"/>
    <w:rsid w:val="00460F7C"/>
    <w:rsid w:val="0046589A"/>
    <w:rsid w:val="004672BE"/>
    <w:rsid w:val="00471EA0"/>
    <w:rsid w:val="00474DEC"/>
    <w:rsid w:val="00475A38"/>
    <w:rsid w:val="00487929"/>
    <w:rsid w:val="004941E6"/>
    <w:rsid w:val="00494CE7"/>
    <w:rsid w:val="00495CA0"/>
    <w:rsid w:val="00496FAF"/>
    <w:rsid w:val="004B0FBE"/>
    <w:rsid w:val="004B1AC2"/>
    <w:rsid w:val="004B61EF"/>
    <w:rsid w:val="004D235B"/>
    <w:rsid w:val="004D3B4E"/>
    <w:rsid w:val="004D421F"/>
    <w:rsid w:val="004D4B8B"/>
    <w:rsid w:val="004D709F"/>
    <w:rsid w:val="004E316A"/>
    <w:rsid w:val="004E50F0"/>
    <w:rsid w:val="004E73B2"/>
    <w:rsid w:val="004F00BF"/>
    <w:rsid w:val="004F709A"/>
    <w:rsid w:val="0050120F"/>
    <w:rsid w:val="00502A6C"/>
    <w:rsid w:val="0050510B"/>
    <w:rsid w:val="00506DBC"/>
    <w:rsid w:val="0051175A"/>
    <w:rsid w:val="00511F99"/>
    <w:rsid w:val="00515E0A"/>
    <w:rsid w:val="0052584C"/>
    <w:rsid w:val="00527B43"/>
    <w:rsid w:val="0053225E"/>
    <w:rsid w:val="005457A9"/>
    <w:rsid w:val="0055047A"/>
    <w:rsid w:val="005600F9"/>
    <w:rsid w:val="0056221B"/>
    <w:rsid w:val="005642E1"/>
    <w:rsid w:val="00565580"/>
    <w:rsid w:val="00572F56"/>
    <w:rsid w:val="00581F88"/>
    <w:rsid w:val="0058280E"/>
    <w:rsid w:val="00595281"/>
    <w:rsid w:val="0059571C"/>
    <w:rsid w:val="005967ED"/>
    <w:rsid w:val="005A310C"/>
    <w:rsid w:val="005A73E4"/>
    <w:rsid w:val="005B62F3"/>
    <w:rsid w:val="005B6B8A"/>
    <w:rsid w:val="005C1CE0"/>
    <w:rsid w:val="005C36E3"/>
    <w:rsid w:val="005C3A75"/>
    <w:rsid w:val="005D3128"/>
    <w:rsid w:val="005E5E81"/>
    <w:rsid w:val="005F65F9"/>
    <w:rsid w:val="0060167A"/>
    <w:rsid w:val="00601A8F"/>
    <w:rsid w:val="00602087"/>
    <w:rsid w:val="00614436"/>
    <w:rsid w:val="00614BB8"/>
    <w:rsid w:val="00620A71"/>
    <w:rsid w:val="00620D8A"/>
    <w:rsid w:val="00622E19"/>
    <w:rsid w:val="006317EE"/>
    <w:rsid w:val="00635355"/>
    <w:rsid w:val="006361E2"/>
    <w:rsid w:val="00641092"/>
    <w:rsid w:val="00641F61"/>
    <w:rsid w:val="0064320E"/>
    <w:rsid w:val="00646704"/>
    <w:rsid w:val="00647CBB"/>
    <w:rsid w:val="0065430A"/>
    <w:rsid w:val="00654709"/>
    <w:rsid w:val="00656110"/>
    <w:rsid w:val="00656984"/>
    <w:rsid w:val="00680FDD"/>
    <w:rsid w:val="006810CA"/>
    <w:rsid w:val="0068346F"/>
    <w:rsid w:val="00684AA0"/>
    <w:rsid w:val="00696075"/>
    <w:rsid w:val="00697B80"/>
    <w:rsid w:val="006B1282"/>
    <w:rsid w:val="006B25CB"/>
    <w:rsid w:val="006B760E"/>
    <w:rsid w:val="006C2C09"/>
    <w:rsid w:val="006E15FE"/>
    <w:rsid w:val="006F27B9"/>
    <w:rsid w:val="00700B19"/>
    <w:rsid w:val="007108C2"/>
    <w:rsid w:val="00713043"/>
    <w:rsid w:val="00713707"/>
    <w:rsid w:val="00716AED"/>
    <w:rsid w:val="00723678"/>
    <w:rsid w:val="00724415"/>
    <w:rsid w:val="00731A0B"/>
    <w:rsid w:val="0073568D"/>
    <w:rsid w:val="00740885"/>
    <w:rsid w:val="0074099A"/>
    <w:rsid w:val="007443E1"/>
    <w:rsid w:val="007444AF"/>
    <w:rsid w:val="00752186"/>
    <w:rsid w:val="00755E43"/>
    <w:rsid w:val="00761C4F"/>
    <w:rsid w:val="0077022B"/>
    <w:rsid w:val="007712A1"/>
    <w:rsid w:val="007735FA"/>
    <w:rsid w:val="00786E4F"/>
    <w:rsid w:val="0079158F"/>
    <w:rsid w:val="00793D9C"/>
    <w:rsid w:val="007A359A"/>
    <w:rsid w:val="007A4152"/>
    <w:rsid w:val="007A6920"/>
    <w:rsid w:val="007A6F4E"/>
    <w:rsid w:val="007B06E8"/>
    <w:rsid w:val="007B1694"/>
    <w:rsid w:val="007B4632"/>
    <w:rsid w:val="007B5EF8"/>
    <w:rsid w:val="007C0B83"/>
    <w:rsid w:val="007C6837"/>
    <w:rsid w:val="007C786D"/>
    <w:rsid w:val="007D632D"/>
    <w:rsid w:val="007E0790"/>
    <w:rsid w:val="007E28C6"/>
    <w:rsid w:val="007E2A2E"/>
    <w:rsid w:val="007E5A5B"/>
    <w:rsid w:val="007E7456"/>
    <w:rsid w:val="008006BA"/>
    <w:rsid w:val="00801686"/>
    <w:rsid w:val="00802145"/>
    <w:rsid w:val="0080597A"/>
    <w:rsid w:val="00814511"/>
    <w:rsid w:val="00820A36"/>
    <w:rsid w:val="00833789"/>
    <w:rsid w:val="00834C5B"/>
    <w:rsid w:val="008402E6"/>
    <w:rsid w:val="00843DAB"/>
    <w:rsid w:val="00846922"/>
    <w:rsid w:val="00850692"/>
    <w:rsid w:val="00861255"/>
    <w:rsid w:val="008701F7"/>
    <w:rsid w:val="00870800"/>
    <w:rsid w:val="00873271"/>
    <w:rsid w:val="008775A8"/>
    <w:rsid w:val="00881ED1"/>
    <w:rsid w:val="008860C0"/>
    <w:rsid w:val="00890D2D"/>
    <w:rsid w:val="00895585"/>
    <w:rsid w:val="00895C78"/>
    <w:rsid w:val="00896E81"/>
    <w:rsid w:val="008A4DF1"/>
    <w:rsid w:val="008A63C4"/>
    <w:rsid w:val="008A7D39"/>
    <w:rsid w:val="008B14F6"/>
    <w:rsid w:val="008B3452"/>
    <w:rsid w:val="008B5043"/>
    <w:rsid w:val="008B5089"/>
    <w:rsid w:val="008B55AA"/>
    <w:rsid w:val="008B5B43"/>
    <w:rsid w:val="008C1F55"/>
    <w:rsid w:val="008C25B9"/>
    <w:rsid w:val="008C42C3"/>
    <w:rsid w:val="008C5B39"/>
    <w:rsid w:val="008D6A49"/>
    <w:rsid w:val="008E3293"/>
    <w:rsid w:val="008F16AD"/>
    <w:rsid w:val="008F35C2"/>
    <w:rsid w:val="00907280"/>
    <w:rsid w:val="009122FC"/>
    <w:rsid w:val="00914EEF"/>
    <w:rsid w:val="00927E0F"/>
    <w:rsid w:val="00930021"/>
    <w:rsid w:val="00930475"/>
    <w:rsid w:val="00933B53"/>
    <w:rsid w:val="009441CE"/>
    <w:rsid w:val="00944A6E"/>
    <w:rsid w:val="00950924"/>
    <w:rsid w:val="00950D8D"/>
    <w:rsid w:val="009511D6"/>
    <w:rsid w:val="00955286"/>
    <w:rsid w:val="009628B2"/>
    <w:rsid w:val="009659AF"/>
    <w:rsid w:val="009670D7"/>
    <w:rsid w:val="009711D0"/>
    <w:rsid w:val="00971563"/>
    <w:rsid w:val="009836A5"/>
    <w:rsid w:val="00990BC7"/>
    <w:rsid w:val="0099225C"/>
    <w:rsid w:val="009B58D6"/>
    <w:rsid w:val="009B6C96"/>
    <w:rsid w:val="009C6A95"/>
    <w:rsid w:val="009D1E5F"/>
    <w:rsid w:val="009D24A6"/>
    <w:rsid w:val="009D72A5"/>
    <w:rsid w:val="009D7F9B"/>
    <w:rsid w:val="009E3125"/>
    <w:rsid w:val="009E6802"/>
    <w:rsid w:val="009E6D08"/>
    <w:rsid w:val="009F3071"/>
    <w:rsid w:val="009F443D"/>
    <w:rsid w:val="00A0182F"/>
    <w:rsid w:val="00A06BE1"/>
    <w:rsid w:val="00A07D25"/>
    <w:rsid w:val="00A11CE2"/>
    <w:rsid w:val="00A120A8"/>
    <w:rsid w:val="00A32D6B"/>
    <w:rsid w:val="00A363FE"/>
    <w:rsid w:val="00A36545"/>
    <w:rsid w:val="00A43053"/>
    <w:rsid w:val="00A529C1"/>
    <w:rsid w:val="00A55BA6"/>
    <w:rsid w:val="00A56BE2"/>
    <w:rsid w:val="00A57AAF"/>
    <w:rsid w:val="00A60D93"/>
    <w:rsid w:val="00A668C5"/>
    <w:rsid w:val="00A721A1"/>
    <w:rsid w:val="00A72433"/>
    <w:rsid w:val="00A84D20"/>
    <w:rsid w:val="00A913D5"/>
    <w:rsid w:val="00A94EEC"/>
    <w:rsid w:val="00A96234"/>
    <w:rsid w:val="00AA21C7"/>
    <w:rsid w:val="00AB665F"/>
    <w:rsid w:val="00AB74B8"/>
    <w:rsid w:val="00AB7F57"/>
    <w:rsid w:val="00AC0DD5"/>
    <w:rsid w:val="00AC6F16"/>
    <w:rsid w:val="00AD3F83"/>
    <w:rsid w:val="00AD7C5E"/>
    <w:rsid w:val="00AD7DC5"/>
    <w:rsid w:val="00AE3D73"/>
    <w:rsid w:val="00B014F7"/>
    <w:rsid w:val="00B02F04"/>
    <w:rsid w:val="00B041F8"/>
    <w:rsid w:val="00B06806"/>
    <w:rsid w:val="00B06ED2"/>
    <w:rsid w:val="00B11730"/>
    <w:rsid w:val="00B121C4"/>
    <w:rsid w:val="00B23A95"/>
    <w:rsid w:val="00B25045"/>
    <w:rsid w:val="00B27895"/>
    <w:rsid w:val="00B30761"/>
    <w:rsid w:val="00B3507D"/>
    <w:rsid w:val="00B35A11"/>
    <w:rsid w:val="00B44934"/>
    <w:rsid w:val="00B46E1F"/>
    <w:rsid w:val="00B611B7"/>
    <w:rsid w:val="00B64CDC"/>
    <w:rsid w:val="00B67FCD"/>
    <w:rsid w:val="00B70F2B"/>
    <w:rsid w:val="00B73FD6"/>
    <w:rsid w:val="00B76AF6"/>
    <w:rsid w:val="00B8548F"/>
    <w:rsid w:val="00B96F00"/>
    <w:rsid w:val="00B97A59"/>
    <w:rsid w:val="00BA0C38"/>
    <w:rsid w:val="00BA3AA5"/>
    <w:rsid w:val="00BA658B"/>
    <w:rsid w:val="00BB0C82"/>
    <w:rsid w:val="00BB1EDF"/>
    <w:rsid w:val="00BB4495"/>
    <w:rsid w:val="00BB4728"/>
    <w:rsid w:val="00BD6D0A"/>
    <w:rsid w:val="00BE01FC"/>
    <w:rsid w:val="00BE0529"/>
    <w:rsid w:val="00BE0A04"/>
    <w:rsid w:val="00BE22F2"/>
    <w:rsid w:val="00BF6B2F"/>
    <w:rsid w:val="00C06BD0"/>
    <w:rsid w:val="00C073E3"/>
    <w:rsid w:val="00C2084C"/>
    <w:rsid w:val="00C20E51"/>
    <w:rsid w:val="00C23427"/>
    <w:rsid w:val="00C2425D"/>
    <w:rsid w:val="00C24B99"/>
    <w:rsid w:val="00C30B40"/>
    <w:rsid w:val="00C31063"/>
    <w:rsid w:val="00C41661"/>
    <w:rsid w:val="00C56060"/>
    <w:rsid w:val="00C70938"/>
    <w:rsid w:val="00C70C2F"/>
    <w:rsid w:val="00C70CB7"/>
    <w:rsid w:val="00C71755"/>
    <w:rsid w:val="00C7297E"/>
    <w:rsid w:val="00C73C72"/>
    <w:rsid w:val="00C803EF"/>
    <w:rsid w:val="00C82303"/>
    <w:rsid w:val="00C8448B"/>
    <w:rsid w:val="00C84FAB"/>
    <w:rsid w:val="00C85E65"/>
    <w:rsid w:val="00C94CC3"/>
    <w:rsid w:val="00C958F3"/>
    <w:rsid w:val="00C9655C"/>
    <w:rsid w:val="00CA087B"/>
    <w:rsid w:val="00CA1BB2"/>
    <w:rsid w:val="00CA2BB1"/>
    <w:rsid w:val="00CA58FC"/>
    <w:rsid w:val="00CB0E3D"/>
    <w:rsid w:val="00CC1DE4"/>
    <w:rsid w:val="00CC2B67"/>
    <w:rsid w:val="00CD1F1E"/>
    <w:rsid w:val="00CD5754"/>
    <w:rsid w:val="00CF3210"/>
    <w:rsid w:val="00CF7D91"/>
    <w:rsid w:val="00D04ABC"/>
    <w:rsid w:val="00D06403"/>
    <w:rsid w:val="00D10722"/>
    <w:rsid w:val="00D12C05"/>
    <w:rsid w:val="00D220D2"/>
    <w:rsid w:val="00D258F7"/>
    <w:rsid w:val="00D26B00"/>
    <w:rsid w:val="00D33358"/>
    <w:rsid w:val="00D33378"/>
    <w:rsid w:val="00D376D1"/>
    <w:rsid w:val="00D50603"/>
    <w:rsid w:val="00D50634"/>
    <w:rsid w:val="00D52B23"/>
    <w:rsid w:val="00D5405E"/>
    <w:rsid w:val="00D55824"/>
    <w:rsid w:val="00D56589"/>
    <w:rsid w:val="00D60437"/>
    <w:rsid w:val="00D71194"/>
    <w:rsid w:val="00D72D34"/>
    <w:rsid w:val="00D741AA"/>
    <w:rsid w:val="00D91D87"/>
    <w:rsid w:val="00D93A2D"/>
    <w:rsid w:val="00D96246"/>
    <w:rsid w:val="00DA46B8"/>
    <w:rsid w:val="00DA5379"/>
    <w:rsid w:val="00DB1B2E"/>
    <w:rsid w:val="00DC1CAF"/>
    <w:rsid w:val="00DC6EDA"/>
    <w:rsid w:val="00DD2321"/>
    <w:rsid w:val="00DD573D"/>
    <w:rsid w:val="00DE0DC8"/>
    <w:rsid w:val="00DE4B5E"/>
    <w:rsid w:val="00DE6DCA"/>
    <w:rsid w:val="00DF6CCB"/>
    <w:rsid w:val="00DF7E0C"/>
    <w:rsid w:val="00E10111"/>
    <w:rsid w:val="00E36495"/>
    <w:rsid w:val="00E41384"/>
    <w:rsid w:val="00E41D6C"/>
    <w:rsid w:val="00E43C2E"/>
    <w:rsid w:val="00E457B4"/>
    <w:rsid w:val="00E50C01"/>
    <w:rsid w:val="00E54E0D"/>
    <w:rsid w:val="00E55D6C"/>
    <w:rsid w:val="00E55F2A"/>
    <w:rsid w:val="00E600A3"/>
    <w:rsid w:val="00E6630B"/>
    <w:rsid w:val="00E73B2A"/>
    <w:rsid w:val="00E76C6C"/>
    <w:rsid w:val="00E858DB"/>
    <w:rsid w:val="00E90613"/>
    <w:rsid w:val="00E94D79"/>
    <w:rsid w:val="00E977E9"/>
    <w:rsid w:val="00EA493F"/>
    <w:rsid w:val="00EA5C6E"/>
    <w:rsid w:val="00EA6065"/>
    <w:rsid w:val="00EB0B69"/>
    <w:rsid w:val="00EB2ED0"/>
    <w:rsid w:val="00EB4716"/>
    <w:rsid w:val="00EC0116"/>
    <w:rsid w:val="00EC3833"/>
    <w:rsid w:val="00EC59EE"/>
    <w:rsid w:val="00ED3339"/>
    <w:rsid w:val="00ED3A4C"/>
    <w:rsid w:val="00EE720E"/>
    <w:rsid w:val="00EF4547"/>
    <w:rsid w:val="00EF4732"/>
    <w:rsid w:val="00F00597"/>
    <w:rsid w:val="00F020E7"/>
    <w:rsid w:val="00F05134"/>
    <w:rsid w:val="00F05469"/>
    <w:rsid w:val="00F0742D"/>
    <w:rsid w:val="00F11704"/>
    <w:rsid w:val="00F12FAE"/>
    <w:rsid w:val="00F22B50"/>
    <w:rsid w:val="00F2372C"/>
    <w:rsid w:val="00F23D96"/>
    <w:rsid w:val="00F2766E"/>
    <w:rsid w:val="00F3042D"/>
    <w:rsid w:val="00F33CA4"/>
    <w:rsid w:val="00F35CC8"/>
    <w:rsid w:val="00F41279"/>
    <w:rsid w:val="00F41B17"/>
    <w:rsid w:val="00F4462A"/>
    <w:rsid w:val="00F4538B"/>
    <w:rsid w:val="00F570AC"/>
    <w:rsid w:val="00F579BF"/>
    <w:rsid w:val="00F648D0"/>
    <w:rsid w:val="00F92352"/>
    <w:rsid w:val="00F93335"/>
    <w:rsid w:val="00F95A20"/>
    <w:rsid w:val="00FA50CA"/>
    <w:rsid w:val="00FA620F"/>
    <w:rsid w:val="00FB0FE7"/>
    <w:rsid w:val="00FB1C9D"/>
    <w:rsid w:val="00FC092B"/>
    <w:rsid w:val="00FC1217"/>
    <w:rsid w:val="00FD6073"/>
    <w:rsid w:val="00FE622D"/>
    <w:rsid w:val="00FF0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E01A0"/>
  <w15:chartTrackingRefBased/>
  <w15:docId w15:val="{2126DD77-261C-4C9F-A62D-E4615BF93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04C"/>
    <w:rPr>
      <w:rFonts w:eastAsiaTheme="majorEastAsia" w:cstheme="majorBidi"/>
      <w:color w:val="272727" w:themeColor="text1" w:themeTint="D8"/>
    </w:rPr>
  </w:style>
  <w:style w:type="paragraph" w:styleId="Title">
    <w:name w:val="Title"/>
    <w:basedOn w:val="Normal"/>
    <w:next w:val="Normal"/>
    <w:link w:val="TitleChar"/>
    <w:uiPriority w:val="10"/>
    <w:qFormat/>
    <w:rsid w:val="00264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04C"/>
    <w:pPr>
      <w:spacing w:before="160"/>
      <w:jc w:val="center"/>
    </w:pPr>
    <w:rPr>
      <w:i/>
      <w:iCs/>
      <w:color w:val="404040" w:themeColor="text1" w:themeTint="BF"/>
    </w:rPr>
  </w:style>
  <w:style w:type="character" w:customStyle="1" w:styleId="QuoteChar">
    <w:name w:val="Quote Char"/>
    <w:basedOn w:val="DefaultParagraphFont"/>
    <w:link w:val="Quote"/>
    <w:uiPriority w:val="29"/>
    <w:rsid w:val="0026404C"/>
    <w:rPr>
      <w:i/>
      <w:iCs/>
      <w:color w:val="404040" w:themeColor="text1" w:themeTint="BF"/>
    </w:rPr>
  </w:style>
  <w:style w:type="paragraph" w:styleId="ListParagraph">
    <w:name w:val="List Paragraph"/>
    <w:basedOn w:val="Normal"/>
    <w:uiPriority w:val="34"/>
    <w:qFormat/>
    <w:rsid w:val="0026404C"/>
    <w:pPr>
      <w:ind w:left="720"/>
      <w:contextualSpacing/>
    </w:pPr>
  </w:style>
  <w:style w:type="character" w:styleId="IntenseEmphasis">
    <w:name w:val="Intense Emphasis"/>
    <w:basedOn w:val="DefaultParagraphFont"/>
    <w:uiPriority w:val="21"/>
    <w:qFormat/>
    <w:rsid w:val="0026404C"/>
    <w:rPr>
      <w:i/>
      <w:iCs/>
      <w:color w:val="0F4761" w:themeColor="accent1" w:themeShade="BF"/>
    </w:rPr>
  </w:style>
  <w:style w:type="paragraph" w:styleId="IntenseQuote">
    <w:name w:val="Intense Quote"/>
    <w:basedOn w:val="Normal"/>
    <w:next w:val="Normal"/>
    <w:link w:val="IntenseQuoteChar"/>
    <w:uiPriority w:val="30"/>
    <w:qFormat/>
    <w:rsid w:val="00264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04C"/>
    <w:rPr>
      <w:i/>
      <w:iCs/>
      <w:color w:val="0F4761" w:themeColor="accent1" w:themeShade="BF"/>
    </w:rPr>
  </w:style>
  <w:style w:type="character" w:styleId="IntenseReference">
    <w:name w:val="Intense Reference"/>
    <w:basedOn w:val="DefaultParagraphFont"/>
    <w:uiPriority w:val="32"/>
    <w:qFormat/>
    <w:rsid w:val="0026404C"/>
    <w:rPr>
      <w:b/>
      <w:bCs/>
      <w:smallCaps/>
      <w:color w:val="0F4761" w:themeColor="accent1" w:themeShade="BF"/>
      <w:spacing w:val="5"/>
    </w:rPr>
  </w:style>
  <w:style w:type="paragraph" w:styleId="Header">
    <w:name w:val="header"/>
    <w:basedOn w:val="Normal"/>
    <w:link w:val="HeaderChar"/>
    <w:uiPriority w:val="99"/>
    <w:unhideWhenUsed/>
    <w:rsid w:val="008B5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089"/>
  </w:style>
  <w:style w:type="paragraph" w:styleId="Footer">
    <w:name w:val="footer"/>
    <w:basedOn w:val="Normal"/>
    <w:link w:val="FooterChar"/>
    <w:uiPriority w:val="99"/>
    <w:unhideWhenUsed/>
    <w:rsid w:val="008B5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089"/>
  </w:style>
  <w:style w:type="paragraph" w:styleId="HTMLPreformatted">
    <w:name w:val="HTML Preformatted"/>
    <w:basedOn w:val="Normal"/>
    <w:link w:val="HTMLPreformattedChar"/>
    <w:uiPriority w:val="99"/>
    <w:semiHidden/>
    <w:unhideWhenUsed/>
    <w:rsid w:val="006B128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B1282"/>
    <w:rPr>
      <w:rFonts w:ascii="Consolas" w:hAnsi="Consolas"/>
      <w:sz w:val="20"/>
      <w:szCs w:val="20"/>
    </w:rPr>
  </w:style>
  <w:style w:type="character" w:styleId="Hyperlink">
    <w:name w:val="Hyperlink"/>
    <w:basedOn w:val="DefaultParagraphFont"/>
    <w:uiPriority w:val="99"/>
    <w:unhideWhenUsed/>
    <w:rsid w:val="00065355"/>
    <w:rPr>
      <w:color w:val="467886" w:themeColor="hyperlink"/>
      <w:u w:val="single"/>
    </w:rPr>
  </w:style>
  <w:style w:type="character" w:styleId="UnresolvedMention">
    <w:name w:val="Unresolved Mention"/>
    <w:basedOn w:val="DefaultParagraphFont"/>
    <w:uiPriority w:val="99"/>
    <w:semiHidden/>
    <w:unhideWhenUsed/>
    <w:rsid w:val="00065355"/>
    <w:rPr>
      <w:color w:val="605E5C"/>
      <w:shd w:val="clear" w:color="auto" w:fill="E1DFDD"/>
    </w:rPr>
  </w:style>
  <w:style w:type="character" w:styleId="FollowedHyperlink">
    <w:name w:val="FollowedHyperlink"/>
    <w:basedOn w:val="DefaultParagraphFont"/>
    <w:uiPriority w:val="99"/>
    <w:semiHidden/>
    <w:unhideWhenUsed/>
    <w:rsid w:val="00761C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619965">
      <w:bodyDiv w:val="1"/>
      <w:marLeft w:val="0"/>
      <w:marRight w:val="0"/>
      <w:marTop w:val="0"/>
      <w:marBottom w:val="0"/>
      <w:divBdr>
        <w:top w:val="none" w:sz="0" w:space="0" w:color="auto"/>
        <w:left w:val="none" w:sz="0" w:space="0" w:color="auto"/>
        <w:bottom w:val="none" w:sz="0" w:space="0" w:color="auto"/>
        <w:right w:val="none" w:sz="0" w:space="0" w:color="auto"/>
      </w:divBdr>
      <w:divsChild>
        <w:div w:id="1351371141">
          <w:marLeft w:val="0"/>
          <w:marRight w:val="0"/>
          <w:marTop w:val="0"/>
          <w:marBottom w:val="0"/>
          <w:divBdr>
            <w:top w:val="none" w:sz="0" w:space="0" w:color="auto"/>
            <w:left w:val="none" w:sz="0" w:space="0" w:color="auto"/>
            <w:bottom w:val="none" w:sz="0" w:space="0" w:color="auto"/>
            <w:right w:val="none" w:sz="0" w:space="0" w:color="auto"/>
          </w:divBdr>
          <w:divsChild>
            <w:div w:id="1665165194">
              <w:marLeft w:val="0"/>
              <w:marRight w:val="0"/>
              <w:marTop w:val="0"/>
              <w:marBottom w:val="0"/>
              <w:divBdr>
                <w:top w:val="none" w:sz="0" w:space="0" w:color="auto"/>
                <w:left w:val="none" w:sz="0" w:space="0" w:color="auto"/>
                <w:bottom w:val="none" w:sz="0" w:space="0" w:color="auto"/>
                <w:right w:val="none" w:sz="0" w:space="0" w:color="auto"/>
              </w:divBdr>
            </w:div>
          </w:divsChild>
        </w:div>
        <w:div w:id="600575583">
          <w:marLeft w:val="0"/>
          <w:marRight w:val="0"/>
          <w:marTop w:val="0"/>
          <w:marBottom w:val="0"/>
          <w:divBdr>
            <w:top w:val="none" w:sz="0" w:space="0" w:color="auto"/>
            <w:left w:val="none" w:sz="0" w:space="0" w:color="auto"/>
            <w:bottom w:val="none" w:sz="0" w:space="0" w:color="auto"/>
            <w:right w:val="none" w:sz="0" w:space="0" w:color="auto"/>
          </w:divBdr>
        </w:div>
        <w:div w:id="1615094925">
          <w:marLeft w:val="0"/>
          <w:marRight w:val="0"/>
          <w:marTop w:val="0"/>
          <w:marBottom w:val="0"/>
          <w:divBdr>
            <w:top w:val="none" w:sz="0" w:space="0" w:color="auto"/>
            <w:left w:val="none" w:sz="0" w:space="0" w:color="auto"/>
            <w:bottom w:val="none" w:sz="0" w:space="0" w:color="auto"/>
            <w:right w:val="none" w:sz="0" w:space="0" w:color="auto"/>
          </w:divBdr>
        </w:div>
      </w:divsChild>
    </w:div>
    <w:div w:id="371806183">
      <w:bodyDiv w:val="1"/>
      <w:marLeft w:val="0"/>
      <w:marRight w:val="0"/>
      <w:marTop w:val="0"/>
      <w:marBottom w:val="0"/>
      <w:divBdr>
        <w:top w:val="none" w:sz="0" w:space="0" w:color="auto"/>
        <w:left w:val="none" w:sz="0" w:space="0" w:color="auto"/>
        <w:bottom w:val="none" w:sz="0" w:space="0" w:color="auto"/>
        <w:right w:val="none" w:sz="0" w:space="0" w:color="auto"/>
      </w:divBdr>
    </w:div>
    <w:div w:id="593783839">
      <w:bodyDiv w:val="1"/>
      <w:marLeft w:val="0"/>
      <w:marRight w:val="0"/>
      <w:marTop w:val="0"/>
      <w:marBottom w:val="0"/>
      <w:divBdr>
        <w:top w:val="none" w:sz="0" w:space="0" w:color="auto"/>
        <w:left w:val="none" w:sz="0" w:space="0" w:color="auto"/>
        <w:bottom w:val="none" w:sz="0" w:space="0" w:color="auto"/>
        <w:right w:val="none" w:sz="0" w:space="0" w:color="auto"/>
      </w:divBdr>
    </w:div>
    <w:div w:id="742413445">
      <w:bodyDiv w:val="1"/>
      <w:marLeft w:val="0"/>
      <w:marRight w:val="0"/>
      <w:marTop w:val="0"/>
      <w:marBottom w:val="0"/>
      <w:divBdr>
        <w:top w:val="none" w:sz="0" w:space="0" w:color="auto"/>
        <w:left w:val="none" w:sz="0" w:space="0" w:color="auto"/>
        <w:bottom w:val="none" w:sz="0" w:space="0" w:color="auto"/>
        <w:right w:val="none" w:sz="0" w:space="0" w:color="auto"/>
      </w:divBdr>
    </w:div>
    <w:div w:id="875317031">
      <w:bodyDiv w:val="1"/>
      <w:marLeft w:val="0"/>
      <w:marRight w:val="0"/>
      <w:marTop w:val="0"/>
      <w:marBottom w:val="0"/>
      <w:divBdr>
        <w:top w:val="none" w:sz="0" w:space="0" w:color="auto"/>
        <w:left w:val="none" w:sz="0" w:space="0" w:color="auto"/>
        <w:bottom w:val="none" w:sz="0" w:space="0" w:color="auto"/>
        <w:right w:val="none" w:sz="0" w:space="0" w:color="auto"/>
      </w:divBdr>
    </w:div>
    <w:div w:id="897207747">
      <w:bodyDiv w:val="1"/>
      <w:marLeft w:val="0"/>
      <w:marRight w:val="0"/>
      <w:marTop w:val="0"/>
      <w:marBottom w:val="0"/>
      <w:divBdr>
        <w:top w:val="none" w:sz="0" w:space="0" w:color="auto"/>
        <w:left w:val="none" w:sz="0" w:space="0" w:color="auto"/>
        <w:bottom w:val="none" w:sz="0" w:space="0" w:color="auto"/>
        <w:right w:val="none" w:sz="0" w:space="0" w:color="auto"/>
      </w:divBdr>
    </w:div>
    <w:div w:id="1543513261">
      <w:bodyDiv w:val="1"/>
      <w:marLeft w:val="0"/>
      <w:marRight w:val="0"/>
      <w:marTop w:val="0"/>
      <w:marBottom w:val="0"/>
      <w:divBdr>
        <w:top w:val="none" w:sz="0" w:space="0" w:color="auto"/>
        <w:left w:val="none" w:sz="0" w:space="0" w:color="auto"/>
        <w:bottom w:val="none" w:sz="0" w:space="0" w:color="auto"/>
        <w:right w:val="none" w:sz="0" w:space="0" w:color="auto"/>
      </w:divBdr>
    </w:div>
    <w:div w:id="1945963200">
      <w:bodyDiv w:val="1"/>
      <w:marLeft w:val="0"/>
      <w:marRight w:val="0"/>
      <w:marTop w:val="0"/>
      <w:marBottom w:val="0"/>
      <w:divBdr>
        <w:top w:val="none" w:sz="0" w:space="0" w:color="auto"/>
        <w:left w:val="none" w:sz="0" w:space="0" w:color="auto"/>
        <w:bottom w:val="none" w:sz="0" w:space="0" w:color="auto"/>
        <w:right w:val="none" w:sz="0" w:space="0" w:color="auto"/>
      </w:divBdr>
    </w:div>
    <w:div w:id="1949046953">
      <w:bodyDiv w:val="1"/>
      <w:marLeft w:val="0"/>
      <w:marRight w:val="0"/>
      <w:marTop w:val="0"/>
      <w:marBottom w:val="0"/>
      <w:divBdr>
        <w:top w:val="none" w:sz="0" w:space="0" w:color="auto"/>
        <w:left w:val="none" w:sz="0" w:space="0" w:color="auto"/>
        <w:bottom w:val="none" w:sz="0" w:space="0" w:color="auto"/>
        <w:right w:val="none" w:sz="0" w:space="0" w:color="auto"/>
      </w:divBdr>
    </w:div>
    <w:div w:id="2132281668">
      <w:bodyDiv w:val="1"/>
      <w:marLeft w:val="0"/>
      <w:marRight w:val="0"/>
      <w:marTop w:val="0"/>
      <w:marBottom w:val="0"/>
      <w:divBdr>
        <w:top w:val="none" w:sz="0" w:space="0" w:color="auto"/>
        <w:left w:val="none" w:sz="0" w:space="0" w:color="auto"/>
        <w:bottom w:val="none" w:sz="0" w:space="0" w:color="auto"/>
        <w:right w:val="none" w:sz="0" w:space="0" w:color="auto"/>
      </w:divBdr>
      <w:divsChild>
        <w:div w:id="1075126645">
          <w:marLeft w:val="0"/>
          <w:marRight w:val="0"/>
          <w:marTop w:val="0"/>
          <w:marBottom w:val="0"/>
          <w:divBdr>
            <w:top w:val="none" w:sz="0" w:space="0" w:color="auto"/>
            <w:left w:val="none" w:sz="0" w:space="0" w:color="auto"/>
            <w:bottom w:val="none" w:sz="0" w:space="0" w:color="auto"/>
            <w:right w:val="none" w:sz="0" w:space="0" w:color="auto"/>
          </w:divBdr>
          <w:divsChild>
            <w:div w:id="1769735747">
              <w:marLeft w:val="0"/>
              <w:marRight w:val="0"/>
              <w:marTop w:val="0"/>
              <w:marBottom w:val="0"/>
              <w:divBdr>
                <w:top w:val="none" w:sz="0" w:space="0" w:color="auto"/>
                <w:left w:val="none" w:sz="0" w:space="0" w:color="auto"/>
                <w:bottom w:val="none" w:sz="0" w:space="0" w:color="auto"/>
                <w:right w:val="none" w:sz="0" w:space="0" w:color="auto"/>
              </w:divBdr>
            </w:div>
          </w:divsChild>
        </w:div>
        <w:div w:id="615646696">
          <w:marLeft w:val="0"/>
          <w:marRight w:val="0"/>
          <w:marTop w:val="0"/>
          <w:marBottom w:val="0"/>
          <w:divBdr>
            <w:top w:val="none" w:sz="0" w:space="0" w:color="auto"/>
            <w:left w:val="none" w:sz="0" w:space="0" w:color="auto"/>
            <w:bottom w:val="none" w:sz="0" w:space="0" w:color="auto"/>
            <w:right w:val="none" w:sz="0" w:space="0" w:color="auto"/>
          </w:divBdr>
        </w:div>
        <w:div w:id="3504951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urnals.sagepub.com/doi/10.1177/0963721409358571" TargetMode="External"/><Relationship Id="rId18" Type="http://schemas.openxmlformats.org/officeDocument/2006/relationships/hyperlink" Target="https://davidpublisher.com/Public/uploads/Contribute/5943344a0b71b.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tandfonline.com/doi/full/10.1080/07908318.2015.1103250?casa_token=iX3yE2n4_j4AAAAA%3AxUbfTMfNAxJ3L-GEkZHgR8Bc8sv9E7lWiWLx2luLG3UBUY91NkjtE-8LQ-Kg_wzhFFKSWrSUjA" TargetMode="External"/><Relationship Id="rId7" Type="http://schemas.openxmlformats.org/officeDocument/2006/relationships/footnotes" Target="footnotes.xml"/><Relationship Id="rId12" Type="http://schemas.openxmlformats.org/officeDocument/2006/relationships/hyperlink" Target="https://journals.sagepub.com/doi/full/10.1177/0963721409358571?casa_token=cl670WUp9Z8AAAAA%3AQCetC2QRoppEzH07wYlUnqSLxeZQYb95tLo4NIoJZae-G9VzX77zwugymuwl9pBUEKpVwUk9pw" TargetMode="External"/><Relationship Id="rId17" Type="http://schemas.openxmlformats.org/officeDocument/2006/relationships/hyperlink" Target="https://www.tandfonline.com/doi/full/10.1080/01434632.2017.1389948?casa_token=QxlAnMVCrnEAAAAA%3A03Qd6zrzVksBEml6M_R1Zj67Dpy8Ql9U53wqzIqadok_ypun1_RU-_WurLjthU1OheBo3jJ6lg"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openjournals.utoledo.edu/index.php/learningtoteach/article/view/289/163" TargetMode="External"/><Relationship Id="rId20" Type="http://schemas.openxmlformats.org/officeDocument/2006/relationships/hyperlink" Target="https://psycnet.apa.org/fulltext/2014-55719-001.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full/10.1177/0963721409358571?casa_token=cl670WUp9Z8AAAAA%3AQCetC2QRoppEzH07wYlUnqSLxeZQYb95tLo4NIoJZae-G9VzX77zwugymuwl9pBUEKpVwUk9pw" TargetMode="External"/><Relationship Id="rId24" Type="http://schemas.openxmlformats.org/officeDocument/2006/relationships/hyperlink" Target="https://www.tandfonline.com/doi/full/10.1080/09500782.2010.544743?scroll=top&amp;needAccess=true" TargetMode="External"/><Relationship Id="rId5" Type="http://schemas.openxmlformats.org/officeDocument/2006/relationships/settings" Target="settings.xml"/><Relationship Id="rId15" Type="http://schemas.openxmlformats.org/officeDocument/2006/relationships/hyperlink" Target="https://www.davidpublisher.com/index.php/Home/Article/index?id=31556.html" TargetMode="External"/><Relationship Id="rId23" Type="http://schemas.openxmlformats.org/officeDocument/2006/relationships/hyperlink" Target="https://www.tandfonline.com/doi/abs/10.1080/07908318.2015.1103250" TargetMode="External"/><Relationship Id="rId10" Type="http://schemas.openxmlformats.org/officeDocument/2006/relationships/hyperlink" Target="https://d1wqtxts1xzle7.cloudfront.net/101095359/3787295f-b92f-404b-bff7-2709bac2b66a-libre.pdf?1681545774=&amp;response-content-disposition=inline%3B+filename%3DCokdillilik_ve_Cokdilli_Beyin.pdf&amp;Expires=1742984541&amp;Signature=Yl5hMRY2YXvPtmmGAgS6EFeO2gg91ufWHfHxFNYCjW0~M4sXX8iv-biWCuazS-HeqUV2nhBzV8t7~oWK1BYu1uRuyXU8otH8bH7e7ngeE5kIF3o~duvs1C407ytcSq7En-H6jOI~f8XpNR~S2E-FfNFAJMwmDUrZTCRzdHFWdOuuTEhaO~fg9WEpAj6rBJ3SNduddLfJVyXiZFlRlE4hcGIZAXSfOwrDLL9j0c-LjTTY~UUX7fBYpVBRvOqrHYukybUEjh5~gpe4LcFZRmJSI1MLYvwtP-RomjLF~WhB-p0J6g2OIRh9Mo0p6gPTPfUUjDVN66YoWBh~DgCwy3b~3A__&amp;Key-Pair-Id=APKAJLOHF5GGSLRBV4ZA" TargetMode="External"/><Relationship Id="rId19" Type="http://schemas.openxmlformats.org/officeDocument/2006/relationships/hyperlink" Target="https://openjournals.utoledo.edu/index.php/learningtoteach/article/view/289/163" TargetMode="External"/><Relationship Id="rId4" Type="http://schemas.openxmlformats.org/officeDocument/2006/relationships/styles" Target="styles.xml"/><Relationship Id="rId9" Type="http://schemas.openxmlformats.org/officeDocument/2006/relationships/hyperlink" Target="https://quillbot.com/grammar-check" TargetMode="External"/><Relationship Id="rId14" Type="http://schemas.openxmlformats.org/officeDocument/2006/relationships/hyperlink" Target="https://pubmed.ncbi.nlm.nih.gov/28032441/" TargetMode="External"/><Relationship Id="rId22" Type="http://schemas.openxmlformats.org/officeDocument/2006/relationships/hyperlink" Target="https://psycnet.apa.org/fulltext/2014-55719-001.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22fa41b9f2d26e51b2879c4192d86f0">
  <xsd:schema xmlns:xsd="http://www.w3.org/2001/XMLSchema" xmlns:xs="http://www.w3.org/2001/XMLSchema" xmlns:p="http://schemas.microsoft.com/office/2006/metadata/properties" xmlns:ns3="0085e1a2-9cbf-4b92-866b-21f3c89040b6" targetNamespace="http://schemas.microsoft.com/office/2006/metadata/properties" ma:root="true" ma:fieldsID="faeb69001d5d04f7ea1d47a64b93290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13E077F-8F2B-4D74-9A9D-7A8111B507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CAB399-13A6-4299-8503-5222C8F05798}">
  <ds:schemaRefs>
    <ds:schemaRef ds:uri="http://schemas.microsoft.com/sharepoint/v3/contenttype/forms"/>
  </ds:schemaRefs>
</ds:datastoreItem>
</file>

<file path=customXml/itemProps3.xml><?xml version="1.0" encoding="utf-8"?>
<ds:datastoreItem xmlns:ds="http://schemas.openxmlformats.org/officeDocument/2006/customXml" ds:itemID="{2386329C-71F2-43B0-8598-2078C3A06833}">
  <ds:schemaRefs>
    <ds:schemaRef ds:uri="http://purl.org/dc/elements/1.1/"/>
    <ds:schemaRef ds:uri="http://schemas.microsoft.com/office/2006/documentManagement/types"/>
    <ds:schemaRef ds:uri="http://schemas.openxmlformats.org/package/2006/metadata/core-properties"/>
    <ds:schemaRef ds:uri="0085e1a2-9cbf-4b92-866b-21f3c89040b6"/>
    <ds:schemaRef ds:uri="http://purl.org/dc/terms/"/>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2398</Words>
  <Characters>13675</Characters>
  <Application>Microsoft Office Word</Application>
  <DocSecurity>0</DocSecurity>
  <Lines>113</Lines>
  <Paragraphs>32</Paragraphs>
  <ScaleCrop>false</ScaleCrop>
  <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Grosvenor</cp:lastModifiedBy>
  <cp:revision>2</cp:revision>
  <dcterms:created xsi:type="dcterms:W3CDTF">2025-03-30T09:08:00Z</dcterms:created>
  <dcterms:modified xsi:type="dcterms:W3CDTF">2025-03-30T09:08:00Z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