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748B7" w14:textId="4C75FBF6" w:rsidR="008B2FA1" w:rsidRPr="008B2FA1" w:rsidRDefault="008B2FA1" w:rsidP="008B2FA1">
      <w:pPr>
        <w:spacing w:line="360" w:lineRule="auto"/>
        <w:rPr>
          <w:rFonts w:ascii="Arial" w:hAnsi="Arial" w:cs="Arial"/>
          <w:b/>
          <w:bCs/>
          <w:sz w:val="24"/>
          <w:szCs w:val="24"/>
        </w:rPr>
      </w:pPr>
      <w:r w:rsidRPr="008B2FA1">
        <w:rPr>
          <w:rFonts w:ascii="Arial" w:hAnsi="Arial" w:cs="Arial"/>
          <w:b/>
          <w:bCs/>
          <w:sz w:val="24"/>
          <w:szCs w:val="24"/>
        </w:rPr>
        <w:t>Project Management LCBB6006</w:t>
      </w:r>
    </w:p>
    <w:p w14:paraId="02FD49D5" w14:textId="77777777" w:rsidR="008B2FA1" w:rsidRPr="008B2FA1" w:rsidRDefault="008B2FA1" w:rsidP="008B2FA1">
      <w:pPr>
        <w:pStyle w:val="Heading1"/>
        <w:spacing w:line="360" w:lineRule="auto"/>
        <w:rPr>
          <w:rFonts w:ascii="Arial" w:hAnsi="Arial" w:cs="Arial"/>
          <w:b/>
          <w:bCs/>
          <w:color w:val="auto"/>
          <w:sz w:val="24"/>
          <w:szCs w:val="24"/>
        </w:rPr>
      </w:pPr>
      <w:r w:rsidRPr="008B2FA1">
        <w:rPr>
          <w:rFonts w:ascii="Arial" w:hAnsi="Arial" w:cs="Arial"/>
          <w:b/>
          <w:bCs/>
          <w:color w:val="auto"/>
          <w:sz w:val="24"/>
          <w:szCs w:val="24"/>
        </w:rPr>
        <w:t>Component 2: Coursework: Essay</w:t>
      </w:r>
    </w:p>
    <w:p w14:paraId="4A063071" w14:textId="77777777" w:rsidR="008B2FA1" w:rsidRPr="008B2FA1" w:rsidRDefault="008B2FA1" w:rsidP="008B2FA1">
      <w:pPr>
        <w:pStyle w:val="Heading1"/>
        <w:spacing w:line="360" w:lineRule="auto"/>
        <w:rPr>
          <w:rFonts w:ascii="Arial" w:hAnsi="Arial" w:cs="Arial"/>
          <w:b/>
          <w:bCs/>
          <w:color w:val="auto"/>
          <w:sz w:val="24"/>
          <w:szCs w:val="24"/>
        </w:rPr>
      </w:pPr>
      <w:r w:rsidRPr="008B2FA1">
        <w:rPr>
          <w:rFonts w:ascii="Arial" w:hAnsi="Arial" w:cs="Arial"/>
          <w:b/>
          <w:bCs/>
          <w:color w:val="auto"/>
          <w:sz w:val="24"/>
          <w:szCs w:val="24"/>
        </w:rPr>
        <w:t>Lecturer: Dr. Shujun Xiao</w:t>
      </w:r>
    </w:p>
    <w:p w14:paraId="62B9F775" w14:textId="146F0D5E" w:rsidR="008B2FA1" w:rsidRDefault="008B2FA1" w:rsidP="008B2FA1">
      <w:pPr>
        <w:pStyle w:val="Heading1"/>
        <w:spacing w:line="360" w:lineRule="auto"/>
        <w:rPr>
          <w:rFonts w:ascii="Arial" w:hAnsi="Arial" w:cs="Arial"/>
          <w:b/>
          <w:bCs/>
          <w:color w:val="auto"/>
          <w:sz w:val="24"/>
          <w:szCs w:val="24"/>
        </w:rPr>
      </w:pPr>
      <w:r w:rsidRPr="008B2FA1">
        <w:rPr>
          <w:rFonts w:ascii="Arial" w:hAnsi="Arial" w:cs="Arial"/>
          <w:b/>
          <w:bCs/>
          <w:color w:val="auto"/>
          <w:sz w:val="24"/>
          <w:szCs w:val="24"/>
        </w:rPr>
        <w:t>Student: Daniela Munteanu 2240458</w:t>
      </w:r>
    </w:p>
    <w:p w14:paraId="273D019F" w14:textId="77777777" w:rsidR="008B2FA1" w:rsidRPr="008B2FA1" w:rsidRDefault="008B2FA1" w:rsidP="008B2FA1">
      <w:pPr>
        <w:pStyle w:val="Heading1"/>
        <w:spacing w:line="360" w:lineRule="auto"/>
        <w:rPr>
          <w:rFonts w:ascii="Arial" w:hAnsi="Arial" w:cs="Arial"/>
          <w:b/>
          <w:bCs/>
          <w:color w:val="auto"/>
          <w:sz w:val="24"/>
          <w:szCs w:val="24"/>
        </w:rPr>
      </w:pPr>
    </w:p>
    <w:p w14:paraId="7DA174FB" w14:textId="77777777" w:rsidR="00891F5C" w:rsidRDefault="00000000" w:rsidP="00E42786">
      <w:pPr>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t>Contracting Strategies and Methods in Project Management: A Comparative Approach</w:t>
      </w:r>
    </w:p>
    <w:p w14:paraId="7CCDF565" w14:textId="77777777" w:rsidR="008B2FA1" w:rsidRPr="00E42786" w:rsidRDefault="008B2FA1" w:rsidP="00E42786">
      <w:pPr>
        <w:spacing w:line="360" w:lineRule="auto"/>
        <w:rPr>
          <w:rFonts w:ascii="Arial" w:hAnsi="Arial" w:cs="Arial"/>
          <w:color w:val="000000" w:themeColor="text1"/>
          <w:sz w:val="24"/>
          <w:szCs w:val="24"/>
        </w:rPr>
      </w:pPr>
    </w:p>
    <w:p w14:paraId="3611B5A0" w14:textId="77777777" w:rsidR="00891F5C" w:rsidRPr="00E42786" w:rsidRDefault="00000000" w:rsidP="00E42786">
      <w:pPr>
        <w:spacing w:line="360" w:lineRule="auto"/>
        <w:rPr>
          <w:rFonts w:ascii="Arial" w:hAnsi="Arial" w:cs="Arial"/>
          <w:color w:val="000000" w:themeColor="text1"/>
          <w:sz w:val="24"/>
          <w:szCs w:val="24"/>
        </w:rPr>
      </w:pPr>
      <w:r w:rsidRPr="00E42786">
        <w:rPr>
          <w:rFonts w:ascii="Arial" w:hAnsi="Arial" w:cs="Arial"/>
          <w:b/>
          <w:bCs/>
          <w:color w:val="000000" w:themeColor="text1"/>
          <w:sz w:val="24"/>
          <w:szCs w:val="24"/>
        </w:rPr>
        <w:t>Table of Contents</w:t>
      </w:r>
    </w:p>
    <w:p w14:paraId="60717917" w14:textId="77777777"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1. Introduction</w:t>
      </w:r>
      <w:r w:rsidRPr="00E42786">
        <w:rPr>
          <w:rFonts w:ascii="Arial" w:hAnsi="Arial" w:cs="Arial"/>
          <w:color w:val="000000" w:themeColor="text1"/>
          <w:sz w:val="24"/>
          <w:szCs w:val="24"/>
        </w:rPr>
        <w:tab/>
        <w:t>2</w:t>
      </w:r>
    </w:p>
    <w:p w14:paraId="7C3F4982" w14:textId="77777777"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2. Turnkey Contracting</w:t>
      </w:r>
      <w:r w:rsidRPr="00E42786">
        <w:rPr>
          <w:rFonts w:ascii="Arial" w:hAnsi="Arial" w:cs="Arial"/>
          <w:color w:val="000000" w:themeColor="text1"/>
          <w:sz w:val="24"/>
          <w:szCs w:val="24"/>
        </w:rPr>
        <w:tab/>
        <w:t>2</w:t>
      </w:r>
    </w:p>
    <w:p w14:paraId="22F3FE7C" w14:textId="06838CF1"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3. Multi-Contract Method</w:t>
      </w:r>
      <w:r w:rsidRPr="00E42786">
        <w:rPr>
          <w:rFonts w:ascii="Arial" w:hAnsi="Arial" w:cs="Arial"/>
          <w:color w:val="000000" w:themeColor="text1"/>
          <w:sz w:val="24"/>
          <w:szCs w:val="24"/>
        </w:rPr>
        <w:tab/>
      </w:r>
      <w:r w:rsidR="00E42786">
        <w:rPr>
          <w:rFonts w:ascii="Arial" w:hAnsi="Arial" w:cs="Arial"/>
          <w:color w:val="000000" w:themeColor="text1"/>
          <w:sz w:val="24"/>
          <w:szCs w:val="24"/>
        </w:rPr>
        <w:t>3</w:t>
      </w:r>
    </w:p>
    <w:p w14:paraId="05769113" w14:textId="6A15DB7B"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4. Do-It-Yourself (DIY) Contracting</w:t>
      </w:r>
      <w:r w:rsidRPr="00E42786">
        <w:rPr>
          <w:rFonts w:ascii="Arial" w:hAnsi="Arial" w:cs="Arial"/>
          <w:color w:val="000000" w:themeColor="text1"/>
          <w:sz w:val="24"/>
          <w:szCs w:val="24"/>
        </w:rPr>
        <w:tab/>
      </w:r>
      <w:r w:rsidR="00E42786">
        <w:rPr>
          <w:rFonts w:ascii="Arial" w:hAnsi="Arial" w:cs="Arial"/>
          <w:color w:val="000000" w:themeColor="text1"/>
          <w:sz w:val="24"/>
          <w:szCs w:val="24"/>
        </w:rPr>
        <w:t>4</w:t>
      </w:r>
    </w:p>
    <w:p w14:paraId="30A837F5" w14:textId="29265A35"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5. Multi-Contract Plus DIY</w:t>
      </w:r>
      <w:r w:rsidRPr="00E42786">
        <w:rPr>
          <w:rFonts w:ascii="Arial" w:hAnsi="Arial" w:cs="Arial"/>
          <w:color w:val="000000" w:themeColor="text1"/>
          <w:sz w:val="24"/>
          <w:szCs w:val="24"/>
        </w:rPr>
        <w:tab/>
      </w:r>
      <w:r w:rsidR="002A557F">
        <w:rPr>
          <w:rFonts w:ascii="Arial" w:hAnsi="Arial" w:cs="Arial"/>
          <w:color w:val="000000" w:themeColor="text1"/>
          <w:sz w:val="24"/>
          <w:szCs w:val="24"/>
        </w:rPr>
        <w:t>5</w:t>
      </w:r>
    </w:p>
    <w:p w14:paraId="4077725E" w14:textId="70199DEA"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6. Matching the Strategy to the Project</w:t>
      </w:r>
      <w:r w:rsidRPr="00E42786">
        <w:rPr>
          <w:rFonts w:ascii="Arial" w:hAnsi="Arial" w:cs="Arial"/>
          <w:color w:val="000000" w:themeColor="text1"/>
          <w:sz w:val="24"/>
          <w:szCs w:val="24"/>
        </w:rPr>
        <w:tab/>
      </w:r>
      <w:r w:rsidR="00E42786">
        <w:rPr>
          <w:rFonts w:ascii="Arial" w:hAnsi="Arial" w:cs="Arial"/>
          <w:color w:val="000000" w:themeColor="text1"/>
          <w:sz w:val="24"/>
          <w:szCs w:val="24"/>
        </w:rPr>
        <w:t>5</w:t>
      </w:r>
    </w:p>
    <w:p w14:paraId="416B5B1D" w14:textId="2B86F8DA"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7. Conclusion</w:t>
      </w:r>
      <w:r w:rsidRPr="00E42786">
        <w:rPr>
          <w:rFonts w:ascii="Arial" w:hAnsi="Arial" w:cs="Arial"/>
          <w:color w:val="000000" w:themeColor="text1"/>
          <w:sz w:val="24"/>
          <w:szCs w:val="24"/>
        </w:rPr>
        <w:tab/>
      </w:r>
      <w:r w:rsidR="00E42786">
        <w:rPr>
          <w:rFonts w:ascii="Arial" w:hAnsi="Arial" w:cs="Arial"/>
          <w:color w:val="000000" w:themeColor="text1"/>
          <w:sz w:val="24"/>
          <w:szCs w:val="24"/>
        </w:rPr>
        <w:t>6</w:t>
      </w:r>
    </w:p>
    <w:p w14:paraId="4E932EA4" w14:textId="5D4EE002" w:rsidR="00891F5C" w:rsidRPr="00E42786" w:rsidRDefault="00000000" w:rsidP="00E42786">
      <w:pPr>
        <w:tabs>
          <w:tab w:val="right" w:leader="dot" w:pos="9026"/>
        </w:tabs>
        <w:spacing w:line="360" w:lineRule="auto"/>
        <w:rPr>
          <w:rFonts w:ascii="Arial" w:hAnsi="Arial" w:cs="Arial"/>
          <w:color w:val="000000" w:themeColor="text1"/>
          <w:sz w:val="24"/>
          <w:szCs w:val="24"/>
        </w:rPr>
      </w:pPr>
      <w:r w:rsidRPr="00E42786">
        <w:rPr>
          <w:rFonts w:ascii="Arial" w:hAnsi="Arial" w:cs="Arial"/>
          <w:color w:val="000000" w:themeColor="text1"/>
          <w:sz w:val="24"/>
          <w:szCs w:val="24"/>
        </w:rPr>
        <w:t>References</w:t>
      </w:r>
      <w:r w:rsidRPr="00E42786">
        <w:rPr>
          <w:rFonts w:ascii="Arial" w:hAnsi="Arial" w:cs="Arial"/>
          <w:color w:val="000000" w:themeColor="text1"/>
          <w:sz w:val="24"/>
          <w:szCs w:val="24"/>
        </w:rPr>
        <w:tab/>
      </w:r>
      <w:r w:rsidR="00E43CD8">
        <w:rPr>
          <w:rFonts w:ascii="Arial" w:hAnsi="Arial" w:cs="Arial"/>
          <w:color w:val="000000" w:themeColor="text1"/>
          <w:sz w:val="24"/>
          <w:szCs w:val="24"/>
        </w:rPr>
        <w:t>8</w:t>
      </w:r>
    </w:p>
    <w:p w14:paraId="7F7131E0" w14:textId="77777777" w:rsidR="00891F5C" w:rsidRPr="00E42786" w:rsidRDefault="00000000" w:rsidP="00E42786">
      <w:pPr>
        <w:spacing w:line="360" w:lineRule="auto"/>
        <w:rPr>
          <w:rFonts w:ascii="Arial" w:hAnsi="Arial" w:cs="Arial"/>
          <w:color w:val="000000" w:themeColor="text1"/>
          <w:sz w:val="24"/>
          <w:szCs w:val="24"/>
        </w:rPr>
      </w:pPr>
      <w:r w:rsidRPr="00E42786">
        <w:rPr>
          <w:rFonts w:ascii="Arial" w:hAnsi="Arial" w:cs="Arial"/>
          <w:color w:val="000000" w:themeColor="text1"/>
          <w:sz w:val="24"/>
          <w:szCs w:val="24"/>
        </w:rPr>
        <w:br w:type="page"/>
      </w:r>
    </w:p>
    <w:p w14:paraId="34935896" w14:textId="37C4E06E" w:rsidR="00891F5C" w:rsidRDefault="00000000" w:rsidP="002A557F">
      <w:pPr>
        <w:pStyle w:val="Heading1"/>
        <w:numPr>
          <w:ilvl w:val="0"/>
          <w:numId w:val="2"/>
        </w:numPr>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lastRenderedPageBreak/>
        <w:t>Introduction</w:t>
      </w:r>
    </w:p>
    <w:p w14:paraId="2D3A7C72" w14:textId="77777777" w:rsidR="002A557F" w:rsidRPr="00E42786" w:rsidRDefault="002A557F" w:rsidP="002A557F">
      <w:pPr>
        <w:pStyle w:val="Heading1"/>
        <w:spacing w:line="360" w:lineRule="auto"/>
        <w:ind w:left="720"/>
        <w:rPr>
          <w:rFonts w:ascii="Arial" w:hAnsi="Arial" w:cs="Arial"/>
          <w:b/>
          <w:bCs/>
          <w:color w:val="000000" w:themeColor="text1"/>
          <w:sz w:val="24"/>
          <w:szCs w:val="24"/>
        </w:rPr>
      </w:pPr>
    </w:p>
    <w:p w14:paraId="23C43495" w14:textId="77777777" w:rsidR="005E61AF" w:rsidRDefault="005E61AF" w:rsidP="005E61AF">
      <w:pPr>
        <w:spacing w:line="360" w:lineRule="auto"/>
        <w:ind w:firstLine="360"/>
        <w:rPr>
          <w:rFonts w:ascii="Arial" w:hAnsi="Arial" w:cs="Arial"/>
          <w:color w:val="000000" w:themeColor="text1"/>
          <w:sz w:val="24"/>
          <w:szCs w:val="24"/>
        </w:rPr>
      </w:pPr>
      <w:r w:rsidRPr="005E61AF">
        <w:rPr>
          <w:rFonts w:ascii="Arial" w:hAnsi="Arial" w:cs="Arial"/>
          <w:color w:val="000000" w:themeColor="text1"/>
          <w:sz w:val="24"/>
          <w:szCs w:val="24"/>
        </w:rPr>
        <w:t xml:space="preserve">Project management is the application of information, skills, tools, and procedures to project activities in order to meet project objectives (PMI, 2017, p.5). One of the first major decisions a project sponsor makes is how to contract out the work. That decision then governs the project's whole governance structure, including who executes the work and under what legal and commercial terms. Contracting is the process of delegating some or all of the project tasks to third parties for a fee rather than utilising the client's own personnel (Winch 2010, p.101). </w:t>
      </w:r>
    </w:p>
    <w:p w14:paraId="25A05927" w14:textId="77777777" w:rsidR="005E61AF" w:rsidRDefault="005E61AF" w:rsidP="005E61AF">
      <w:pPr>
        <w:spacing w:line="360" w:lineRule="auto"/>
        <w:ind w:firstLine="360"/>
        <w:rPr>
          <w:rFonts w:ascii="Arial" w:hAnsi="Arial" w:cs="Arial"/>
          <w:color w:val="000000" w:themeColor="text1"/>
          <w:sz w:val="24"/>
          <w:szCs w:val="24"/>
        </w:rPr>
      </w:pPr>
      <w:r w:rsidRPr="005E61AF">
        <w:rPr>
          <w:rFonts w:ascii="Arial" w:hAnsi="Arial" w:cs="Arial"/>
          <w:color w:val="000000" w:themeColor="text1"/>
          <w:sz w:val="24"/>
          <w:szCs w:val="24"/>
        </w:rPr>
        <w:t xml:space="preserve">This conclusion is based on the make or buy analysis, which determines whether work is best done within the company or purchased from the market. It takes into account the client's resources, technical skill, and risk for each choice (Project Management Institute, 2025, p. 246). Purchasing work in provides quick access to specialist expertise and transfers risk to another party, but also limits the client's direct control over cost, quality, and schedule. (Winch, 2010, pp. 101–102). In practice, there are four primary contracting strategies: turnkey, multi-contract, do-it-yourself (DIY), and a hybrid multi-contract + DIY strategy. </w:t>
      </w:r>
    </w:p>
    <w:p w14:paraId="7E92C2EE" w14:textId="657DC94C" w:rsidR="005E61AF" w:rsidRPr="005E61AF" w:rsidRDefault="005E61AF" w:rsidP="005E61AF">
      <w:pPr>
        <w:spacing w:line="360" w:lineRule="auto"/>
        <w:ind w:firstLine="360"/>
        <w:rPr>
          <w:rFonts w:ascii="Arial" w:hAnsi="Arial" w:cs="Arial"/>
          <w:color w:val="000000" w:themeColor="text1"/>
          <w:sz w:val="24"/>
          <w:szCs w:val="24"/>
        </w:rPr>
      </w:pPr>
      <w:r w:rsidRPr="005E61AF">
        <w:rPr>
          <w:rFonts w:ascii="Arial" w:hAnsi="Arial" w:cs="Arial"/>
          <w:color w:val="000000" w:themeColor="text1"/>
          <w:sz w:val="24"/>
          <w:szCs w:val="24"/>
        </w:rPr>
        <w:t>These are not pricing systems, but rather organisational structures that fall along a spectrum of consumer participation, from minimal in Turnkey to complete internal ownership in DIY (De Marco, 2011, p.25). This essay discusses each method, including its benefits and drawbacks, as well as the types of projects that are best suited to each.</w:t>
      </w:r>
    </w:p>
    <w:p w14:paraId="55B04422" w14:textId="77777777" w:rsidR="002A557F" w:rsidRPr="00E42786" w:rsidRDefault="002A557F" w:rsidP="002A557F">
      <w:pPr>
        <w:spacing w:line="360" w:lineRule="auto"/>
        <w:ind w:firstLine="360"/>
        <w:jc w:val="both"/>
        <w:rPr>
          <w:rFonts w:ascii="Arial" w:hAnsi="Arial" w:cs="Arial"/>
          <w:color w:val="000000" w:themeColor="text1"/>
          <w:sz w:val="24"/>
          <w:szCs w:val="24"/>
        </w:rPr>
      </w:pPr>
    </w:p>
    <w:p w14:paraId="453B1436" w14:textId="77777777" w:rsidR="00891F5C" w:rsidRPr="00E42786" w:rsidRDefault="00000000" w:rsidP="00E42786">
      <w:pPr>
        <w:pStyle w:val="Heading1"/>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t>2. Turnkey Contracting</w:t>
      </w:r>
    </w:p>
    <w:p w14:paraId="2C11E2B4" w14:textId="77777777" w:rsidR="001D63BD" w:rsidRDefault="001D63BD" w:rsidP="001D63BD">
      <w:pPr>
        <w:spacing w:line="360" w:lineRule="auto"/>
        <w:ind w:firstLine="720"/>
        <w:rPr>
          <w:rFonts w:ascii="Arial" w:hAnsi="Arial" w:cs="Arial"/>
          <w:color w:val="000000" w:themeColor="text1"/>
          <w:sz w:val="24"/>
          <w:szCs w:val="24"/>
        </w:rPr>
      </w:pPr>
      <w:r w:rsidRPr="001D63BD">
        <w:rPr>
          <w:rFonts w:ascii="Arial" w:hAnsi="Arial" w:cs="Arial"/>
          <w:color w:val="000000" w:themeColor="text1"/>
          <w:sz w:val="24"/>
          <w:szCs w:val="24"/>
        </w:rPr>
        <w:t xml:space="preserve">In a Turnkey structure, a single prime contractor is in charge of the whole project life cycle, from design to procurement and construction to facility operation. In complex instances, this can include purchasing the location, arranging financing, and, in the case of private-finance arrangements, running the facility afterwards (Masterman, 2002, pp. 50-51). Winch (2010, pp. 111-112) defines this as a "integrated coalition": the client contracts with a single turnkey company that employs its own specialists, labourers, and subcontractors. The PMBOK Guide defines turnkey as a primary delivery method, alongside design-build and design-bid-build, where a make-or-buy analysis reveals that it is preferable to execute the project externally (Project Management Institute, 2025, p. 247). </w:t>
      </w:r>
    </w:p>
    <w:p w14:paraId="313E0EF5" w14:textId="77777777" w:rsidR="001D63BD" w:rsidRDefault="001D63BD" w:rsidP="001D63BD">
      <w:pPr>
        <w:spacing w:line="360" w:lineRule="auto"/>
        <w:ind w:firstLine="720"/>
        <w:rPr>
          <w:rFonts w:ascii="Arial" w:hAnsi="Arial" w:cs="Arial"/>
          <w:color w:val="000000" w:themeColor="text1"/>
          <w:sz w:val="24"/>
          <w:szCs w:val="24"/>
        </w:rPr>
      </w:pPr>
      <w:r w:rsidRPr="001D63BD">
        <w:rPr>
          <w:rFonts w:ascii="Arial" w:hAnsi="Arial" w:cs="Arial"/>
          <w:color w:val="000000" w:themeColor="text1"/>
          <w:sz w:val="24"/>
          <w:szCs w:val="24"/>
        </w:rPr>
        <w:t xml:space="preserve">The main advantage is having a single point of contact and accountability, which makes administration much easier than running multiple businesses (Masterman, 2002, </w:t>
      </w:r>
      <w:r w:rsidRPr="001D63BD">
        <w:rPr>
          <w:rFonts w:ascii="Arial" w:hAnsi="Arial" w:cs="Arial"/>
          <w:color w:val="000000" w:themeColor="text1"/>
          <w:sz w:val="24"/>
          <w:szCs w:val="24"/>
        </w:rPr>
        <w:lastRenderedPageBreak/>
        <w:t xml:space="preserve">p.53). The client gains budget certainty while transferring the majority of the delivery risk to the contractor (De Marco, 2011, p. 23; Kerzner, 2017, p.673). In response, the contractor typically commits to a predetermined lump sum fee and completion date in exchange for time to raise funding or focus on strategy rather than direct site supervision (De Marco, 2011, p.23). </w:t>
      </w:r>
    </w:p>
    <w:p w14:paraId="70B9F297" w14:textId="77777777" w:rsidR="00D35D68" w:rsidRDefault="001D63BD" w:rsidP="001D63BD">
      <w:pPr>
        <w:spacing w:line="360" w:lineRule="auto"/>
        <w:ind w:firstLine="720"/>
        <w:rPr>
          <w:rFonts w:ascii="Arial" w:hAnsi="Arial" w:cs="Arial"/>
          <w:color w:val="000000" w:themeColor="text1"/>
          <w:sz w:val="24"/>
          <w:szCs w:val="24"/>
        </w:rPr>
      </w:pPr>
      <w:r w:rsidRPr="001D63BD">
        <w:rPr>
          <w:rFonts w:ascii="Arial" w:hAnsi="Arial" w:cs="Arial"/>
          <w:color w:val="000000" w:themeColor="text1"/>
          <w:sz w:val="24"/>
          <w:szCs w:val="24"/>
        </w:rPr>
        <w:t xml:space="preserve">This promise comes at a genuine cost. Prices are often higher than in more traditional procurement methods because the contractor adds a risk premium (Masterman, 2002, p. 54). Kerzner (2017, p.673) distinguishes Turnkey contracts from cost-plus contracts by stating that the contractor is solely responsible for profit or loss, which may result in cutting corners if the initial design was not detailed with full rigour. </w:t>
      </w:r>
    </w:p>
    <w:p w14:paraId="762867D5" w14:textId="4190F2A8" w:rsidR="001D63BD" w:rsidRPr="001D63BD" w:rsidRDefault="001D63BD" w:rsidP="001D63BD">
      <w:pPr>
        <w:spacing w:line="360" w:lineRule="auto"/>
        <w:ind w:firstLine="720"/>
        <w:rPr>
          <w:rFonts w:ascii="Arial" w:hAnsi="Arial" w:cs="Arial"/>
          <w:color w:val="000000" w:themeColor="text1"/>
          <w:sz w:val="24"/>
          <w:szCs w:val="24"/>
        </w:rPr>
      </w:pPr>
      <w:r w:rsidRPr="001D63BD">
        <w:rPr>
          <w:rFonts w:ascii="Arial" w:hAnsi="Arial" w:cs="Arial"/>
          <w:color w:val="000000" w:themeColor="text1"/>
          <w:sz w:val="24"/>
          <w:szCs w:val="24"/>
        </w:rPr>
        <w:t>Turnkey is appropriate for large, technically complex projects where the client lacks the in-house engineering competence to coordinate the work directly. Turnkey projects have traditionally included oil refineries, power plants, and chemical plants (Masterman, 2002, p. 50). According to Pietroforte and Miller (2002, pp.426-427), it is a solid method for infrastructure that is segmented, directly funded, and when the client needs a specific completion date and is willing to fund capital directly.</w:t>
      </w:r>
    </w:p>
    <w:p w14:paraId="27CB6BD7" w14:textId="77777777" w:rsidR="002A557F" w:rsidRPr="00E42786" w:rsidRDefault="002A557F" w:rsidP="0006466B">
      <w:pPr>
        <w:spacing w:line="360" w:lineRule="auto"/>
        <w:ind w:firstLine="720"/>
        <w:rPr>
          <w:rFonts w:ascii="Arial" w:hAnsi="Arial" w:cs="Arial"/>
          <w:color w:val="000000" w:themeColor="text1"/>
          <w:sz w:val="24"/>
          <w:szCs w:val="24"/>
        </w:rPr>
      </w:pPr>
    </w:p>
    <w:p w14:paraId="31474294" w14:textId="77777777" w:rsidR="00891F5C" w:rsidRPr="00E42786" w:rsidRDefault="00000000" w:rsidP="00E42786">
      <w:pPr>
        <w:pStyle w:val="Heading1"/>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t>3. Multi-Contract Method</w:t>
      </w:r>
    </w:p>
    <w:p w14:paraId="15D1F76B" w14:textId="77777777" w:rsidR="00891F5C" w:rsidRPr="00E42786" w:rsidRDefault="00000000" w:rsidP="002A557F">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Unlike Turnkey's single point of responsibility, Multi-contract is built on strategic fragmentation. The client rejects a single general contractor and instead splits the project into defined work packages, signing direct contracts with specialist firms (Masterman, 2002, p.68). In US terms this is the "Multiple Primes" model, where the general contractor disappears and is replaced by a manager responsible for selecting and coordinating every firm involved (De Marco, 2011, pp.20-21). Clough et al. (2015, p.81) note that many modern projects are carried out not by one entity but by several independent prime contractors, each holding a direct legal relationship with the owner.</w:t>
      </w:r>
    </w:p>
    <w:p w14:paraId="1FAD85CE" w14:textId="77777777" w:rsidR="0006466B" w:rsidRDefault="0006466B" w:rsidP="0006466B">
      <w:pPr>
        <w:spacing w:line="360" w:lineRule="auto"/>
        <w:ind w:firstLine="720"/>
        <w:rPr>
          <w:rFonts w:ascii="Arial" w:hAnsi="Arial" w:cs="Arial"/>
          <w:color w:val="000000" w:themeColor="text1"/>
          <w:sz w:val="24"/>
          <w:szCs w:val="24"/>
        </w:rPr>
      </w:pPr>
      <w:r w:rsidRPr="0006466B">
        <w:rPr>
          <w:rFonts w:ascii="Arial" w:hAnsi="Arial" w:cs="Arial"/>
          <w:color w:val="000000" w:themeColor="text1"/>
          <w:sz w:val="24"/>
          <w:szCs w:val="24"/>
        </w:rPr>
        <w:t xml:space="preserve">Clients prefer this strategy primarily for financial and operational control. By signing directly with each supplier, the general contractor’s margin is eliminated and the ability to adjust unawarded packages as the project progresses is retained (Masterman, 2002, p.69). It also enables fast-tracking. Competitive tendering of each package with design and construction overlapping results in speedier completion than conventional, sequential procurement (Masterman, 2002, p.68). </w:t>
      </w:r>
    </w:p>
    <w:p w14:paraId="6BF7EF48" w14:textId="6DEFB2DC" w:rsidR="0006466B" w:rsidRPr="0006466B" w:rsidRDefault="0006466B" w:rsidP="0006466B">
      <w:pPr>
        <w:spacing w:line="360" w:lineRule="auto"/>
        <w:ind w:firstLine="720"/>
        <w:rPr>
          <w:rFonts w:ascii="Arial" w:hAnsi="Arial" w:cs="Arial"/>
          <w:color w:val="000000" w:themeColor="text1"/>
          <w:sz w:val="24"/>
          <w:szCs w:val="24"/>
        </w:rPr>
      </w:pPr>
      <w:r w:rsidRPr="0006466B">
        <w:rPr>
          <w:rFonts w:ascii="Arial" w:hAnsi="Arial" w:cs="Arial"/>
          <w:color w:val="000000" w:themeColor="text1"/>
          <w:sz w:val="24"/>
          <w:szCs w:val="24"/>
        </w:rPr>
        <w:t xml:space="preserve">The downside is that the client has to bear the integration burden, directly coordinating schedules and technical interfaces between multiple firms, as there is no general contractor to take on that role (De Marco, 2011, pp.20-21). If a management firm </w:t>
      </w:r>
      <w:r w:rsidRPr="0006466B">
        <w:rPr>
          <w:rFonts w:ascii="Arial" w:hAnsi="Arial" w:cs="Arial"/>
          <w:color w:val="000000" w:themeColor="text1"/>
          <w:sz w:val="24"/>
          <w:szCs w:val="24"/>
        </w:rPr>
        <w:lastRenderedPageBreak/>
        <w:t>is employed, then the historical evidence continues to reveal delays caused by disagreements amongst trade businesses over which the manager has no direct authority, and extra costs and the lack of a single fixed price for the full project (Masterman, 2002, p.57).</w:t>
      </w:r>
    </w:p>
    <w:p w14:paraId="2ABEC00E" w14:textId="77777777" w:rsidR="00891F5C" w:rsidRDefault="00000000" w:rsidP="002A557F">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Multi-contracting suits complex projects needing a wide range of technical specialisms, where the client has, or can bring in, a strong project management team (De Marco, 2011, p.20). US federal agencies running continuous public construction programmes historically favoured this method, judging it better to keep risk and control with the client than hand it to a commercial intermediary (Masterman, 2002, p.56).</w:t>
      </w:r>
    </w:p>
    <w:p w14:paraId="68A7954E" w14:textId="77777777" w:rsidR="002A557F" w:rsidRPr="00E42786" w:rsidRDefault="002A557F" w:rsidP="002A557F">
      <w:pPr>
        <w:spacing w:line="360" w:lineRule="auto"/>
        <w:ind w:firstLine="720"/>
        <w:jc w:val="both"/>
        <w:rPr>
          <w:rFonts w:ascii="Arial" w:hAnsi="Arial" w:cs="Arial"/>
          <w:color w:val="000000" w:themeColor="text1"/>
          <w:sz w:val="24"/>
          <w:szCs w:val="24"/>
        </w:rPr>
      </w:pPr>
    </w:p>
    <w:p w14:paraId="72DA910E" w14:textId="77777777" w:rsidR="00891F5C" w:rsidRPr="00E42786" w:rsidRDefault="00000000" w:rsidP="00E42786">
      <w:pPr>
        <w:pStyle w:val="Heading1"/>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t>4. Do-It-Yourself (DIY) Contracting</w:t>
      </w:r>
    </w:p>
    <w:p w14:paraId="72B861E6" w14:textId="77777777" w:rsidR="0006466B" w:rsidRDefault="0006466B" w:rsidP="0006466B">
      <w:pPr>
        <w:spacing w:line="360" w:lineRule="auto"/>
        <w:ind w:firstLine="720"/>
        <w:rPr>
          <w:rFonts w:ascii="Arial" w:hAnsi="Arial" w:cs="Arial"/>
          <w:color w:val="000000" w:themeColor="text1"/>
          <w:sz w:val="24"/>
          <w:szCs w:val="24"/>
        </w:rPr>
      </w:pPr>
      <w:r w:rsidRPr="0006466B">
        <w:rPr>
          <w:rFonts w:ascii="Arial" w:hAnsi="Arial" w:cs="Arial"/>
          <w:color w:val="000000" w:themeColor="text1"/>
          <w:sz w:val="24"/>
          <w:szCs w:val="24"/>
        </w:rPr>
        <w:t xml:space="preserve">In a DIY or in-house execution strategy, the client does not outsource the core work but uses its own workforce, equipment, and resources (Winch, 2010, p.101). Walk (2015, p.158) mentions companies that use permanent specialists to build projects and control construction directly. </w:t>
      </w:r>
    </w:p>
    <w:p w14:paraId="41803913" w14:textId="77777777" w:rsidR="0006466B" w:rsidRDefault="0006466B" w:rsidP="0006466B">
      <w:pPr>
        <w:spacing w:line="360" w:lineRule="auto"/>
        <w:ind w:firstLine="720"/>
        <w:rPr>
          <w:rFonts w:ascii="Arial" w:hAnsi="Arial" w:cs="Arial"/>
          <w:color w:val="000000" w:themeColor="text1"/>
          <w:sz w:val="24"/>
          <w:szCs w:val="24"/>
        </w:rPr>
      </w:pPr>
      <w:r w:rsidRPr="0006466B">
        <w:rPr>
          <w:rFonts w:ascii="Arial" w:hAnsi="Arial" w:cs="Arial"/>
          <w:color w:val="000000" w:themeColor="text1"/>
          <w:sz w:val="24"/>
          <w:szCs w:val="24"/>
        </w:rPr>
        <w:t xml:space="preserve">Benefits include eliminating the bureaucracy of negotiating a complex contract before work begins. The employer-employee authority relationship allows goals to be adjusted as work progresses (Winch, 2010, p.101). An internal department is administered as a cost centre rather than a profit centre, thus the client has total financial transparency over its team and the possibility of an external contractor chasing unreasonable profits decreases (Winch, 2010, p.101). Team loyalty meets customer goals, reducing economic conflicts of interest (Walker, 2015, p.158). </w:t>
      </w:r>
    </w:p>
    <w:p w14:paraId="56111F76" w14:textId="77777777" w:rsidR="0006466B" w:rsidRDefault="0006466B" w:rsidP="0006466B">
      <w:pPr>
        <w:spacing w:line="360" w:lineRule="auto"/>
        <w:ind w:firstLine="720"/>
        <w:rPr>
          <w:rFonts w:ascii="Arial" w:hAnsi="Arial" w:cs="Arial"/>
          <w:color w:val="000000" w:themeColor="text1"/>
          <w:sz w:val="24"/>
          <w:szCs w:val="24"/>
        </w:rPr>
      </w:pPr>
      <w:r w:rsidRPr="0006466B">
        <w:rPr>
          <w:rFonts w:ascii="Arial" w:hAnsi="Arial" w:cs="Arial"/>
          <w:color w:val="000000" w:themeColor="text1"/>
          <w:sz w:val="24"/>
          <w:szCs w:val="24"/>
        </w:rPr>
        <w:t xml:space="preserve">Winch (2010, p.102) identified three drawbacks. When construction is not the company's main activity, direct engagement distracts senior management. A permanent in-house personnel is uneconomical with low project frequency and large fixed expenses in low activity times. In the absence of market competition, complacency, inefficiency, and higher costs might result. Walker (2015, p.158) maintains that most customers cannot maintain a significant internal structure and that UK local government direct labour groups have had mixed results due to political rather than administrative factors. </w:t>
      </w:r>
    </w:p>
    <w:p w14:paraId="06F9D3F6" w14:textId="643B67FC" w:rsidR="0006466B" w:rsidRPr="0006466B" w:rsidRDefault="0006466B" w:rsidP="0006466B">
      <w:pPr>
        <w:spacing w:line="360" w:lineRule="auto"/>
        <w:ind w:firstLine="720"/>
        <w:rPr>
          <w:rFonts w:ascii="Arial" w:hAnsi="Arial" w:cs="Arial"/>
          <w:color w:val="000000" w:themeColor="text1"/>
          <w:sz w:val="24"/>
          <w:szCs w:val="24"/>
        </w:rPr>
      </w:pPr>
      <w:r w:rsidRPr="0006466B">
        <w:rPr>
          <w:rFonts w:ascii="Arial" w:hAnsi="Arial" w:cs="Arial"/>
          <w:color w:val="000000" w:themeColor="text1"/>
          <w:sz w:val="24"/>
          <w:szCs w:val="24"/>
        </w:rPr>
        <w:t>DIY is sustainable for large companies with a steady predictable volume of work, such as government agencies or industrial conglomerates, because the recurring transactions justify the fixed costs (Winch, 2010, pp.101-102). The US Army Corps of Engineers, France's Directions d'Equipement, and significant property businesses' in-house facilities-management teams all perform ongoing repairs and maintenance (Winch, 2010 p.101).</w:t>
      </w:r>
    </w:p>
    <w:p w14:paraId="2AA96582" w14:textId="77777777" w:rsidR="002A557F" w:rsidRPr="00E42786" w:rsidRDefault="002A557F" w:rsidP="002A557F">
      <w:pPr>
        <w:spacing w:line="360" w:lineRule="auto"/>
        <w:ind w:firstLine="720"/>
        <w:jc w:val="both"/>
        <w:rPr>
          <w:rFonts w:ascii="Arial" w:hAnsi="Arial" w:cs="Arial"/>
          <w:color w:val="000000" w:themeColor="text1"/>
          <w:sz w:val="24"/>
          <w:szCs w:val="24"/>
        </w:rPr>
      </w:pPr>
    </w:p>
    <w:p w14:paraId="495A251C" w14:textId="77777777" w:rsidR="00891F5C" w:rsidRPr="00E42786" w:rsidRDefault="00000000" w:rsidP="00E42786">
      <w:pPr>
        <w:pStyle w:val="Heading1"/>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t>5. Multi-Contract Plus DIY</w:t>
      </w:r>
    </w:p>
    <w:p w14:paraId="224E7A51" w14:textId="77777777" w:rsidR="00891F5C" w:rsidRPr="00E42786" w:rsidRDefault="00000000" w:rsidP="002A557F">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This hybrid method blends the two approaches to get around the rigid limits of each pure model. The client uses its own staff and resources (DIY) for the core, most sensitive, or best-understood packages, while dividing the rest into specialised packages let to outside suppliers (Multi-contract) where it lacks the right skills or equipment.</w:t>
      </w:r>
    </w:p>
    <w:p w14:paraId="37B7326B" w14:textId="77777777" w:rsidR="00891F5C" w:rsidRPr="00E42786" w:rsidRDefault="00000000" w:rsidP="002A557F">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The method reflects the fact that modern project management no longer works in binary terms — fully in-house or fully outsourced — but needs dynamic adaptability (Project Management Institute, 2025). Coordinating this mix of internal teams and external contractors falls to the client's project management office, turning the project manager into a cultural, technical, and contractual integrator (Kerzner, 2017).</w:t>
      </w:r>
    </w:p>
    <w:p w14:paraId="0A16072B" w14:textId="77777777" w:rsidR="00891F5C" w:rsidRPr="00E42786" w:rsidRDefault="00000000" w:rsidP="002A557F">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The main advantage is optimised resource use and flexibility: an organisation keeps internal staff focused on core competencies while bringing in specialist expertise from the market exactly where needed (Walker, 2015). It also gives good control over cash flow, avoiding both expensive permanent hires for skills not needed long-term and the extra coordination costs a general contractor would add (De Marco, 2011). It offers better protection of intellectual property too, since strategic components stay in-house while only generic or executional work is outsourced, reducing the risk of sensitive information leaking (Müller and Turner, 2005).</w:t>
      </w:r>
    </w:p>
    <w:p w14:paraId="0A1DBD5D" w14:textId="77777777" w:rsidR="00891F5C" w:rsidRPr="00E42786"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The main weakness is managerial complexity and real potential for conflict. Coordinating a mixed workforce — internal staff following company rules alongside external teams acting on commercial interest — takes real effort and negotiation skill (Winch, 2010). Grey areas can appear around responsibility for defects: if an in-house component fails to integrate with an externally supplied module, establishing fault becomes genuinely difficult, often causing operational deadlock and disputes (Masterman, 2002). Planning effort effectively doubles too, since flexible internal schedules must stay in sync with the fixed contractual deadlines of external partners (Project Management Institute, 2025).</w:t>
      </w:r>
    </w:p>
    <w:p w14:paraId="31F649DD" w14:textId="77777777" w:rsidR="00891F5C"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This method suits digital transformation projects, advanced technology development, or complex upgrades within active facilities. It is common among technology firms that build a product's core in-house (DIY) while contracting specialist firms for interface design or cybersecurity (Multi-contract), and in collaborative partnerships that require a controlled merger of internal and external resources (Eriksson, 2010).</w:t>
      </w:r>
    </w:p>
    <w:p w14:paraId="2E8ECA12" w14:textId="77777777" w:rsidR="008B2FA1" w:rsidRPr="00E42786" w:rsidRDefault="008B2FA1" w:rsidP="008B2FA1">
      <w:pPr>
        <w:spacing w:line="360" w:lineRule="auto"/>
        <w:ind w:firstLine="720"/>
        <w:jc w:val="both"/>
        <w:rPr>
          <w:rFonts w:ascii="Arial" w:hAnsi="Arial" w:cs="Arial"/>
          <w:color w:val="000000" w:themeColor="text1"/>
          <w:sz w:val="24"/>
          <w:szCs w:val="24"/>
        </w:rPr>
      </w:pPr>
    </w:p>
    <w:p w14:paraId="507C7C26" w14:textId="77777777" w:rsidR="00891F5C" w:rsidRPr="00E42786" w:rsidRDefault="00000000" w:rsidP="00E42786">
      <w:pPr>
        <w:pStyle w:val="Heading1"/>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t>6. Matching the Strategy to the Project</w:t>
      </w:r>
    </w:p>
    <w:p w14:paraId="52B3A7FA" w14:textId="77777777" w:rsidR="00891F5C" w:rsidRPr="00E42786"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lastRenderedPageBreak/>
        <w:t>Choosing a contracting strategy cannot happen in a vacuum; it must match the project's risk profile, complexity, and nature. For large public infrastructure megaprojects, such as motorways or airports, risk management is the defining issue: huge uncertainty, enormous budgets, and heavy political exposure (Flyvbjerg, 2014, p.10). Pure DIY is impractical here, since public authorities lack the capacity, while Multi-contract can expose a public client to serious cross-contractor disputes. Turnkey, despite its higher price, is often preferred by governments precisely because it shifts cost-overrun risk onto a private partner and guarantees a single point of accountability (Pietroforte and Miller, 2002, pp.426-427).</w:t>
      </w:r>
    </w:p>
    <w:p w14:paraId="51400A6B" w14:textId="77777777" w:rsidR="00891F5C" w:rsidRPr="00E42786"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Private commercial real-estate development sits at the other end. This sector is highly competitive on cost and speed, and successful developers usually hold real in-house construction expertise (De Marco, 2011, p.25). For them, Turnkey would waste capital by handing part of their margin to a general contractor. Using Multi-contract, a developer's own project office can break the project into packages, tender each at the best market moment, and keep the flexibility to change design late in response to tenant demand (Clough et al., 2015, p.81; Masterman, 2002, p.69).</w:t>
      </w:r>
    </w:p>
    <w:p w14:paraId="20DC9A97" w14:textId="77777777" w:rsidR="00891F5C" w:rsidRPr="00E42786"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For maintenance inside a continuous production plant, such as a car factory, operational continuity and protecting proprietary know-how matter most. Outside contractors would mean long induction periods, higher safety risk, and possible exposure of patented technology (Müller and Turner, 2005, p.401). DIY fits naturally here: the plant's own staff know the equipment, are aligned with its safety culture, and can carry out upgrades without disrupting production or adding external cost (Winch, 2010, pp.101-102).</w:t>
      </w:r>
    </w:p>
    <w:p w14:paraId="4A236607" w14:textId="77777777" w:rsidR="00891F5C"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Finally, IT and digital transformation projects are the natural home of the hybrid method. In a knowledge economy, source code or a data algorithm is often an organisation's core competitive advantage (Project Management Institute, 2025, p.246). No bank wants to fully outsource its core systems through Turnkey; it keeps them under its own developers (DIY) for long-term security, while contracting specialist agencies directly for peripheral work such as interface design or penetration testing (Multi-contract). This hybrid gives a genuine balance between strategic control and technical efficiency (Eriksson, 2010, p.909; Walker, 2015, p.158).</w:t>
      </w:r>
    </w:p>
    <w:p w14:paraId="6C550197" w14:textId="77777777" w:rsidR="008B2FA1" w:rsidRPr="00E42786" w:rsidRDefault="008B2FA1" w:rsidP="008B2FA1">
      <w:pPr>
        <w:spacing w:line="360" w:lineRule="auto"/>
        <w:ind w:firstLine="720"/>
        <w:jc w:val="both"/>
        <w:rPr>
          <w:rFonts w:ascii="Arial" w:hAnsi="Arial" w:cs="Arial"/>
          <w:color w:val="000000" w:themeColor="text1"/>
          <w:sz w:val="24"/>
          <w:szCs w:val="24"/>
        </w:rPr>
      </w:pPr>
    </w:p>
    <w:p w14:paraId="4B0DE5D8" w14:textId="77777777" w:rsidR="00891F5C" w:rsidRPr="00E42786" w:rsidRDefault="00000000" w:rsidP="00E42786">
      <w:pPr>
        <w:pStyle w:val="Heading1"/>
        <w:spacing w:line="360" w:lineRule="auto"/>
        <w:rPr>
          <w:rFonts w:ascii="Arial" w:hAnsi="Arial" w:cs="Arial"/>
          <w:b/>
          <w:bCs/>
          <w:color w:val="000000" w:themeColor="text1"/>
          <w:sz w:val="24"/>
          <w:szCs w:val="24"/>
        </w:rPr>
      </w:pPr>
      <w:r w:rsidRPr="00E42786">
        <w:rPr>
          <w:rFonts w:ascii="Arial" w:hAnsi="Arial" w:cs="Arial"/>
          <w:b/>
          <w:bCs/>
          <w:color w:val="000000" w:themeColor="text1"/>
          <w:sz w:val="24"/>
          <w:szCs w:val="24"/>
        </w:rPr>
        <w:t>7. Conclusion</w:t>
      </w:r>
    </w:p>
    <w:p w14:paraId="6F377E5C" w14:textId="77777777" w:rsidR="00891F5C" w:rsidRPr="00E42786"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A close look at contracting strategies shows that project success does not depend only on technical execution; it is shaped critically by the contractual architecture chosen at the start. No method is universally superior — each represents a different trade-off between the control a client wants to keep and the risk it is willing to accept and pay for.</w:t>
      </w:r>
    </w:p>
    <w:p w14:paraId="3EF78908" w14:textId="77777777" w:rsidR="00891F5C" w:rsidRPr="00E42786" w:rsidRDefault="00000000" w:rsidP="00E42786">
      <w:pPr>
        <w:spacing w:line="360" w:lineRule="auto"/>
        <w:jc w:val="both"/>
        <w:rPr>
          <w:rFonts w:ascii="Arial" w:hAnsi="Arial" w:cs="Arial"/>
          <w:color w:val="000000" w:themeColor="text1"/>
          <w:sz w:val="24"/>
          <w:szCs w:val="24"/>
        </w:rPr>
      </w:pPr>
      <w:r w:rsidRPr="00E42786">
        <w:rPr>
          <w:rFonts w:ascii="Arial" w:hAnsi="Arial" w:cs="Arial"/>
          <w:color w:val="000000" w:themeColor="text1"/>
          <w:sz w:val="24"/>
          <w:szCs w:val="24"/>
        </w:rPr>
        <w:lastRenderedPageBreak/>
        <w:t>Turnkey offers administrative simplicity and financial certainty, an ideal shield for inexperienced clients running giant industrial projects, but at the cost of higher price and reduced control. Multi-contract offers flexibility and financial optimisation on commercial developments but demands exceptional in-house coordination capability. DIY removes third-party profit and gives full control on internal maintenance work, but exposes the organisation to the whole weight of operational risk and to fixed costs hard to justify without steady work. The hybrid Multi-contract plus DIY model answers the needs of the modern, technology-driven world, protecting an organisation's strategic core with its own resources while still drawing on external innovation, at the price of managing mixed teams rigorously.</w:t>
      </w:r>
    </w:p>
    <w:p w14:paraId="3950CA41" w14:textId="77777777" w:rsidR="00891F5C" w:rsidRPr="00E42786" w:rsidRDefault="00000000" w:rsidP="008B2FA1">
      <w:pPr>
        <w:spacing w:line="360" w:lineRule="auto"/>
        <w:ind w:firstLine="720"/>
        <w:jc w:val="both"/>
        <w:rPr>
          <w:rFonts w:ascii="Arial" w:hAnsi="Arial" w:cs="Arial"/>
          <w:color w:val="000000" w:themeColor="text1"/>
          <w:sz w:val="24"/>
          <w:szCs w:val="24"/>
        </w:rPr>
      </w:pPr>
      <w:r w:rsidRPr="00E42786">
        <w:rPr>
          <w:rFonts w:ascii="Arial" w:hAnsi="Arial" w:cs="Arial"/>
          <w:color w:val="000000" w:themeColor="text1"/>
          <w:sz w:val="24"/>
          <w:szCs w:val="24"/>
        </w:rPr>
        <w:t>Ultimately, effective project management demands a realistic assessment of internal capability, risk tolerance, and the true nature of the deliverables before any commitment is signed. Choosing the right contracting method turns a contract from a simple legal barrier into a strategic tool that drives performance and helps guarantee project success.</w:t>
      </w:r>
    </w:p>
    <w:p w14:paraId="6B6BEAFD" w14:textId="77777777" w:rsidR="00891F5C" w:rsidRPr="00E42786" w:rsidRDefault="00000000" w:rsidP="00E42786">
      <w:pPr>
        <w:spacing w:line="360" w:lineRule="auto"/>
        <w:rPr>
          <w:rFonts w:ascii="Arial" w:hAnsi="Arial" w:cs="Arial"/>
          <w:color w:val="000000" w:themeColor="text1"/>
          <w:sz w:val="24"/>
          <w:szCs w:val="24"/>
        </w:rPr>
      </w:pPr>
      <w:r w:rsidRPr="00E42786">
        <w:rPr>
          <w:rFonts w:ascii="Arial" w:hAnsi="Arial" w:cs="Arial"/>
          <w:color w:val="000000" w:themeColor="text1"/>
          <w:sz w:val="24"/>
          <w:szCs w:val="24"/>
        </w:rPr>
        <w:br w:type="page"/>
      </w:r>
    </w:p>
    <w:p w14:paraId="2622E1C6" w14:textId="77777777" w:rsidR="00891F5C" w:rsidRPr="00E43CD8" w:rsidRDefault="00000000" w:rsidP="00E42786">
      <w:pPr>
        <w:pStyle w:val="Heading1"/>
        <w:spacing w:line="360" w:lineRule="auto"/>
        <w:rPr>
          <w:rFonts w:ascii="Arial" w:hAnsi="Arial" w:cs="Arial"/>
          <w:b/>
          <w:bCs/>
          <w:color w:val="000000" w:themeColor="text1"/>
          <w:sz w:val="24"/>
          <w:szCs w:val="24"/>
        </w:rPr>
      </w:pPr>
      <w:r w:rsidRPr="00E43CD8">
        <w:rPr>
          <w:rFonts w:ascii="Arial" w:hAnsi="Arial" w:cs="Arial"/>
          <w:b/>
          <w:bCs/>
          <w:color w:val="000000" w:themeColor="text1"/>
          <w:sz w:val="24"/>
          <w:szCs w:val="24"/>
        </w:rPr>
        <w:lastRenderedPageBreak/>
        <w:t>References</w:t>
      </w:r>
    </w:p>
    <w:p w14:paraId="0C245C2A" w14:textId="3B763D7B"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Clough, R.H., Sears, G.A., Sears, S.K., Segner, R.O. and Rounds, J.L. (2015)</w:t>
      </w:r>
      <w:r>
        <w:rPr>
          <w:rFonts w:ascii="Arial" w:hAnsi="Arial" w:cs="Arial"/>
          <w:sz w:val="24"/>
          <w:szCs w:val="24"/>
        </w:rPr>
        <w:t xml:space="preserve"> </w:t>
      </w:r>
      <w:r w:rsidRPr="00795F36">
        <w:rPr>
          <w:rFonts w:ascii="Arial" w:hAnsi="Arial" w:cs="Arial"/>
          <w:i/>
          <w:iCs/>
          <w:sz w:val="24"/>
          <w:szCs w:val="24"/>
        </w:rPr>
        <w:t>Construction Contracting: A Practical Guide to Company Management</w:t>
      </w:r>
      <w:r w:rsidRPr="00795F36">
        <w:rPr>
          <w:rFonts w:ascii="Arial" w:hAnsi="Arial" w:cs="Arial"/>
          <w:sz w:val="24"/>
          <w:szCs w:val="24"/>
        </w:rPr>
        <w:t>. 8th edn. Hoboken, NJ: Wiley.</w:t>
      </w:r>
    </w:p>
    <w:p w14:paraId="69F078AB"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De Marco, A. (2011) </w:t>
      </w:r>
      <w:r w:rsidRPr="00795F36">
        <w:rPr>
          <w:rFonts w:ascii="Arial" w:hAnsi="Arial" w:cs="Arial"/>
          <w:i/>
          <w:iCs/>
          <w:sz w:val="24"/>
          <w:szCs w:val="24"/>
        </w:rPr>
        <w:t>Project Management for Facility Constructions: A Guide for Engineers and Architects.</w:t>
      </w:r>
      <w:r w:rsidRPr="00795F36">
        <w:rPr>
          <w:rFonts w:ascii="Arial" w:hAnsi="Arial" w:cs="Arial"/>
          <w:sz w:val="24"/>
          <w:szCs w:val="24"/>
        </w:rPr>
        <w:t xml:space="preserve"> Berlin: Springer.</w:t>
      </w:r>
    </w:p>
    <w:p w14:paraId="495227EA"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Eriksson, P.E. (2010) 'Partnering: what is it, when should it be used, and how should it be implemented?', </w:t>
      </w:r>
      <w:r w:rsidRPr="00795F36">
        <w:rPr>
          <w:rFonts w:ascii="Arial" w:hAnsi="Arial" w:cs="Arial"/>
          <w:i/>
          <w:iCs/>
          <w:sz w:val="24"/>
          <w:szCs w:val="24"/>
        </w:rPr>
        <w:t>Construction Management and Economics,</w:t>
      </w:r>
      <w:r w:rsidRPr="00795F36">
        <w:rPr>
          <w:rFonts w:ascii="Arial" w:hAnsi="Arial" w:cs="Arial"/>
          <w:sz w:val="24"/>
          <w:szCs w:val="24"/>
        </w:rPr>
        <w:t xml:space="preserve"> 28(9), pp.905-917.</w:t>
      </w:r>
    </w:p>
    <w:p w14:paraId="6FD21625"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Flyvbjerg, B. (2014) 'What you should know about megaprojects and why: an overview', </w:t>
      </w:r>
      <w:r w:rsidRPr="00795F36">
        <w:rPr>
          <w:rFonts w:ascii="Arial" w:hAnsi="Arial" w:cs="Arial"/>
          <w:i/>
          <w:iCs/>
          <w:sz w:val="24"/>
          <w:szCs w:val="24"/>
        </w:rPr>
        <w:t>Project Management Journal</w:t>
      </w:r>
      <w:r w:rsidRPr="00795F36">
        <w:rPr>
          <w:rFonts w:ascii="Arial" w:hAnsi="Arial" w:cs="Arial"/>
          <w:sz w:val="24"/>
          <w:szCs w:val="24"/>
        </w:rPr>
        <w:t>, 45(2), pp.6-19.</w:t>
      </w:r>
    </w:p>
    <w:p w14:paraId="69A876FC"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Kerzner, H. (2017) </w:t>
      </w:r>
      <w:r w:rsidRPr="00795F36">
        <w:rPr>
          <w:rFonts w:ascii="Arial" w:hAnsi="Arial" w:cs="Arial"/>
          <w:i/>
          <w:iCs/>
          <w:sz w:val="24"/>
          <w:szCs w:val="24"/>
        </w:rPr>
        <w:t>Project Management: A Systems Approach to Planning, Scheduling, and Controlling</w:t>
      </w:r>
      <w:r w:rsidRPr="00795F36">
        <w:rPr>
          <w:rFonts w:ascii="Arial" w:hAnsi="Arial" w:cs="Arial"/>
          <w:sz w:val="24"/>
          <w:szCs w:val="24"/>
        </w:rPr>
        <w:t>. 12th edn. Hoboken, NJ: Wiley.</w:t>
      </w:r>
    </w:p>
    <w:p w14:paraId="7EE990F6"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Masterman, J.W.E. (2002) </w:t>
      </w:r>
      <w:r w:rsidRPr="00795F36">
        <w:rPr>
          <w:rFonts w:ascii="Arial" w:hAnsi="Arial" w:cs="Arial"/>
          <w:i/>
          <w:iCs/>
          <w:sz w:val="24"/>
          <w:szCs w:val="24"/>
        </w:rPr>
        <w:t>An Introduction to Building Procurement Systems.</w:t>
      </w:r>
      <w:r w:rsidRPr="00795F36">
        <w:rPr>
          <w:rFonts w:ascii="Arial" w:hAnsi="Arial" w:cs="Arial"/>
          <w:sz w:val="24"/>
          <w:szCs w:val="24"/>
        </w:rPr>
        <w:t xml:space="preserve"> 2nd edn. London: Spon Press.</w:t>
      </w:r>
    </w:p>
    <w:p w14:paraId="616B3164"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Müller, R. and Turner, J.R. (2005) 'The impact of principal-agent relationship and contract type on communication between project owner and manager', </w:t>
      </w:r>
      <w:r w:rsidRPr="00795F36">
        <w:rPr>
          <w:rFonts w:ascii="Arial" w:hAnsi="Arial" w:cs="Arial"/>
          <w:i/>
          <w:iCs/>
          <w:sz w:val="24"/>
          <w:szCs w:val="24"/>
        </w:rPr>
        <w:t>International Journal of Project Management</w:t>
      </w:r>
      <w:r w:rsidRPr="00795F36">
        <w:rPr>
          <w:rFonts w:ascii="Arial" w:hAnsi="Arial" w:cs="Arial"/>
          <w:sz w:val="24"/>
          <w:szCs w:val="24"/>
        </w:rPr>
        <w:t>, 23(5), pp.398-403.</w:t>
      </w:r>
    </w:p>
    <w:p w14:paraId="6852A543"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Pietroforte, R. and Miller, J.B. (2002) 'Procurement methods for US infrastructure: historical perspectives and recent trends', </w:t>
      </w:r>
      <w:r w:rsidRPr="00795F36">
        <w:rPr>
          <w:rFonts w:ascii="Arial" w:hAnsi="Arial" w:cs="Arial"/>
          <w:i/>
          <w:iCs/>
          <w:sz w:val="24"/>
          <w:szCs w:val="24"/>
        </w:rPr>
        <w:t>Building Research &amp; Information</w:t>
      </w:r>
      <w:r w:rsidRPr="00795F36">
        <w:rPr>
          <w:rFonts w:ascii="Arial" w:hAnsi="Arial" w:cs="Arial"/>
          <w:sz w:val="24"/>
          <w:szCs w:val="24"/>
        </w:rPr>
        <w:t>, 30(6), pp.425-434.</w:t>
      </w:r>
    </w:p>
    <w:p w14:paraId="459AF6AC"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Project Management Institute (2025) </w:t>
      </w:r>
      <w:r w:rsidRPr="00795F36">
        <w:rPr>
          <w:rFonts w:ascii="Arial" w:hAnsi="Arial" w:cs="Arial"/>
          <w:i/>
          <w:iCs/>
          <w:sz w:val="24"/>
          <w:szCs w:val="24"/>
        </w:rPr>
        <w:t>A Guide to the Project Management Body of Knowledge (PMBOK Guide).</w:t>
      </w:r>
      <w:r w:rsidRPr="00795F36">
        <w:rPr>
          <w:rFonts w:ascii="Arial" w:hAnsi="Arial" w:cs="Arial"/>
          <w:sz w:val="24"/>
          <w:szCs w:val="24"/>
        </w:rPr>
        <w:t xml:space="preserve"> 8th edn. Newtown Square, PA: Project Management Institute.</w:t>
      </w:r>
    </w:p>
    <w:p w14:paraId="64F5FD92"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Walker, A. (2015) </w:t>
      </w:r>
      <w:r w:rsidRPr="00795F36">
        <w:rPr>
          <w:rFonts w:ascii="Arial" w:hAnsi="Arial" w:cs="Arial"/>
          <w:i/>
          <w:iCs/>
          <w:sz w:val="24"/>
          <w:szCs w:val="24"/>
        </w:rPr>
        <w:t>Project Management in Construction.</w:t>
      </w:r>
      <w:r w:rsidRPr="00795F36">
        <w:rPr>
          <w:rFonts w:ascii="Arial" w:hAnsi="Arial" w:cs="Arial"/>
          <w:sz w:val="24"/>
          <w:szCs w:val="24"/>
        </w:rPr>
        <w:t xml:space="preserve"> 6th edn. Chichester: Wiley.</w:t>
      </w:r>
    </w:p>
    <w:p w14:paraId="4C0DC91E" w14:textId="77777777" w:rsidR="008B2FA1" w:rsidRPr="00795F36" w:rsidRDefault="008B2FA1" w:rsidP="008B2FA1">
      <w:pPr>
        <w:spacing w:after="200" w:line="360" w:lineRule="auto"/>
        <w:ind w:left="720"/>
        <w:rPr>
          <w:rFonts w:ascii="Arial" w:hAnsi="Arial" w:cs="Arial"/>
          <w:sz w:val="24"/>
          <w:szCs w:val="24"/>
        </w:rPr>
      </w:pPr>
      <w:r w:rsidRPr="00795F36">
        <w:rPr>
          <w:rFonts w:ascii="Arial" w:hAnsi="Arial" w:cs="Arial"/>
          <w:sz w:val="24"/>
          <w:szCs w:val="24"/>
        </w:rPr>
        <w:t xml:space="preserve">Winch, G.M. (2010) </w:t>
      </w:r>
      <w:r w:rsidRPr="00795F36">
        <w:rPr>
          <w:rFonts w:ascii="Arial" w:hAnsi="Arial" w:cs="Arial"/>
          <w:i/>
          <w:iCs/>
          <w:sz w:val="24"/>
          <w:szCs w:val="24"/>
        </w:rPr>
        <w:t>Managing Construction Projects: An Information Processing Approach</w:t>
      </w:r>
      <w:r w:rsidRPr="00795F36">
        <w:rPr>
          <w:rFonts w:ascii="Arial" w:hAnsi="Arial" w:cs="Arial"/>
          <w:sz w:val="24"/>
          <w:szCs w:val="24"/>
        </w:rPr>
        <w:t>. 2nd edn. Chichester: Wiley-Blackwell.</w:t>
      </w:r>
    </w:p>
    <w:p w14:paraId="36AE1E47" w14:textId="2C6725DD" w:rsidR="00891F5C" w:rsidRPr="00E42786" w:rsidRDefault="00891F5C" w:rsidP="008B2FA1">
      <w:pPr>
        <w:spacing w:line="360" w:lineRule="auto"/>
        <w:ind w:left="400" w:hanging="400"/>
        <w:rPr>
          <w:rFonts w:ascii="Arial" w:hAnsi="Arial" w:cs="Arial"/>
          <w:color w:val="000000" w:themeColor="text1"/>
          <w:sz w:val="24"/>
          <w:szCs w:val="24"/>
        </w:rPr>
      </w:pPr>
    </w:p>
    <w:sectPr w:rsidR="00891F5C" w:rsidRPr="00E42786">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E04A1"/>
    <w:multiLevelType w:val="hybridMultilevel"/>
    <w:tmpl w:val="78AE07DA"/>
    <w:lvl w:ilvl="0" w:tplc="95463C90">
      <w:start w:val="1"/>
      <w:numFmt w:val="bullet"/>
      <w:lvlText w:val="●"/>
      <w:lvlJc w:val="left"/>
      <w:pPr>
        <w:ind w:left="360" w:hanging="360"/>
      </w:pPr>
    </w:lvl>
    <w:lvl w:ilvl="1" w:tplc="E720484A">
      <w:start w:val="1"/>
      <w:numFmt w:val="bullet"/>
      <w:lvlText w:val="○"/>
      <w:lvlJc w:val="left"/>
      <w:pPr>
        <w:ind w:left="1080" w:hanging="360"/>
      </w:pPr>
    </w:lvl>
    <w:lvl w:ilvl="2" w:tplc="A86A83A6">
      <w:start w:val="1"/>
      <w:numFmt w:val="bullet"/>
      <w:lvlText w:val="■"/>
      <w:lvlJc w:val="left"/>
      <w:pPr>
        <w:ind w:left="1800" w:hanging="360"/>
      </w:pPr>
    </w:lvl>
    <w:lvl w:ilvl="3" w:tplc="0638059C">
      <w:start w:val="1"/>
      <w:numFmt w:val="bullet"/>
      <w:lvlText w:val="●"/>
      <w:lvlJc w:val="left"/>
      <w:pPr>
        <w:ind w:left="2520" w:hanging="360"/>
      </w:pPr>
    </w:lvl>
    <w:lvl w:ilvl="4" w:tplc="AAAC3E5C">
      <w:start w:val="1"/>
      <w:numFmt w:val="bullet"/>
      <w:lvlText w:val="○"/>
      <w:lvlJc w:val="left"/>
      <w:pPr>
        <w:ind w:left="3240" w:hanging="360"/>
      </w:pPr>
    </w:lvl>
    <w:lvl w:ilvl="5" w:tplc="B5E243D0">
      <w:start w:val="1"/>
      <w:numFmt w:val="bullet"/>
      <w:lvlText w:val="■"/>
      <w:lvlJc w:val="left"/>
      <w:pPr>
        <w:ind w:left="3960" w:hanging="360"/>
      </w:pPr>
    </w:lvl>
    <w:lvl w:ilvl="6" w:tplc="D2A24488">
      <w:start w:val="1"/>
      <w:numFmt w:val="bullet"/>
      <w:lvlText w:val="●"/>
      <w:lvlJc w:val="left"/>
      <w:pPr>
        <w:ind w:left="4680" w:hanging="360"/>
      </w:pPr>
    </w:lvl>
    <w:lvl w:ilvl="7" w:tplc="6E5E9CC4">
      <w:start w:val="1"/>
      <w:numFmt w:val="bullet"/>
      <w:lvlText w:val="●"/>
      <w:lvlJc w:val="left"/>
      <w:pPr>
        <w:ind w:left="5400" w:hanging="360"/>
      </w:pPr>
    </w:lvl>
    <w:lvl w:ilvl="8" w:tplc="7F7C1AD2">
      <w:start w:val="1"/>
      <w:numFmt w:val="bullet"/>
      <w:lvlText w:val="●"/>
      <w:lvlJc w:val="left"/>
      <w:pPr>
        <w:ind w:left="6120" w:hanging="360"/>
      </w:pPr>
    </w:lvl>
  </w:abstractNum>
  <w:abstractNum w:abstractNumId="1" w15:restartNumberingAfterBreak="0">
    <w:nsid w:val="572B44EE"/>
    <w:multiLevelType w:val="hybridMultilevel"/>
    <w:tmpl w:val="DD4A1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0200885">
    <w:abstractNumId w:val="0"/>
    <w:lvlOverride w:ilvl="0">
      <w:startOverride w:val="1"/>
    </w:lvlOverride>
  </w:num>
  <w:num w:numId="2" w16cid:durableId="1211456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F5C"/>
    <w:rsid w:val="000615A3"/>
    <w:rsid w:val="0006466B"/>
    <w:rsid w:val="000E1D8D"/>
    <w:rsid w:val="001D63BD"/>
    <w:rsid w:val="002A557F"/>
    <w:rsid w:val="00400314"/>
    <w:rsid w:val="005745D2"/>
    <w:rsid w:val="005E61AF"/>
    <w:rsid w:val="00891F5C"/>
    <w:rsid w:val="008B2FA1"/>
    <w:rsid w:val="009D79E5"/>
    <w:rsid w:val="00AA6909"/>
    <w:rsid w:val="00D167D8"/>
    <w:rsid w:val="00D35D68"/>
    <w:rsid w:val="00E42786"/>
    <w:rsid w:val="00E4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DBBD8"/>
  <w15:docId w15:val="{CF704088-CF0D-4A71-AC64-EC6928BDF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700833">
      <w:bodyDiv w:val="1"/>
      <w:marLeft w:val="0"/>
      <w:marRight w:val="0"/>
      <w:marTop w:val="0"/>
      <w:marBottom w:val="0"/>
      <w:divBdr>
        <w:top w:val="none" w:sz="0" w:space="0" w:color="auto"/>
        <w:left w:val="none" w:sz="0" w:space="0" w:color="auto"/>
        <w:bottom w:val="none" w:sz="0" w:space="0" w:color="auto"/>
        <w:right w:val="none" w:sz="0" w:space="0" w:color="auto"/>
      </w:divBdr>
    </w:div>
    <w:div w:id="270938343">
      <w:bodyDiv w:val="1"/>
      <w:marLeft w:val="0"/>
      <w:marRight w:val="0"/>
      <w:marTop w:val="0"/>
      <w:marBottom w:val="0"/>
      <w:divBdr>
        <w:top w:val="none" w:sz="0" w:space="0" w:color="auto"/>
        <w:left w:val="none" w:sz="0" w:space="0" w:color="auto"/>
        <w:bottom w:val="none" w:sz="0" w:space="0" w:color="auto"/>
        <w:right w:val="none" w:sz="0" w:space="0" w:color="auto"/>
      </w:divBdr>
    </w:div>
    <w:div w:id="273169011">
      <w:bodyDiv w:val="1"/>
      <w:marLeft w:val="0"/>
      <w:marRight w:val="0"/>
      <w:marTop w:val="0"/>
      <w:marBottom w:val="0"/>
      <w:divBdr>
        <w:top w:val="none" w:sz="0" w:space="0" w:color="auto"/>
        <w:left w:val="none" w:sz="0" w:space="0" w:color="auto"/>
        <w:bottom w:val="none" w:sz="0" w:space="0" w:color="auto"/>
        <w:right w:val="none" w:sz="0" w:space="0" w:color="auto"/>
      </w:divBdr>
    </w:div>
    <w:div w:id="340275698">
      <w:bodyDiv w:val="1"/>
      <w:marLeft w:val="0"/>
      <w:marRight w:val="0"/>
      <w:marTop w:val="0"/>
      <w:marBottom w:val="0"/>
      <w:divBdr>
        <w:top w:val="none" w:sz="0" w:space="0" w:color="auto"/>
        <w:left w:val="none" w:sz="0" w:space="0" w:color="auto"/>
        <w:bottom w:val="none" w:sz="0" w:space="0" w:color="auto"/>
        <w:right w:val="none" w:sz="0" w:space="0" w:color="auto"/>
      </w:divBdr>
    </w:div>
    <w:div w:id="988558044">
      <w:bodyDiv w:val="1"/>
      <w:marLeft w:val="0"/>
      <w:marRight w:val="0"/>
      <w:marTop w:val="0"/>
      <w:marBottom w:val="0"/>
      <w:divBdr>
        <w:top w:val="none" w:sz="0" w:space="0" w:color="auto"/>
        <w:left w:val="none" w:sz="0" w:space="0" w:color="auto"/>
        <w:bottom w:val="none" w:sz="0" w:space="0" w:color="auto"/>
        <w:right w:val="none" w:sz="0" w:space="0" w:color="auto"/>
      </w:divBdr>
    </w:div>
    <w:div w:id="991757974">
      <w:bodyDiv w:val="1"/>
      <w:marLeft w:val="0"/>
      <w:marRight w:val="0"/>
      <w:marTop w:val="0"/>
      <w:marBottom w:val="0"/>
      <w:divBdr>
        <w:top w:val="none" w:sz="0" w:space="0" w:color="auto"/>
        <w:left w:val="none" w:sz="0" w:space="0" w:color="auto"/>
        <w:bottom w:val="none" w:sz="0" w:space="0" w:color="auto"/>
        <w:right w:val="none" w:sz="0" w:space="0" w:color="auto"/>
      </w:divBdr>
    </w:div>
    <w:div w:id="1459491831">
      <w:bodyDiv w:val="1"/>
      <w:marLeft w:val="0"/>
      <w:marRight w:val="0"/>
      <w:marTop w:val="0"/>
      <w:marBottom w:val="0"/>
      <w:divBdr>
        <w:top w:val="none" w:sz="0" w:space="0" w:color="auto"/>
        <w:left w:val="none" w:sz="0" w:space="0" w:color="auto"/>
        <w:bottom w:val="none" w:sz="0" w:space="0" w:color="auto"/>
        <w:right w:val="none" w:sz="0" w:space="0" w:color="auto"/>
      </w:divBdr>
    </w:div>
    <w:div w:id="1469392039">
      <w:bodyDiv w:val="1"/>
      <w:marLeft w:val="0"/>
      <w:marRight w:val="0"/>
      <w:marTop w:val="0"/>
      <w:marBottom w:val="0"/>
      <w:divBdr>
        <w:top w:val="none" w:sz="0" w:space="0" w:color="auto"/>
        <w:left w:val="none" w:sz="0" w:space="0" w:color="auto"/>
        <w:bottom w:val="none" w:sz="0" w:space="0" w:color="auto"/>
        <w:right w:val="none" w:sz="0" w:space="0" w:color="auto"/>
      </w:divBdr>
    </w:div>
    <w:div w:id="1579510285">
      <w:bodyDiv w:val="1"/>
      <w:marLeft w:val="0"/>
      <w:marRight w:val="0"/>
      <w:marTop w:val="0"/>
      <w:marBottom w:val="0"/>
      <w:divBdr>
        <w:top w:val="none" w:sz="0" w:space="0" w:color="auto"/>
        <w:left w:val="none" w:sz="0" w:space="0" w:color="auto"/>
        <w:bottom w:val="none" w:sz="0" w:space="0" w:color="auto"/>
        <w:right w:val="none" w:sz="0" w:space="0" w:color="auto"/>
      </w:divBdr>
    </w:div>
    <w:div w:id="1787002723">
      <w:bodyDiv w:val="1"/>
      <w:marLeft w:val="0"/>
      <w:marRight w:val="0"/>
      <w:marTop w:val="0"/>
      <w:marBottom w:val="0"/>
      <w:divBdr>
        <w:top w:val="none" w:sz="0" w:space="0" w:color="auto"/>
        <w:left w:val="none" w:sz="0" w:space="0" w:color="auto"/>
        <w:bottom w:val="none" w:sz="0" w:space="0" w:color="auto"/>
        <w:right w:val="none" w:sz="0" w:space="0" w:color="auto"/>
      </w:divBdr>
    </w:div>
    <w:div w:id="1974142380">
      <w:bodyDiv w:val="1"/>
      <w:marLeft w:val="0"/>
      <w:marRight w:val="0"/>
      <w:marTop w:val="0"/>
      <w:marBottom w:val="0"/>
      <w:divBdr>
        <w:top w:val="none" w:sz="0" w:space="0" w:color="auto"/>
        <w:left w:val="none" w:sz="0" w:space="0" w:color="auto"/>
        <w:bottom w:val="none" w:sz="0" w:space="0" w:color="auto"/>
        <w:right w:val="none" w:sz="0" w:space="0" w:color="auto"/>
      </w:divBdr>
    </w:div>
    <w:div w:id="2025471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2461</Words>
  <Characters>14029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daniela munteanu</cp:lastModifiedBy>
  <cp:revision>10</cp:revision>
  <dcterms:created xsi:type="dcterms:W3CDTF">2026-07-23T04:29:00Z</dcterms:created>
  <dcterms:modified xsi:type="dcterms:W3CDTF">2026-07-23T05:18:00Z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78a83aa0-3b9e-4650-9987-7a048f6e7935</vt:lpwstr>
  </property>
</Properties>
</file>