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6F1CC" w14:textId="77777777" w:rsidR="006D13F6" w:rsidRDefault="006D13F6" w:rsidP="00CF7B21">
      <w:pPr>
        <w:spacing w:line="360" w:lineRule="auto"/>
        <w:jc w:val="center"/>
        <w:rPr>
          <w:rFonts w:ascii="Arial" w:hAnsi="Arial" w:cs="Arial"/>
          <w:u w:val="single"/>
        </w:rPr>
      </w:pPr>
    </w:p>
    <w:p w14:paraId="3BEBBB59" w14:textId="77777777" w:rsidR="006D13F6" w:rsidRDefault="006D13F6" w:rsidP="006D13F6">
      <w:pPr>
        <w:pStyle w:val="NormalWeb"/>
        <w:shd w:val="clear" w:color="auto" w:fill="FFFFFF"/>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t>Basic Acknowledgement format of AI tool use:</w:t>
      </w:r>
    </w:p>
    <w:p w14:paraId="5D7F07B8" w14:textId="4C31EBFF" w:rsidR="006D13F6" w:rsidRPr="005A4D2D" w:rsidRDefault="006D13F6" w:rsidP="006D13F6">
      <w:pPr>
        <w:rPr>
          <w:rFonts w:ascii="Arial" w:hAnsi="Arial" w:cs="Arial"/>
        </w:rPr>
      </w:pPr>
      <w:r>
        <w:rPr>
          <w:rFonts w:ascii="Segoe UI" w:hAnsi="Segoe UI" w:cs="Segoe UI"/>
          <w:color w:val="1D2125"/>
          <w:sz w:val="23"/>
          <w:szCs w:val="23"/>
        </w:rPr>
        <w:br/>
      </w:r>
      <w:r w:rsidRPr="005A4D2D">
        <w:rPr>
          <w:rFonts w:ascii="Arial" w:hAnsi="Arial" w:cs="Arial"/>
        </w:rPr>
        <w:t xml:space="preserve">I acknowledge the use of Grammarly (https://www.grammarly.com/) </w:t>
      </w:r>
      <w:r>
        <w:rPr>
          <w:rFonts w:ascii="Arial" w:hAnsi="Arial" w:cs="Arial"/>
        </w:rPr>
        <w:t>29</w:t>
      </w:r>
      <w:r w:rsidRPr="005A4D2D">
        <w:rPr>
          <w:rFonts w:ascii="Arial" w:hAnsi="Arial" w:cs="Arial"/>
          <w:vertAlign w:val="superscript"/>
        </w:rPr>
        <w:t>th</w:t>
      </w:r>
      <w:r w:rsidRPr="005A4D2D">
        <w:rPr>
          <w:rFonts w:ascii="Arial" w:hAnsi="Arial" w:cs="Arial"/>
        </w:rPr>
        <w:t xml:space="preserve"> </w:t>
      </w:r>
      <w:r>
        <w:rPr>
          <w:rFonts w:ascii="Arial" w:hAnsi="Arial" w:cs="Arial"/>
        </w:rPr>
        <w:t>March</w:t>
      </w:r>
      <w:r>
        <w:rPr>
          <w:rFonts w:ascii="Arial" w:hAnsi="Arial" w:cs="Arial"/>
        </w:rPr>
        <w:t xml:space="preserve"> 2025</w:t>
      </w:r>
      <w:r w:rsidRPr="005A4D2D">
        <w:rPr>
          <w:rFonts w:ascii="Arial" w:hAnsi="Arial" w:cs="Arial"/>
        </w:rPr>
        <w:t xml:space="preserve"> to check my work using the prompt(s): </w:t>
      </w:r>
    </w:p>
    <w:p w14:paraId="6D57F522" w14:textId="77777777" w:rsidR="006D13F6" w:rsidRPr="005A4D2D" w:rsidRDefault="006D13F6" w:rsidP="006D13F6">
      <w:pPr>
        <w:rPr>
          <w:rFonts w:ascii="Arial" w:hAnsi="Arial" w:cs="Arial"/>
        </w:rPr>
      </w:pPr>
      <w:r w:rsidRPr="005A4D2D">
        <w:rPr>
          <w:rFonts w:ascii="Arial" w:hAnsi="Arial" w:cs="Arial"/>
        </w:rPr>
        <w:t xml:space="preserve">Please check the following text for readability, UK spelling and grammar. </w:t>
      </w:r>
    </w:p>
    <w:p w14:paraId="62640AA4" w14:textId="77777777" w:rsidR="006D13F6" w:rsidRPr="005A4D2D" w:rsidRDefault="006D13F6" w:rsidP="006D13F6">
      <w:pPr>
        <w:rPr>
          <w:rFonts w:ascii="Arial" w:hAnsi="Arial" w:cs="Arial"/>
        </w:rPr>
      </w:pPr>
      <w:r w:rsidRPr="005A4D2D">
        <w:rPr>
          <w:rFonts w:ascii="Arial" w:hAnsi="Arial" w:cs="Arial"/>
        </w:rPr>
        <w:t>I was encouraged to use this due to my dyslexia.</w:t>
      </w:r>
    </w:p>
    <w:p w14:paraId="32F927FF" w14:textId="77777777" w:rsidR="006D13F6" w:rsidRPr="005A4D2D" w:rsidRDefault="006D13F6" w:rsidP="006D13F6">
      <w:pPr>
        <w:rPr>
          <w:rFonts w:ascii="Arial" w:hAnsi="Arial" w:cs="Arial"/>
        </w:rPr>
      </w:pPr>
      <w:r w:rsidRPr="005A4D2D">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39C14145" w14:textId="77777777" w:rsidR="006D13F6" w:rsidRDefault="006D13F6" w:rsidP="00CF7B21">
      <w:pPr>
        <w:spacing w:line="360" w:lineRule="auto"/>
        <w:jc w:val="center"/>
        <w:rPr>
          <w:rFonts w:ascii="Arial" w:hAnsi="Arial" w:cs="Arial"/>
          <w:u w:val="single"/>
        </w:rPr>
      </w:pPr>
    </w:p>
    <w:p w14:paraId="68C2AB76" w14:textId="77777777" w:rsidR="006D13F6" w:rsidRDefault="006D13F6" w:rsidP="00CF7B21">
      <w:pPr>
        <w:spacing w:line="360" w:lineRule="auto"/>
        <w:jc w:val="center"/>
        <w:rPr>
          <w:rFonts w:ascii="Arial" w:hAnsi="Arial" w:cs="Arial"/>
          <w:u w:val="single"/>
        </w:rPr>
      </w:pPr>
    </w:p>
    <w:p w14:paraId="0C07F69C" w14:textId="77777777" w:rsidR="006D13F6" w:rsidRDefault="006D13F6" w:rsidP="00CF7B21">
      <w:pPr>
        <w:spacing w:line="360" w:lineRule="auto"/>
        <w:jc w:val="center"/>
        <w:rPr>
          <w:rFonts w:ascii="Arial" w:hAnsi="Arial" w:cs="Arial"/>
          <w:u w:val="single"/>
        </w:rPr>
      </w:pPr>
    </w:p>
    <w:p w14:paraId="2FE70343" w14:textId="77777777" w:rsidR="006D13F6" w:rsidRDefault="006D13F6" w:rsidP="00CF7B21">
      <w:pPr>
        <w:spacing w:line="360" w:lineRule="auto"/>
        <w:jc w:val="center"/>
        <w:rPr>
          <w:rFonts w:ascii="Arial" w:hAnsi="Arial" w:cs="Arial"/>
          <w:u w:val="single"/>
        </w:rPr>
      </w:pPr>
    </w:p>
    <w:p w14:paraId="3BF7E65D" w14:textId="77777777" w:rsidR="006D13F6" w:rsidRDefault="006D13F6" w:rsidP="00CF7B21">
      <w:pPr>
        <w:spacing w:line="360" w:lineRule="auto"/>
        <w:jc w:val="center"/>
        <w:rPr>
          <w:rFonts w:ascii="Arial" w:hAnsi="Arial" w:cs="Arial"/>
          <w:u w:val="single"/>
        </w:rPr>
      </w:pPr>
    </w:p>
    <w:p w14:paraId="1E982FCC" w14:textId="77777777" w:rsidR="006D13F6" w:rsidRDefault="006D13F6" w:rsidP="00CF7B21">
      <w:pPr>
        <w:spacing w:line="360" w:lineRule="auto"/>
        <w:jc w:val="center"/>
        <w:rPr>
          <w:rFonts w:ascii="Arial" w:hAnsi="Arial" w:cs="Arial"/>
          <w:u w:val="single"/>
        </w:rPr>
      </w:pPr>
    </w:p>
    <w:p w14:paraId="5785A172" w14:textId="77777777" w:rsidR="006D13F6" w:rsidRDefault="006D13F6" w:rsidP="00CF7B21">
      <w:pPr>
        <w:spacing w:line="360" w:lineRule="auto"/>
        <w:jc w:val="center"/>
        <w:rPr>
          <w:rFonts w:ascii="Arial" w:hAnsi="Arial" w:cs="Arial"/>
          <w:u w:val="single"/>
        </w:rPr>
      </w:pPr>
    </w:p>
    <w:p w14:paraId="696EBAC9" w14:textId="77777777" w:rsidR="006D13F6" w:rsidRDefault="006D13F6" w:rsidP="00CF7B21">
      <w:pPr>
        <w:spacing w:line="360" w:lineRule="auto"/>
        <w:jc w:val="center"/>
        <w:rPr>
          <w:rFonts w:ascii="Arial" w:hAnsi="Arial" w:cs="Arial"/>
          <w:u w:val="single"/>
        </w:rPr>
      </w:pPr>
    </w:p>
    <w:p w14:paraId="2BE99CE9" w14:textId="77777777" w:rsidR="006D13F6" w:rsidRDefault="006D13F6" w:rsidP="00CF7B21">
      <w:pPr>
        <w:spacing w:line="360" w:lineRule="auto"/>
        <w:jc w:val="center"/>
        <w:rPr>
          <w:rFonts w:ascii="Arial" w:hAnsi="Arial" w:cs="Arial"/>
          <w:u w:val="single"/>
        </w:rPr>
      </w:pPr>
    </w:p>
    <w:p w14:paraId="649CEB18" w14:textId="77777777" w:rsidR="006D13F6" w:rsidRDefault="006D13F6" w:rsidP="00CF7B21">
      <w:pPr>
        <w:spacing w:line="360" w:lineRule="auto"/>
        <w:jc w:val="center"/>
        <w:rPr>
          <w:rFonts w:ascii="Arial" w:hAnsi="Arial" w:cs="Arial"/>
          <w:u w:val="single"/>
        </w:rPr>
      </w:pPr>
    </w:p>
    <w:p w14:paraId="11926BE8" w14:textId="77777777" w:rsidR="006D13F6" w:rsidRDefault="006D13F6" w:rsidP="00CF7B21">
      <w:pPr>
        <w:spacing w:line="360" w:lineRule="auto"/>
        <w:jc w:val="center"/>
        <w:rPr>
          <w:rFonts w:ascii="Arial" w:hAnsi="Arial" w:cs="Arial"/>
          <w:u w:val="single"/>
        </w:rPr>
      </w:pPr>
    </w:p>
    <w:p w14:paraId="3FF32E90" w14:textId="77777777" w:rsidR="006D13F6" w:rsidRDefault="006D13F6" w:rsidP="00CF7B21">
      <w:pPr>
        <w:spacing w:line="360" w:lineRule="auto"/>
        <w:jc w:val="center"/>
        <w:rPr>
          <w:rFonts w:ascii="Arial" w:hAnsi="Arial" w:cs="Arial"/>
          <w:u w:val="single"/>
        </w:rPr>
      </w:pPr>
    </w:p>
    <w:p w14:paraId="258869ED" w14:textId="77777777" w:rsidR="006D13F6" w:rsidRDefault="006D13F6" w:rsidP="00CF7B21">
      <w:pPr>
        <w:spacing w:line="360" w:lineRule="auto"/>
        <w:jc w:val="center"/>
        <w:rPr>
          <w:rFonts w:ascii="Arial" w:hAnsi="Arial" w:cs="Arial"/>
          <w:u w:val="single"/>
        </w:rPr>
      </w:pPr>
    </w:p>
    <w:p w14:paraId="2AFFA797" w14:textId="77777777" w:rsidR="006D13F6" w:rsidRDefault="006D13F6" w:rsidP="00CF7B21">
      <w:pPr>
        <w:spacing w:line="360" w:lineRule="auto"/>
        <w:jc w:val="center"/>
        <w:rPr>
          <w:rFonts w:ascii="Arial" w:hAnsi="Arial" w:cs="Arial"/>
          <w:u w:val="single"/>
        </w:rPr>
      </w:pPr>
    </w:p>
    <w:p w14:paraId="524C1071" w14:textId="77777777" w:rsidR="006D13F6" w:rsidRDefault="006D13F6" w:rsidP="00CF7B21">
      <w:pPr>
        <w:spacing w:line="360" w:lineRule="auto"/>
        <w:jc w:val="center"/>
        <w:rPr>
          <w:rFonts w:ascii="Arial" w:hAnsi="Arial" w:cs="Arial"/>
          <w:u w:val="single"/>
        </w:rPr>
      </w:pPr>
    </w:p>
    <w:p w14:paraId="1907D42C" w14:textId="77777777" w:rsidR="006D13F6" w:rsidRDefault="006D13F6" w:rsidP="00CF7B21">
      <w:pPr>
        <w:spacing w:line="360" w:lineRule="auto"/>
        <w:jc w:val="center"/>
        <w:rPr>
          <w:rFonts w:ascii="Arial" w:hAnsi="Arial" w:cs="Arial"/>
          <w:u w:val="single"/>
        </w:rPr>
      </w:pPr>
    </w:p>
    <w:p w14:paraId="69AFAABE" w14:textId="77777777" w:rsidR="006D13F6" w:rsidRDefault="006D13F6" w:rsidP="00CF7B21">
      <w:pPr>
        <w:spacing w:line="360" w:lineRule="auto"/>
        <w:jc w:val="center"/>
        <w:rPr>
          <w:rFonts w:ascii="Arial" w:hAnsi="Arial" w:cs="Arial"/>
          <w:u w:val="single"/>
        </w:rPr>
      </w:pPr>
    </w:p>
    <w:p w14:paraId="206BCDBB" w14:textId="77777777" w:rsidR="00B84CD8" w:rsidRDefault="00B84CD8" w:rsidP="00B84CD8">
      <w:pPr>
        <w:spacing w:line="360" w:lineRule="auto"/>
        <w:rPr>
          <w:rFonts w:ascii="Arial" w:hAnsi="Arial" w:cs="Arial"/>
          <w:u w:val="single"/>
        </w:rPr>
      </w:pPr>
    </w:p>
    <w:p w14:paraId="6E6ECF78" w14:textId="5E91F4DE" w:rsidR="006E025E" w:rsidRPr="00CF7B21" w:rsidRDefault="006E025E" w:rsidP="00B84CD8">
      <w:pPr>
        <w:spacing w:line="360" w:lineRule="auto"/>
        <w:jc w:val="center"/>
        <w:rPr>
          <w:rFonts w:ascii="Arial" w:hAnsi="Arial" w:cs="Arial"/>
          <w:u w:val="single"/>
        </w:rPr>
      </w:pPr>
      <w:r w:rsidRPr="00CF7B21">
        <w:rPr>
          <w:rFonts w:ascii="Arial" w:hAnsi="Arial" w:cs="Arial"/>
          <w:u w:val="single"/>
        </w:rPr>
        <w:lastRenderedPageBreak/>
        <w:t>Quality in Early Years Education</w:t>
      </w:r>
    </w:p>
    <w:p w14:paraId="7D261D9A" w14:textId="77777777" w:rsidR="00CF7B21" w:rsidRPr="00CF7B21" w:rsidRDefault="00CF7B21" w:rsidP="00CF7B21">
      <w:pPr>
        <w:spacing w:before="100" w:beforeAutospacing="1" w:after="100" w:afterAutospacing="1" w:line="360" w:lineRule="auto"/>
        <w:rPr>
          <w:rFonts w:ascii="Arial" w:eastAsia="Times New Roman" w:hAnsi="Arial" w:cs="Arial"/>
          <w:kern w:val="0"/>
          <w:lang w:eastAsia="en-GB"/>
          <w14:ligatures w14:val="none"/>
        </w:rPr>
      </w:pPr>
      <w:r w:rsidRPr="00CF7B21">
        <w:rPr>
          <w:rFonts w:ascii="Arial" w:eastAsia="Times New Roman" w:hAnsi="Arial" w:cs="Arial"/>
          <w:kern w:val="0"/>
          <w:lang w:eastAsia="en-GB"/>
          <w14:ligatures w14:val="none"/>
        </w:rPr>
        <w:t xml:space="preserve">The concept of quality in early years education is both complex and subjective. While it is widely accepted that quality is essential for promoting positive outcomes for children, defining and measuring it remains a challenge. According to Sylva </w:t>
      </w:r>
      <w:r w:rsidRPr="00B84CD8">
        <w:rPr>
          <w:rFonts w:ascii="Arial" w:eastAsia="Times New Roman" w:hAnsi="Arial" w:cs="Arial"/>
          <w:i/>
          <w:iCs/>
          <w:kern w:val="0"/>
          <w:lang w:eastAsia="en-GB"/>
          <w14:ligatures w14:val="none"/>
        </w:rPr>
        <w:t xml:space="preserve">et al. </w:t>
      </w:r>
      <w:r w:rsidRPr="00CF7B21">
        <w:rPr>
          <w:rFonts w:ascii="Arial" w:eastAsia="Times New Roman" w:hAnsi="Arial" w:cs="Arial"/>
          <w:kern w:val="0"/>
          <w:lang w:eastAsia="en-GB"/>
          <w14:ligatures w14:val="none"/>
        </w:rPr>
        <w:t>(2004), quality provision in early years settings significantly influences children’s social, emotional, and cognitive development. However, the criteria used to define quality can vary based on individual perspectives, cultural values, and policy frameworks (Moss, 2016).</w:t>
      </w:r>
    </w:p>
    <w:p w14:paraId="3A4A8C4A" w14:textId="77777777" w:rsidR="00CF7B21" w:rsidRPr="00CF7B21" w:rsidRDefault="00CF7B21" w:rsidP="00CF7B21">
      <w:pPr>
        <w:spacing w:before="100" w:beforeAutospacing="1" w:after="100" w:afterAutospacing="1" w:line="360" w:lineRule="auto"/>
        <w:rPr>
          <w:rFonts w:ascii="Arial" w:eastAsia="Times New Roman" w:hAnsi="Arial" w:cs="Arial"/>
          <w:kern w:val="0"/>
          <w:lang w:eastAsia="en-GB"/>
          <w14:ligatures w14:val="none"/>
        </w:rPr>
      </w:pPr>
      <w:r w:rsidRPr="00CF7B21">
        <w:rPr>
          <w:rFonts w:ascii="Arial" w:eastAsia="Times New Roman" w:hAnsi="Arial" w:cs="Arial"/>
          <w:kern w:val="0"/>
          <w:lang w:eastAsia="en-GB"/>
          <w14:ligatures w14:val="none"/>
        </w:rPr>
        <w:t xml:space="preserve">This reflective paper explores what quality means in the context of early years education, why it is important, and how it can be identified. Drawing on key studies such as the Effective Provision of Pre-school Education (EPPE) project (Sylva </w:t>
      </w:r>
      <w:r w:rsidRPr="00CF7B21">
        <w:rPr>
          <w:rFonts w:ascii="Arial" w:eastAsia="Times New Roman" w:hAnsi="Arial" w:cs="Arial"/>
          <w:i/>
          <w:iCs/>
          <w:kern w:val="0"/>
          <w:lang w:eastAsia="en-GB"/>
          <w14:ligatures w14:val="none"/>
        </w:rPr>
        <w:t>et al</w:t>
      </w:r>
      <w:r w:rsidRPr="00CF7B21">
        <w:rPr>
          <w:rFonts w:ascii="Arial" w:eastAsia="Times New Roman" w:hAnsi="Arial" w:cs="Arial"/>
          <w:kern w:val="0"/>
          <w:lang w:eastAsia="en-GB"/>
          <w14:ligatures w14:val="none"/>
        </w:rPr>
        <w:t xml:space="preserve">., 2004) and the Researching Effective Pedagogy in the Early Years (REPEY) study (Siraj-Blatchford </w:t>
      </w:r>
      <w:r w:rsidRPr="00CF7B21">
        <w:rPr>
          <w:rFonts w:ascii="Arial" w:eastAsia="Times New Roman" w:hAnsi="Arial" w:cs="Arial"/>
          <w:i/>
          <w:iCs/>
          <w:kern w:val="0"/>
          <w:lang w:eastAsia="en-GB"/>
          <w14:ligatures w14:val="none"/>
        </w:rPr>
        <w:t>et al.</w:t>
      </w:r>
      <w:r w:rsidRPr="00CF7B21">
        <w:rPr>
          <w:rFonts w:ascii="Arial" w:eastAsia="Times New Roman" w:hAnsi="Arial" w:cs="Arial"/>
          <w:kern w:val="0"/>
          <w:lang w:eastAsia="en-GB"/>
          <w14:ligatures w14:val="none"/>
        </w:rPr>
        <w:t>, 2002), it examines the factors that contribute to quality provision. Additionally, it considers whether the relentless pursuit of quality could unintentionally hinder its achievement, as well as the challenges of differing perceptions and standards in the sector.</w:t>
      </w:r>
    </w:p>
    <w:p w14:paraId="7F210C4A" w14:textId="36144377" w:rsidR="006E025E" w:rsidRPr="00CF7B21" w:rsidRDefault="00CF7B21" w:rsidP="00CF7B21">
      <w:pPr>
        <w:spacing w:before="100" w:beforeAutospacing="1" w:after="100" w:afterAutospacing="1" w:line="360" w:lineRule="auto"/>
        <w:rPr>
          <w:rFonts w:ascii="Arial" w:eastAsia="Times New Roman" w:hAnsi="Arial" w:cs="Arial"/>
          <w:kern w:val="0"/>
          <w:lang w:eastAsia="en-GB"/>
          <w14:ligatures w14:val="none"/>
        </w:rPr>
      </w:pPr>
      <w:r w:rsidRPr="00CF7B21">
        <w:rPr>
          <w:rFonts w:ascii="Arial" w:eastAsia="Times New Roman" w:hAnsi="Arial" w:cs="Arial"/>
          <w:kern w:val="0"/>
          <w:lang w:eastAsia="en-GB"/>
          <w14:ligatures w14:val="none"/>
        </w:rPr>
        <w:t>In part 2, the paper will analyse and critique two quality assurance methods: the Sustained Shared Thinking and Emotional Wellbeing (SSTEW) scale and the Building on Effective Early Learning (BEEL) framework. Both methods are widely used to evaluate and enhance the quality of early years provision, yet they differ in their focus and approach. This section will compare and contrast their strengths and limitations, exploring why it may be beneficial to use different types of quality assurance methods to gain a more comprehensive and accurate measure of practice.</w:t>
      </w:r>
    </w:p>
    <w:p w14:paraId="0533B4FB" w14:textId="77777777" w:rsidR="00045CAA" w:rsidRPr="00045CAA" w:rsidRDefault="00045CAA" w:rsidP="00045CAA">
      <w:pPr>
        <w:spacing w:before="100" w:beforeAutospacing="1" w:after="100" w:afterAutospacing="1" w:line="360" w:lineRule="auto"/>
        <w:rPr>
          <w:rFonts w:ascii="Arial" w:eastAsia="Times New Roman" w:hAnsi="Arial" w:cs="Arial"/>
          <w:kern w:val="0"/>
          <w:lang w:eastAsia="en-GB"/>
          <w14:ligatures w14:val="none"/>
        </w:rPr>
      </w:pPr>
      <w:r w:rsidRPr="00045CAA">
        <w:rPr>
          <w:rFonts w:ascii="Arial" w:eastAsia="Times New Roman" w:hAnsi="Arial" w:cs="Arial"/>
          <w:kern w:val="0"/>
          <w:lang w:eastAsia="en-GB"/>
          <w14:ligatures w14:val="none"/>
        </w:rPr>
        <w:t>Defining quality is challenging because it is perceived differently by various stakeholders. Parents may view quality in terms of safety, nurturing relationships, and developmental progress, while practitioners might focus on pedagogical approaches and professional development. Meanwhile, policymakers often reduce quality to measurable outcomes, such as school readiness and inspection ratings. Moss (2016) critiques this narrow, regulatory view, arguing that quality should not be reduced to a "checklist of standards" but rather understood as dynamic and contextual, shaped by the unique relationships and experiences within each setting. He asserts that "quality is a choice, not a necessity" (Moss, 2016, p. 8–9), suggesting that it is a flexible concept rather than a fixed benchmark.</w:t>
      </w:r>
    </w:p>
    <w:p w14:paraId="2BB2A394" w14:textId="7D7FF6F4" w:rsidR="00045CAA" w:rsidRDefault="00045CAA" w:rsidP="00BB46F1">
      <w:pPr>
        <w:spacing w:before="100" w:beforeAutospacing="1" w:after="100" w:afterAutospacing="1" w:line="360" w:lineRule="auto"/>
        <w:rPr>
          <w:rFonts w:ascii="Arial" w:eastAsia="Times New Roman" w:hAnsi="Arial" w:cs="Arial"/>
          <w:kern w:val="0"/>
          <w:lang w:eastAsia="en-GB"/>
          <w14:ligatures w14:val="none"/>
        </w:rPr>
      </w:pPr>
      <w:r w:rsidRPr="00045CAA">
        <w:rPr>
          <w:rFonts w:ascii="Arial" w:eastAsia="Times New Roman" w:hAnsi="Arial" w:cs="Arial"/>
          <w:kern w:val="0"/>
          <w:lang w:eastAsia="en-GB"/>
          <w14:ligatures w14:val="none"/>
        </w:rPr>
        <w:t xml:space="preserve">Dahlberg et al. (2013) support this perspective, arguing that quality is often perceived as "objective, real, [and] knowable" (Dahlberg et al., 2013, p. 5–6), but this view overlooks the subjective, interpretive, and relational nature of practice. They propose that quality should be </w:t>
      </w:r>
      <w:r w:rsidRPr="00045CAA">
        <w:rPr>
          <w:rFonts w:ascii="Arial" w:eastAsia="Times New Roman" w:hAnsi="Arial" w:cs="Arial"/>
          <w:kern w:val="0"/>
          <w:lang w:eastAsia="en-GB"/>
          <w14:ligatures w14:val="none"/>
        </w:rPr>
        <w:lastRenderedPageBreak/>
        <w:t xml:space="preserve">reimagined as a social construct—one that values meaningful relationships, reflective practice, and the lived experiences of children and </w:t>
      </w:r>
      <w:r>
        <w:rPr>
          <w:rFonts w:ascii="Arial" w:eastAsia="Times New Roman" w:hAnsi="Arial" w:cs="Arial"/>
          <w:kern w:val="0"/>
          <w:lang w:eastAsia="en-GB"/>
          <w14:ligatures w14:val="none"/>
        </w:rPr>
        <w:t>practitioners</w:t>
      </w:r>
      <w:r w:rsidRPr="00045CAA">
        <w:rPr>
          <w:rFonts w:ascii="Arial" w:eastAsia="Times New Roman" w:hAnsi="Arial" w:cs="Arial"/>
          <w:kern w:val="0"/>
          <w:lang w:eastAsia="en-GB"/>
          <w14:ligatures w14:val="none"/>
        </w:rPr>
        <w:t>, rather than solely relying on quantifiable measures. This view aligns with Vygotsky’s (1978) social constructivist theory, which emphasises the importance of social interaction and collaboration for cognitive and emotional development. From this perspective, quality cannot be standardised or universally defined, as it is shaped by the unique context and interactions within each setting.</w:t>
      </w:r>
    </w:p>
    <w:p w14:paraId="5CABB81F" w14:textId="128BA410" w:rsidR="00BB46F1" w:rsidRPr="00BB46F1" w:rsidRDefault="00BB46F1" w:rsidP="00BB46F1">
      <w:pPr>
        <w:spacing w:before="100" w:beforeAutospacing="1" w:after="100" w:afterAutospacing="1" w:line="360" w:lineRule="auto"/>
        <w:rPr>
          <w:rFonts w:ascii="Arial" w:eastAsia="Times New Roman" w:hAnsi="Arial" w:cs="Arial"/>
          <w:b/>
          <w:bCs/>
          <w:kern w:val="0"/>
          <w:lang w:eastAsia="en-GB"/>
          <w14:ligatures w14:val="none"/>
        </w:rPr>
      </w:pPr>
      <w:r w:rsidRPr="00BB46F1">
        <w:rPr>
          <w:rFonts w:ascii="Arial" w:eastAsia="Times New Roman" w:hAnsi="Arial" w:cs="Arial"/>
          <w:b/>
          <w:bCs/>
          <w:kern w:val="0"/>
          <w:lang w:eastAsia="en-GB"/>
          <w14:ligatures w14:val="none"/>
        </w:rPr>
        <w:t>Part 2</w:t>
      </w:r>
    </w:p>
    <w:p w14:paraId="3C024895" w14:textId="77777777" w:rsidR="00BB46F1" w:rsidRPr="00BB46F1" w:rsidRDefault="00BB46F1" w:rsidP="00BB46F1">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Quality assurance tools play a vital role in enhancing early years provision by offering structured frameworks for evaluating practice and promoting continuous improvement. This section examines and critiques two quality assurance methods: the Sustained Shared Thinking and Emotional Wellbeing (SSTEW) scale and the Building on Effective Early Learning (BEEL) framework. Both methods aim to improve the quality of provision by assessing and enhancing adult-child interactions, but they differ in their focus, application, and overall effectiveness.</w:t>
      </w:r>
    </w:p>
    <w:p w14:paraId="3EA74389" w14:textId="77777777" w:rsidR="00BB46F1" w:rsidRPr="00BB46F1" w:rsidRDefault="00BB46F1" w:rsidP="00BB46F1">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 xml:space="preserve">The SSTEW scale was developed to assess the quality of adult-child interactions, with a particular emphasis on sustained shared thinking and emotional wellbeing (Siraj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2015). It evaluates five key domains: building trust, confidence, and independence; supporting and extending language and communication; supporting emotional wellbeing; encouraging curiosity and problem-solving; and promoting sustained shared thinking. By measuring these areas, SSTEW offers practitioners clear insights into the quality of their interactions and areas for development. It encourages reflective practice by prompting practitioners to consider how effectively they scaffold children’s learning and extend their thinking through meaningful dialogue (Care Inspectorate Wales, 2022). Importantly, SSTEW goes beyond the National Minimum Standards (NMS) by focusing on the quality of pedagogical interactions rather than just compliance with statutory regulations. While the NMS ensures that minimum safety, staffing, and welfare requirements are met (Welsh Government, 2017), SSTEW evaluates the depth and quality of engagement between children and practitioners, which is essential for fostering cognitive and emotional development.</w:t>
      </w:r>
    </w:p>
    <w:p w14:paraId="31D6BC95" w14:textId="28BDC026" w:rsidR="00BB46F1" w:rsidRPr="00BB46F1" w:rsidRDefault="00BB46F1" w:rsidP="00515AAD">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 xml:space="preserve">In contrast, the BEEL framework is a holistic, evidence-based quality improvement model designed to evaluate and enhance early learning experiences. It considers various aspects of provision, including the environment, pedagogy, leadership, and family engagement (Pascal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xml:space="preserve">., 2019). BEEL promotes practitioner reflection through a self-assessment process and uses external validation to ensure objective evaluation. Its multi-dimensional </w:t>
      </w:r>
      <w:r w:rsidRPr="00BB46F1">
        <w:rPr>
          <w:rFonts w:ascii="Arial" w:eastAsia="Times New Roman" w:hAnsi="Arial" w:cs="Arial"/>
          <w:kern w:val="0"/>
          <w:lang w:eastAsia="en-GB"/>
          <w14:ligatures w14:val="none"/>
        </w:rPr>
        <w:lastRenderedPageBreak/>
        <w:t>approach enables settings to identify strengths and areas for improvement across a broad range of quality indicators, beyond adult-child interactions. The BEEL Guidance Document (Television Junction, 2006) highlights that BEEL not only meets but exceeds the requirements of NMS by promoting continuous professional development and reflective practice, which are key to enhancing quality. This makes BEEL particularly effective in driving meaningful, long-term improvements, rather than simply ensuring regulatory compliance</w:t>
      </w:r>
      <w:r w:rsidR="001F1457" w:rsidRPr="00515AAD">
        <w:rPr>
          <w:rFonts w:ascii="Arial" w:eastAsia="Times New Roman" w:hAnsi="Arial" w:cs="Arial"/>
          <w:kern w:val="0"/>
          <w:lang w:eastAsia="en-GB"/>
          <w14:ligatures w14:val="none"/>
        </w:rPr>
        <w:t xml:space="preserve"> (Pascal </w:t>
      </w:r>
      <w:r w:rsidR="001F1457" w:rsidRPr="00DB3D77">
        <w:rPr>
          <w:rFonts w:ascii="Arial" w:eastAsia="Times New Roman" w:hAnsi="Arial" w:cs="Arial"/>
          <w:i/>
          <w:iCs/>
          <w:kern w:val="0"/>
          <w:lang w:eastAsia="en-GB"/>
          <w14:ligatures w14:val="none"/>
        </w:rPr>
        <w:t>et al.</w:t>
      </w:r>
      <w:r w:rsidR="001F1457" w:rsidRPr="00515AAD">
        <w:rPr>
          <w:rFonts w:ascii="Arial" w:eastAsia="Times New Roman" w:hAnsi="Arial" w:cs="Arial"/>
          <w:kern w:val="0"/>
          <w:lang w:eastAsia="en-GB"/>
          <w14:ligatures w14:val="none"/>
        </w:rPr>
        <w:t>, 2019).</w:t>
      </w:r>
    </w:p>
    <w:p w14:paraId="47399E70" w14:textId="65416389" w:rsidR="00515AAD" w:rsidRPr="00515AAD" w:rsidRDefault="00515AAD" w:rsidP="00515AAD">
      <w:pPr>
        <w:spacing w:before="100" w:beforeAutospacing="1" w:after="100" w:afterAutospacing="1" w:line="360" w:lineRule="auto"/>
        <w:rPr>
          <w:rFonts w:ascii="Arial" w:eastAsia="Times New Roman" w:hAnsi="Arial" w:cs="Arial"/>
          <w:kern w:val="0"/>
          <w:lang w:eastAsia="en-GB"/>
          <w14:ligatures w14:val="none"/>
        </w:rPr>
      </w:pPr>
      <w:r w:rsidRPr="00515AAD">
        <w:rPr>
          <w:rFonts w:ascii="Arial" w:hAnsi="Arial" w:cs="Arial"/>
        </w:rPr>
        <w:t xml:space="preserve">Both SSTEW and BEEL are valuable tools for quality assurance, but they differ significantly in focus and application. SSTEW primarily focuses on adult-child interactions, making it highly effective in identifying and improving the quality of verbal exchanges and emotional support (Siraj </w:t>
      </w:r>
      <w:r w:rsidRPr="006D451F">
        <w:rPr>
          <w:rFonts w:ascii="Arial" w:hAnsi="Arial" w:cs="Arial"/>
          <w:i/>
          <w:iCs/>
        </w:rPr>
        <w:t>et al</w:t>
      </w:r>
      <w:r w:rsidRPr="00515AAD">
        <w:rPr>
          <w:rFonts w:ascii="Arial" w:hAnsi="Arial" w:cs="Arial"/>
        </w:rPr>
        <w:t xml:space="preserve">., 2015). This narrow focus is beneficial for enhancing pedagogical strategies and fostering children’s cognitive and emotional development. However, SSTEW offers limited insights into broader aspects of early years provision, such as leadership, family partnerships, or environmental factors. In contrast, BEEL takes a more comprehensive view by examining the overall quality of provision, including leadership effectiveness, parental engagement, and the learning environment (Pascal </w:t>
      </w:r>
      <w:r w:rsidRPr="00DB3D77">
        <w:rPr>
          <w:rFonts w:ascii="Arial" w:hAnsi="Arial" w:cs="Arial"/>
          <w:i/>
          <w:iCs/>
        </w:rPr>
        <w:t>et al</w:t>
      </w:r>
      <w:r w:rsidRPr="00515AAD">
        <w:rPr>
          <w:rFonts w:ascii="Arial" w:hAnsi="Arial" w:cs="Arial"/>
        </w:rPr>
        <w:t xml:space="preserve">., 2019). While this broader scope provides valuable insights into systemic quality factors, it may lack the detailed focus on pedagogical interactions that SSTEW offers. </w:t>
      </w:r>
      <w:r w:rsidRPr="00515AAD">
        <w:rPr>
          <w:rStyle w:val="Strong"/>
          <w:rFonts w:ascii="Arial" w:hAnsi="Arial" w:cs="Arial"/>
          <w:b w:val="0"/>
          <w:bCs w:val="0"/>
        </w:rPr>
        <w:t>Tayler (2015)</w:t>
      </w:r>
      <w:r w:rsidRPr="00515AAD">
        <w:rPr>
          <w:rFonts w:ascii="Arial" w:hAnsi="Arial" w:cs="Arial"/>
        </w:rPr>
        <w:t xml:space="preserve"> highlights that merely collecting data on quality is insufficient; findings must be used to inform changes in practice. This is where SSTEW and BEEL prove particularly valuable. They not only provide a measure of current practice but also foster a reflective approach to professional development. By encouraging practitioners to engage in continuous professional learning and improvement, these tools contribute to the development of a reflective culture within early years settings.</w:t>
      </w:r>
    </w:p>
    <w:p w14:paraId="1AAE9791" w14:textId="2A70DF77" w:rsidR="00BB46F1" w:rsidRPr="00515AAD" w:rsidRDefault="00BB46F1" w:rsidP="00515AAD">
      <w:pPr>
        <w:spacing w:before="100" w:beforeAutospacing="1" w:after="100" w:afterAutospacing="1" w:line="360" w:lineRule="auto"/>
        <w:rPr>
          <w:rFonts w:ascii="Arial" w:hAnsi="Arial" w:cs="Arial"/>
        </w:rPr>
      </w:pPr>
      <w:r w:rsidRPr="00BB46F1">
        <w:rPr>
          <w:rFonts w:ascii="Arial" w:eastAsia="Times New Roman" w:hAnsi="Arial" w:cs="Arial"/>
          <w:kern w:val="0"/>
          <w:lang w:eastAsia="en-GB"/>
          <w14:ligatures w14:val="none"/>
        </w:rPr>
        <w:t xml:space="preserve">The advantage of SSTEW lies in its specificity and practicality. It offers clear, observable criteria for assessing adult-child interactions, making it a useful tool for targeted professional development (Care Inspectorate Wales, 2022). By regularly using the SSTEW scale, practitioners can systematically evaluate and enhance their communication strategies, which is essential for fostering cognitive and emotional development (Sylva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2010). However, SSTEW’s limitation is that it does not capture the wider contextual factors influencing quality, such as staff leadership, resources, or family collaboration. Therefore, while SSTEW can improve pedagogical quality, it may overlook systemic issues that also influence outcomes</w:t>
      </w:r>
      <w:r w:rsidR="001F1457" w:rsidRPr="00515AAD">
        <w:rPr>
          <w:rFonts w:ascii="Arial" w:eastAsia="Times New Roman" w:hAnsi="Arial" w:cs="Arial"/>
          <w:kern w:val="0"/>
          <w:lang w:eastAsia="en-GB"/>
          <w14:ligatures w14:val="none"/>
        </w:rPr>
        <w:t xml:space="preserve"> </w:t>
      </w:r>
      <w:r w:rsidR="001F1457" w:rsidRPr="00515AAD">
        <w:rPr>
          <w:rFonts w:ascii="Arial" w:hAnsi="Arial" w:cs="Arial"/>
        </w:rPr>
        <w:t>(Moss, 2016, p. 45).</w:t>
      </w:r>
    </w:p>
    <w:p w14:paraId="6E90EF2C" w14:textId="77777777" w:rsidR="00515AAD" w:rsidRPr="00515AAD" w:rsidRDefault="00515AAD" w:rsidP="00515AAD">
      <w:pPr>
        <w:spacing w:before="100" w:beforeAutospacing="1" w:after="100" w:afterAutospacing="1" w:line="360" w:lineRule="auto"/>
        <w:rPr>
          <w:rFonts w:ascii="Arial" w:eastAsia="Times New Roman" w:hAnsi="Arial" w:cs="Arial"/>
          <w:kern w:val="0"/>
          <w:lang w:eastAsia="en-GB"/>
          <w14:ligatures w14:val="none"/>
        </w:rPr>
      </w:pPr>
      <w:r w:rsidRPr="00515AAD">
        <w:rPr>
          <w:rFonts w:ascii="Arial" w:eastAsia="Times New Roman" w:hAnsi="Arial" w:cs="Arial"/>
          <w:kern w:val="0"/>
          <w:lang w:eastAsia="en-GB"/>
          <w14:ligatures w14:val="none"/>
        </w:rPr>
        <w:lastRenderedPageBreak/>
        <w:t xml:space="preserve">In contrast, the BEEL framework is a holistic, evidence-based quality improvement model designed to evaluate and enhance early learning experiences. It considers various aspects of provision, including the environment, pedagogy, leadership, and family engagement (Pascal </w:t>
      </w:r>
      <w:r w:rsidRPr="00515AAD">
        <w:rPr>
          <w:rFonts w:ascii="Arial" w:eastAsia="Times New Roman" w:hAnsi="Arial" w:cs="Arial"/>
          <w:i/>
          <w:iCs/>
          <w:kern w:val="0"/>
          <w:lang w:eastAsia="en-GB"/>
          <w14:ligatures w14:val="none"/>
        </w:rPr>
        <w:t>et al</w:t>
      </w:r>
      <w:r w:rsidRPr="00515AAD">
        <w:rPr>
          <w:rFonts w:ascii="Arial" w:eastAsia="Times New Roman" w:hAnsi="Arial" w:cs="Arial"/>
          <w:kern w:val="0"/>
          <w:lang w:eastAsia="en-GB"/>
          <w14:ligatures w14:val="none"/>
        </w:rPr>
        <w:t xml:space="preserve">., 2019). BEEL promotes practitioner reflection through a self-assessment process and uses external validation to ensure objective evaluation. Its multi-dimensional approach enables settings to identify strengths and areas for improvement across a broad range of quality indicators, beyond adult-child interactions. The BEEL Guidance Document (Television Junction, 2006) highlights that BEEL not only meets but exceeds the requirements of NMS by promoting continuous professional development and reflective practice, which are key to enhancing quality. This makes BEEL particularly effective in driving meaningful, long-term improvements, rather than simply ensuring regulatory compliance (Pascal </w:t>
      </w:r>
      <w:r w:rsidRPr="00515AAD">
        <w:rPr>
          <w:rFonts w:ascii="Arial" w:eastAsia="Times New Roman" w:hAnsi="Arial" w:cs="Arial"/>
          <w:i/>
          <w:iCs/>
          <w:kern w:val="0"/>
          <w:lang w:eastAsia="en-GB"/>
          <w14:ligatures w14:val="none"/>
        </w:rPr>
        <w:t>et al</w:t>
      </w:r>
      <w:r w:rsidRPr="00515AAD">
        <w:rPr>
          <w:rFonts w:ascii="Arial" w:eastAsia="Times New Roman" w:hAnsi="Arial" w:cs="Arial"/>
          <w:kern w:val="0"/>
          <w:lang w:eastAsia="en-GB"/>
          <w14:ligatures w14:val="none"/>
        </w:rPr>
        <w:t>., 2019).</w:t>
      </w:r>
    </w:p>
    <w:p w14:paraId="5AD83767" w14:textId="3254068A" w:rsidR="00515AAD" w:rsidRPr="00BB46F1" w:rsidRDefault="00515AAD" w:rsidP="00BB46F1">
      <w:pPr>
        <w:spacing w:before="100" w:beforeAutospacing="1" w:after="100" w:afterAutospacing="1" w:line="360" w:lineRule="auto"/>
        <w:rPr>
          <w:rFonts w:ascii="Arial" w:eastAsia="Times New Roman" w:hAnsi="Arial" w:cs="Arial"/>
          <w:kern w:val="0"/>
          <w:lang w:eastAsia="en-GB"/>
          <w14:ligatures w14:val="none"/>
        </w:rPr>
      </w:pPr>
      <w:r w:rsidRPr="00515AAD">
        <w:rPr>
          <w:rFonts w:ascii="Arial" w:eastAsia="Times New Roman" w:hAnsi="Arial" w:cs="Arial"/>
          <w:kern w:val="0"/>
          <w:lang w:eastAsia="en-GB"/>
          <w14:ligatures w14:val="none"/>
        </w:rPr>
        <w:t xml:space="preserve">Furthermore, this approach aligns closely with the principles of the UNCRC, particularly Articles 3 (best interests of the child), 28 (right to education), and 29 (education to develop the child’s personality, talents, and mental and physical abilities to their fullest potential), as it ensures that the quality of early learning reflects the holistic needs of children and promotes their rights to high-quality education (United Nations, 1989). Non-maintained settings in Wales, as part of the broader educational landscape, are equally expected to uphold these rights and deliver an inclusive, rights-based curriculum (Welsh Government, 2021). However, BEEL’s holistic nature means it may not provide the same level of depth regarding adult-child interactions, which are recognised as one of the most significant drivers of child development (Siraj-Blatchford </w:t>
      </w:r>
      <w:r w:rsidRPr="00515AAD">
        <w:rPr>
          <w:rFonts w:ascii="Arial" w:eastAsia="Times New Roman" w:hAnsi="Arial" w:cs="Arial"/>
          <w:i/>
          <w:iCs/>
          <w:kern w:val="0"/>
          <w:lang w:eastAsia="en-GB"/>
          <w14:ligatures w14:val="none"/>
        </w:rPr>
        <w:t>et al</w:t>
      </w:r>
      <w:r w:rsidRPr="00515AAD">
        <w:rPr>
          <w:rFonts w:ascii="Arial" w:eastAsia="Times New Roman" w:hAnsi="Arial" w:cs="Arial"/>
          <w:kern w:val="0"/>
          <w:lang w:eastAsia="en-GB"/>
          <w14:ligatures w14:val="none"/>
        </w:rPr>
        <w:t>., 2002).</w:t>
      </w:r>
    </w:p>
    <w:p w14:paraId="15B4609E" w14:textId="58ACBCF2" w:rsidR="00BB46F1" w:rsidRPr="00BB46F1" w:rsidRDefault="00BB46F1" w:rsidP="00BB46F1">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 xml:space="preserve">Both SSTEW and BEEL provide valuable but distinct information for improving provision. SSTEW offers detailed feedback on the quality of adult-child interactions, particularly regarding verbal scaffolding, emotional support, and the promotion of critical thinking (Siraj et al., 2015). It enables practitioners to reflect on their conversational strategies and identify areas for improvement, which is crucial for fostering cognitive and emotional development (Sylva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xml:space="preserve">., 2010). In contrast, BEEL offers insights into the overall effectiveness of the setting, including environmental quality, leadership, and family engagement (Pascal </w:t>
      </w:r>
      <w:r w:rsidRPr="00BB46F1">
        <w:rPr>
          <w:rFonts w:ascii="Arial" w:eastAsia="Times New Roman" w:hAnsi="Arial" w:cs="Arial"/>
          <w:i/>
          <w:iCs/>
          <w:kern w:val="0"/>
          <w:lang w:eastAsia="en-GB"/>
          <w14:ligatures w14:val="none"/>
        </w:rPr>
        <w:t>et</w:t>
      </w:r>
      <w:r w:rsidR="00DB3D77">
        <w:rPr>
          <w:rFonts w:ascii="Arial" w:eastAsia="Times New Roman" w:hAnsi="Arial" w:cs="Arial"/>
          <w:i/>
          <w:iCs/>
          <w:kern w:val="0"/>
          <w:lang w:eastAsia="en-GB"/>
          <w14:ligatures w14:val="none"/>
        </w:rPr>
        <w:t xml:space="preserve"> al</w:t>
      </w:r>
      <w:r w:rsidRPr="00BB46F1">
        <w:rPr>
          <w:rFonts w:ascii="Arial" w:eastAsia="Times New Roman" w:hAnsi="Arial" w:cs="Arial"/>
          <w:kern w:val="0"/>
          <w:lang w:eastAsia="en-GB"/>
          <w14:ligatures w14:val="none"/>
        </w:rPr>
        <w:t>., 2019). This provides a holistic picture of strengths and areas requiring improvement, making it useful for strategic planning and organisational development.</w:t>
      </w:r>
    </w:p>
    <w:p w14:paraId="43EB4778" w14:textId="77777777" w:rsidR="00BB46F1" w:rsidRPr="00BB46F1" w:rsidRDefault="00BB46F1" w:rsidP="00850E2E">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 xml:space="preserve">Crucially, both SSTEW and BEEL promote standards that exceed NMS, which is essential for delivering high-quality early years provision. While NMS ensures that the basic requirements for safety, welfare, and staffing are met, quality assurance tools like SSTEW </w:t>
      </w:r>
      <w:r w:rsidRPr="00BB46F1">
        <w:rPr>
          <w:rFonts w:ascii="Arial" w:eastAsia="Times New Roman" w:hAnsi="Arial" w:cs="Arial"/>
          <w:kern w:val="0"/>
          <w:lang w:eastAsia="en-GB"/>
          <w14:ligatures w14:val="none"/>
        </w:rPr>
        <w:lastRenderedPageBreak/>
        <w:t xml:space="preserve">and BEEL drive deeper improvements by focusing on pedagogy, relationships, and continuous professional development (Welsh Government, 2017). This is vital because research from the Effective Pre-school, Primary and Secondary Education (EPPSE) project demonstrates that high-quality early </w:t>
      </w:r>
      <w:proofErr w:type="gramStart"/>
      <w:r w:rsidRPr="00BB46F1">
        <w:rPr>
          <w:rFonts w:ascii="Arial" w:eastAsia="Times New Roman" w:hAnsi="Arial" w:cs="Arial"/>
          <w:kern w:val="0"/>
          <w:lang w:eastAsia="en-GB"/>
          <w14:ligatures w14:val="none"/>
        </w:rPr>
        <w:t>years</w:t>
      </w:r>
      <w:proofErr w:type="gramEnd"/>
      <w:r w:rsidRPr="00BB46F1">
        <w:rPr>
          <w:rFonts w:ascii="Arial" w:eastAsia="Times New Roman" w:hAnsi="Arial" w:cs="Arial"/>
          <w:kern w:val="0"/>
          <w:lang w:eastAsia="en-GB"/>
          <w14:ligatures w14:val="none"/>
        </w:rPr>
        <w:t xml:space="preserve"> provision significantly improves children’s long-term academic and social outcomes (Sylva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2012). By exceeding basic regulatory compliance, SSTEW and BEEL promote meaningful, evidence-based improvements that contribute to better learning experiences and outcomes for children.</w:t>
      </w:r>
    </w:p>
    <w:p w14:paraId="342197AB" w14:textId="77777777" w:rsidR="00BB46F1" w:rsidRPr="00850E2E" w:rsidRDefault="00BB46F1" w:rsidP="00850E2E">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 xml:space="preserve">While both methods offer valuable insights, they also have limitations. SSTEW’s narrow focus on adult-child interactions means it does not capture the broader context of early years provision, such as staff morale, leadership effectiveness, or the impact of the learning environment. Therefore, while SSTEW can improve pedagogical quality, it may overlook systemic issues that also influence outcomes. Conversely, BEEL’s comprehensive nature means it may lack the detailed pedagogical insights that SSTEW provides. Although it evaluates multiple aspects of provision, it may not sufficiently highlight the quality of adult-child interactions, which research shows is a key factor in child development (Siraj-Blatchford </w:t>
      </w:r>
      <w:r w:rsidRPr="00BB46F1">
        <w:rPr>
          <w:rFonts w:ascii="Arial" w:eastAsia="Times New Roman" w:hAnsi="Arial" w:cs="Arial"/>
          <w:i/>
          <w:iCs/>
          <w:kern w:val="0"/>
          <w:lang w:eastAsia="en-GB"/>
          <w14:ligatures w14:val="none"/>
        </w:rPr>
        <w:t>et al.,</w:t>
      </w:r>
      <w:r w:rsidRPr="00BB46F1">
        <w:rPr>
          <w:rFonts w:ascii="Arial" w:eastAsia="Times New Roman" w:hAnsi="Arial" w:cs="Arial"/>
          <w:kern w:val="0"/>
          <w:lang w:eastAsia="en-GB"/>
          <w14:ligatures w14:val="none"/>
        </w:rPr>
        <w:t xml:space="preserve"> 2002).</w:t>
      </w:r>
    </w:p>
    <w:p w14:paraId="275E3EF0" w14:textId="77777777" w:rsidR="00850E2E" w:rsidRPr="000C1A1F" w:rsidRDefault="00850E2E" w:rsidP="000C1A1F">
      <w:pPr>
        <w:spacing w:before="100" w:beforeAutospacing="1" w:after="100" w:afterAutospacing="1" w:line="360" w:lineRule="auto"/>
        <w:rPr>
          <w:rFonts w:ascii="Arial" w:eastAsia="Times New Roman" w:hAnsi="Arial" w:cs="Arial"/>
          <w:kern w:val="0"/>
          <w:lang w:eastAsia="en-GB"/>
          <w14:ligatures w14:val="none"/>
        </w:rPr>
      </w:pPr>
      <w:r w:rsidRPr="00850E2E">
        <w:rPr>
          <w:rFonts w:ascii="Arial" w:eastAsia="Times New Roman" w:hAnsi="Arial" w:cs="Arial"/>
          <w:kern w:val="0"/>
          <w:lang w:eastAsia="en-GB"/>
          <w14:ligatures w14:val="none"/>
        </w:rPr>
        <w:t xml:space="preserve">Both SSTEW and BEEL can effectively drive quality improvements but in different ways. By focusing on adult-child interactions, SSTEW promotes reflective practice and targeted professional development. When practitioners regularly assess and enhance their communication strategies, they are better able to scaffold children’s thinking and promote deeper learning experiences (Siraj </w:t>
      </w:r>
      <w:r w:rsidRPr="00850E2E">
        <w:rPr>
          <w:rFonts w:ascii="Arial" w:eastAsia="Times New Roman" w:hAnsi="Arial" w:cs="Arial"/>
          <w:i/>
          <w:iCs/>
          <w:kern w:val="0"/>
          <w:lang w:eastAsia="en-GB"/>
          <w14:ligatures w14:val="none"/>
        </w:rPr>
        <w:t>et al</w:t>
      </w:r>
      <w:r w:rsidRPr="00850E2E">
        <w:rPr>
          <w:rFonts w:ascii="Arial" w:eastAsia="Times New Roman" w:hAnsi="Arial" w:cs="Arial"/>
          <w:kern w:val="0"/>
          <w:lang w:eastAsia="en-GB"/>
          <w14:ligatures w14:val="none"/>
        </w:rPr>
        <w:t xml:space="preserve">., 2015). BEEL, on the other hand, drives quality by providing a holistic view of the setting, enabling leaders to implement comprehensive improvement plans. By addressing factors such as leadership, parental engagement, and environmental quality, BEEL fosters systemic enhancements that contribute to sustained improvement across the provision (Pascal </w:t>
      </w:r>
      <w:r w:rsidRPr="00850E2E">
        <w:rPr>
          <w:rFonts w:ascii="Arial" w:eastAsia="Times New Roman" w:hAnsi="Arial" w:cs="Arial"/>
          <w:i/>
          <w:iCs/>
          <w:kern w:val="0"/>
          <w:lang w:eastAsia="en-GB"/>
          <w14:ligatures w14:val="none"/>
        </w:rPr>
        <w:t>et al.</w:t>
      </w:r>
      <w:r w:rsidRPr="00850E2E">
        <w:rPr>
          <w:rFonts w:ascii="Arial" w:eastAsia="Times New Roman" w:hAnsi="Arial" w:cs="Arial"/>
          <w:kern w:val="0"/>
          <w:lang w:eastAsia="en-GB"/>
          <w14:ligatures w14:val="none"/>
        </w:rPr>
        <w:t>, 2019).</w:t>
      </w:r>
    </w:p>
    <w:p w14:paraId="78748A92" w14:textId="42A45255" w:rsidR="000C1A1F" w:rsidRPr="00850E2E" w:rsidRDefault="000C1A1F" w:rsidP="000C1A1F">
      <w:pPr>
        <w:spacing w:before="100" w:beforeAutospacing="1" w:after="100" w:afterAutospacing="1" w:line="360" w:lineRule="auto"/>
        <w:rPr>
          <w:rFonts w:ascii="Arial" w:eastAsia="Times New Roman" w:hAnsi="Arial" w:cs="Arial"/>
          <w:kern w:val="0"/>
          <w:lang w:eastAsia="en-GB"/>
          <w14:ligatures w14:val="none"/>
        </w:rPr>
      </w:pPr>
      <w:r w:rsidRPr="000C1A1F">
        <w:rPr>
          <w:rFonts w:ascii="Arial" w:hAnsi="Arial" w:cs="Arial"/>
        </w:rPr>
        <w:t>Research by Campbell-Barr (2016) and Eadie et al. (2022) underscores the central role of leadership in fostering a culture of continuous improvement. Leaders who champion reflective practice and professional development ensure that tools like SSTEW are not only used but also embedded within the setting’s everyday practice, ensuring sustained improvements in pedagogical quality. Similarly, effective parental engagement, as identified by Sylva et al. (2010), enhances the impact of BEEL by fostering stronger home-school links that support children's learning both inside and outside the setting.</w:t>
      </w:r>
    </w:p>
    <w:p w14:paraId="7652DEB7" w14:textId="77777777" w:rsidR="00850E2E" w:rsidRPr="00850E2E" w:rsidRDefault="00850E2E" w:rsidP="00850E2E">
      <w:pPr>
        <w:spacing w:before="100" w:beforeAutospacing="1" w:after="100" w:afterAutospacing="1" w:line="360" w:lineRule="auto"/>
        <w:rPr>
          <w:rFonts w:ascii="Arial" w:eastAsia="Times New Roman" w:hAnsi="Arial" w:cs="Arial"/>
          <w:kern w:val="0"/>
          <w:lang w:eastAsia="en-GB"/>
          <w14:ligatures w14:val="none"/>
        </w:rPr>
      </w:pPr>
      <w:r w:rsidRPr="00850E2E">
        <w:rPr>
          <w:rFonts w:ascii="Arial" w:eastAsia="Times New Roman" w:hAnsi="Arial" w:cs="Arial"/>
          <w:kern w:val="0"/>
          <w:lang w:eastAsia="en-GB"/>
          <w14:ligatures w14:val="none"/>
        </w:rPr>
        <w:t xml:space="preserve">Parental engagement is another critical factor in sustaining quality improvement. Research by Sylva et al. (2010) and Dahlberg et al. (2013) highlights that partnerships with families </w:t>
      </w:r>
      <w:r w:rsidRPr="00850E2E">
        <w:rPr>
          <w:rFonts w:ascii="Arial" w:eastAsia="Times New Roman" w:hAnsi="Arial" w:cs="Arial"/>
          <w:kern w:val="0"/>
          <w:lang w:eastAsia="en-GB"/>
          <w14:ligatures w14:val="none"/>
        </w:rPr>
        <w:lastRenderedPageBreak/>
        <w:t>contribute significantly to children's well-being and development. When parents are involved in their children’s early education, it enhances continuity between the home and setting, which can result in better learning outcomes. BEEL's inclusion of parental engagement as an aspect of quality provision reflects the growing recognition of the importance of family involvement. As Siraj-Blatchford et al. (2002) note, effective partnerships between practitioners and families are key to promoting children's cognitive and emotional development, ensuring that learning is supported both in and outside the setting.</w:t>
      </w:r>
    </w:p>
    <w:p w14:paraId="62BB9FE7" w14:textId="787E2389" w:rsidR="00850E2E" w:rsidRPr="00BB46F1" w:rsidRDefault="00850E2E" w:rsidP="00BB46F1">
      <w:pPr>
        <w:spacing w:before="100" w:beforeAutospacing="1" w:after="100" w:afterAutospacing="1" w:line="360" w:lineRule="auto"/>
        <w:rPr>
          <w:rFonts w:ascii="Arial" w:eastAsia="Times New Roman" w:hAnsi="Arial" w:cs="Arial"/>
          <w:kern w:val="0"/>
          <w:lang w:eastAsia="en-GB"/>
          <w14:ligatures w14:val="none"/>
        </w:rPr>
      </w:pPr>
      <w:r w:rsidRPr="00850E2E">
        <w:rPr>
          <w:rFonts w:ascii="Arial" w:eastAsia="Times New Roman" w:hAnsi="Arial" w:cs="Arial"/>
          <w:kern w:val="0"/>
          <w:lang w:eastAsia="en-GB"/>
          <w14:ligatures w14:val="none"/>
        </w:rPr>
        <w:t>The learning environment, both physical and emotional, also plays a fundamental role in sustaining improvements. Research consistently shows that the quality of the environment influences children's cognitive, social, and emotional development (Farquhar, 2007; Sylva et al., 2010). BEEL's holistic approach recogni</w:t>
      </w:r>
      <w:r w:rsidR="00190E8E">
        <w:rPr>
          <w:rFonts w:ascii="Arial" w:eastAsia="Times New Roman" w:hAnsi="Arial" w:cs="Arial"/>
          <w:kern w:val="0"/>
          <w:lang w:eastAsia="en-GB"/>
          <w14:ligatures w14:val="none"/>
        </w:rPr>
        <w:t>s</w:t>
      </w:r>
      <w:r w:rsidRPr="00850E2E">
        <w:rPr>
          <w:rFonts w:ascii="Arial" w:eastAsia="Times New Roman" w:hAnsi="Arial" w:cs="Arial"/>
          <w:kern w:val="0"/>
          <w:lang w:eastAsia="en-GB"/>
          <w14:ligatures w14:val="none"/>
        </w:rPr>
        <w:t>es that a well-organi</w:t>
      </w:r>
      <w:r>
        <w:rPr>
          <w:rFonts w:ascii="Arial" w:eastAsia="Times New Roman" w:hAnsi="Arial" w:cs="Arial"/>
          <w:kern w:val="0"/>
          <w:lang w:eastAsia="en-GB"/>
          <w14:ligatures w14:val="none"/>
        </w:rPr>
        <w:t>s</w:t>
      </w:r>
      <w:r w:rsidRPr="00850E2E">
        <w:rPr>
          <w:rFonts w:ascii="Arial" w:eastAsia="Times New Roman" w:hAnsi="Arial" w:cs="Arial"/>
          <w:kern w:val="0"/>
          <w:lang w:eastAsia="en-GB"/>
          <w14:ligatures w14:val="none"/>
        </w:rPr>
        <w:t xml:space="preserve">ed, safe, and stimulating environment is essential for children's engagement and well-being. In addition, Siraj-Blatchford et al. (2002) argue that an enriched learning environment supports children’s thinking, creativity, and exploration, further reinforcing the need for high-quality settings that promote </w:t>
      </w:r>
      <w:r w:rsidR="00190E8E">
        <w:rPr>
          <w:rFonts w:ascii="Arial" w:eastAsia="Times New Roman" w:hAnsi="Arial" w:cs="Arial"/>
          <w:kern w:val="0"/>
          <w:lang w:eastAsia="en-GB"/>
          <w14:ligatures w14:val="none"/>
        </w:rPr>
        <w:t>high</w:t>
      </w:r>
      <w:r w:rsidRPr="00850E2E">
        <w:rPr>
          <w:rFonts w:ascii="Arial" w:eastAsia="Times New Roman" w:hAnsi="Arial" w:cs="Arial"/>
          <w:kern w:val="0"/>
          <w:lang w:eastAsia="en-GB"/>
          <w14:ligatures w14:val="none"/>
        </w:rPr>
        <w:t xml:space="preserve"> developmental outcomes. The physical and emotional environment also contributes to the wellbeing of practitioners, which in turn affects the overall quality of care and education provided.</w:t>
      </w:r>
    </w:p>
    <w:p w14:paraId="0F5011D2" w14:textId="77777777" w:rsidR="00BB46F1" w:rsidRPr="00BB46F1" w:rsidRDefault="00BB46F1" w:rsidP="00BB46F1">
      <w:pPr>
        <w:spacing w:before="100" w:beforeAutospacing="1" w:after="100" w:afterAutospacing="1" w:line="360" w:lineRule="auto"/>
        <w:rPr>
          <w:rFonts w:ascii="Arial" w:eastAsia="Times New Roman" w:hAnsi="Arial" w:cs="Arial"/>
          <w:kern w:val="0"/>
          <w:lang w:eastAsia="en-GB"/>
          <w14:ligatures w14:val="none"/>
        </w:rPr>
      </w:pPr>
      <w:r w:rsidRPr="00BB46F1">
        <w:rPr>
          <w:rFonts w:ascii="Arial" w:eastAsia="Times New Roman" w:hAnsi="Arial" w:cs="Arial"/>
          <w:kern w:val="0"/>
          <w:lang w:eastAsia="en-GB"/>
          <w14:ligatures w14:val="none"/>
        </w:rPr>
        <w:t>In conclusion, both the SSTEW scale and the BEEL framework offer valuable but distinct approaches to quality assurance in early years education. SSTEW’s strength lies in its specific focus on adult-child interactions, making it highly effective for enhancing pedagogical practice. However, it overlooks broader contextual factors. In contrast, BEEL offers a holistic evaluation of overall provision, making it valuable for strategic planning and organisational improvement, though it may lack the depth of pedagogical insight provided by SSTEW. By exceeding NMS requirements, both tools promote deeper and more meaningful improvements, ultimately driving higher-quality early years provision that positively impacts children’s development and learning outcomes.</w:t>
      </w:r>
    </w:p>
    <w:p w14:paraId="7CD04A7B" w14:textId="77777777" w:rsidR="00BB46F1" w:rsidRPr="00045CAA" w:rsidRDefault="00BB46F1" w:rsidP="00045CAA">
      <w:pPr>
        <w:spacing w:before="100" w:beforeAutospacing="1" w:after="100" w:afterAutospacing="1" w:line="360" w:lineRule="auto"/>
        <w:rPr>
          <w:rFonts w:ascii="Arial" w:eastAsia="Times New Roman" w:hAnsi="Arial" w:cs="Arial"/>
          <w:kern w:val="0"/>
          <w:lang w:eastAsia="en-GB"/>
          <w14:ligatures w14:val="none"/>
        </w:rPr>
      </w:pPr>
    </w:p>
    <w:p w14:paraId="20F6FCD2" w14:textId="77777777" w:rsidR="00045CAA" w:rsidRPr="00190E8E" w:rsidRDefault="00045CAA" w:rsidP="006E025E">
      <w:pPr>
        <w:spacing w:line="360" w:lineRule="auto"/>
        <w:rPr>
          <w:rFonts w:ascii="Arial" w:hAnsi="Arial" w:cs="Arial"/>
        </w:rPr>
      </w:pPr>
    </w:p>
    <w:p w14:paraId="51DF7988" w14:textId="77777777" w:rsidR="006E025E" w:rsidRPr="00190E8E" w:rsidRDefault="006E025E" w:rsidP="006E025E">
      <w:pPr>
        <w:spacing w:line="360" w:lineRule="auto"/>
        <w:rPr>
          <w:rFonts w:ascii="Arial" w:hAnsi="Arial" w:cs="Arial"/>
        </w:rPr>
      </w:pPr>
    </w:p>
    <w:p w14:paraId="744209B0" w14:textId="77777777" w:rsidR="006E025E" w:rsidRPr="00190E8E" w:rsidRDefault="006E025E" w:rsidP="006E025E">
      <w:pPr>
        <w:spacing w:line="360" w:lineRule="auto"/>
        <w:rPr>
          <w:rFonts w:ascii="Arial" w:hAnsi="Arial" w:cs="Arial"/>
        </w:rPr>
      </w:pPr>
    </w:p>
    <w:p w14:paraId="105D64FC" w14:textId="77777777" w:rsidR="006E025E" w:rsidRPr="00190E8E" w:rsidRDefault="006E025E" w:rsidP="00190E8E">
      <w:pPr>
        <w:spacing w:line="360" w:lineRule="auto"/>
        <w:rPr>
          <w:rFonts w:ascii="Arial" w:hAnsi="Arial" w:cs="Arial"/>
        </w:rPr>
      </w:pPr>
    </w:p>
    <w:p w14:paraId="6117E3A7" w14:textId="77777777" w:rsidR="006E025E" w:rsidRPr="00190E8E" w:rsidRDefault="006E025E" w:rsidP="00190E8E">
      <w:pPr>
        <w:spacing w:line="360" w:lineRule="auto"/>
        <w:rPr>
          <w:rFonts w:ascii="Arial" w:hAnsi="Arial" w:cs="Arial"/>
        </w:rPr>
      </w:pPr>
    </w:p>
    <w:p w14:paraId="560FDEA4" w14:textId="246A0504" w:rsidR="006E025E" w:rsidRPr="00190E8E" w:rsidRDefault="00190E8E" w:rsidP="00190E8E">
      <w:pPr>
        <w:spacing w:line="360" w:lineRule="auto"/>
        <w:rPr>
          <w:rFonts w:ascii="Arial" w:hAnsi="Arial" w:cs="Arial"/>
          <w:b/>
          <w:bCs/>
          <w:u w:val="single"/>
        </w:rPr>
      </w:pPr>
      <w:r w:rsidRPr="00190E8E">
        <w:rPr>
          <w:rFonts w:ascii="Arial" w:hAnsi="Arial" w:cs="Arial"/>
          <w:b/>
          <w:bCs/>
          <w:u w:val="single"/>
        </w:rPr>
        <w:lastRenderedPageBreak/>
        <w:t>References</w:t>
      </w:r>
    </w:p>
    <w:p w14:paraId="5C3CAAF2"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Campbell-Barr, V. (2016) </w:t>
      </w:r>
      <w:r w:rsidRPr="00190E8E">
        <w:rPr>
          <w:rFonts w:ascii="Arial" w:eastAsia="Times New Roman" w:hAnsi="Arial" w:cs="Arial"/>
          <w:i/>
          <w:iCs/>
          <w:kern w:val="0"/>
          <w:lang w:eastAsia="en-GB"/>
          <w14:ligatures w14:val="none"/>
        </w:rPr>
        <w:t>Professional development and leadership in early years education</w:t>
      </w:r>
      <w:r w:rsidRPr="00190E8E">
        <w:rPr>
          <w:rFonts w:ascii="Arial" w:eastAsia="Times New Roman" w:hAnsi="Arial" w:cs="Arial"/>
          <w:kern w:val="0"/>
          <w:lang w:eastAsia="en-GB"/>
          <w14:ligatures w14:val="none"/>
        </w:rPr>
        <w:t>. Routledge.</w:t>
      </w:r>
    </w:p>
    <w:p w14:paraId="1E76F9FB"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Care Inspectorate Wales (2022) </w:t>
      </w:r>
      <w:r w:rsidRPr="00190E8E">
        <w:rPr>
          <w:rFonts w:ascii="Arial" w:eastAsia="Times New Roman" w:hAnsi="Arial" w:cs="Arial"/>
          <w:i/>
          <w:iCs/>
          <w:kern w:val="0"/>
          <w:lang w:eastAsia="en-GB"/>
          <w14:ligatures w14:val="none"/>
        </w:rPr>
        <w:t>Early Years Quality Framework</w:t>
      </w:r>
      <w:r w:rsidRPr="00190E8E">
        <w:rPr>
          <w:rFonts w:ascii="Arial" w:eastAsia="Times New Roman" w:hAnsi="Arial" w:cs="Arial"/>
          <w:kern w:val="0"/>
          <w:lang w:eastAsia="en-GB"/>
          <w14:ligatures w14:val="none"/>
        </w:rPr>
        <w:t>. Cardiff: Welsh Government.</w:t>
      </w:r>
    </w:p>
    <w:p w14:paraId="5560D385"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Crosse, K. (2006) </w:t>
      </w:r>
      <w:r w:rsidRPr="00190E8E">
        <w:rPr>
          <w:rFonts w:ascii="Arial" w:eastAsia="Times New Roman" w:hAnsi="Arial" w:cs="Arial"/>
          <w:i/>
          <w:iCs/>
          <w:kern w:val="0"/>
          <w:lang w:eastAsia="en-GB"/>
          <w14:ligatures w14:val="none"/>
        </w:rPr>
        <w:t>Supporting practitioners to develop quality provision in the early years</w:t>
      </w:r>
      <w:r w:rsidRPr="00190E8E">
        <w:rPr>
          <w:rFonts w:ascii="Arial" w:eastAsia="Times New Roman" w:hAnsi="Arial" w:cs="Arial"/>
          <w:kern w:val="0"/>
          <w:lang w:eastAsia="en-GB"/>
          <w14:ligatures w14:val="none"/>
        </w:rPr>
        <w:t>. Television Junction: Amber Publishing.</w:t>
      </w:r>
    </w:p>
    <w:p w14:paraId="7E9F7E23"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Dahlberg, G., Moss, P. and Pence, A. (2013) </w:t>
      </w:r>
      <w:r w:rsidRPr="00190E8E">
        <w:rPr>
          <w:rFonts w:ascii="Arial" w:eastAsia="Times New Roman" w:hAnsi="Arial" w:cs="Arial"/>
          <w:i/>
          <w:iCs/>
          <w:kern w:val="0"/>
          <w:lang w:eastAsia="en-GB"/>
          <w14:ligatures w14:val="none"/>
        </w:rPr>
        <w:t>Beyond Quality in Early Childhood Education and Care: Languages of Evaluation</w:t>
      </w:r>
      <w:r w:rsidRPr="00190E8E">
        <w:rPr>
          <w:rFonts w:ascii="Arial" w:eastAsia="Times New Roman" w:hAnsi="Arial" w:cs="Arial"/>
          <w:kern w:val="0"/>
          <w:lang w:eastAsia="en-GB"/>
          <w14:ligatures w14:val="none"/>
        </w:rPr>
        <w:t xml:space="preserve">. 3rd </w:t>
      </w:r>
      <w:proofErr w:type="spellStart"/>
      <w:r w:rsidRPr="00190E8E">
        <w:rPr>
          <w:rFonts w:ascii="Arial" w:eastAsia="Times New Roman" w:hAnsi="Arial" w:cs="Arial"/>
          <w:kern w:val="0"/>
          <w:lang w:eastAsia="en-GB"/>
          <w14:ligatures w14:val="none"/>
        </w:rPr>
        <w:t>edn</w:t>
      </w:r>
      <w:proofErr w:type="spellEnd"/>
      <w:r w:rsidRPr="00190E8E">
        <w:rPr>
          <w:rFonts w:ascii="Arial" w:eastAsia="Times New Roman" w:hAnsi="Arial" w:cs="Arial"/>
          <w:kern w:val="0"/>
          <w:lang w:eastAsia="en-GB"/>
          <w14:ligatures w14:val="none"/>
        </w:rPr>
        <w:t>. London: Routledge.</w:t>
      </w:r>
    </w:p>
    <w:p w14:paraId="47B70956"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Eadie, P., Nuttall, J. and Tesar, M. (2022) </w:t>
      </w:r>
      <w:r w:rsidRPr="00190E8E">
        <w:rPr>
          <w:rFonts w:ascii="Arial" w:eastAsia="Times New Roman" w:hAnsi="Arial" w:cs="Arial"/>
          <w:i/>
          <w:iCs/>
          <w:kern w:val="0"/>
          <w:lang w:eastAsia="en-GB"/>
          <w14:ligatures w14:val="none"/>
        </w:rPr>
        <w:t>Early Childhood Education and Care: Shaping the Future</w:t>
      </w:r>
      <w:r w:rsidRPr="00190E8E">
        <w:rPr>
          <w:rFonts w:ascii="Arial" w:eastAsia="Times New Roman" w:hAnsi="Arial" w:cs="Arial"/>
          <w:kern w:val="0"/>
          <w:lang w:eastAsia="en-GB"/>
          <w14:ligatures w14:val="none"/>
        </w:rPr>
        <w:t>. Springer.</w:t>
      </w:r>
    </w:p>
    <w:p w14:paraId="53EE1590"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Farquhar, S. (2007) </w:t>
      </w:r>
      <w:r w:rsidRPr="00190E8E">
        <w:rPr>
          <w:rFonts w:ascii="Arial" w:eastAsia="Times New Roman" w:hAnsi="Arial" w:cs="Arial"/>
          <w:i/>
          <w:iCs/>
          <w:kern w:val="0"/>
          <w:lang w:eastAsia="en-GB"/>
          <w14:ligatures w14:val="none"/>
        </w:rPr>
        <w:t>Effective Learning Environments in Early Childhood Education</w:t>
      </w:r>
      <w:r w:rsidRPr="00190E8E">
        <w:rPr>
          <w:rFonts w:ascii="Arial" w:eastAsia="Times New Roman" w:hAnsi="Arial" w:cs="Arial"/>
          <w:kern w:val="0"/>
          <w:lang w:eastAsia="en-GB"/>
          <w14:ligatures w14:val="none"/>
        </w:rPr>
        <w:t>. Routledge.</w:t>
      </w:r>
    </w:p>
    <w:p w14:paraId="6FBE0FAC"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Moss, P. (2016) </w:t>
      </w:r>
      <w:r w:rsidRPr="00190E8E">
        <w:rPr>
          <w:rFonts w:ascii="Arial" w:eastAsia="Times New Roman" w:hAnsi="Arial" w:cs="Arial"/>
          <w:i/>
          <w:iCs/>
          <w:kern w:val="0"/>
          <w:lang w:eastAsia="en-GB"/>
          <w14:ligatures w14:val="none"/>
        </w:rPr>
        <w:t>Alternative narratives in early childhood: An introduction for students and practitioners</w:t>
      </w:r>
      <w:r w:rsidRPr="00190E8E">
        <w:rPr>
          <w:rFonts w:ascii="Arial" w:eastAsia="Times New Roman" w:hAnsi="Arial" w:cs="Arial"/>
          <w:kern w:val="0"/>
          <w:lang w:eastAsia="en-GB"/>
          <w14:ligatures w14:val="none"/>
        </w:rPr>
        <w:t>. Abingdon: Routledge.</w:t>
      </w:r>
    </w:p>
    <w:p w14:paraId="696C3BEF"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Moss, P. (2016) </w:t>
      </w:r>
      <w:r w:rsidRPr="00190E8E">
        <w:rPr>
          <w:rFonts w:ascii="Arial" w:eastAsia="Times New Roman" w:hAnsi="Arial" w:cs="Arial"/>
          <w:i/>
          <w:iCs/>
          <w:kern w:val="0"/>
          <w:lang w:eastAsia="en-GB"/>
          <w14:ligatures w14:val="none"/>
        </w:rPr>
        <w:t>Bringing the school back to the early years</w:t>
      </w:r>
      <w:r w:rsidRPr="00190E8E">
        <w:rPr>
          <w:rFonts w:ascii="Arial" w:eastAsia="Times New Roman" w:hAnsi="Arial" w:cs="Arial"/>
          <w:kern w:val="0"/>
          <w:lang w:eastAsia="en-GB"/>
          <w14:ligatures w14:val="none"/>
        </w:rPr>
        <w:t>. London: Routledge.</w:t>
      </w:r>
    </w:p>
    <w:p w14:paraId="784422CD"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Moss, P. (2016) ‘Framing quality: Exploring the relationships between policy, theory and practice in early childhood education’, </w:t>
      </w:r>
      <w:r w:rsidRPr="00190E8E">
        <w:rPr>
          <w:rFonts w:ascii="Arial" w:eastAsia="Times New Roman" w:hAnsi="Arial" w:cs="Arial"/>
          <w:i/>
          <w:iCs/>
          <w:kern w:val="0"/>
          <w:lang w:eastAsia="en-GB"/>
          <w14:ligatures w14:val="none"/>
        </w:rPr>
        <w:t>Journal of Early Childhood Research</w:t>
      </w:r>
      <w:r w:rsidRPr="00190E8E">
        <w:rPr>
          <w:rFonts w:ascii="Arial" w:eastAsia="Times New Roman" w:hAnsi="Arial" w:cs="Arial"/>
          <w:kern w:val="0"/>
          <w:lang w:eastAsia="en-GB"/>
          <w14:ligatures w14:val="none"/>
        </w:rPr>
        <w:t>, 14(1), pp. 5–18.</w:t>
      </w:r>
    </w:p>
    <w:p w14:paraId="68F810A6"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Osgood, J. (2010) ‘Reconstructing professionalism in ECEC: The case for the “critically reflective emotional professional”’, </w:t>
      </w:r>
      <w:r w:rsidRPr="00190E8E">
        <w:rPr>
          <w:rFonts w:ascii="Arial" w:eastAsia="Times New Roman" w:hAnsi="Arial" w:cs="Arial"/>
          <w:i/>
          <w:iCs/>
          <w:kern w:val="0"/>
          <w:lang w:eastAsia="en-GB"/>
          <w14:ligatures w14:val="none"/>
        </w:rPr>
        <w:t>Early Years</w:t>
      </w:r>
      <w:r w:rsidRPr="00190E8E">
        <w:rPr>
          <w:rFonts w:ascii="Arial" w:eastAsia="Times New Roman" w:hAnsi="Arial" w:cs="Arial"/>
          <w:kern w:val="0"/>
          <w:lang w:eastAsia="en-GB"/>
          <w14:ligatures w14:val="none"/>
        </w:rPr>
        <w:t>, 30(2), pp. 119–133.</w:t>
      </w:r>
    </w:p>
    <w:p w14:paraId="0FA3AC04"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Pascal, C., Bertram, T., Rouse, L. and Chapman, C. (2019) ‘Improving the quality of early years provision: the impact of Building on Effective Early Learning (BEEL)’, </w:t>
      </w:r>
      <w:r w:rsidRPr="00190E8E">
        <w:rPr>
          <w:rFonts w:ascii="Arial" w:eastAsia="Times New Roman" w:hAnsi="Arial" w:cs="Arial"/>
          <w:i/>
          <w:iCs/>
          <w:kern w:val="0"/>
          <w:lang w:eastAsia="en-GB"/>
          <w14:ligatures w14:val="none"/>
        </w:rPr>
        <w:t>European Early Childhood Education Research Journal</w:t>
      </w:r>
      <w:r w:rsidRPr="00190E8E">
        <w:rPr>
          <w:rFonts w:ascii="Arial" w:eastAsia="Times New Roman" w:hAnsi="Arial" w:cs="Arial"/>
          <w:kern w:val="0"/>
          <w:lang w:eastAsia="en-GB"/>
          <w14:ligatures w14:val="none"/>
        </w:rPr>
        <w:t>, 27(2), pp. 219-235.</w:t>
      </w:r>
    </w:p>
    <w:p w14:paraId="150AC4A9"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Siraj-Blatchford, I., Sylva, K., </w:t>
      </w:r>
      <w:proofErr w:type="spellStart"/>
      <w:r w:rsidRPr="00190E8E">
        <w:rPr>
          <w:rFonts w:ascii="Arial" w:eastAsia="Times New Roman" w:hAnsi="Arial" w:cs="Arial"/>
          <w:kern w:val="0"/>
          <w:lang w:eastAsia="en-GB"/>
          <w14:ligatures w14:val="none"/>
        </w:rPr>
        <w:t>Muttock</w:t>
      </w:r>
      <w:proofErr w:type="spellEnd"/>
      <w:r w:rsidRPr="00190E8E">
        <w:rPr>
          <w:rFonts w:ascii="Arial" w:eastAsia="Times New Roman" w:hAnsi="Arial" w:cs="Arial"/>
          <w:kern w:val="0"/>
          <w:lang w:eastAsia="en-GB"/>
          <w14:ligatures w14:val="none"/>
        </w:rPr>
        <w:t xml:space="preserve">, S., Gilden, R. and Bell, D. (2002) </w:t>
      </w:r>
      <w:r w:rsidRPr="00190E8E">
        <w:rPr>
          <w:rFonts w:ascii="Arial" w:eastAsia="Times New Roman" w:hAnsi="Arial" w:cs="Arial"/>
          <w:i/>
          <w:iCs/>
          <w:kern w:val="0"/>
          <w:lang w:eastAsia="en-GB"/>
          <w14:ligatures w14:val="none"/>
        </w:rPr>
        <w:t>Researching Effective Pedagogy in the Early Years (REPEY)</w:t>
      </w:r>
      <w:r w:rsidRPr="00190E8E">
        <w:rPr>
          <w:rFonts w:ascii="Arial" w:eastAsia="Times New Roman" w:hAnsi="Arial" w:cs="Arial"/>
          <w:kern w:val="0"/>
          <w:lang w:eastAsia="en-GB"/>
          <w14:ligatures w14:val="none"/>
        </w:rPr>
        <w:t>. London: DfES.</w:t>
      </w:r>
    </w:p>
    <w:p w14:paraId="59274B81"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Siraj-Blatchford, I., Sylva, K., </w:t>
      </w:r>
      <w:proofErr w:type="spellStart"/>
      <w:r w:rsidRPr="00190E8E">
        <w:rPr>
          <w:rFonts w:ascii="Arial" w:eastAsia="Times New Roman" w:hAnsi="Arial" w:cs="Arial"/>
          <w:kern w:val="0"/>
          <w:lang w:eastAsia="en-GB"/>
          <w14:ligatures w14:val="none"/>
        </w:rPr>
        <w:t>Muttock</w:t>
      </w:r>
      <w:proofErr w:type="spellEnd"/>
      <w:r w:rsidRPr="00190E8E">
        <w:rPr>
          <w:rFonts w:ascii="Arial" w:eastAsia="Times New Roman" w:hAnsi="Arial" w:cs="Arial"/>
          <w:kern w:val="0"/>
          <w:lang w:eastAsia="en-GB"/>
          <w14:ligatures w14:val="none"/>
        </w:rPr>
        <w:t xml:space="preserve">, S., Gilden, R. and Bell, D. (2002) </w:t>
      </w:r>
      <w:r w:rsidRPr="00190E8E">
        <w:rPr>
          <w:rFonts w:ascii="Arial" w:eastAsia="Times New Roman" w:hAnsi="Arial" w:cs="Arial"/>
          <w:i/>
          <w:iCs/>
          <w:kern w:val="0"/>
          <w:lang w:eastAsia="en-GB"/>
          <w14:ligatures w14:val="none"/>
        </w:rPr>
        <w:t>Researching Effective Pedagogy in the Early Years</w:t>
      </w:r>
      <w:r w:rsidRPr="00190E8E">
        <w:rPr>
          <w:rFonts w:ascii="Arial" w:eastAsia="Times New Roman" w:hAnsi="Arial" w:cs="Arial"/>
          <w:kern w:val="0"/>
          <w:lang w:eastAsia="en-GB"/>
          <w14:ligatures w14:val="none"/>
        </w:rPr>
        <w:t>. London: DfES.</w:t>
      </w:r>
    </w:p>
    <w:p w14:paraId="538871F9"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lastRenderedPageBreak/>
        <w:t xml:space="preserve">Siraj-Blatchford, I., Kingston, D. and Melhuish, E. (2015) </w:t>
      </w:r>
      <w:r w:rsidRPr="00190E8E">
        <w:rPr>
          <w:rFonts w:ascii="Arial" w:eastAsia="Times New Roman" w:hAnsi="Arial" w:cs="Arial"/>
          <w:i/>
          <w:iCs/>
          <w:kern w:val="0"/>
          <w:lang w:eastAsia="en-GB"/>
          <w14:ligatures w14:val="none"/>
        </w:rPr>
        <w:t>Assessing Quality in Early Childhood Education and Care: SSTEW Scale for 2–5-Year-Olds Provision</w:t>
      </w:r>
      <w:r w:rsidRPr="00190E8E">
        <w:rPr>
          <w:rFonts w:ascii="Arial" w:eastAsia="Times New Roman" w:hAnsi="Arial" w:cs="Arial"/>
          <w:kern w:val="0"/>
          <w:lang w:eastAsia="en-GB"/>
          <w14:ligatures w14:val="none"/>
        </w:rPr>
        <w:t>. London: IOE Press.</w:t>
      </w:r>
    </w:p>
    <w:p w14:paraId="34893CB1"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Siraj-Blatchford, I. and Clarke, P. (2015) ‘Sustained Shared Thinking and Emotional Wellbeing in Early Childhood Education’, </w:t>
      </w:r>
      <w:r w:rsidRPr="00190E8E">
        <w:rPr>
          <w:rFonts w:ascii="Arial" w:eastAsia="Times New Roman" w:hAnsi="Arial" w:cs="Arial"/>
          <w:i/>
          <w:iCs/>
          <w:kern w:val="0"/>
          <w:lang w:eastAsia="en-GB"/>
          <w14:ligatures w14:val="none"/>
        </w:rPr>
        <w:t>Early Years</w:t>
      </w:r>
      <w:r w:rsidRPr="00190E8E">
        <w:rPr>
          <w:rFonts w:ascii="Arial" w:eastAsia="Times New Roman" w:hAnsi="Arial" w:cs="Arial"/>
          <w:kern w:val="0"/>
          <w:lang w:eastAsia="en-GB"/>
          <w14:ligatures w14:val="none"/>
        </w:rPr>
        <w:t>, 35(3), pp. 1–15.</w:t>
      </w:r>
    </w:p>
    <w:p w14:paraId="0FEA26F9"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Sylva, K., Melhuish, E., Sammons, P., Siraj-Blatchford, I. and Taggart, B. (2004) </w:t>
      </w:r>
      <w:r w:rsidRPr="00190E8E">
        <w:rPr>
          <w:rFonts w:ascii="Arial" w:eastAsia="Times New Roman" w:hAnsi="Arial" w:cs="Arial"/>
          <w:i/>
          <w:iCs/>
          <w:kern w:val="0"/>
          <w:lang w:eastAsia="en-GB"/>
          <w14:ligatures w14:val="none"/>
        </w:rPr>
        <w:t>The Effective Provision of Pre-School Education (EPPE) Project: Final Report</w:t>
      </w:r>
      <w:r w:rsidRPr="00190E8E">
        <w:rPr>
          <w:rFonts w:ascii="Arial" w:eastAsia="Times New Roman" w:hAnsi="Arial" w:cs="Arial"/>
          <w:kern w:val="0"/>
          <w:lang w:eastAsia="en-GB"/>
          <w14:ligatures w14:val="none"/>
        </w:rPr>
        <w:t>. London: DfES.</w:t>
      </w:r>
    </w:p>
    <w:p w14:paraId="24E5DBAD"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Sylva, K., Melhuish, E., Sammons, P., Siraj-Blatchford, I. and Taggart, B. (2012) </w:t>
      </w:r>
      <w:r w:rsidRPr="00190E8E">
        <w:rPr>
          <w:rFonts w:ascii="Arial" w:eastAsia="Times New Roman" w:hAnsi="Arial" w:cs="Arial"/>
          <w:i/>
          <w:iCs/>
          <w:kern w:val="0"/>
          <w:lang w:eastAsia="en-GB"/>
          <w14:ligatures w14:val="none"/>
        </w:rPr>
        <w:t>Effective Pre-school, Primary and Secondary Education (EPPSE)</w:t>
      </w:r>
      <w:r w:rsidRPr="00190E8E">
        <w:rPr>
          <w:rFonts w:ascii="Arial" w:eastAsia="Times New Roman" w:hAnsi="Arial" w:cs="Arial"/>
          <w:kern w:val="0"/>
          <w:lang w:eastAsia="en-GB"/>
          <w14:ligatures w14:val="none"/>
        </w:rPr>
        <w:t>. London: DfE.</w:t>
      </w:r>
    </w:p>
    <w:p w14:paraId="21293EB0"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Sylva, K., Melhuish, E., Sammons, P., Siraj, I. and Taggart, B. (2010) </w:t>
      </w:r>
      <w:r w:rsidRPr="00190E8E">
        <w:rPr>
          <w:rFonts w:ascii="Arial" w:eastAsia="Times New Roman" w:hAnsi="Arial" w:cs="Arial"/>
          <w:i/>
          <w:iCs/>
          <w:kern w:val="0"/>
          <w:lang w:eastAsia="en-GB"/>
          <w14:ligatures w14:val="none"/>
        </w:rPr>
        <w:t>Early Childhood Matters: Evidence from the Effective Pre-school and Primary Education Project</w:t>
      </w:r>
      <w:r w:rsidRPr="00190E8E">
        <w:rPr>
          <w:rFonts w:ascii="Arial" w:eastAsia="Times New Roman" w:hAnsi="Arial" w:cs="Arial"/>
          <w:kern w:val="0"/>
          <w:lang w:eastAsia="en-GB"/>
          <w14:ligatures w14:val="none"/>
        </w:rPr>
        <w:t>. London: Routledge.</w:t>
      </w:r>
    </w:p>
    <w:p w14:paraId="46569A50"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Television Junction (2006) </w:t>
      </w:r>
      <w:r w:rsidRPr="00190E8E">
        <w:rPr>
          <w:rFonts w:ascii="Arial" w:eastAsia="Times New Roman" w:hAnsi="Arial" w:cs="Arial"/>
          <w:i/>
          <w:iCs/>
          <w:kern w:val="0"/>
          <w:lang w:eastAsia="en-GB"/>
          <w14:ligatures w14:val="none"/>
        </w:rPr>
        <w:t>Building on Effective Early Learning (BEEL) Guidance Document</w:t>
      </w:r>
      <w:r w:rsidRPr="00190E8E">
        <w:rPr>
          <w:rFonts w:ascii="Arial" w:eastAsia="Times New Roman" w:hAnsi="Arial" w:cs="Arial"/>
          <w:kern w:val="0"/>
          <w:lang w:eastAsia="en-GB"/>
          <w14:ligatures w14:val="none"/>
        </w:rPr>
        <w:t>. First published by Amber Publishing. ISBN 1-899412-13-0.</w:t>
      </w:r>
    </w:p>
    <w:p w14:paraId="036AC7A2"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United Nations (1989) </w:t>
      </w:r>
      <w:r w:rsidRPr="00190E8E">
        <w:rPr>
          <w:rFonts w:ascii="Arial" w:eastAsia="Times New Roman" w:hAnsi="Arial" w:cs="Arial"/>
          <w:i/>
          <w:iCs/>
          <w:kern w:val="0"/>
          <w:lang w:eastAsia="en-GB"/>
          <w14:ligatures w14:val="none"/>
        </w:rPr>
        <w:t>Convention on the Rights of the Child</w:t>
      </w:r>
      <w:r w:rsidRPr="00190E8E">
        <w:rPr>
          <w:rFonts w:ascii="Arial" w:eastAsia="Times New Roman" w:hAnsi="Arial" w:cs="Arial"/>
          <w:kern w:val="0"/>
          <w:lang w:eastAsia="en-GB"/>
          <w14:ligatures w14:val="none"/>
        </w:rPr>
        <w:t>. UN General Assembly.</w:t>
      </w:r>
    </w:p>
    <w:p w14:paraId="327939CA"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Vygotsky, L. (1978) </w:t>
      </w:r>
      <w:r w:rsidRPr="00190E8E">
        <w:rPr>
          <w:rFonts w:ascii="Arial" w:eastAsia="Times New Roman" w:hAnsi="Arial" w:cs="Arial"/>
          <w:i/>
          <w:iCs/>
          <w:kern w:val="0"/>
          <w:lang w:eastAsia="en-GB"/>
          <w14:ligatures w14:val="none"/>
        </w:rPr>
        <w:t>Mind in Society: The Development of Higher Psychological Processes</w:t>
      </w:r>
      <w:r w:rsidRPr="00190E8E">
        <w:rPr>
          <w:rFonts w:ascii="Arial" w:eastAsia="Times New Roman" w:hAnsi="Arial" w:cs="Arial"/>
          <w:kern w:val="0"/>
          <w:lang w:eastAsia="en-GB"/>
          <w14:ligatures w14:val="none"/>
        </w:rPr>
        <w:t>. Cambridge, MA: Harvard University Press.</w:t>
      </w:r>
    </w:p>
    <w:p w14:paraId="6FAACD1A"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Welsh Government (2017) </w:t>
      </w:r>
      <w:r w:rsidRPr="00190E8E">
        <w:rPr>
          <w:rFonts w:ascii="Arial" w:eastAsia="Times New Roman" w:hAnsi="Arial" w:cs="Arial"/>
          <w:i/>
          <w:iCs/>
          <w:kern w:val="0"/>
          <w:lang w:eastAsia="en-GB"/>
          <w14:ligatures w14:val="none"/>
        </w:rPr>
        <w:t>National Minimum Standards for Regulated Childcare</w:t>
      </w:r>
      <w:r w:rsidRPr="00190E8E">
        <w:rPr>
          <w:rFonts w:ascii="Arial" w:eastAsia="Times New Roman" w:hAnsi="Arial" w:cs="Arial"/>
          <w:kern w:val="0"/>
          <w:lang w:eastAsia="en-GB"/>
          <w14:ligatures w14:val="none"/>
        </w:rPr>
        <w:t>. Cardiff: Welsh Government.</w:t>
      </w:r>
    </w:p>
    <w:p w14:paraId="068B4CAB" w14:textId="77777777" w:rsidR="00190E8E" w:rsidRPr="00190E8E" w:rsidRDefault="00190E8E" w:rsidP="00190E8E">
      <w:pPr>
        <w:spacing w:before="100" w:beforeAutospacing="1" w:after="100" w:afterAutospacing="1" w:line="360" w:lineRule="auto"/>
        <w:rPr>
          <w:rFonts w:ascii="Arial" w:eastAsia="Times New Roman" w:hAnsi="Arial" w:cs="Arial"/>
          <w:kern w:val="0"/>
          <w:lang w:eastAsia="en-GB"/>
          <w14:ligatures w14:val="none"/>
        </w:rPr>
      </w:pPr>
      <w:r w:rsidRPr="00190E8E">
        <w:rPr>
          <w:rFonts w:ascii="Arial" w:eastAsia="Times New Roman" w:hAnsi="Arial" w:cs="Arial"/>
          <w:kern w:val="0"/>
          <w:lang w:eastAsia="en-GB"/>
          <w14:ligatures w14:val="none"/>
        </w:rPr>
        <w:t xml:space="preserve">Welsh Government (2021) </w:t>
      </w:r>
      <w:r w:rsidRPr="00190E8E">
        <w:rPr>
          <w:rFonts w:ascii="Arial" w:eastAsia="Times New Roman" w:hAnsi="Arial" w:cs="Arial"/>
          <w:i/>
          <w:iCs/>
          <w:kern w:val="0"/>
          <w:lang w:eastAsia="en-GB"/>
          <w14:ligatures w14:val="none"/>
        </w:rPr>
        <w:t>The Curriculum for Wales: A framework for children’s rights and inclusion</w:t>
      </w:r>
      <w:r w:rsidRPr="00190E8E">
        <w:rPr>
          <w:rFonts w:ascii="Arial" w:eastAsia="Times New Roman" w:hAnsi="Arial" w:cs="Arial"/>
          <w:kern w:val="0"/>
          <w:lang w:eastAsia="en-GB"/>
          <w14:ligatures w14:val="none"/>
        </w:rPr>
        <w:t xml:space="preserve">. [Online] Available at: </w:t>
      </w:r>
      <w:hyperlink r:id="rId6" w:tgtFrame="_new" w:history="1">
        <w:r w:rsidRPr="00190E8E">
          <w:rPr>
            <w:rFonts w:ascii="Arial" w:eastAsia="Times New Roman" w:hAnsi="Arial" w:cs="Arial"/>
            <w:kern w:val="0"/>
            <w:u w:val="single"/>
            <w:lang w:eastAsia="en-GB"/>
            <w14:ligatures w14:val="none"/>
          </w:rPr>
          <w:t>https://www.gov.wales/curriculum-wales</w:t>
        </w:r>
      </w:hyperlink>
      <w:r w:rsidRPr="00190E8E">
        <w:rPr>
          <w:rFonts w:ascii="Arial" w:eastAsia="Times New Roman" w:hAnsi="Arial" w:cs="Arial"/>
          <w:kern w:val="0"/>
          <w:lang w:eastAsia="en-GB"/>
          <w14:ligatures w14:val="none"/>
        </w:rPr>
        <w:t xml:space="preserve"> [Accessed 27 Mar. 2025].</w:t>
      </w:r>
    </w:p>
    <w:p w14:paraId="04F34ED2" w14:textId="77777777" w:rsidR="00190E8E" w:rsidRDefault="00190E8E" w:rsidP="00190E8E">
      <w:pPr>
        <w:spacing w:line="360" w:lineRule="auto"/>
        <w:rPr>
          <w:rFonts w:ascii="Arial" w:hAnsi="Arial" w:cs="Arial"/>
        </w:rPr>
      </w:pPr>
    </w:p>
    <w:p w14:paraId="756651B0" w14:textId="77777777" w:rsidR="006E025E" w:rsidRDefault="006E025E" w:rsidP="00190E8E">
      <w:pPr>
        <w:spacing w:line="360" w:lineRule="auto"/>
        <w:rPr>
          <w:rFonts w:ascii="Arial" w:hAnsi="Arial" w:cs="Arial"/>
        </w:rPr>
      </w:pPr>
    </w:p>
    <w:p w14:paraId="78271FC9" w14:textId="77777777" w:rsidR="006E025E" w:rsidRDefault="006E025E" w:rsidP="006E025E">
      <w:pPr>
        <w:spacing w:line="360" w:lineRule="auto"/>
        <w:rPr>
          <w:rFonts w:ascii="Arial" w:hAnsi="Arial" w:cs="Arial"/>
        </w:rPr>
      </w:pPr>
    </w:p>
    <w:p w14:paraId="39198049" w14:textId="77777777" w:rsidR="006E025E" w:rsidRDefault="006E025E" w:rsidP="006E025E">
      <w:pPr>
        <w:spacing w:line="360" w:lineRule="auto"/>
        <w:rPr>
          <w:rFonts w:ascii="Arial" w:hAnsi="Arial" w:cs="Arial"/>
        </w:rPr>
      </w:pPr>
    </w:p>
    <w:p w14:paraId="1F6C4932" w14:textId="77777777" w:rsidR="006E025E" w:rsidRDefault="006E025E" w:rsidP="006E025E">
      <w:pPr>
        <w:spacing w:line="360" w:lineRule="auto"/>
        <w:rPr>
          <w:rFonts w:ascii="Arial" w:hAnsi="Arial" w:cs="Arial"/>
        </w:rPr>
      </w:pPr>
    </w:p>
    <w:p w14:paraId="5EC6C969" w14:textId="77777777" w:rsidR="00850E2E" w:rsidRPr="006E025E" w:rsidRDefault="00850E2E" w:rsidP="006E025E">
      <w:pPr>
        <w:spacing w:line="360" w:lineRule="auto"/>
        <w:rPr>
          <w:rFonts w:ascii="Arial" w:hAnsi="Arial" w:cs="Arial"/>
        </w:rPr>
      </w:pPr>
    </w:p>
    <w:sectPr w:rsidR="00850E2E" w:rsidRPr="006E02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76476" w14:textId="77777777" w:rsidR="002602E9" w:rsidRDefault="002602E9" w:rsidP="006E025E">
      <w:pPr>
        <w:spacing w:after="0" w:line="240" w:lineRule="auto"/>
      </w:pPr>
      <w:r>
        <w:separator/>
      </w:r>
    </w:p>
  </w:endnote>
  <w:endnote w:type="continuationSeparator" w:id="0">
    <w:p w14:paraId="37DE8456" w14:textId="77777777" w:rsidR="002602E9" w:rsidRDefault="002602E9" w:rsidP="006E0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6E356" w14:textId="77777777" w:rsidR="002602E9" w:rsidRDefault="002602E9" w:rsidP="006E025E">
      <w:pPr>
        <w:spacing w:after="0" w:line="240" w:lineRule="auto"/>
      </w:pPr>
      <w:r>
        <w:separator/>
      </w:r>
    </w:p>
  </w:footnote>
  <w:footnote w:type="continuationSeparator" w:id="0">
    <w:p w14:paraId="1F5A0817" w14:textId="77777777" w:rsidR="002602E9" w:rsidRDefault="002602E9" w:rsidP="006E0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C4868" w14:textId="2372A7FA" w:rsidR="00190E8E" w:rsidRDefault="00190E8E" w:rsidP="00190E8E">
    <w:pPr>
      <w:pStyle w:val="Header"/>
    </w:pPr>
    <w:r>
      <w:t xml:space="preserve">    0952338                                                        ECEY6011/C                                                       Word Count 2184</w:t>
    </w:r>
  </w:p>
  <w:p w14:paraId="42D74219" w14:textId="77777777" w:rsidR="00190E8E" w:rsidRDefault="00190E8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25E"/>
    <w:rsid w:val="00045CAA"/>
    <w:rsid w:val="000C1A1F"/>
    <w:rsid w:val="00190E8E"/>
    <w:rsid w:val="001F1457"/>
    <w:rsid w:val="00246F0B"/>
    <w:rsid w:val="002602E9"/>
    <w:rsid w:val="00435AD1"/>
    <w:rsid w:val="00515AAD"/>
    <w:rsid w:val="006D13F6"/>
    <w:rsid w:val="006D451F"/>
    <w:rsid w:val="006E025E"/>
    <w:rsid w:val="008262FC"/>
    <w:rsid w:val="00850E2E"/>
    <w:rsid w:val="009640B1"/>
    <w:rsid w:val="00B84CD8"/>
    <w:rsid w:val="00BB46F1"/>
    <w:rsid w:val="00CF7B21"/>
    <w:rsid w:val="00D322FC"/>
    <w:rsid w:val="00DB3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F63DB"/>
  <w15:chartTrackingRefBased/>
  <w15:docId w15:val="{E539F152-48F2-4191-AF7E-4161D681C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0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0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0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0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0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0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0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0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0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0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0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0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0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0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0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025E"/>
    <w:rPr>
      <w:rFonts w:eastAsiaTheme="majorEastAsia" w:cstheme="majorBidi"/>
      <w:color w:val="272727" w:themeColor="text1" w:themeTint="D8"/>
    </w:rPr>
  </w:style>
  <w:style w:type="paragraph" w:styleId="Title">
    <w:name w:val="Title"/>
    <w:basedOn w:val="Normal"/>
    <w:next w:val="Normal"/>
    <w:link w:val="TitleChar"/>
    <w:uiPriority w:val="10"/>
    <w:qFormat/>
    <w:rsid w:val="006E0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0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0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025E"/>
    <w:pPr>
      <w:spacing w:before="160"/>
      <w:jc w:val="center"/>
    </w:pPr>
    <w:rPr>
      <w:i/>
      <w:iCs/>
      <w:color w:val="404040" w:themeColor="text1" w:themeTint="BF"/>
    </w:rPr>
  </w:style>
  <w:style w:type="character" w:customStyle="1" w:styleId="QuoteChar">
    <w:name w:val="Quote Char"/>
    <w:basedOn w:val="DefaultParagraphFont"/>
    <w:link w:val="Quote"/>
    <w:uiPriority w:val="29"/>
    <w:rsid w:val="006E025E"/>
    <w:rPr>
      <w:i/>
      <w:iCs/>
      <w:color w:val="404040" w:themeColor="text1" w:themeTint="BF"/>
    </w:rPr>
  </w:style>
  <w:style w:type="paragraph" w:styleId="ListParagraph">
    <w:name w:val="List Paragraph"/>
    <w:basedOn w:val="Normal"/>
    <w:uiPriority w:val="34"/>
    <w:qFormat/>
    <w:rsid w:val="006E025E"/>
    <w:pPr>
      <w:ind w:left="720"/>
      <w:contextualSpacing/>
    </w:pPr>
  </w:style>
  <w:style w:type="character" w:styleId="IntenseEmphasis">
    <w:name w:val="Intense Emphasis"/>
    <w:basedOn w:val="DefaultParagraphFont"/>
    <w:uiPriority w:val="21"/>
    <w:qFormat/>
    <w:rsid w:val="006E025E"/>
    <w:rPr>
      <w:i/>
      <w:iCs/>
      <w:color w:val="0F4761" w:themeColor="accent1" w:themeShade="BF"/>
    </w:rPr>
  </w:style>
  <w:style w:type="paragraph" w:styleId="IntenseQuote">
    <w:name w:val="Intense Quote"/>
    <w:basedOn w:val="Normal"/>
    <w:next w:val="Normal"/>
    <w:link w:val="IntenseQuoteChar"/>
    <w:uiPriority w:val="30"/>
    <w:qFormat/>
    <w:rsid w:val="006E0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025E"/>
    <w:rPr>
      <w:i/>
      <w:iCs/>
      <w:color w:val="0F4761" w:themeColor="accent1" w:themeShade="BF"/>
    </w:rPr>
  </w:style>
  <w:style w:type="character" w:styleId="IntenseReference">
    <w:name w:val="Intense Reference"/>
    <w:basedOn w:val="DefaultParagraphFont"/>
    <w:uiPriority w:val="32"/>
    <w:qFormat/>
    <w:rsid w:val="006E025E"/>
    <w:rPr>
      <w:b/>
      <w:bCs/>
      <w:smallCaps/>
      <w:color w:val="0F4761" w:themeColor="accent1" w:themeShade="BF"/>
      <w:spacing w:val="5"/>
    </w:rPr>
  </w:style>
  <w:style w:type="paragraph" w:styleId="Header">
    <w:name w:val="header"/>
    <w:basedOn w:val="Normal"/>
    <w:link w:val="HeaderChar"/>
    <w:uiPriority w:val="99"/>
    <w:unhideWhenUsed/>
    <w:rsid w:val="006E0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25E"/>
  </w:style>
  <w:style w:type="paragraph" w:styleId="Footer">
    <w:name w:val="footer"/>
    <w:basedOn w:val="Normal"/>
    <w:link w:val="FooterChar"/>
    <w:uiPriority w:val="99"/>
    <w:unhideWhenUsed/>
    <w:rsid w:val="006E0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25E"/>
  </w:style>
  <w:style w:type="character" w:styleId="Emphasis">
    <w:name w:val="Emphasis"/>
    <w:basedOn w:val="DefaultParagraphFont"/>
    <w:uiPriority w:val="20"/>
    <w:qFormat/>
    <w:rsid w:val="006E025E"/>
    <w:rPr>
      <w:i/>
      <w:iCs/>
    </w:rPr>
  </w:style>
  <w:style w:type="character" w:styleId="Strong">
    <w:name w:val="Strong"/>
    <w:basedOn w:val="DefaultParagraphFont"/>
    <w:uiPriority w:val="22"/>
    <w:qFormat/>
    <w:rsid w:val="00515AAD"/>
    <w:rPr>
      <w:b/>
      <w:bCs/>
    </w:rPr>
  </w:style>
  <w:style w:type="paragraph" w:styleId="NormalWeb">
    <w:name w:val="Normal (Web)"/>
    <w:basedOn w:val="Normal"/>
    <w:uiPriority w:val="99"/>
    <w:unhideWhenUsed/>
    <w:rsid w:val="006D13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33341">
      <w:bodyDiv w:val="1"/>
      <w:marLeft w:val="0"/>
      <w:marRight w:val="0"/>
      <w:marTop w:val="0"/>
      <w:marBottom w:val="0"/>
      <w:divBdr>
        <w:top w:val="none" w:sz="0" w:space="0" w:color="auto"/>
        <w:left w:val="none" w:sz="0" w:space="0" w:color="auto"/>
        <w:bottom w:val="none" w:sz="0" w:space="0" w:color="auto"/>
        <w:right w:val="none" w:sz="0" w:space="0" w:color="auto"/>
      </w:divBdr>
    </w:div>
    <w:div w:id="208106527">
      <w:bodyDiv w:val="1"/>
      <w:marLeft w:val="0"/>
      <w:marRight w:val="0"/>
      <w:marTop w:val="0"/>
      <w:marBottom w:val="0"/>
      <w:divBdr>
        <w:top w:val="none" w:sz="0" w:space="0" w:color="auto"/>
        <w:left w:val="none" w:sz="0" w:space="0" w:color="auto"/>
        <w:bottom w:val="none" w:sz="0" w:space="0" w:color="auto"/>
        <w:right w:val="none" w:sz="0" w:space="0" w:color="auto"/>
      </w:divBdr>
    </w:div>
    <w:div w:id="322508563">
      <w:bodyDiv w:val="1"/>
      <w:marLeft w:val="0"/>
      <w:marRight w:val="0"/>
      <w:marTop w:val="0"/>
      <w:marBottom w:val="0"/>
      <w:divBdr>
        <w:top w:val="none" w:sz="0" w:space="0" w:color="auto"/>
        <w:left w:val="none" w:sz="0" w:space="0" w:color="auto"/>
        <w:bottom w:val="none" w:sz="0" w:space="0" w:color="auto"/>
        <w:right w:val="none" w:sz="0" w:space="0" w:color="auto"/>
      </w:divBdr>
    </w:div>
    <w:div w:id="336738751">
      <w:bodyDiv w:val="1"/>
      <w:marLeft w:val="0"/>
      <w:marRight w:val="0"/>
      <w:marTop w:val="0"/>
      <w:marBottom w:val="0"/>
      <w:divBdr>
        <w:top w:val="none" w:sz="0" w:space="0" w:color="auto"/>
        <w:left w:val="none" w:sz="0" w:space="0" w:color="auto"/>
        <w:bottom w:val="none" w:sz="0" w:space="0" w:color="auto"/>
        <w:right w:val="none" w:sz="0" w:space="0" w:color="auto"/>
      </w:divBdr>
    </w:div>
    <w:div w:id="1549535987">
      <w:bodyDiv w:val="1"/>
      <w:marLeft w:val="0"/>
      <w:marRight w:val="0"/>
      <w:marTop w:val="0"/>
      <w:marBottom w:val="0"/>
      <w:divBdr>
        <w:top w:val="none" w:sz="0" w:space="0" w:color="auto"/>
        <w:left w:val="none" w:sz="0" w:space="0" w:color="auto"/>
        <w:bottom w:val="none" w:sz="0" w:space="0" w:color="auto"/>
        <w:right w:val="none" w:sz="0" w:space="0" w:color="auto"/>
      </w:divBdr>
    </w:div>
    <w:div w:id="1590429508">
      <w:bodyDiv w:val="1"/>
      <w:marLeft w:val="0"/>
      <w:marRight w:val="0"/>
      <w:marTop w:val="0"/>
      <w:marBottom w:val="0"/>
      <w:divBdr>
        <w:top w:val="none" w:sz="0" w:space="0" w:color="auto"/>
        <w:left w:val="none" w:sz="0" w:space="0" w:color="auto"/>
        <w:bottom w:val="none" w:sz="0" w:space="0" w:color="auto"/>
        <w:right w:val="none" w:sz="0" w:space="0" w:color="auto"/>
      </w:divBdr>
    </w:div>
    <w:div w:id="170054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curriculum-wa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10</Pages>
  <Words>3015</Words>
  <Characters>17190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4</cp:revision>
  <dcterms:created xsi:type="dcterms:W3CDTF">2025-03-27T16:50:00Z</dcterms:created>
  <dcterms:modified xsi:type="dcterms:W3CDTF">2025-03-29T17:20:00Z</dcterms:modified>
</cp:coreProperties>
</file>