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2FB8C" w14:textId="1FA50E4E" w:rsidR="00AA663C" w:rsidRPr="00C354FF" w:rsidRDefault="00AA663C" w:rsidP="00C354FF">
      <w:pPr>
        <w:spacing w:before="30" w:after="30"/>
        <w:jc w:val="center"/>
        <w:rPr>
          <w:rFonts w:ascii="Times New Roman" w:hAnsi="Times New Roman" w:cs="Times New Roman"/>
          <w:i/>
          <w:iCs/>
        </w:rPr>
      </w:pPr>
      <w:r w:rsidRPr="00C354FF">
        <w:rPr>
          <w:rFonts w:ascii="Times New Roman" w:hAnsi="Times New Roman" w:cs="Times New Roman"/>
          <w:i/>
          <w:iCs/>
        </w:rPr>
        <w:t>Negative Psychological Issues of Outdoor Adventure Activities</w:t>
      </w:r>
    </w:p>
    <w:p w14:paraId="514911A2" w14:textId="77777777" w:rsidR="00AA663C" w:rsidRDefault="00AA663C" w:rsidP="00C354FF">
      <w:pPr>
        <w:pStyle w:val="paragraph"/>
        <w:spacing w:before="30" w:beforeAutospacing="0" w:after="0" w:afterAutospacing="0"/>
        <w:textAlignment w:val="baseline"/>
        <w:rPr>
          <w:rStyle w:val="normaltextrun"/>
          <w:rFonts w:eastAsiaTheme="majorEastAsia"/>
        </w:rPr>
      </w:pPr>
    </w:p>
    <w:p w14:paraId="7B3663B7" w14:textId="77777777" w:rsidR="00AA663C" w:rsidRDefault="00AA663C" w:rsidP="00C354FF">
      <w:pPr>
        <w:pStyle w:val="paragraph"/>
        <w:spacing w:before="30" w:beforeAutospacing="0" w:after="0" w:afterAutospacing="0"/>
        <w:textAlignment w:val="baseline"/>
        <w:rPr>
          <w:rStyle w:val="normaltextrun"/>
          <w:rFonts w:eastAsiaTheme="majorEastAsia"/>
        </w:rPr>
      </w:pPr>
      <w:r>
        <w:rPr>
          <w:rStyle w:val="normaltextrun"/>
          <w:rFonts w:eastAsiaTheme="majorEastAsia"/>
        </w:rPr>
        <w:t>The first part of this essay will examine three negative psychological impacts a participant may experience during outdoor adventure activities; adrenaline addiction, burnout, and fear/anxiety responses, going into extra depth on the third to propose management strategies for instructors to employ.</w:t>
      </w:r>
    </w:p>
    <w:p w14:paraId="709C6AF3" w14:textId="77777777" w:rsidR="00AA663C" w:rsidRPr="002F1C5A" w:rsidRDefault="00AA663C" w:rsidP="00C354FF">
      <w:pPr>
        <w:pStyle w:val="paragraph"/>
        <w:spacing w:before="30" w:beforeAutospacing="0" w:after="0" w:afterAutospacing="0"/>
        <w:textAlignment w:val="baseline"/>
        <w:rPr>
          <w:rStyle w:val="eop"/>
          <w:rFonts w:eastAsiaTheme="majorEastAsia"/>
          <w:highlight w:val="green"/>
        </w:rPr>
      </w:pPr>
    </w:p>
    <w:p w14:paraId="3BBFD5B4" w14:textId="082793D9" w:rsidR="00AA663C" w:rsidRPr="00294F65" w:rsidRDefault="00AA663C" w:rsidP="00C354FF">
      <w:pPr>
        <w:pStyle w:val="paragraph"/>
        <w:spacing w:before="30" w:beforeAutospacing="0" w:after="0" w:afterAutospacing="0"/>
        <w:textAlignment w:val="baseline"/>
        <w:rPr>
          <w:rFonts w:eastAsiaTheme="majorEastAsia"/>
        </w:rPr>
      </w:pPr>
      <w:r w:rsidRPr="002F1C5A">
        <w:rPr>
          <w:rStyle w:val="eop"/>
          <w:rFonts w:eastAsiaTheme="majorEastAsia"/>
        </w:rPr>
        <w:t>In some cases, the initial positive feelings elicited by adventure activities can become warped into something more problematic</w:t>
      </w:r>
      <w:r w:rsidR="0000161B">
        <w:rPr>
          <w:rStyle w:val="eop"/>
          <w:rFonts w:eastAsiaTheme="majorEastAsia"/>
        </w:rPr>
        <w:t>:</w:t>
      </w:r>
      <w:r w:rsidRPr="002F1C5A">
        <w:rPr>
          <w:rStyle w:val="eop"/>
          <w:rFonts w:eastAsiaTheme="majorEastAsia"/>
        </w:rPr>
        <w:t xml:space="preserve"> adrenaline addiction (</w:t>
      </w:r>
      <w:r w:rsidRPr="00C97A47">
        <w:t>Reid and Brymer</w:t>
      </w:r>
      <w:r>
        <w:t xml:space="preserve">, </w:t>
      </w:r>
      <w:r w:rsidRPr="00C97A47">
        <w:t>2022</w:t>
      </w:r>
      <w:r w:rsidRPr="002F1C5A">
        <w:rPr>
          <w:rStyle w:val="eop"/>
          <w:rFonts w:eastAsiaTheme="majorEastAsia"/>
        </w:rPr>
        <w:t>). Adventurous activities can create intense emotional states or strong stress and fear, which both trigger releases of adrenaline into the bloodstream, creating a dramatic and pleasurable experience for participants (</w:t>
      </w:r>
      <w:r w:rsidRPr="008A738F">
        <w:rPr>
          <w:rFonts w:eastAsiaTheme="majorEastAsia"/>
        </w:rPr>
        <w:t>Palmer,</w:t>
      </w:r>
      <w:r>
        <w:rPr>
          <w:rFonts w:eastAsiaTheme="majorEastAsia"/>
        </w:rPr>
        <w:t xml:space="preserve"> </w:t>
      </w:r>
      <w:r w:rsidRPr="008A738F">
        <w:rPr>
          <w:rFonts w:eastAsiaTheme="majorEastAsia"/>
        </w:rPr>
        <w:t>2021</w:t>
      </w:r>
      <w:r w:rsidRPr="002F1C5A">
        <w:rPr>
          <w:rStyle w:val="eop"/>
          <w:rFonts w:eastAsiaTheme="majorEastAsia"/>
        </w:rPr>
        <w:t>). When adventurers develop addiction to these feelings, they can become dependent on escalating risk to increase the chemical response, increase frequency of participation, and even allow relationships to suffer (</w:t>
      </w:r>
      <w:proofErr w:type="spellStart"/>
      <w:r w:rsidRPr="00752A0D">
        <w:rPr>
          <w:rFonts w:eastAsiaTheme="majorEastAsia"/>
        </w:rPr>
        <w:t>Heirene</w:t>
      </w:r>
      <w:proofErr w:type="spellEnd"/>
      <w:r>
        <w:rPr>
          <w:rFonts w:eastAsiaTheme="majorEastAsia"/>
        </w:rPr>
        <w:t xml:space="preserve"> </w:t>
      </w:r>
      <w:r w:rsidRPr="002D31DA">
        <w:rPr>
          <w:rFonts w:eastAsiaTheme="majorEastAsia"/>
          <w:i/>
          <w:iCs/>
        </w:rPr>
        <w:t>et al</w:t>
      </w:r>
      <w:r>
        <w:rPr>
          <w:rFonts w:eastAsiaTheme="majorEastAsia"/>
        </w:rPr>
        <w:t>, 2016</w:t>
      </w:r>
      <w:r w:rsidRPr="002F1C5A">
        <w:rPr>
          <w:rStyle w:val="eop"/>
          <w:rFonts w:eastAsiaTheme="majorEastAsia"/>
        </w:rPr>
        <w:t>). Furthermore, adrenaline addiction can result in withdrawal symptoms typical of other addictions when unable to engage in their activity. In one study, when abstaining from adventure activities or extreme sports, participants described feeling restless, miserable, agitated, and frustrated (</w:t>
      </w:r>
      <w:proofErr w:type="spellStart"/>
      <w:r w:rsidRPr="00752A0D">
        <w:rPr>
          <w:rFonts w:eastAsiaTheme="majorEastAsia"/>
        </w:rPr>
        <w:t>Heirene</w:t>
      </w:r>
      <w:proofErr w:type="spellEnd"/>
      <w:r>
        <w:rPr>
          <w:rFonts w:eastAsiaTheme="majorEastAsia"/>
        </w:rPr>
        <w:t xml:space="preserve"> </w:t>
      </w:r>
      <w:r w:rsidRPr="002D31DA">
        <w:rPr>
          <w:rFonts w:eastAsiaTheme="majorEastAsia"/>
          <w:i/>
          <w:iCs/>
        </w:rPr>
        <w:t>et al</w:t>
      </w:r>
      <w:r>
        <w:rPr>
          <w:rFonts w:eastAsiaTheme="majorEastAsia"/>
        </w:rPr>
        <w:t>, 2016</w:t>
      </w:r>
      <w:r w:rsidRPr="002F1C5A">
        <w:rPr>
          <w:rStyle w:val="eop"/>
          <w:rFonts w:eastAsiaTheme="majorEastAsia"/>
        </w:rPr>
        <w:t>).</w:t>
      </w:r>
    </w:p>
    <w:p w14:paraId="497623BF" w14:textId="77777777" w:rsidR="00AA663C" w:rsidRPr="002F1C5A" w:rsidRDefault="00AA663C" w:rsidP="00C354FF">
      <w:pPr>
        <w:pStyle w:val="paragraph"/>
        <w:spacing w:before="30" w:beforeAutospacing="0" w:after="0" w:afterAutospacing="0"/>
        <w:textAlignment w:val="baseline"/>
        <w:rPr>
          <w:rStyle w:val="eop"/>
          <w:rFonts w:eastAsiaTheme="majorEastAsia"/>
        </w:rPr>
      </w:pPr>
    </w:p>
    <w:p w14:paraId="5446298E" w14:textId="43A07ACC" w:rsidR="00AA663C" w:rsidRPr="002F1C5A" w:rsidRDefault="00AA663C" w:rsidP="00C354FF">
      <w:pPr>
        <w:pStyle w:val="paragraph"/>
        <w:spacing w:before="30" w:beforeAutospacing="0" w:after="0" w:afterAutospacing="0"/>
        <w:textAlignment w:val="baseline"/>
        <w:rPr>
          <w:rStyle w:val="eop"/>
          <w:rFonts w:eastAsiaTheme="majorEastAsia"/>
        </w:rPr>
      </w:pPr>
      <w:r w:rsidRPr="002F1C5A">
        <w:rPr>
          <w:rStyle w:val="eop"/>
          <w:rFonts w:eastAsiaTheme="majorEastAsia"/>
        </w:rPr>
        <w:t>Alternatively, overindulgence in adventure activities can instead lead to burnout. Some causes of burnout in adventure can be frustration with the amount of planning and prepping required, financial stressors, attempting to reach certain goals or expectations, or a lack of novelty and challenge (</w:t>
      </w:r>
      <w:r w:rsidRPr="008A738F">
        <w:t>Romanyshyn,</w:t>
      </w:r>
      <w:r>
        <w:t xml:space="preserve"> </w:t>
      </w:r>
      <w:r w:rsidRPr="008A738F">
        <w:t>2025</w:t>
      </w:r>
      <w:r w:rsidRPr="002F1C5A">
        <w:rPr>
          <w:rStyle w:val="eop"/>
          <w:rFonts w:eastAsiaTheme="majorEastAsia"/>
        </w:rPr>
        <w:t>). Burnout results in a lack of motivation and reduced enjoyment of adventure, causing a person dealing with it to become tired, stagnant, stressed, overwhelmed</w:t>
      </w:r>
      <w:r w:rsidR="0000161B">
        <w:rPr>
          <w:rStyle w:val="eop"/>
          <w:rFonts w:eastAsiaTheme="majorEastAsia"/>
        </w:rPr>
        <w:t>,</w:t>
      </w:r>
      <w:r w:rsidRPr="002F1C5A">
        <w:rPr>
          <w:rStyle w:val="eop"/>
          <w:rFonts w:eastAsiaTheme="majorEastAsia"/>
        </w:rPr>
        <w:t xml:space="preserve"> and trigger a reduction in performance when participating (</w:t>
      </w:r>
      <w:r w:rsidRPr="008872F4">
        <w:rPr>
          <w:rFonts w:eastAsiaTheme="majorEastAsia"/>
        </w:rPr>
        <w:t>Mutia</w:t>
      </w:r>
      <w:r>
        <w:rPr>
          <w:rFonts w:eastAsiaTheme="majorEastAsia"/>
        </w:rPr>
        <w:t xml:space="preserve"> </w:t>
      </w:r>
      <w:r w:rsidRPr="002D31DA">
        <w:rPr>
          <w:rFonts w:eastAsiaTheme="majorEastAsia"/>
          <w:i/>
          <w:iCs/>
        </w:rPr>
        <w:t>et al</w:t>
      </w:r>
      <w:r>
        <w:rPr>
          <w:rFonts w:eastAsiaTheme="majorEastAsia"/>
        </w:rPr>
        <w:t xml:space="preserve">, </w:t>
      </w:r>
      <w:r w:rsidRPr="008872F4">
        <w:rPr>
          <w:rFonts w:eastAsiaTheme="majorEastAsia"/>
        </w:rPr>
        <w:t>2025</w:t>
      </w:r>
      <w:r>
        <w:rPr>
          <w:rStyle w:val="eop"/>
          <w:rFonts w:eastAsiaTheme="majorEastAsia"/>
        </w:rPr>
        <w:t>;</w:t>
      </w:r>
      <w:r w:rsidRPr="002F1C5A">
        <w:rPr>
          <w:rStyle w:val="eop"/>
          <w:rFonts w:eastAsiaTheme="majorEastAsia"/>
        </w:rPr>
        <w:t xml:space="preserve"> </w:t>
      </w:r>
      <w:r w:rsidRPr="008A738F">
        <w:rPr>
          <w:rFonts w:eastAsiaTheme="majorEastAsia"/>
        </w:rPr>
        <w:t>Wu</w:t>
      </w:r>
      <w:r>
        <w:rPr>
          <w:rFonts w:eastAsiaTheme="majorEastAsia"/>
        </w:rPr>
        <w:t xml:space="preserve"> </w:t>
      </w:r>
      <w:r w:rsidRPr="0035709B">
        <w:rPr>
          <w:rFonts w:eastAsiaTheme="majorEastAsia"/>
          <w:i/>
          <w:iCs/>
        </w:rPr>
        <w:t>et al</w:t>
      </w:r>
      <w:r>
        <w:rPr>
          <w:rFonts w:eastAsiaTheme="majorEastAsia"/>
        </w:rPr>
        <w:t xml:space="preserve">, </w:t>
      </w:r>
      <w:r w:rsidRPr="008A738F">
        <w:rPr>
          <w:rFonts w:eastAsiaTheme="majorEastAsia"/>
        </w:rPr>
        <w:t>2024</w:t>
      </w:r>
      <w:r w:rsidRPr="002F1C5A">
        <w:rPr>
          <w:rStyle w:val="eop"/>
          <w:rFonts w:eastAsiaTheme="majorEastAsia"/>
        </w:rPr>
        <w:t xml:space="preserve">). Additionally, when suffering from burnout in adventure activity, a person will no longer feel the restorative and </w:t>
      </w:r>
      <w:r w:rsidR="0000161B">
        <w:rPr>
          <w:rStyle w:val="eop"/>
          <w:rFonts w:eastAsiaTheme="majorEastAsia"/>
        </w:rPr>
        <w:t>energising</w:t>
      </w:r>
      <w:r w:rsidRPr="002F1C5A">
        <w:rPr>
          <w:rStyle w:val="eop"/>
          <w:rFonts w:eastAsiaTheme="majorEastAsia"/>
        </w:rPr>
        <w:t xml:space="preserve"> effects typical of outdoor adventures (</w:t>
      </w:r>
      <w:r w:rsidRPr="008A738F">
        <w:t>Romanyshyn,</w:t>
      </w:r>
      <w:r>
        <w:t xml:space="preserve"> </w:t>
      </w:r>
      <w:r w:rsidRPr="008A738F">
        <w:t>2025</w:t>
      </w:r>
      <w:r w:rsidRPr="002F1C5A">
        <w:rPr>
          <w:rStyle w:val="eop"/>
          <w:rFonts w:eastAsiaTheme="majorEastAsia"/>
        </w:rPr>
        <w:t>). When these positive effects are lessened, the impact of fear and anxiety in adventure can become more pronounced in their absence.</w:t>
      </w:r>
    </w:p>
    <w:p w14:paraId="22B51E41" w14:textId="77777777" w:rsidR="00AA663C" w:rsidRPr="002F1C5A" w:rsidRDefault="00AA663C" w:rsidP="00C354FF">
      <w:pPr>
        <w:pStyle w:val="paragraph"/>
        <w:spacing w:before="30" w:beforeAutospacing="0" w:after="0" w:afterAutospacing="0"/>
        <w:textAlignment w:val="baseline"/>
        <w:rPr>
          <w:rStyle w:val="eop"/>
          <w:rFonts w:eastAsiaTheme="majorEastAsia"/>
        </w:rPr>
      </w:pPr>
    </w:p>
    <w:p w14:paraId="19566C26" w14:textId="77777777" w:rsidR="00AA663C" w:rsidRPr="002F1C5A" w:rsidRDefault="00AA663C" w:rsidP="00C354FF">
      <w:pPr>
        <w:pStyle w:val="paragraph"/>
        <w:spacing w:before="30" w:beforeAutospacing="0" w:after="0" w:afterAutospacing="0"/>
        <w:textAlignment w:val="baseline"/>
        <w:rPr>
          <w:rStyle w:val="eop"/>
          <w:rFonts w:eastAsiaTheme="majorEastAsia"/>
        </w:rPr>
      </w:pPr>
      <w:r w:rsidRPr="000B3621">
        <w:rPr>
          <w:rFonts w:eastAsiaTheme="majorEastAsia"/>
        </w:rPr>
        <w:t>Buckley</w:t>
      </w:r>
      <w:r w:rsidRPr="00C97A47">
        <w:t xml:space="preserve"> </w:t>
      </w:r>
      <w:r>
        <w:t xml:space="preserve">and </w:t>
      </w:r>
      <w:r w:rsidRPr="00C97A47">
        <w:t>Carnicelli-Filho</w:t>
      </w:r>
      <w:r>
        <w:t xml:space="preserve"> </w:t>
      </w:r>
      <w:r w:rsidRPr="002F1C5A">
        <w:rPr>
          <w:rStyle w:val="eop"/>
          <w:rFonts w:eastAsiaTheme="majorEastAsia"/>
        </w:rPr>
        <w:t>(</w:t>
      </w:r>
      <w:r w:rsidRPr="000B3621">
        <w:rPr>
          <w:rFonts w:eastAsiaTheme="majorEastAsia"/>
        </w:rPr>
        <w:t>Buckley, 2016</w:t>
      </w:r>
      <w:r>
        <w:rPr>
          <w:rFonts w:eastAsiaTheme="majorEastAsia"/>
        </w:rPr>
        <w:t xml:space="preserve">; </w:t>
      </w:r>
      <w:r w:rsidRPr="00C97A47">
        <w:t>Carnicelli-Filho</w:t>
      </w:r>
      <w:r>
        <w:t xml:space="preserve"> </w:t>
      </w:r>
      <w:r w:rsidRPr="0035709B">
        <w:rPr>
          <w:i/>
          <w:iCs/>
        </w:rPr>
        <w:t>et al</w:t>
      </w:r>
      <w:r>
        <w:t xml:space="preserve">, </w:t>
      </w:r>
      <w:r w:rsidRPr="00C97A47">
        <w:t>2010</w:t>
      </w:r>
      <w:r w:rsidRPr="002F1C5A">
        <w:rPr>
          <w:rStyle w:val="eop"/>
          <w:rFonts w:eastAsiaTheme="majorEastAsia"/>
        </w:rPr>
        <w:t>) describe fear and anxiety as a major part of the experience during adventure activities. To examine the effect of fear and anxiety, it is important to clarify how the two concepts differ. Fear can be easily described as an emotion, a feeling which passes through oneself to cause certain responses, but which will not linger much longer than the danger which motivates it (</w:t>
      </w:r>
      <w:r w:rsidRPr="00C97A47">
        <w:t>Reid and Brymer, 2022</w:t>
      </w:r>
      <w:r w:rsidRPr="002F1C5A">
        <w:rPr>
          <w:rStyle w:val="eop"/>
          <w:rFonts w:eastAsiaTheme="majorEastAsia"/>
        </w:rPr>
        <w:t>). In contrast, anxiety is a state of being which lingers for extended periods, sometimes triggering disproportionate emotional and physical responses to stimuli which are interpreted as danger (</w:t>
      </w:r>
      <w:r w:rsidRPr="00C97A47">
        <w:t>Reid and Brymer, 2022</w:t>
      </w:r>
      <w:r w:rsidRPr="002F1C5A">
        <w:rPr>
          <w:rStyle w:val="eop"/>
          <w:rFonts w:eastAsiaTheme="majorEastAsia"/>
        </w:rPr>
        <w:t>). This distinction is essential, as the emotion of fear is often wielded in the structure of adventure programs as a tool to create opportunities for growth, change, and development (</w:t>
      </w:r>
      <w:r w:rsidRPr="000B3621">
        <w:rPr>
          <w:rFonts w:eastAsiaTheme="majorEastAsia"/>
        </w:rPr>
        <w:t>Buckley, 2016</w:t>
      </w:r>
      <w:r w:rsidRPr="002F1C5A">
        <w:rPr>
          <w:rStyle w:val="eop"/>
          <w:rFonts w:eastAsiaTheme="majorEastAsia"/>
        </w:rPr>
        <w:t xml:space="preserve">; </w:t>
      </w:r>
      <w:r w:rsidRPr="00B54F73">
        <w:rPr>
          <w:rFonts w:eastAsiaTheme="majorEastAsia"/>
        </w:rPr>
        <w:t>Holyfield and Fine, 2011</w:t>
      </w:r>
      <w:r w:rsidRPr="002F1C5A">
        <w:rPr>
          <w:rStyle w:val="eop"/>
          <w:rFonts w:eastAsiaTheme="majorEastAsia"/>
        </w:rPr>
        <w:t xml:space="preserve">). </w:t>
      </w:r>
    </w:p>
    <w:p w14:paraId="237F9AB0" w14:textId="77777777" w:rsidR="00AA663C" w:rsidRPr="002F1C5A" w:rsidRDefault="00AA663C" w:rsidP="00C354FF">
      <w:pPr>
        <w:pStyle w:val="paragraph"/>
        <w:spacing w:before="30" w:beforeAutospacing="0" w:after="0" w:afterAutospacing="0"/>
        <w:textAlignment w:val="baseline"/>
        <w:rPr>
          <w:rStyle w:val="eop"/>
          <w:rFonts w:eastAsiaTheme="majorEastAsia"/>
        </w:rPr>
      </w:pPr>
    </w:p>
    <w:p w14:paraId="715E2435" w14:textId="77777777" w:rsidR="00AA663C" w:rsidRPr="002F1C5A" w:rsidRDefault="00AA663C" w:rsidP="00C354FF">
      <w:pPr>
        <w:pStyle w:val="paragraph"/>
        <w:spacing w:before="30" w:beforeAutospacing="0" w:after="0" w:afterAutospacing="0"/>
        <w:textAlignment w:val="baseline"/>
        <w:rPr>
          <w:rStyle w:val="eop"/>
          <w:rFonts w:eastAsiaTheme="majorEastAsia"/>
        </w:rPr>
      </w:pPr>
      <w:r w:rsidRPr="002F1C5A">
        <w:rPr>
          <w:rStyle w:val="eop"/>
          <w:rFonts w:eastAsiaTheme="majorEastAsia"/>
        </w:rPr>
        <w:t>Fear and anxiety can both manifest in physical symptoms when the emotional experience is particularly strong (</w:t>
      </w:r>
      <w:r w:rsidRPr="00B54F73">
        <w:rPr>
          <w:rFonts w:eastAsiaTheme="majorEastAsia"/>
        </w:rPr>
        <w:t>Holyfield and Fine, 2011</w:t>
      </w:r>
      <w:r w:rsidRPr="002F1C5A">
        <w:rPr>
          <w:rStyle w:val="eop"/>
          <w:rFonts w:eastAsiaTheme="majorEastAsia"/>
        </w:rPr>
        <w:t>). Examples of this effect can include tense muscles, increased heartrate, rapid or shallow breathing, sweating, trembling and weakness, while anxiety can also trigger issues like reduced concentration, sleeping issues, digestion issues and an impending sense of panic or doom over a longer period (</w:t>
      </w:r>
      <w:r w:rsidRPr="00B54F73">
        <w:rPr>
          <w:rFonts w:eastAsiaTheme="majorEastAsia"/>
        </w:rPr>
        <w:t>Holyfield and Fine, 2011</w:t>
      </w:r>
      <w:r w:rsidRPr="002F1C5A">
        <w:rPr>
          <w:rStyle w:val="eop"/>
          <w:rFonts w:eastAsiaTheme="majorEastAsia"/>
        </w:rPr>
        <w:t xml:space="preserve">; </w:t>
      </w:r>
      <w:r w:rsidRPr="00B54F73">
        <w:rPr>
          <w:rFonts w:eastAsiaTheme="majorEastAsia"/>
        </w:rPr>
        <w:t>Mayo Clinic</w:t>
      </w:r>
      <w:r>
        <w:rPr>
          <w:rFonts w:eastAsiaTheme="majorEastAsia"/>
        </w:rPr>
        <w:t xml:space="preserve">, </w:t>
      </w:r>
      <w:r w:rsidRPr="00B54F73">
        <w:rPr>
          <w:rFonts w:eastAsiaTheme="majorEastAsia"/>
        </w:rPr>
        <w:t>2025</w:t>
      </w:r>
      <w:r w:rsidRPr="002F1C5A">
        <w:rPr>
          <w:rStyle w:val="eop"/>
          <w:rFonts w:eastAsiaTheme="majorEastAsia"/>
        </w:rPr>
        <w:t>).</w:t>
      </w:r>
    </w:p>
    <w:p w14:paraId="439FF007" w14:textId="77777777" w:rsidR="00AA663C" w:rsidRPr="002F1C5A" w:rsidRDefault="00AA663C" w:rsidP="00C354FF">
      <w:pPr>
        <w:pStyle w:val="paragraph"/>
        <w:spacing w:before="30" w:beforeAutospacing="0" w:after="0" w:afterAutospacing="0"/>
        <w:textAlignment w:val="baseline"/>
        <w:rPr>
          <w:rStyle w:val="eop"/>
          <w:rFonts w:eastAsiaTheme="majorEastAsia"/>
        </w:rPr>
      </w:pPr>
    </w:p>
    <w:p w14:paraId="69C8103C" w14:textId="77777777" w:rsidR="00AA663C" w:rsidRPr="002F1C5A" w:rsidRDefault="00AA663C" w:rsidP="00C354FF">
      <w:pPr>
        <w:pStyle w:val="paragraph"/>
        <w:spacing w:before="30" w:beforeAutospacing="0" w:after="0" w:afterAutospacing="0"/>
        <w:textAlignment w:val="baseline"/>
        <w:rPr>
          <w:rFonts w:eastAsiaTheme="majorEastAsia"/>
        </w:rPr>
      </w:pPr>
      <w:r w:rsidRPr="002F1C5A">
        <w:rPr>
          <w:rStyle w:val="eop"/>
          <w:rFonts w:eastAsiaTheme="majorEastAsia"/>
        </w:rPr>
        <w:lastRenderedPageBreak/>
        <w:t>Fear emerges during an activity not due to real danger present in it, but due to the cognitive impact imagination has on a participant. The perception of risk and loss of control, as well as anticipation of strong emotional experiences results in building fear before and during an adventure activity (</w:t>
      </w:r>
      <w:r w:rsidRPr="00C97A47">
        <w:t>Carnicelli-Filho</w:t>
      </w:r>
      <w:r>
        <w:t xml:space="preserve"> </w:t>
      </w:r>
      <w:r w:rsidRPr="0035709B">
        <w:rPr>
          <w:i/>
          <w:iCs/>
        </w:rPr>
        <w:t>et al</w:t>
      </w:r>
      <w:r w:rsidRPr="002F1C5A">
        <w:rPr>
          <w:rStyle w:val="eop"/>
          <w:rFonts w:eastAsiaTheme="majorEastAsia"/>
        </w:rPr>
        <w:t xml:space="preserve">; </w:t>
      </w:r>
      <w:r w:rsidRPr="000B3621">
        <w:rPr>
          <w:rFonts w:eastAsiaTheme="majorEastAsia"/>
        </w:rPr>
        <w:t>Reed and Smith, 2023</w:t>
      </w:r>
      <w:r w:rsidRPr="002F1C5A">
        <w:rPr>
          <w:rStyle w:val="eop"/>
          <w:rFonts w:eastAsiaTheme="majorEastAsia"/>
        </w:rPr>
        <w:t>). Anxiety becomes an issue when imagined outcomes and anticipation become disconnected from reality and overly focused on the future rather than the present, resulting in unnecessary fear of irrational misfortunes and a state of constant anxiousness, or even mental paralysis (</w:t>
      </w:r>
      <w:r w:rsidRPr="00C97A47">
        <w:t>Reid and Brymer, 2022</w:t>
      </w:r>
      <w:r w:rsidRPr="002F1C5A">
        <w:rPr>
          <w:rStyle w:val="eop"/>
          <w:rFonts w:eastAsiaTheme="majorEastAsia"/>
        </w:rPr>
        <w:t>).</w:t>
      </w:r>
    </w:p>
    <w:p w14:paraId="3B23C9E1" w14:textId="77777777" w:rsidR="00AA663C" w:rsidRPr="002F1C5A" w:rsidRDefault="00AA663C" w:rsidP="00C354FF">
      <w:pPr>
        <w:pStyle w:val="paragraph"/>
        <w:spacing w:before="30" w:beforeAutospacing="0" w:after="0" w:afterAutospacing="0"/>
        <w:textAlignment w:val="baseline"/>
        <w:rPr>
          <w:rStyle w:val="eop"/>
          <w:rFonts w:eastAsiaTheme="majorEastAsia"/>
        </w:rPr>
      </w:pPr>
    </w:p>
    <w:p w14:paraId="67048EC8" w14:textId="77777777" w:rsidR="00AA663C" w:rsidRPr="002F1C5A" w:rsidRDefault="00AA663C" w:rsidP="00C354FF">
      <w:pPr>
        <w:pStyle w:val="paragraph"/>
        <w:spacing w:before="30" w:beforeAutospacing="0" w:after="0" w:afterAutospacing="0"/>
        <w:textAlignment w:val="baseline"/>
        <w:rPr>
          <w:rStyle w:val="eop"/>
          <w:rFonts w:eastAsiaTheme="majorEastAsia"/>
        </w:rPr>
      </w:pPr>
      <w:r w:rsidRPr="002F1C5A">
        <w:rPr>
          <w:rStyle w:val="eop"/>
          <w:rFonts w:eastAsiaTheme="majorEastAsia"/>
        </w:rPr>
        <w:t>Outdoor adventure can be seen as an opportunity to play with the fear elicited by activities perceived as risky or dangerous, allowing participants to leave comfort zones with the core knowledge of their own safety and pursue the unique experiences and opportunities for development offered by the emotion of fear (</w:t>
      </w:r>
      <w:r w:rsidRPr="00C97A47">
        <w:rPr>
          <w:rFonts w:eastAsiaTheme="majorEastAsia"/>
        </w:rPr>
        <w:t>Cater, 2006</w:t>
      </w:r>
      <w:r w:rsidRPr="002F1C5A">
        <w:rPr>
          <w:rStyle w:val="eop"/>
          <w:rFonts w:eastAsiaTheme="majorEastAsia"/>
        </w:rPr>
        <w:t>). This emotional ‘game’ of balancing knowledge of safety with feelings of fear is then one of the driving forces for people to engage in outdoor adventure and pushes them to pursue greater challenges as they become more accustomed to these activities (</w:t>
      </w:r>
      <w:r w:rsidRPr="00C97A47">
        <w:t>Carnicelli-Filho</w:t>
      </w:r>
      <w:r>
        <w:t xml:space="preserve"> </w:t>
      </w:r>
      <w:r w:rsidRPr="0035709B">
        <w:rPr>
          <w:i/>
          <w:iCs/>
        </w:rPr>
        <w:t>et al</w:t>
      </w:r>
      <w:r>
        <w:rPr>
          <w:i/>
          <w:iCs/>
        </w:rPr>
        <w:t xml:space="preserve">, </w:t>
      </w:r>
      <w:r w:rsidRPr="00F834C8">
        <w:t>2010</w:t>
      </w:r>
      <w:r w:rsidRPr="002F1C5A">
        <w:rPr>
          <w:rStyle w:val="eop"/>
          <w:rFonts w:eastAsiaTheme="majorEastAsia"/>
        </w:rPr>
        <w:t>).</w:t>
      </w:r>
    </w:p>
    <w:p w14:paraId="34E68AE3" w14:textId="77777777" w:rsidR="00AA663C" w:rsidRPr="002F1C5A" w:rsidRDefault="00AA663C" w:rsidP="00C354FF">
      <w:pPr>
        <w:pStyle w:val="paragraph"/>
        <w:spacing w:before="30" w:beforeAutospacing="0" w:after="0" w:afterAutospacing="0"/>
        <w:textAlignment w:val="baseline"/>
        <w:rPr>
          <w:rStyle w:val="eop"/>
          <w:rFonts w:eastAsiaTheme="majorEastAsia"/>
        </w:rPr>
      </w:pPr>
    </w:p>
    <w:p w14:paraId="0B6B0674" w14:textId="014822FB" w:rsidR="00AA663C" w:rsidRPr="002F1C5A" w:rsidRDefault="00AA663C" w:rsidP="00C354FF">
      <w:pPr>
        <w:pStyle w:val="paragraph"/>
        <w:spacing w:before="30" w:beforeAutospacing="0" w:after="0" w:afterAutospacing="0"/>
        <w:textAlignment w:val="baseline"/>
        <w:rPr>
          <w:rStyle w:val="eop"/>
          <w:rFonts w:eastAsiaTheme="majorEastAsia"/>
        </w:rPr>
      </w:pPr>
      <w:r w:rsidRPr="002F1C5A">
        <w:rPr>
          <w:rStyle w:val="eop"/>
          <w:rFonts w:eastAsiaTheme="majorEastAsia"/>
        </w:rPr>
        <w:t>During adventure activities, instructors take on the responsibility of managing and manipulating the fear of participants to achieve ideal outcomes through the conveyance of information (</w:t>
      </w:r>
      <w:r w:rsidRPr="00B54F73">
        <w:rPr>
          <w:rFonts w:eastAsiaTheme="majorEastAsia"/>
        </w:rPr>
        <w:t>Morgan, 2000</w:t>
      </w:r>
      <w:r w:rsidRPr="002F1C5A">
        <w:rPr>
          <w:rStyle w:val="eop"/>
          <w:rFonts w:eastAsiaTheme="majorEastAsia"/>
        </w:rPr>
        <w:t>). Practitioners can relate to participants by referencing their own fears and how they overcame them, acknowledging the benefits of self-trust, bravery, and sense of accomplishment that were gained from the experience (</w:t>
      </w:r>
      <w:r w:rsidRPr="00B54F73">
        <w:rPr>
          <w:rFonts w:eastAsiaTheme="majorEastAsia"/>
        </w:rPr>
        <w:t>Holyfield and Fine, 2011</w:t>
      </w:r>
      <w:r w:rsidRPr="002F1C5A">
        <w:rPr>
          <w:rStyle w:val="eop"/>
          <w:rFonts w:eastAsiaTheme="majorEastAsia"/>
        </w:rPr>
        <w:t xml:space="preserve">). Conversely, instructors can make the issue of fear worse for some participants when they misinterpret a situation. Practitioners may push participants beyond what they can reasonably be expected to manage, creating experiences too saturated by fear to gain any real benefit, losing out on the personal development afforded by adventures beyond one’s comfort zone. This can be </w:t>
      </w:r>
      <w:r w:rsidR="0000161B">
        <w:rPr>
          <w:rStyle w:val="eop"/>
          <w:rFonts w:eastAsiaTheme="majorEastAsia"/>
        </w:rPr>
        <w:t>exacerbated</w:t>
      </w:r>
      <w:r w:rsidRPr="002F1C5A">
        <w:rPr>
          <w:rStyle w:val="eop"/>
          <w:rFonts w:eastAsiaTheme="majorEastAsia"/>
        </w:rPr>
        <w:t xml:space="preserve"> by the issue of participants wanting to please facilitators and behave according to expectations, causing them to describe experiences as beneficial or positive when </w:t>
      </w:r>
      <w:proofErr w:type="gramStart"/>
      <w:r w:rsidRPr="002F1C5A">
        <w:rPr>
          <w:rStyle w:val="eop"/>
          <w:rFonts w:eastAsiaTheme="majorEastAsia"/>
        </w:rPr>
        <w:t>in reality the</w:t>
      </w:r>
      <w:proofErr w:type="gramEnd"/>
      <w:r w:rsidRPr="002F1C5A">
        <w:rPr>
          <w:rStyle w:val="eop"/>
          <w:rFonts w:eastAsiaTheme="majorEastAsia"/>
        </w:rPr>
        <w:t xml:space="preserve"> fear or anxiety of a situation was overwhelming (</w:t>
      </w:r>
      <w:r w:rsidRPr="00B54F73">
        <w:rPr>
          <w:rFonts w:eastAsiaTheme="majorEastAsia"/>
        </w:rPr>
        <w:t>Holyfield and Fine, 2011</w:t>
      </w:r>
      <w:r w:rsidRPr="002F1C5A">
        <w:rPr>
          <w:rStyle w:val="eop"/>
          <w:rFonts w:eastAsiaTheme="majorEastAsia"/>
        </w:rPr>
        <w:t>). This can go ever further when participants do express or display their fear but are made to feel embarrassed or devalued by the response of instructors or other participants.</w:t>
      </w:r>
    </w:p>
    <w:p w14:paraId="23E33768" w14:textId="77777777" w:rsidR="00AA663C" w:rsidRPr="002F1C5A" w:rsidRDefault="00AA663C" w:rsidP="00C354FF">
      <w:pPr>
        <w:pStyle w:val="paragraph"/>
        <w:spacing w:before="30" w:beforeAutospacing="0" w:after="0" w:afterAutospacing="0"/>
        <w:textAlignment w:val="baseline"/>
        <w:rPr>
          <w:rStyle w:val="eop"/>
          <w:rFonts w:eastAsiaTheme="majorEastAsia"/>
        </w:rPr>
      </w:pPr>
    </w:p>
    <w:p w14:paraId="5ED14B26" w14:textId="77777777" w:rsidR="00AA663C" w:rsidRDefault="00AA663C" w:rsidP="00C354FF">
      <w:pPr>
        <w:pStyle w:val="paragraph"/>
        <w:spacing w:before="30" w:beforeAutospacing="0" w:after="0" w:afterAutospacing="0"/>
        <w:textAlignment w:val="baseline"/>
        <w:rPr>
          <w:rStyle w:val="eop"/>
          <w:rFonts w:eastAsiaTheme="majorEastAsia"/>
        </w:rPr>
      </w:pPr>
      <w:r w:rsidRPr="002F1C5A">
        <w:rPr>
          <w:rStyle w:val="eop"/>
          <w:rFonts w:eastAsiaTheme="majorEastAsia"/>
        </w:rPr>
        <w:t>Due to the internal, personal nature of fear and anxiety, managing and removing fear from a situation must in many ways be addressed on an individual level, rather than with sweeping solutions that could not accommodate everyone. One more general strategy to manage fear of an activity before it is outwardly expressed is to ensure participants are starting at an appropriate level for their experience and easing into more fear-inducing activities (</w:t>
      </w:r>
      <w:r w:rsidRPr="00B54F73">
        <w:rPr>
          <w:rFonts w:eastAsiaTheme="majorEastAsia"/>
        </w:rPr>
        <w:t>NHS</w:t>
      </w:r>
      <w:r>
        <w:rPr>
          <w:rFonts w:eastAsiaTheme="majorEastAsia"/>
        </w:rPr>
        <w:t>, 2025</w:t>
      </w:r>
      <w:r w:rsidRPr="002F1C5A">
        <w:rPr>
          <w:rStyle w:val="eop"/>
          <w:rFonts w:eastAsiaTheme="majorEastAsia"/>
        </w:rPr>
        <w:t>). For example, introducing a group to a simple short indoor climb before taking them to a high abseil outdoors. This could both avoid reactions of fear by easing into activities and provide opportunities to recognise where fear may become an issue for participants in the future.</w:t>
      </w:r>
    </w:p>
    <w:p w14:paraId="1E3CDDC1" w14:textId="77777777" w:rsidR="00AA663C" w:rsidRDefault="00AA663C" w:rsidP="00C354FF">
      <w:pPr>
        <w:pStyle w:val="paragraph"/>
        <w:spacing w:before="30" w:beforeAutospacing="0" w:after="0" w:afterAutospacing="0"/>
        <w:textAlignment w:val="baseline"/>
        <w:rPr>
          <w:rStyle w:val="eop"/>
          <w:rFonts w:eastAsiaTheme="majorEastAsia"/>
        </w:rPr>
      </w:pPr>
    </w:p>
    <w:p w14:paraId="2013ECA3" w14:textId="77777777" w:rsidR="00AA663C" w:rsidRDefault="00AA663C" w:rsidP="00C354FF">
      <w:pPr>
        <w:pStyle w:val="paragraph"/>
        <w:spacing w:before="30" w:beforeAutospacing="0" w:after="0" w:afterAutospacing="0"/>
        <w:textAlignment w:val="baseline"/>
        <w:rPr>
          <w:rStyle w:val="eop"/>
          <w:rFonts w:eastAsiaTheme="majorEastAsia"/>
        </w:rPr>
      </w:pPr>
      <w:r>
        <w:rPr>
          <w:rStyle w:val="eop"/>
          <w:rFonts w:eastAsiaTheme="majorEastAsia"/>
        </w:rPr>
        <w:t>Once fear or anxiety present themselves in a participant, more direct efforts can be made to manage these and lessen their impact. The first step in managing fear is to help a participant process and understand it, interpreting what exactly they fear about an activity and why, and what the physical and mental effects of that fear are (</w:t>
      </w:r>
      <w:r w:rsidRPr="00752A0D">
        <w:rPr>
          <w:rFonts w:eastAsiaTheme="majorEastAsia"/>
        </w:rPr>
        <w:t>Knowledge and Science Bulletin Board System</w:t>
      </w:r>
      <w:r>
        <w:rPr>
          <w:rFonts w:eastAsiaTheme="majorEastAsia"/>
        </w:rPr>
        <w:t xml:space="preserve">, </w:t>
      </w:r>
      <w:r w:rsidRPr="00752A0D">
        <w:rPr>
          <w:rFonts w:eastAsiaTheme="majorEastAsia"/>
        </w:rPr>
        <w:t>2023</w:t>
      </w:r>
      <w:r>
        <w:rPr>
          <w:rStyle w:val="eop"/>
          <w:rFonts w:eastAsiaTheme="majorEastAsia"/>
        </w:rPr>
        <w:t xml:space="preserve">; </w:t>
      </w:r>
      <w:r w:rsidRPr="00B54F73">
        <w:rPr>
          <w:rFonts w:eastAsiaTheme="majorEastAsia"/>
        </w:rPr>
        <w:t>NHS</w:t>
      </w:r>
      <w:r>
        <w:rPr>
          <w:rFonts w:eastAsiaTheme="majorEastAsia"/>
        </w:rPr>
        <w:t>, 2025</w:t>
      </w:r>
      <w:r>
        <w:rPr>
          <w:rStyle w:val="eop"/>
          <w:rFonts w:eastAsiaTheme="majorEastAsia"/>
        </w:rPr>
        <w:t xml:space="preserve">). This will prevent confusion from compounding the emotions of fear and anxiety and can allow a person to begin properly reducing its impact on their experience. Next, a practitioner should help a participant to examine individual situations to </w:t>
      </w:r>
      <w:r>
        <w:rPr>
          <w:rStyle w:val="eop"/>
          <w:rFonts w:eastAsiaTheme="majorEastAsia"/>
        </w:rPr>
        <w:lastRenderedPageBreak/>
        <w:t>recognise when and how their fears are triggered, how to anticipate the onset of fear and what activities may be too much for them to handle at that time (</w:t>
      </w:r>
      <w:r w:rsidRPr="00B54F73">
        <w:rPr>
          <w:rFonts w:eastAsiaTheme="majorEastAsia"/>
        </w:rPr>
        <w:t>NHS</w:t>
      </w:r>
      <w:r>
        <w:rPr>
          <w:rFonts w:eastAsiaTheme="majorEastAsia"/>
        </w:rPr>
        <w:t>, 2025</w:t>
      </w:r>
      <w:r>
        <w:rPr>
          <w:rStyle w:val="eop"/>
          <w:rFonts w:eastAsiaTheme="majorEastAsia"/>
        </w:rPr>
        <w:t xml:space="preserve">). </w:t>
      </w:r>
    </w:p>
    <w:p w14:paraId="3769F38B" w14:textId="77777777" w:rsidR="00AA663C" w:rsidRDefault="00AA663C" w:rsidP="00C354FF">
      <w:pPr>
        <w:pStyle w:val="paragraph"/>
        <w:spacing w:before="30" w:beforeAutospacing="0" w:after="0" w:afterAutospacing="0"/>
        <w:textAlignment w:val="baseline"/>
        <w:rPr>
          <w:rStyle w:val="eop"/>
          <w:rFonts w:eastAsiaTheme="majorEastAsia"/>
        </w:rPr>
      </w:pPr>
    </w:p>
    <w:p w14:paraId="76B0FC86" w14:textId="186CF090" w:rsidR="00AA663C" w:rsidRPr="002F1C5A" w:rsidRDefault="00AA663C" w:rsidP="00C354FF">
      <w:pPr>
        <w:pStyle w:val="paragraph"/>
        <w:spacing w:before="30" w:beforeAutospacing="0" w:after="0" w:afterAutospacing="0"/>
        <w:textAlignment w:val="baseline"/>
        <w:rPr>
          <w:rStyle w:val="eop"/>
          <w:rFonts w:eastAsiaTheme="majorEastAsia"/>
        </w:rPr>
      </w:pPr>
      <w:r>
        <w:rPr>
          <w:rStyle w:val="eop"/>
          <w:rFonts w:eastAsiaTheme="majorEastAsia"/>
        </w:rPr>
        <w:t>With this understanding gained, a practitioner can then assist a participant in engaging with activities which trigger their fear and anxiety. One strategy to assist with this stage could be guiding a participant through visualisation techniques. Often used by athletes, visualisation involves a participant imagining themselves completing an activity in a calm and relaxed manner, succeeding in its completion without becoming overwhelmed by fear (</w:t>
      </w:r>
      <w:r w:rsidRPr="00752A0D">
        <w:rPr>
          <w:rFonts w:eastAsiaTheme="majorEastAsia"/>
        </w:rPr>
        <w:t>Knowledge and Science Bulletin Board System</w:t>
      </w:r>
      <w:r>
        <w:rPr>
          <w:rFonts w:eastAsiaTheme="majorEastAsia"/>
        </w:rPr>
        <w:t xml:space="preserve">, </w:t>
      </w:r>
      <w:r w:rsidRPr="00752A0D">
        <w:rPr>
          <w:rFonts w:eastAsiaTheme="majorEastAsia"/>
        </w:rPr>
        <w:t>2023</w:t>
      </w:r>
      <w:r>
        <w:rPr>
          <w:rStyle w:val="eop"/>
          <w:rFonts w:eastAsiaTheme="majorEastAsia"/>
        </w:rPr>
        <w:t>). Guiding a participant through this process can reduce anxiety or fear and help them feel more self-assured of their ability to perform an activity. This can be paired with the more general strategy of building up from easier, less fear-inducing activities to improve confidence before participants encounter greater fear in more advanced activities (</w:t>
      </w:r>
      <w:r w:rsidRPr="00752A0D">
        <w:rPr>
          <w:rFonts w:eastAsiaTheme="majorEastAsia"/>
        </w:rPr>
        <w:t>Knowledge and Science Bulletin Board System</w:t>
      </w:r>
      <w:r>
        <w:rPr>
          <w:rFonts w:eastAsiaTheme="majorEastAsia"/>
        </w:rPr>
        <w:t xml:space="preserve">, </w:t>
      </w:r>
      <w:r w:rsidRPr="00752A0D">
        <w:rPr>
          <w:rFonts w:eastAsiaTheme="majorEastAsia"/>
        </w:rPr>
        <w:t>2023</w:t>
      </w:r>
      <w:r>
        <w:rPr>
          <w:rStyle w:val="eop"/>
          <w:rFonts w:eastAsiaTheme="majorEastAsia"/>
        </w:rPr>
        <w:t xml:space="preserve">; </w:t>
      </w:r>
      <w:r w:rsidRPr="00B54F73">
        <w:rPr>
          <w:rFonts w:eastAsiaTheme="majorEastAsia"/>
        </w:rPr>
        <w:t>NHS</w:t>
      </w:r>
      <w:r>
        <w:rPr>
          <w:rFonts w:eastAsiaTheme="majorEastAsia"/>
        </w:rPr>
        <w:t>, 2025</w:t>
      </w:r>
      <w:r>
        <w:rPr>
          <w:rStyle w:val="eop"/>
          <w:rFonts w:eastAsiaTheme="majorEastAsia"/>
        </w:rPr>
        <w:t>). Finally, it is important that a participant is encouraged to truly feel and examine fear whilst experiencing it, and not just after it has passed. Recognising the feeling</w:t>
      </w:r>
      <w:r w:rsidR="00A21C4B">
        <w:rPr>
          <w:rStyle w:val="eop"/>
          <w:rFonts w:eastAsiaTheme="majorEastAsia"/>
        </w:rPr>
        <w:t xml:space="preserve"> </w:t>
      </w:r>
      <w:r>
        <w:rPr>
          <w:rStyle w:val="eop"/>
          <w:rFonts w:eastAsiaTheme="majorEastAsia"/>
        </w:rPr>
        <w:t>and putting a participant</w:t>
      </w:r>
      <w:r w:rsidR="00A21C4B">
        <w:rPr>
          <w:rStyle w:val="eop"/>
          <w:rFonts w:eastAsiaTheme="majorEastAsia"/>
        </w:rPr>
        <w:t>’</w:t>
      </w:r>
      <w:r>
        <w:rPr>
          <w:rStyle w:val="eop"/>
          <w:rFonts w:eastAsiaTheme="majorEastAsia"/>
        </w:rPr>
        <w:t xml:space="preserve">s developed understanding of their fear to use in the moment can help to rationalise the reaction in the moment, helping a person find the strength to continue, or prove to themselves that they </w:t>
      </w:r>
      <w:proofErr w:type="gramStart"/>
      <w:r>
        <w:rPr>
          <w:rStyle w:val="eop"/>
          <w:rFonts w:eastAsiaTheme="majorEastAsia"/>
        </w:rPr>
        <w:t>are capable of coping</w:t>
      </w:r>
      <w:proofErr w:type="gramEnd"/>
      <w:r>
        <w:rPr>
          <w:rStyle w:val="eop"/>
          <w:rFonts w:eastAsiaTheme="majorEastAsia"/>
        </w:rPr>
        <w:t xml:space="preserve"> with it (</w:t>
      </w:r>
      <w:r w:rsidRPr="00B54F73">
        <w:rPr>
          <w:rFonts w:eastAsiaTheme="majorEastAsia"/>
        </w:rPr>
        <w:t>NHS</w:t>
      </w:r>
      <w:r>
        <w:rPr>
          <w:rFonts w:eastAsiaTheme="majorEastAsia"/>
        </w:rPr>
        <w:t>, 2025</w:t>
      </w:r>
      <w:r>
        <w:rPr>
          <w:rStyle w:val="eop"/>
          <w:rFonts w:eastAsiaTheme="majorEastAsia"/>
        </w:rPr>
        <w:t>).</w:t>
      </w:r>
    </w:p>
    <w:p w14:paraId="7ED4A97F" w14:textId="77777777" w:rsidR="00AA663C" w:rsidRDefault="00AA663C" w:rsidP="00C354FF">
      <w:pPr>
        <w:pStyle w:val="paragraph"/>
        <w:spacing w:before="30" w:beforeAutospacing="0" w:after="0" w:afterAutospacing="0"/>
        <w:textAlignment w:val="baseline"/>
        <w:rPr>
          <w:rStyle w:val="eop"/>
          <w:rFonts w:eastAsiaTheme="majorEastAsia"/>
        </w:rPr>
      </w:pPr>
    </w:p>
    <w:p w14:paraId="3F77610D" w14:textId="77777777" w:rsidR="00AA663C" w:rsidRPr="00C354FF" w:rsidRDefault="00AA663C" w:rsidP="00C354FF">
      <w:pPr>
        <w:pStyle w:val="paragraph"/>
        <w:spacing w:before="30" w:beforeAutospacing="0" w:after="0" w:afterAutospacing="0"/>
        <w:jc w:val="center"/>
        <w:textAlignment w:val="baseline"/>
        <w:rPr>
          <w:rStyle w:val="eop"/>
          <w:rFonts w:eastAsiaTheme="majorEastAsia"/>
          <w:i/>
          <w:iCs/>
        </w:rPr>
      </w:pPr>
      <w:r w:rsidRPr="00C354FF">
        <w:rPr>
          <w:rStyle w:val="normaltextrun"/>
          <w:rFonts w:eastAsiaTheme="majorEastAsia"/>
          <w:i/>
          <w:iCs/>
        </w:rPr>
        <w:t>Data Analysis</w:t>
      </w:r>
    </w:p>
    <w:p w14:paraId="61D3098F" w14:textId="77777777" w:rsidR="00AA663C" w:rsidRDefault="00AA663C" w:rsidP="00C354FF">
      <w:pPr>
        <w:pStyle w:val="paragraph"/>
        <w:spacing w:before="30" w:beforeAutospacing="0" w:after="0" w:afterAutospacing="0"/>
        <w:textAlignment w:val="baseline"/>
      </w:pPr>
    </w:p>
    <w:p w14:paraId="7822AAFB" w14:textId="37E711CC" w:rsidR="00AA663C" w:rsidRDefault="00AA663C" w:rsidP="00C354FF">
      <w:pPr>
        <w:pStyle w:val="paragraph"/>
        <w:spacing w:before="30" w:beforeAutospacing="0" w:after="0" w:afterAutospacing="0"/>
        <w:textAlignment w:val="baseline"/>
      </w:pPr>
      <w:r>
        <w:t xml:space="preserve">The Competitive State Anxiety Inventory-2 (CSAI-2) uses </w:t>
      </w:r>
      <w:proofErr w:type="gramStart"/>
      <w:r>
        <w:t>a number of</w:t>
      </w:r>
      <w:proofErr w:type="gramEnd"/>
      <w:r>
        <w:t xml:space="preserve"> questions on a Likert scale to examine three main features of anxiety. Somatic anxiety refers to the emotional, physical reaction a person might have to anxiety, including elevated heart rate, muscle tension or stiffness, sweating, hyperventilation, trembling, and increased cortisol (</w:t>
      </w:r>
      <w:r w:rsidRPr="00FF0E73">
        <w:t>Daley and Reardon, 2024</w:t>
      </w:r>
      <w:r>
        <w:t xml:space="preserve">; </w:t>
      </w:r>
      <w:r w:rsidRPr="00FF0E73">
        <w:t xml:space="preserve">Parfitt </w:t>
      </w:r>
      <w:r>
        <w:t>and</w:t>
      </w:r>
      <w:r w:rsidRPr="00FF0E73">
        <w:t xml:space="preserve"> Pates</w:t>
      </w:r>
      <w:r>
        <w:t xml:space="preserve">, </w:t>
      </w:r>
      <w:r w:rsidRPr="00FF0E73">
        <w:t>1999</w:t>
      </w:r>
      <w:r>
        <w:t xml:space="preserve">; </w:t>
      </w:r>
      <w:r w:rsidRPr="00563238">
        <w:t>Mercader-Rubio</w:t>
      </w:r>
      <w:r>
        <w:t xml:space="preserve"> </w:t>
      </w:r>
      <w:r w:rsidRPr="00161CF0">
        <w:rPr>
          <w:i/>
          <w:iCs/>
        </w:rPr>
        <w:t>et al</w:t>
      </w:r>
      <w:r w:rsidRPr="00563238">
        <w:t>,</w:t>
      </w:r>
      <w:r>
        <w:t xml:space="preserve"> </w:t>
      </w:r>
      <w:r w:rsidRPr="00563238">
        <w:t>2023</w:t>
      </w:r>
      <w:r>
        <w:t xml:space="preserve">; </w:t>
      </w:r>
      <w:r w:rsidRPr="008872F4">
        <w:rPr>
          <w:rFonts w:eastAsiaTheme="majorEastAsia"/>
        </w:rPr>
        <w:t>Ree</w:t>
      </w:r>
      <w:r>
        <w:rPr>
          <w:rFonts w:eastAsiaTheme="majorEastAsia"/>
        </w:rPr>
        <w:t xml:space="preserve"> </w:t>
      </w:r>
      <w:r w:rsidRPr="00E61487">
        <w:rPr>
          <w:rFonts w:eastAsiaTheme="majorEastAsia"/>
          <w:i/>
          <w:iCs/>
        </w:rPr>
        <w:t>et al</w:t>
      </w:r>
      <w:r>
        <w:rPr>
          <w:rFonts w:eastAsiaTheme="majorEastAsia"/>
        </w:rPr>
        <w:t>, 2008</w:t>
      </w:r>
      <w:r>
        <w:t>). Cognitive anxiety instead describes the thought process behind anxiety, often described as ‘worry’</w:t>
      </w:r>
      <w:r w:rsidR="00A21C4B">
        <w:t>;</w:t>
      </w:r>
      <w:r>
        <w:t xml:space="preserve"> this includes the imagining of potential outcomes, intrusive thoughts, disruption and struggle with concentration (</w:t>
      </w:r>
      <w:r w:rsidRPr="00FF0E73">
        <w:t>Daley and Reardon, 2024</w:t>
      </w:r>
      <w:r>
        <w:t xml:space="preserve">; </w:t>
      </w:r>
      <w:r w:rsidRPr="00FF0E73">
        <w:t xml:space="preserve">Parfitt </w:t>
      </w:r>
      <w:r>
        <w:t>and</w:t>
      </w:r>
      <w:r w:rsidRPr="00FF0E73">
        <w:t xml:space="preserve"> Pates</w:t>
      </w:r>
      <w:r>
        <w:t xml:space="preserve">, </w:t>
      </w:r>
      <w:r w:rsidRPr="00FF0E73">
        <w:t>1999</w:t>
      </w:r>
      <w:r>
        <w:t xml:space="preserve">; </w:t>
      </w:r>
      <w:r w:rsidRPr="00563238">
        <w:t>Mercader-Rubio</w:t>
      </w:r>
      <w:r>
        <w:t xml:space="preserve"> </w:t>
      </w:r>
      <w:r w:rsidRPr="00161CF0">
        <w:rPr>
          <w:i/>
          <w:iCs/>
        </w:rPr>
        <w:t>et al</w:t>
      </w:r>
      <w:r w:rsidRPr="00563238">
        <w:t>,</w:t>
      </w:r>
      <w:r>
        <w:t xml:space="preserve"> </w:t>
      </w:r>
      <w:r w:rsidRPr="00563238">
        <w:t>2023</w:t>
      </w:r>
      <w:r>
        <w:t xml:space="preserve">; </w:t>
      </w:r>
      <w:r w:rsidRPr="008872F4">
        <w:rPr>
          <w:rFonts w:eastAsiaTheme="majorEastAsia"/>
        </w:rPr>
        <w:t>Ree</w:t>
      </w:r>
      <w:r>
        <w:rPr>
          <w:rFonts w:eastAsiaTheme="majorEastAsia"/>
        </w:rPr>
        <w:t xml:space="preserve"> </w:t>
      </w:r>
      <w:r w:rsidRPr="00E61487">
        <w:rPr>
          <w:rFonts w:eastAsiaTheme="majorEastAsia"/>
          <w:i/>
          <w:iCs/>
        </w:rPr>
        <w:t>et al</w:t>
      </w:r>
      <w:r>
        <w:rPr>
          <w:rFonts w:eastAsiaTheme="majorEastAsia"/>
        </w:rPr>
        <w:t>, 2008</w:t>
      </w:r>
      <w:r>
        <w:t>). The final attribute examined in the CSAI-2 is confidence, referring simply to a participant’s belief in their ability to succeed (</w:t>
      </w:r>
      <w:r w:rsidRPr="00993064">
        <w:t>Dingley, 2021</w:t>
      </w:r>
      <w:r>
        <w:t>).</w:t>
      </w:r>
    </w:p>
    <w:p w14:paraId="65065EEF" w14:textId="77777777" w:rsidR="00AA663C" w:rsidRDefault="00AA663C" w:rsidP="00C354FF">
      <w:pPr>
        <w:pStyle w:val="paragraph"/>
        <w:spacing w:before="30" w:beforeAutospacing="0" w:after="0" w:afterAutospacing="0"/>
        <w:textAlignment w:val="baseline"/>
      </w:pPr>
    </w:p>
    <w:p w14:paraId="4074EB7D" w14:textId="77777777" w:rsidR="00AA663C" w:rsidRDefault="00AA663C" w:rsidP="00C354FF">
      <w:pPr>
        <w:pStyle w:val="paragraph"/>
        <w:spacing w:before="30" w:beforeAutospacing="0" w:after="0" w:afterAutospacing="0"/>
        <w:textAlignment w:val="baseline"/>
      </w:pPr>
      <w:r>
        <w:t>The table and graph below present the results of research using the CSAI-2 to document anxiety one week before a caving trip, the morning of a caving trip, and immediately prior to a caving trip. The data shows the mean results gathered from 16 participants in the research.</w:t>
      </w:r>
    </w:p>
    <w:p w14:paraId="607AED21" w14:textId="77777777" w:rsidR="00AA663C" w:rsidRPr="00A949EE" w:rsidRDefault="00AA663C" w:rsidP="00C354FF">
      <w:pPr>
        <w:pStyle w:val="paragraph"/>
        <w:spacing w:before="30" w:beforeAutospacing="0" w:after="0" w:afterAutospacing="0"/>
        <w:textAlignment w:val="baseline"/>
      </w:pPr>
    </w:p>
    <w:p w14:paraId="66E7F935" w14:textId="77777777" w:rsidR="00AA663C" w:rsidRDefault="00AA663C" w:rsidP="00C354FF">
      <w:pPr>
        <w:pStyle w:val="paragraph"/>
        <w:spacing w:before="30" w:beforeAutospacing="0" w:after="0" w:afterAutospacing="0"/>
        <w:textAlignment w:val="baseline"/>
        <w:rPr>
          <w:rStyle w:val="eop"/>
          <w:rFonts w:eastAsiaTheme="majorEastAsia"/>
        </w:rPr>
      </w:pPr>
      <w:r>
        <w:rPr>
          <w:rFonts w:eastAsiaTheme="majorEastAsia"/>
          <w:noProof/>
        </w:rPr>
        <w:lastRenderedPageBreak/>
        <w:drawing>
          <wp:inline distT="0" distB="0" distL="0" distR="0" wp14:anchorId="568AA8D1" wp14:editId="207B3F62">
            <wp:extent cx="5486400" cy="3200400"/>
            <wp:effectExtent l="0" t="0" r="0" b="0"/>
            <wp:docPr id="57316420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C504782" w14:textId="77777777" w:rsidR="00AA663C" w:rsidRDefault="00AA663C" w:rsidP="00C354FF">
      <w:pPr>
        <w:pStyle w:val="paragraph"/>
        <w:spacing w:before="30" w:beforeAutospacing="0" w:after="0" w:afterAutospacing="0"/>
        <w:textAlignment w:val="baseline"/>
        <w:rPr>
          <w:rStyle w:val="eop"/>
          <w:rFonts w:eastAsiaTheme="majorEastAsia"/>
          <w:color w:val="0070C0"/>
        </w:rPr>
      </w:pPr>
    </w:p>
    <w:p w14:paraId="5ED43D96" w14:textId="77777777" w:rsidR="00AA663C" w:rsidRDefault="00AA663C" w:rsidP="00C354FF">
      <w:pPr>
        <w:pStyle w:val="paragraph"/>
        <w:spacing w:before="30" w:beforeAutospacing="0" w:after="0" w:afterAutospacing="0"/>
        <w:textAlignment w:val="baseline"/>
        <w:rPr>
          <w:rStyle w:val="eop"/>
          <w:rFonts w:eastAsiaTheme="majorEastAsia"/>
        </w:rPr>
      </w:pPr>
      <w:r>
        <w:rPr>
          <w:rStyle w:val="eop"/>
          <w:rFonts w:eastAsiaTheme="majorEastAsia"/>
        </w:rPr>
        <w:t>The data presents a clear trend for participants, both somatic and cognitive anxiety rose gradually as the caving activity grew closer, while confidence steadily decreased over time. These results suggest that the closer the time of the activity came, the more anxious and uncertain participants were of their ability to perform the activity, possibly due to participants spending more time considering the activity as it drew closer, causing them to recognise issues that may occur. Alternatively, the anticipation of the activity itself may have caused anxiety to naturally build up over time.</w:t>
      </w:r>
    </w:p>
    <w:p w14:paraId="0F4B8AF9" w14:textId="77777777" w:rsidR="00AA663C" w:rsidRDefault="00AA663C" w:rsidP="00C354FF">
      <w:pPr>
        <w:pStyle w:val="paragraph"/>
        <w:spacing w:before="30" w:beforeAutospacing="0" w:after="0" w:afterAutospacing="0"/>
        <w:textAlignment w:val="baseline"/>
        <w:rPr>
          <w:rStyle w:val="eop"/>
          <w:rFonts w:eastAsiaTheme="majorEastAsia"/>
        </w:rPr>
      </w:pPr>
    </w:p>
    <w:p w14:paraId="601F2003" w14:textId="3409B0D3" w:rsidR="00AA663C" w:rsidRDefault="00AA663C" w:rsidP="00C354FF">
      <w:pPr>
        <w:pStyle w:val="paragraph"/>
        <w:spacing w:before="30" w:beforeAutospacing="0" w:after="0" w:afterAutospacing="0"/>
        <w:textAlignment w:val="baseline"/>
      </w:pPr>
      <w:r>
        <w:rPr>
          <w:rStyle w:val="eop"/>
          <w:rFonts w:eastAsiaTheme="majorEastAsia"/>
        </w:rPr>
        <w:t xml:space="preserve">Similar studies into anxiety for adventure or sports activities can both support this conclusion and add further context. Research into athletes’ anxiety before competitions consistently suggests that cognitive anxiety increases steadily in the days or hours prior, solidifying into worries </w:t>
      </w:r>
      <w:r w:rsidRPr="00E7193B">
        <w:rPr>
          <w:rStyle w:val="eop"/>
          <w:rFonts w:eastAsiaTheme="majorEastAsia"/>
        </w:rPr>
        <w:t xml:space="preserve">about </w:t>
      </w:r>
      <w:r w:rsidRPr="00E7193B">
        <w:t xml:space="preserve">performance, opponents, </w:t>
      </w:r>
      <w:r>
        <w:t xml:space="preserve">intrusive thoughts </w:t>
      </w:r>
      <w:r w:rsidRPr="00E7193B">
        <w:t>and consequences</w:t>
      </w:r>
      <w:r>
        <w:t xml:space="preserve"> of failure, supporting the idea that the time for anticipation and imagining potential outcomes contribute to cognitive anxiety (</w:t>
      </w:r>
      <w:r w:rsidRPr="004018FD">
        <w:rPr>
          <w:rFonts w:eastAsiaTheme="majorEastAsia"/>
        </w:rPr>
        <w:t>Hanton</w:t>
      </w:r>
      <w:r>
        <w:rPr>
          <w:rFonts w:eastAsiaTheme="majorEastAsia"/>
        </w:rPr>
        <w:t xml:space="preserve"> </w:t>
      </w:r>
      <w:r w:rsidRPr="00497F59">
        <w:rPr>
          <w:rFonts w:eastAsiaTheme="majorEastAsia"/>
          <w:i/>
          <w:iCs/>
        </w:rPr>
        <w:t>et al</w:t>
      </w:r>
      <w:r>
        <w:rPr>
          <w:rFonts w:eastAsiaTheme="majorEastAsia"/>
        </w:rPr>
        <w:t xml:space="preserve">, </w:t>
      </w:r>
      <w:r w:rsidRPr="004018FD">
        <w:rPr>
          <w:rFonts w:eastAsiaTheme="majorEastAsia"/>
        </w:rPr>
        <w:t>2009</w:t>
      </w:r>
      <w:r>
        <w:t xml:space="preserve">; </w:t>
      </w:r>
      <w:r w:rsidRPr="006C5D49">
        <w:t>Hanton</w:t>
      </w:r>
      <w:r>
        <w:t xml:space="preserve"> </w:t>
      </w:r>
      <w:r w:rsidRPr="00161CF0">
        <w:rPr>
          <w:i/>
          <w:iCs/>
        </w:rPr>
        <w:t>et al</w:t>
      </w:r>
      <w:r>
        <w:t xml:space="preserve">, </w:t>
      </w:r>
      <w:r w:rsidRPr="006C5D49">
        <w:t>2002</w:t>
      </w:r>
      <w:r>
        <w:t xml:space="preserve">; </w:t>
      </w:r>
      <w:r w:rsidRPr="0077241C">
        <w:rPr>
          <w:rFonts w:eastAsiaTheme="majorEastAsia"/>
        </w:rPr>
        <w:t>Hanton</w:t>
      </w:r>
      <w:r>
        <w:rPr>
          <w:rFonts w:eastAsiaTheme="majorEastAsia"/>
        </w:rPr>
        <w:t xml:space="preserve"> </w:t>
      </w:r>
      <w:r w:rsidRPr="00CF4A22">
        <w:rPr>
          <w:rFonts w:eastAsiaTheme="majorEastAsia"/>
          <w:i/>
          <w:iCs/>
        </w:rPr>
        <w:t>et al</w:t>
      </w:r>
      <w:r>
        <w:rPr>
          <w:rFonts w:eastAsiaTheme="majorEastAsia"/>
        </w:rPr>
        <w:t>, 2004</w:t>
      </w:r>
      <w:r>
        <w:t xml:space="preserve">). Conversely, somatic anxiety and the physical symptoms associated are often found to remain low and steady until the hours immediately preceding a competition, when it is often found to sharply rise and present itself, possibly in response to the body preparing physically for the activity ( </w:t>
      </w:r>
      <w:r w:rsidRPr="006C5D49">
        <w:t>Hanton</w:t>
      </w:r>
      <w:r>
        <w:t xml:space="preserve"> </w:t>
      </w:r>
      <w:r w:rsidRPr="00161CF0">
        <w:rPr>
          <w:i/>
          <w:iCs/>
        </w:rPr>
        <w:t>et al</w:t>
      </w:r>
      <w:r>
        <w:t xml:space="preserve">, </w:t>
      </w:r>
      <w:r w:rsidRPr="006C5D49">
        <w:t>2002</w:t>
      </w:r>
      <w:r>
        <w:t xml:space="preserve">; </w:t>
      </w:r>
      <w:r w:rsidRPr="0077241C">
        <w:rPr>
          <w:rFonts w:eastAsiaTheme="majorEastAsia"/>
        </w:rPr>
        <w:t>Hanton</w:t>
      </w:r>
      <w:r>
        <w:rPr>
          <w:rFonts w:eastAsiaTheme="majorEastAsia"/>
        </w:rPr>
        <w:t xml:space="preserve"> </w:t>
      </w:r>
      <w:r w:rsidRPr="00CF4A22">
        <w:rPr>
          <w:rFonts w:eastAsiaTheme="majorEastAsia"/>
          <w:i/>
          <w:iCs/>
        </w:rPr>
        <w:t>et al</w:t>
      </w:r>
      <w:r>
        <w:rPr>
          <w:rFonts w:eastAsiaTheme="majorEastAsia"/>
        </w:rPr>
        <w:t>, 2004</w:t>
      </w:r>
      <w:r w:rsidR="00A21C4B">
        <w:rPr>
          <w:rFonts w:eastAsiaTheme="majorEastAsia"/>
        </w:rPr>
        <w:t xml:space="preserve">; </w:t>
      </w:r>
      <w:r w:rsidR="00A21C4B" w:rsidRPr="004018FD">
        <w:rPr>
          <w:rFonts w:eastAsiaTheme="majorEastAsia"/>
        </w:rPr>
        <w:t>Hanton</w:t>
      </w:r>
      <w:r w:rsidR="00A21C4B">
        <w:rPr>
          <w:rFonts w:eastAsiaTheme="majorEastAsia"/>
        </w:rPr>
        <w:t xml:space="preserve"> </w:t>
      </w:r>
      <w:r w:rsidR="00A21C4B" w:rsidRPr="00497F59">
        <w:rPr>
          <w:rFonts w:eastAsiaTheme="majorEastAsia"/>
          <w:i/>
          <w:iCs/>
        </w:rPr>
        <w:t>et al</w:t>
      </w:r>
      <w:r w:rsidR="00A21C4B">
        <w:rPr>
          <w:rFonts w:eastAsiaTheme="majorEastAsia"/>
        </w:rPr>
        <w:t xml:space="preserve">, </w:t>
      </w:r>
      <w:r w:rsidR="00A21C4B" w:rsidRPr="004018FD">
        <w:rPr>
          <w:rFonts w:eastAsiaTheme="majorEastAsia"/>
        </w:rPr>
        <w:t>2009</w:t>
      </w:r>
      <w:r>
        <w:t>). This nuance in the differences between how somatic and cognitive anxiety increase prior to an activity cannot be seen in the data gathered from the caving trip. Although somatic anxiety increased more overall (rising 8.625 points compared to 5.5 points for cognitive anxiety), this change happened steadily across all three data collection points rather than in a sharp increase immediately prior to the activity. This could suggest a significant difference in how athletes experience anxiety compared to more casual adventurers or could be the result of the caving trip data having only three data point to rely on for results.</w:t>
      </w:r>
    </w:p>
    <w:p w14:paraId="251BFDB7" w14:textId="77777777" w:rsidR="00AA663C" w:rsidRDefault="00AA663C" w:rsidP="00C354FF">
      <w:pPr>
        <w:pStyle w:val="paragraph"/>
        <w:spacing w:before="30" w:beforeAutospacing="0" w:after="0" w:afterAutospacing="0"/>
        <w:textAlignment w:val="baseline"/>
      </w:pPr>
    </w:p>
    <w:p w14:paraId="3DE11B2A" w14:textId="77777777" w:rsidR="00AA663C" w:rsidRDefault="00AA663C" w:rsidP="00C354FF">
      <w:pPr>
        <w:pStyle w:val="paragraph"/>
        <w:spacing w:before="30" w:beforeAutospacing="0" w:after="0" w:afterAutospacing="0"/>
        <w:textAlignment w:val="baseline"/>
      </w:pPr>
      <w:r>
        <w:t>On the topic of self-confidence, preexisting research suggests that this metric remains relatively stable in the time before an activity, showing little fluctuation, no trend of increase or decrease (</w:t>
      </w:r>
      <w:r w:rsidRPr="004018FD">
        <w:rPr>
          <w:rFonts w:eastAsiaTheme="majorEastAsia"/>
        </w:rPr>
        <w:t>Hanton</w:t>
      </w:r>
      <w:r>
        <w:rPr>
          <w:rFonts w:eastAsiaTheme="majorEastAsia"/>
        </w:rPr>
        <w:t xml:space="preserve"> </w:t>
      </w:r>
      <w:r w:rsidRPr="00497F59">
        <w:rPr>
          <w:rFonts w:eastAsiaTheme="majorEastAsia"/>
          <w:i/>
          <w:iCs/>
        </w:rPr>
        <w:t>et al</w:t>
      </w:r>
      <w:r>
        <w:rPr>
          <w:rFonts w:eastAsiaTheme="majorEastAsia"/>
        </w:rPr>
        <w:t xml:space="preserve">, </w:t>
      </w:r>
      <w:r w:rsidRPr="004018FD">
        <w:rPr>
          <w:rFonts w:eastAsiaTheme="majorEastAsia"/>
        </w:rPr>
        <w:t>2009</w:t>
      </w:r>
      <w:r>
        <w:t xml:space="preserve">; </w:t>
      </w:r>
      <w:r w:rsidRPr="0077241C">
        <w:rPr>
          <w:rFonts w:eastAsiaTheme="majorEastAsia"/>
        </w:rPr>
        <w:t>Hanton</w:t>
      </w:r>
      <w:r>
        <w:rPr>
          <w:rFonts w:eastAsiaTheme="majorEastAsia"/>
        </w:rPr>
        <w:t xml:space="preserve"> </w:t>
      </w:r>
      <w:r w:rsidRPr="00CF4A22">
        <w:rPr>
          <w:rFonts w:eastAsiaTheme="majorEastAsia"/>
          <w:i/>
          <w:iCs/>
        </w:rPr>
        <w:t>et al</w:t>
      </w:r>
      <w:r>
        <w:rPr>
          <w:rFonts w:eastAsiaTheme="majorEastAsia"/>
        </w:rPr>
        <w:t>, 2004</w:t>
      </w:r>
      <w:r>
        <w:t xml:space="preserve">). Instead, this standard level of confidence is more often used as an indicator of how a participant will react to the anxiety </w:t>
      </w:r>
      <w:r>
        <w:lastRenderedPageBreak/>
        <w:t>they experience (</w:t>
      </w:r>
      <w:r w:rsidRPr="004018FD">
        <w:rPr>
          <w:rFonts w:eastAsiaTheme="majorEastAsia"/>
        </w:rPr>
        <w:t>Hanton</w:t>
      </w:r>
      <w:r>
        <w:rPr>
          <w:rFonts w:eastAsiaTheme="majorEastAsia"/>
        </w:rPr>
        <w:t xml:space="preserve"> </w:t>
      </w:r>
      <w:r w:rsidRPr="00497F59">
        <w:rPr>
          <w:rFonts w:eastAsiaTheme="majorEastAsia"/>
          <w:i/>
          <w:iCs/>
        </w:rPr>
        <w:t>et al</w:t>
      </w:r>
      <w:r>
        <w:rPr>
          <w:rFonts w:eastAsiaTheme="majorEastAsia"/>
        </w:rPr>
        <w:t xml:space="preserve">, </w:t>
      </w:r>
      <w:r w:rsidRPr="004018FD">
        <w:rPr>
          <w:rFonts w:eastAsiaTheme="majorEastAsia"/>
        </w:rPr>
        <w:t>2009</w:t>
      </w:r>
      <w:r>
        <w:t xml:space="preserve">; </w:t>
      </w:r>
      <w:r w:rsidRPr="0077241C">
        <w:rPr>
          <w:rFonts w:eastAsiaTheme="majorEastAsia"/>
        </w:rPr>
        <w:t>Hanton</w:t>
      </w:r>
      <w:r>
        <w:rPr>
          <w:rFonts w:eastAsiaTheme="majorEastAsia"/>
        </w:rPr>
        <w:t xml:space="preserve"> </w:t>
      </w:r>
      <w:r w:rsidRPr="00CF4A22">
        <w:rPr>
          <w:rFonts w:eastAsiaTheme="majorEastAsia"/>
          <w:i/>
          <w:iCs/>
        </w:rPr>
        <w:t>et al</w:t>
      </w:r>
      <w:r>
        <w:rPr>
          <w:rFonts w:eastAsiaTheme="majorEastAsia"/>
        </w:rPr>
        <w:t>, 2004</w:t>
      </w:r>
      <w:r>
        <w:t xml:space="preserve">; </w:t>
      </w:r>
      <w:r w:rsidRPr="004018FD">
        <w:rPr>
          <w:rFonts w:eastAsiaTheme="majorEastAsia"/>
        </w:rPr>
        <w:t>Jones and Hanton, 2001</w:t>
      </w:r>
      <w:r>
        <w:t>). Individuals with high self-confidence are more likely to perceive their anxiety as facilitative for their performance, a perception which is associated with success and improved performance, while individuals with a lower standard score for self-confidence often perceive anxiety as purely debilitative, which interferes negatively with performance (</w:t>
      </w:r>
      <w:r w:rsidRPr="0077241C">
        <w:rPr>
          <w:rFonts w:eastAsiaTheme="majorEastAsia"/>
        </w:rPr>
        <w:t>Hanton</w:t>
      </w:r>
      <w:r>
        <w:rPr>
          <w:rFonts w:eastAsiaTheme="majorEastAsia"/>
        </w:rPr>
        <w:t xml:space="preserve"> </w:t>
      </w:r>
      <w:r w:rsidRPr="00CF4A22">
        <w:rPr>
          <w:rFonts w:eastAsiaTheme="majorEastAsia"/>
          <w:i/>
          <w:iCs/>
        </w:rPr>
        <w:t>et al</w:t>
      </w:r>
      <w:r>
        <w:rPr>
          <w:rFonts w:eastAsiaTheme="majorEastAsia"/>
        </w:rPr>
        <w:t>, 2004</w:t>
      </w:r>
      <w:r>
        <w:t xml:space="preserve">; </w:t>
      </w:r>
      <w:r w:rsidRPr="004018FD">
        <w:rPr>
          <w:rFonts w:eastAsiaTheme="majorEastAsia"/>
        </w:rPr>
        <w:t>Jones and Hanton, 2001</w:t>
      </w:r>
      <w:r>
        <w:t xml:space="preserve">; </w:t>
      </w:r>
      <w:r w:rsidRPr="00CB3252">
        <w:rPr>
          <w:rFonts w:eastAsiaTheme="majorEastAsia"/>
        </w:rPr>
        <w:t>Nanda,</w:t>
      </w:r>
      <w:r>
        <w:rPr>
          <w:rFonts w:eastAsiaTheme="majorEastAsia"/>
        </w:rPr>
        <w:t xml:space="preserve"> </w:t>
      </w:r>
      <w:r w:rsidRPr="00CB3252">
        <w:rPr>
          <w:rFonts w:eastAsiaTheme="majorEastAsia"/>
        </w:rPr>
        <w:t>2023</w:t>
      </w:r>
      <w:r>
        <w:t xml:space="preserve">; </w:t>
      </w:r>
      <w:r w:rsidRPr="00CB3252">
        <w:rPr>
          <w:rFonts w:eastAsiaTheme="majorEastAsia"/>
        </w:rPr>
        <w:t>Cheng and McCarthy</w:t>
      </w:r>
      <w:r>
        <w:rPr>
          <w:rFonts w:eastAsiaTheme="majorEastAsia"/>
        </w:rPr>
        <w:t xml:space="preserve">, </w:t>
      </w:r>
      <w:r w:rsidRPr="00CB3252">
        <w:rPr>
          <w:rFonts w:eastAsiaTheme="majorEastAsia"/>
        </w:rPr>
        <w:t>2018</w:t>
      </w:r>
      <w:r>
        <w:t>). Supporting this interpretation, Sanchez et al (</w:t>
      </w:r>
      <w:r w:rsidRPr="006C5D49">
        <w:t>Sanchez</w:t>
      </w:r>
      <w:r>
        <w:t xml:space="preserve"> </w:t>
      </w:r>
      <w:r w:rsidRPr="00161CF0">
        <w:rPr>
          <w:i/>
          <w:iCs/>
        </w:rPr>
        <w:t>et al</w:t>
      </w:r>
      <w:r>
        <w:t>,</w:t>
      </w:r>
      <w:r w:rsidRPr="006C5D49">
        <w:t xml:space="preserve"> 2010</w:t>
      </w:r>
      <w:r>
        <w:t>) found that climbers with higher somatic anxiety prior to competition were more successful than their counterparts, even when accounting for differences in baseline abilities.</w:t>
      </w:r>
    </w:p>
    <w:p w14:paraId="7FDBF13F" w14:textId="77777777" w:rsidR="00AA663C" w:rsidRDefault="00AA663C" w:rsidP="00C354FF">
      <w:pPr>
        <w:pStyle w:val="paragraph"/>
        <w:spacing w:before="30" w:beforeAutospacing="0" w:after="0" w:afterAutospacing="0"/>
        <w:textAlignment w:val="baseline"/>
      </w:pPr>
    </w:p>
    <w:p w14:paraId="33C2F9AB" w14:textId="77777777" w:rsidR="00AA663C" w:rsidRDefault="00AA663C" w:rsidP="00C354FF">
      <w:pPr>
        <w:pStyle w:val="paragraph"/>
        <w:spacing w:before="30" w:beforeAutospacing="0" w:after="0" w:afterAutospacing="0"/>
        <w:textAlignment w:val="baseline"/>
      </w:pPr>
      <w:r>
        <w:t>This again contrasts the data collected for the caving trip, which showed a steady decrease in confidence across all three data points. This could potentially be another issue of the difference in sample groups, as much of the preexisting research studies the anxiety and confidence of competing athletes, rather than the casual adventurers that were subjects for the caving data. The difference in how confidence changes or does not change could suggest that there are significant difference in how these groups respond to anxiety in the time prior to an activity, however without more similar evidence to support or compare it to, the potential that the caving trip data is an outlier or otherwise flawed cannot be ruled out.</w:t>
      </w:r>
    </w:p>
    <w:p w14:paraId="59F0F1A8" w14:textId="77777777" w:rsidR="00AA663C" w:rsidRDefault="00AA663C" w:rsidP="00C354FF">
      <w:pPr>
        <w:pStyle w:val="paragraph"/>
        <w:spacing w:before="30" w:beforeAutospacing="0" w:after="0" w:afterAutospacing="0"/>
        <w:jc w:val="center"/>
        <w:textAlignment w:val="baseline"/>
      </w:pPr>
    </w:p>
    <w:p w14:paraId="0B73A063" w14:textId="77777777" w:rsidR="00AA663C" w:rsidRPr="00C354FF" w:rsidRDefault="00AA663C" w:rsidP="00C354FF">
      <w:pPr>
        <w:pStyle w:val="paragraph"/>
        <w:spacing w:before="30" w:beforeAutospacing="0" w:after="0" w:afterAutospacing="0"/>
        <w:jc w:val="center"/>
        <w:textAlignment w:val="baseline"/>
        <w:rPr>
          <w:i/>
          <w:iCs/>
        </w:rPr>
      </w:pPr>
      <w:r w:rsidRPr="00C354FF">
        <w:rPr>
          <w:i/>
          <w:iCs/>
        </w:rPr>
        <w:t>Conclusion</w:t>
      </w:r>
    </w:p>
    <w:p w14:paraId="6DDCAE15" w14:textId="77777777" w:rsidR="00AA663C" w:rsidRDefault="00AA663C" w:rsidP="00C354FF">
      <w:pPr>
        <w:pStyle w:val="paragraph"/>
        <w:spacing w:before="30" w:beforeAutospacing="0" w:after="0" w:afterAutospacing="0"/>
        <w:textAlignment w:val="baseline"/>
      </w:pPr>
    </w:p>
    <w:p w14:paraId="44D8B4A4" w14:textId="42D82A63" w:rsidR="00CB3252" w:rsidRDefault="00AA663C" w:rsidP="00C354FF">
      <w:pPr>
        <w:pStyle w:val="paragraph"/>
        <w:spacing w:before="30" w:beforeAutospacing="0" w:after="0" w:afterAutospacing="0"/>
        <w:textAlignment w:val="baseline"/>
      </w:pPr>
      <w:r>
        <w:t>As much as outdoor adventure can be greatly beneficial to participants, it is important to acknowledge the negative impacts it can have on a person and their experience. This essay examined three of those negatives: fear and anxiety, adrenaline addiction, and burnout. Being aware of such negative impacts is essential for practitioners to manage and anticipate them when they occur during an adventure. Additionally, the data analysis exposes differences in the caving trip data compared to preexisting research, suggesting a need for future research to examine this discrepancy and determine its importance to the fields of adventure and anxiety research.</w:t>
      </w:r>
    </w:p>
    <w:p w14:paraId="7AFA65F8" w14:textId="77777777" w:rsidR="00AA663C" w:rsidRDefault="00AA663C" w:rsidP="00C354FF">
      <w:pPr>
        <w:pStyle w:val="paragraph"/>
        <w:spacing w:before="30" w:beforeAutospacing="0" w:after="0" w:afterAutospacing="0"/>
        <w:textAlignment w:val="baseline"/>
      </w:pPr>
    </w:p>
    <w:p w14:paraId="317BE99A" w14:textId="4B168EA4" w:rsidR="00AA663C" w:rsidRPr="00AA663C" w:rsidRDefault="00AA663C" w:rsidP="00C354FF">
      <w:pPr>
        <w:pStyle w:val="paragraph"/>
        <w:spacing w:before="30" w:beforeAutospacing="0" w:after="0" w:afterAutospacing="0"/>
        <w:textAlignment w:val="baseline"/>
      </w:pPr>
      <w:r w:rsidRPr="00AA663C">
        <w:t xml:space="preserve">References: </w:t>
      </w:r>
    </w:p>
    <w:p w14:paraId="4896D0D1" w14:textId="77777777" w:rsidR="00CB3252" w:rsidRDefault="00CB3252" w:rsidP="00C354FF">
      <w:pPr>
        <w:pStyle w:val="paragraph"/>
        <w:tabs>
          <w:tab w:val="left" w:pos="3633"/>
        </w:tabs>
        <w:spacing w:before="30" w:beforeAutospacing="0" w:after="0" w:afterAutospacing="0"/>
        <w:textAlignment w:val="baseline"/>
        <w:rPr>
          <w:rFonts w:eastAsiaTheme="majorEastAsia"/>
        </w:rPr>
      </w:pPr>
    </w:p>
    <w:p w14:paraId="638DC203" w14:textId="77777777" w:rsidR="00AA663C" w:rsidRPr="00AA663C" w:rsidRDefault="00AA663C" w:rsidP="00C354FF">
      <w:pPr>
        <w:pStyle w:val="paragraph"/>
        <w:spacing w:before="30" w:beforeAutospacing="0" w:after="0" w:afterAutospacing="0"/>
        <w:textAlignment w:val="baseline"/>
        <w:rPr>
          <w:rFonts w:eastAsiaTheme="majorEastAsia"/>
        </w:rPr>
      </w:pPr>
      <w:r w:rsidRPr="00AA663C">
        <w:rPr>
          <w:rFonts w:eastAsiaTheme="majorEastAsia"/>
        </w:rPr>
        <w:t>Buckley, R. (2016). Qualitative Analysis of Emotions: Fear and Thrill. </w:t>
      </w:r>
      <w:r w:rsidRPr="00AA663C">
        <w:rPr>
          <w:rFonts w:eastAsiaTheme="majorEastAsia"/>
          <w:i/>
          <w:iCs/>
        </w:rPr>
        <w:t>Frontiers in psychology</w:t>
      </w:r>
      <w:r w:rsidRPr="00AA663C">
        <w:rPr>
          <w:rFonts w:eastAsiaTheme="majorEastAsia"/>
        </w:rPr>
        <w:t xml:space="preserve">. 7. Available at: </w:t>
      </w:r>
      <w:hyperlink r:id="rId11" w:history="1">
        <w:r w:rsidRPr="00AA663C">
          <w:rPr>
            <w:rStyle w:val="Hyperlink"/>
            <w:rFonts w:eastAsiaTheme="majorEastAsia"/>
          </w:rPr>
          <w:t>https://www.frontiersin.org/journals/psychology/articles/10.3389/fpsyg.2016.01187/full</w:t>
        </w:r>
      </w:hyperlink>
      <w:r w:rsidRPr="00AA663C">
        <w:rPr>
          <w:rFonts w:eastAsiaTheme="majorEastAsia"/>
        </w:rPr>
        <w:t xml:space="preserve"> [Accessed 3 April 2026].</w:t>
      </w:r>
    </w:p>
    <w:p w14:paraId="3F02A557" w14:textId="77777777" w:rsidR="00AA663C" w:rsidRDefault="00AA663C" w:rsidP="00C354FF">
      <w:pPr>
        <w:pStyle w:val="paragraph"/>
        <w:tabs>
          <w:tab w:val="left" w:pos="3633"/>
        </w:tabs>
        <w:spacing w:before="30" w:beforeAutospacing="0" w:after="0" w:afterAutospacing="0"/>
        <w:textAlignment w:val="baseline"/>
        <w:rPr>
          <w:rFonts w:eastAsiaTheme="majorEastAsia"/>
        </w:rPr>
      </w:pPr>
    </w:p>
    <w:p w14:paraId="312BD64F" w14:textId="77777777" w:rsidR="00AA663C" w:rsidRDefault="00AA663C" w:rsidP="00C354FF">
      <w:pPr>
        <w:shd w:val="clear" w:color="auto" w:fill="FFFFFF"/>
        <w:spacing w:before="30" w:after="0" w:line="240" w:lineRule="auto"/>
        <w:rPr>
          <w:rFonts w:ascii="Times New Roman" w:hAnsi="Times New Roman" w:cs="Times New Roman"/>
        </w:rPr>
      </w:pPr>
      <w:r w:rsidRPr="00AA663C">
        <w:rPr>
          <w:rFonts w:ascii="Times New Roman" w:hAnsi="Times New Roman" w:cs="Times New Roman"/>
        </w:rPr>
        <w:t>Carnicelli-Filho, S., Schwartz, G. and Taha, A. (2010). Fear and adventure tourism in Brazil. </w:t>
      </w:r>
      <w:r w:rsidRPr="00AA663C">
        <w:rPr>
          <w:rFonts w:ascii="Times New Roman" w:hAnsi="Times New Roman" w:cs="Times New Roman"/>
          <w:i/>
          <w:iCs/>
        </w:rPr>
        <w:t>Tourism Management</w:t>
      </w:r>
      <w:r w:rsidRPr="00AA663C">
        <w:rPr>
          <w:rFonts w:ascii="Times New Roman" w:hAnsi="Times New Roman" w:cs="Times New Roman"/>
        </w:rPr>
        <w:t xml:space="preserve">. 31(6), pp.953-956. Available at: </w:t>
      </w:r>
      <w:hyperlink r:id="rId12" w:history="1">
        <w:r w:rsidRPr="00AA663C">
          <w:rPr>
            <w:rStyle w:val="Hyperlink"/>
            <w:rFonts w:ascii="Times New Roman" w:hAnsi="Times New Roman" w:cs="Times New Roman"/>
          </w:rPr>
          <w:t>https://www.sciencedirect.com/science/article/pii/S0261517709001393</w:t>
        </w:r>
      </w:hyperlink>
      <w:r w:rsidRPr="00AA663C">
        <w:rPr>
          <w:rFonts w:ascii="Times New Roman" w:hAnsi="Times New Roman" w:cs="Times New Roman"/>
        </w:rPr>
        <w:t xml:space="preserve"> [Accessed 3 April 2026].</w:t>
      </w:r>
    </w:p>
    <w:p w14:paraId="031F4C8B" w14:textId="77777777" w:rsidR="00AA663C" w:rsidRDefault="00AA663C" w:rsidP="00C354FF">
      <w:pPr>
        <w:shd w:val="clear" w:color="auto" w:fill="FFFFFF"/>
        <w:spacing w:before="30" w:after="0" w:line="240" w:lineRule="auto"/>
        <w:rPr>
          <w:rFonts w:ascii="Times New Roman" w:hAnsi="Times New Roman" w:cs="Times New Roman"/>
        </w:rPr>
      </w:pPr>
    </w:p>
    <w:p w14:paraId="308C567D" w14:textId="0932D1BC" w:rsidR="00AA663C" w:rsidRPr="00AA663C" w:rsidRDefault="00AA663C" w:rsidP="00C354FF">
      <w:pPr>
        <w:pStyle w:val="paragraph"/>
        <w:spacing w:before="30" w:beforeAutospacing="0" w:after="0" w:afterAutospacing="0"/>
        <w:textAlignment w:val="baseline"/>
        <w:rPr>
          <w:rFonts w:eastAsiaTheme="majorEastAsia"/>
        </w:rPr>
      </w:pPr>
      <w:r w:rsidRPr="00AA663C">
        <w:rPr>
          <w:rFonts w:eastAsiaTheme="majorEastAsia"/>
        </w:rPr>
        <w:t>Cater, C. (2006). Playing with risk? participant perceptions of risk and management implications in adventure tourism. </w:t>
      </w:r>
      <w:r w:rsidRPr="00AA663C">
        <w:rPr>
          <w:rFonts w:eastAsiaTheme="majorEastAsia"/>
          <w:i/>
          <w:iCs/>
        </w:rPr>
        <w:t>Tourism Management</w:t>
      </w:r>
      <w:r w:rsidRPr="00AA663C">
        <w:rPr>
          <w:rFonts w:eastAsiaTheme="majorEastAsia"/>
        </w:rPr>
        <w:t xml:space="preserve">. 27(2), pp.317-325. Available at: </w:t>
      </w:r>
      <w:hyperlink r:id="rId13" w:history="1">
        <w:r w:rsidRPr="00AA663C">
          <w:rPr>
            <w:rStyle w:val="Hyperlink"/>
            <w:rFonts w:eastAsiaTheme="majorEastAsia"/>
          </w:rPr>
          <w:t>https://www.sciencedirect.com/science/article/pii/S026151770500004X?ref=pdf_download&amp;fr=RR-2&amp;rr=9e67</w:t>
        </w:r>
      </w:hyperlink>
      <w:r w:rsidRPr="00AA663C">
        <w:rPr>
          <w:rFonts w:eastAsiaTheme="majorEastAsia"/>
        </w:rPr>
        <w:t xml:space="preserve"> [Accessed 3 April 2026].</w:t>
      </w:r>
    </w:p>
    <w:p w14:paraId="79C94FF7" w14:textId="77777777" w:rsidR="00AA663C" w:rsidRPr="00AA663C" w:rsidRDefault="00AA663C" w:rsidP="00C354FF">
      <w:pPr>
        <w:pStyle w:val="paragraph"/>
        <w:tabs>
          <w:tab w:val="left" w:pos="3633"/>
        </w:tabs>
        <w:spacing w:before="30" w:beforeAutospacing="0" w:after="0" w:afterAutospacing="0"/>
        <w:textAlignment w:val="baseline"/>
        <w:rPr>
          <w:rFonts w:eastAsiaTheme="majorEastAsia"/>
        </w:rPr>
      </w:pPr>
    </w:p>
    <w:p w14:paraId="3B0DAA92" w14:textId="77777777" w:rsidR="00AA663C" w:rsidRDefault="00AA663C" w:rsidP="00C354FF">
      <w:pPr>
        <w:pStyle w:val="paragraph"/>
        <w:tabs>
          <w:tab w:val="left" w:pos="3633"/>
        </w:tabs>
        <w:spacing w:before="30" w:beforeAutospacing="0" w:after="0" w:afterAutospacing="0"/>
        <w:textAlignment w:val="baseline"/>
        <w:rPr>
          <w:rFonts w:eastAsiaTheme="majorEastAsia"/>
        </w:rPr>
      </w:pPr>
      <w:r w:rsidRPr="00AA663C">
        <w:rPr>
          <w:rFonts w:eastAsiaTheme="majorEastAsia"/>
        </w:rPr>
        <w:lastRenderedPageBreak/>
        <w:t>Cheng, B. and McCarthy, J. (2018). Understanding the Dark and Bright Sides of Anxiety: A Theory of Workplace Anxiety. </w:t>
      </w:r>
      <w:r w:rsidRPr="00AA663C">
        <w:rPr>
          <w:rFonts w:eastAsiaTheme="majorEastAsia"/>
          <w:i/>
          <w:iCs/>
        </w:rPr>
        <w:t>Journal of Applied Psychology</w:t>
      </w:r>
      <w:r w:rsidRPr="00AA663C">
        <w:rPr>
          <w:rFonts w:eastAsiaTheme="majorEastAsia"/>
        </w:rPr>
        <w:t xml:space="preserve">. 103(5). Available at: </w:t>
      </w:r>
      <w:hyperlink r:id="rId14" w:history="1">
        <w:r w:rsidRPr="00AA663C">
          <w:rPr>
            <w:rStyle w:val="Hyperlink"/>
            <w:rFonts w:eastAsiaTheme="majorEastAsia"/>
          </w:rPr>
          <w:t>https://psycnet.apa.org/fulltext/2018-02791-001.html</w:t>
        </w:r>
      </w:hyperlink>
      <w:r w:rsidRPr="00AA663C">
        <w:rPr>
          <w:rFonts w:eastAsiaTheme="majorEastAsia"/>
        </w:rPr>
        <w:t xml:space="preserve"> [Accessed 3 April 2026].</w:t>
      </w:r>
    </w:p>
    <w:p w14:paraId="6CF48111" w14:textId="77777777" w:rsidR="005B325D" w:rsidRDefault="005B325D" w:rsidP="00C354FF">
      <w:pPr>
        <w:pStyle w:val="paragraph"/>
        <w:tabs>
          <w:tab w:val="left" w:pos="3633"/>
        </w:tabs>
        <w:spacing w:before="30" w:beforeAutospacing="0" w:after="0" w:afterAutospacing="0"/>
        <w:textAlignment w:val="baseline"/>
        <w:rPr>
          <w:rFonts w:eastAsiaTheme="majorEastAsia"/>
        </w:rPr>
      </w:pPr>
    </w:p>
    <w:p w14:paraId="0B555049" w14:textId="0557E2B6" w:rsidR="005B325D" w:rsidRPr="005B325D" w:rsidRDefault="005B325D" w:rsidP="00C354FF">
      <w:pPr>
        <w:pStyle w:val="paragraph"/>
        <w:spacing w:before="30" w:beforeAutospacing="0" w:after="0" w:afterAutospacing="0"/>
        <w:textAlignment w:val="baseline"/>
      </w:pPr>
      <w:r w:rsidRPr="00AA663C">
        <w:t>Daley, M. and Reardon, C. (2024). Mental Health in the Youth Athlete. </w:t>
      </w:r>
      <w:r w:rsidRPr="00AA663C">
        <w:rPr>
          <w:i/>
          <w:iCs/>
        </w:rPr>
        <w:t>Clinics in Sports Medicine</w:t>
      </w:r>
      <w:r w:rsidRPr="00AA663C">
        <w:t xml:space="preserve">. 43(2), pp.107-126. Available at: </w:t>
      </w:r>
      <w:hyperlink r:id="rId15" w:history="1">
        <w:r w:rsidRPr="00AA663C">
          <w:rPr>
            <w:rStyle w:val="Hyperlink"/>
          </w:rPr>
          <w:t>https://www.sciencedirect.com/science/article/abs/pii/S0278591923000674</w:t>
        </w:r>
      </w:hyperlink>
      <w:r w:rsidRPr="00AA663C">
        <w:t xml:space="preserve"> [Accessed 3 April 2026].</w:t>
      </w:r>
    </w:p>
    <w:p w14:paraId="679C214E" w14:textId="77777777" w:rsidR="00AA663C" w:rsidRDefault="00AA663C" w:rsidP="00C354FF">
      <w:pPr>
        <w:pStyle w:val="paragraph"/>
        <w:tabs>
          <w:tab w:val="left" w:pos="3633"/>
        </w:tabs>
        <w:spacing w:before="30" w:beforeAutospacing="0" w:after="0" w:afterAutospacing="0"/>
        <w:textAlignment w:val="baseline"/>
        <w:rPr>
          <w:rFonts w:eastAsiaTheme="majorEastAsia"/>
        </w:rPr>
      </w:pPr>
    </w:p>
    <w:p w14:paraId="3AFB53BC" w14:textId="77777777" w:rsidR="00AA663C" w:rsidRPr="00AA663C" w:rsidRDefault="00AA663C" w:rsidP="00C354FF">
      <w:pPr>
        <w:pStyle w:val="paragraph"/>
        <w:spacing w:before="30" w:beforeAutospacing="0" w:after="0" w:afterAutospacing="0"/>
        <w:textAlignment w:val="baseline"/>
        <w:rPr>
          <w:rFonts w:eastAsiaTheme="majorEastAsia"/>
        </w:rPr>
      </w:pPr>
      <w:r w:rsidRPr="00AA663C">
        <w:t>Dingley, E. (2021). </w:t>
      </w:r>
      <w:r w:rsidRPr="00AA663C">
        <w:rPr>
          <w:i/>
          <w:iCs/>
        </w:rPr>
        <w:t>Competitive State Anxiety Inventory-2 (CSAI-2</w:t>
      </w:r>
      <w:proofErr w:type="gramStart"/>
      <w:r w:rsidRPr="00AA663C">
        <w:rPr>
          <w:i/>
          <w:iCs/>
        </w:rPr>
        <w:t>)</w:t>
      </w:r>
      <w:r w:rsidRPr="00AA663C">
        <w:t>.Sport</w:t>
      </w:r>
      <w:proofErr w:type="gramEnd"/>
      <w:r w:rsidRPr="00AA663C">
        <w:t xml:space="preserve"> Science Insider. Available at: </w:t>
      </w:r>
      <w:hyperlink r:id="rId16" w:history="1">
        <w:r w:rsidRPr="00AA663C">
          <w:rPr>
            <w:rStyle w:val="Hyperlink"/>
          </w:rPr>
          <w:t>https://sportscienceinsider.com/competitive-state-anxiety-inventory-2-csai-2/</w:t>
        </w:r>
      </w:hyperlink>
      <w:r w:rsidRPr="00AA663C">
        <w:t xml:space="preserve"> [Accessed 3 April 2026].</w:t>
      </w:r>
    </w:p>
    <w:p w14:paraId="596EA157" w14:textId="77777777" w:rsidR="00AA663C" w:rsidRDefault="00AA663C" w:rsidP="00C354FF">
      <w:pPr>
        <w:pStyle w:val="paragraph"/>
        <w:tabs>
          <w:tab w:val="left" w:pos="3633"/>
        </w:tabs>
        <w:spacing w:before="30" w:beforeAutospacing="0" w:after="0" w:afterAutospacing="0"/>
        <w:textAlignment w:val="baseline"/>
        <w:rPr>
          <w:rFonts w:eastAsiaTheme="majorEastAsia"/>
        </w:rPr>
      </w:pPr>
    </w:p>
    <w:p w14:paraId="6F308897" w14:textId="77777777" w:rsidR="005B325D" w:rsidRPr="00AA663C" w:rsidRDefault="005B325D" w:rsidP="00C354FF">
      <w:pPr>
        <w:pStyle w:val="paragraph"/>
        <w:tabs>
          <w:tab w:val="left" w:pos="1728"/>
        </w:tabs>
        <w:spacing w:before="30" w:beforeAutospacing="0" w:after="0" w:afterAutospacing="0"/>
        <w:textAlignment w:val="baseline"/>
      </w:pPr>
      <w:r w:rsidRPr="00AA663C">
        <w:t xml:space="preserve">Hanton, S., </w:t>
      </w:r>
      <w:proofErr w:type="spellStart"/>
      <w:r w:rsidRPr="00AA663C">
        <w:t>Mellalieu</w:t>
      </w:r>
      <w:proofErr w:type="spellEnd"/>
      <w:r w:rsidRPr="00AA663C">
        <w:t>, S. D. and Young, S. G. (2002). A qualitative investigation of the temporal patterning of the precompetitive anxiety response. </w:t>
      </w:r>
      <w:r w:rsidRPr="00AA663C">
        <w:rPr>
          <w:i/>
          <w:iCs/>
        </w:rPr>
        <w:t>Journal of Sports Sciences</w:t>
      </w:r>
      <w:r w:rsidRPr="00AA663C">
        <w:t xml:space="preserve">. 20(11), p.911–928. Available at: </w:t>
      </w:r>
      <w:hyperlink r:id="rId17" w:history="1">
        <w:r w:rsidRPr="00AA663C">
          <w:rPr>
            <w:rStyle w:val="Hyperlink"/>
          </w:rPr>
          <w:t>https://www.tandfonline.com/doi/epdf/10.1080/026404102320761804?needAccess=true</w:t>
        </w:r>
      </w:hyperlink>
      <w:r w:rsidRPr="00AA663C">
        <w:t xml:space="preserve"> [Accessed 3 April 2026].</w:t>
      </w:r>
    </w:p>
    <w:p w14:paraId="33F504A3" w14:textId="77777777" w:rsidR="005B325D" w:rsidRPr="00AA663C" w:rsidRDefault="005B325D" w:rsidP="00C354FF">
      <w:pPr>
        <w:pStyle w:val="paragraph"/>
        <w:tabs>
          <w:tab w:val="left" w:pos="1728"/>
        </w:tabs>
        <w:spacing w:before="30" w:beforeAutospacing="0" w:after="0" w:afterAutospacing="0"/>
        <w:textAlignment w:val="baseline"/>
      </w:pPr>
    </w:p>
    <w:p w14:paraId="59BFBDC0" w14:textId="77777777" w:rsidR="005B325D" w:rsidRPr="00AA663C" w:rsidRDefault="005B325D" w:rsidP="00C354FF">
      <w:pPr>
        <w:pStyle w:val="paragraph"/>
        <w:tabs>
          <w:tab w:val="left" w:pos="1728"/>
        </w:tabs>
        <w:spacing w:before="30" w:beforeAutospacing="0" w:after="0" w:afterAutospacing="0"/>
        <w:textAlignment w:val="baseline"/>
      </w:pPr>
      <w:r w:rsidRPr="00AA663C">
        <w:rPr>
          <w:rFonts w:eastAsiaTheme="majorEastAsia"/>
        </w:rPr>
        <w:t>Hanton, S., Thomas, O. and Maynard, I. (2004). Competitive anxiety responses in the week leading up to competition: The role of intensity, direction and frequency dime. </w:t>
      </w:r>
      <w:r w:rsidRPr="00AA663C">
        <w:rPr>
          <w:rFonts w:eastAsiaTheme="majorEastAsia"/>
          <w:i/>
          <w:iCs/>
        </w:rPr>
        <w:t>Psychology of Sport and Exercise</w:t>
      </w:r>
      <w:r w:rsidRPr="00AA663C">
        <w:rPr>
          <w:rFonts w:eastAsiaTheme="majorEastAsia"/>
        </w:rPr>
        <w:t xml:space="preserve">. 5, pp.169-181. Available at: </w:t>
      </w:r>
      <w:hyperlink r:id="rId18" w:history="1">
        <w:r w:rsidRPr="00AA663C">
          <w:rPr>
            <w:rStyle w:val="Hyperlink"/>
            <w:rFonts w:eastAsiaTheme="majorEastAsia"/>
          </w:rPr>
          <w:t>https://www.researchgate.net/publication/222557927_Competitive_anxiety_responses_in_the_week_leading</w:t>
        </w:r>
      </w:hyperlink>
      <w:r w:rsidRPr="00AA663C">
        <w:rPr>
          <w:rFonts w:eastAsiaTheme="majorEastAsia"/>
        </w:rPr>
        <w:t xml:space="preserve"> [Accessed 3 April 2026].</w:t>
      </w:r>
    </w:p>
    <w:p w14:paraId="2BDF551B" w14:textId="77777777" w:rsidR="005B325D" w:rsidRPr="00AA663C" w:rsidRDefault="005B325D" w:rsidP="00C354FF">
      <w:pPr>
        <w:pStyle w:val="paragraph"/>
        <w:spacing w:before="30" w:beforeAutospacing="0" w:after="0" w:afterAutospacing="0"/>
        <w:textAlignment w:val="baseline"/>
        <w:rPr>
          <w:rFonts w:eastAsiaTheme="majorEastAsia"/>
        </w:rPr>
      </w:pPr>
    </w:p>
    <w:p w14:paraId="31D0A4EE" w14:textId="77777777" w:rsidR="005B325D" w:rsidRDefault="005B325D" w:rsidP="00C354FF">
      <w:pPr>
        <w:pStyle w:val="paragraph"/>
        <w:spacing w:before="30" w:beforeAutospacing="0" w:after="0" w:afterAutospacing="0"/>
        <w:textAlignment w:val="baseline"/>
        <w:rPr>
          <w:rFonts w:eastAsiaTheme="majorEastAsia"/>
        </w:rPr>
      </w:pPr>
      <w:r w:rsidRPr="00AA663C">
        <w:rPr>
          <w:rFonts w:eastAsiaTheme="majorEastAsia"/>
        </w:rPr>
        <w:t xml:space="preserve">Hanton, S., Thomas, O. and </w:t>
      </w:r>
      <w:proofErr w:type="spellStart"/>
      <w:r w:rsidRPr="00AA663C">
        <w:rPr>
          <w:rFonts w:eastAsiaTheme="majorEastAsia"/>
        </w:rPr>
        <w:t>Mellalieu</w:t>
      </w:r>
      <w:proofErr w:type="spellEnd"/>
      <w:r w:rsidRPr="00AA663C">
        <w:rPr>
          <w:rFonts w:eastAsiaTheme="majorEastAsia"/>
        </w:rPr>
        <w:t>, S.D. (2009). Management of Competitive Stress in Elite Sport. </w:t>
      </w:r>
      <w:r w:rsidRPr="00AA663C">
        <w:rPr>
          <w:rFonts w:eastAsiaTheme="majorEastAsia"/>
          <w:i/>
          <w:iCs/>
        </w:rPr>
        <w:t>International Olympic Committee sport psychology handbook</w:t>
      </w:r>
      <w:r w:rsidRPr="00AA663C">
        <w:rPr>
          <w:rFonts w:eastAsiaTheme="majorEastAsia"/>
        </w:rPr>
        <w:t xml:space="preserve">. pp.30-42. Available at: </w:t>
      </w:r>
      <w:hyperlink r:id="rId19" w:history="1">
        <w:r w:rsidRPr="00AA663C">
          <w:rPr>
            <w:rStyle w:val="Hyperlink"/>
            <w:rFonts w:eastAsiaTheme="majorEastAsia"/>
          </w:rPr>
          <w:t>https://www.researchgate.net/publication/229801788_Management_of_Competitive_Stress_in_Elite_Sport</w:t>
        </w:r>
      </w:hyperlink>
      <w:r w:rsidRPr="00AA663C">
        <w:rPr>
          <w:rFonts w:eastAsiaTheme="majorEastAsia"/>
        </w:rPr>
        <w:t xml:space="preserve"> [Accessed 3 April 2026].</w:t>
      </w:r>
    </w:p>
    <w:p w14:paraId="58DBFBD8" w14:textId="77777777" w:rsidR="005B325D" w:rsidRDefault="005B325D" w:rsidP="00C354FF">
      <w:pPr>
        <w:pStyle w:val="paragraph"/>
        <w:spacing w:before="30" w:beforeAutospacing="0" w:after="0" w:afterAutospacing="0"/>
        <w:textAlignment w:val="baseline"/>
        <w:rPr>
          <w:rFonts w:eastAsiaTheme="majorEastAsia"/>
        </w:rPr>
      </w:pPr>
    </w:p>
    <w:p w14:paraId="227877E6" w14:textId="4950010C" w:rsidR="005B325D" w:rsidRDefault="005B325D" w:rsidP="00C354FF">
      <w:pPr>
        <w:pStyle w:val="paragraph"/>
        <w:spacing w:before="30" w:beforeAutospacing="0" w:after="0" w:afterAutospacing="0"/>
        <w:textAlignment w:val="baseline"/>
        <w:rPr>
          <w:rFonts w:eastAsiaTheme="majorEastAsia"/>
        </w:rPr>
      </w:pPr>
      <w:proofErr w:type="spellStart"/>
      <w:r w:rsidRPr="00AA663C">
        <w:rPr>
          <w:rFonts w:eastAsiaTheme="majorEastAsia"/>
        </w:rPr>
        <w:t>Heirene</w:t>
      </w:r>
      <w:proofErr w:type="spellEnd"/>
      <w:r w:rsidRPr="00AA663C">
        <w:rPr>
          <w:rFonts w:eastAsiaTheme="majorEastAsia"/>
        </w:rPr>
        <w:t xml:space="preserve">, R., Shearer, D., Roderique-Davies, G., and </w:t>
      </w:r>
      <w:proofErr w:type="spellStart"/>
      <w:r w:rsidRPr="00AA663C">
        <w:rPr>
          <w:rFonts w:eastAsiaTheme="majorEastAsia"/>
        </w:rPr>
        <w:t>Mellalieu</w:t>
      </w:r>
      <w:proofErr w:type="spellEnd"/>
      <w:r w:rsidRPr="00AA663C">
        <w:rPr>
          <w:rFonts w:eastAsiaTheme="majorEastAsia"/>
        </w:rPr>
        <w:t>, S. (2016). Addiction in Extreme Sports: An Exploration of Withdrawal States in Rock Climbers. </w:t>
      </w:r>
      <w:r w:rsidRPr="00AA663C">
        <w:rPr>
          <w:rFonts w:eastAsiaTheme="majorEastAsia"/>
          <w:i/>
          <w:iCs/>
        </w:rPr>
        <w:t xml:space="preserve">Journal of </w:t>
      </w:r>
      <w:proofErr w:type="spellStart"/>
      <w:r w:rsidRPr="00AA663C">
        <w:rPr>
          <w:rFonts w:eastAsiaTheme="majorEastAsia"/>
          <w:i/>
          <w:iCs/>
        </w:rPr>
        <w:t>Behavioral</w:t>
      </w:r>
      <w:proofErr w:type="spellEnd"/>
      <w:r w:rsidRPr="00AA663C">
        <w:rPr>
          <w:rFonts w:eastAsiaTheme="majorEastAsia"/>
          <w:i/>
          <w:iCs/>
        </w:rPr>
        <w:t xml:space="preserve"> Addictions</w:t>
      </w:r>
      <w:r w:rsidRPr="00AA663C">
        <w:rPr>
          <w:rFonts w:eastAsiaTheme="majorEastAsia"/>
        </w:rPr>
        <w:t xml:space="preserve">. 5(2), pp.332-341. Available at: </w:t>
      </w:r>
      <w:hyperlink r:id="rId20" w:history="1">
        <w:r w:rsidRPr="00AA663C">
          <w:rPr>
            <w:rStyle w:val="Hyperlink"/>
            <w:rFonts w:eastAsiaTheme="majorEastAsia"/>
          </w:rPr>
          <w:t>https://akjournals.com/view/journals/2006/5/2/article-p332.xml</w:t>
        </w:r>
      </w:hyperlink>
      <w:r w:rsidRPr="00AA663C">
        <w:rPr>
          <w:rFonts w:eastAsiaTheme="majorEastAsia"/>
        </w:rPr>
        <w:t xml:space="preserve"> [Accessed 3 April 2026].</w:t>
      </w:r>
    </w:p>
    <w:p w14:paraId="150286A1" w14:textId="77777777" w:rsidR="005B325D" w:rsidRDefault="005B325D" w:rsidP="00C354FF">
      <w:pPr>
        <w:pStyle w:val="paragraph"/>
        <w:spacing w:before="30" w:beforeAutospacing="0" w:after="0" w:afterAutospacing="0"/>
        <w:textAlignment w:val="baseline"/>
        <w:rPr>
          <w:rFonts w:eastAsiaTheme="majorEastAsia"/>
        </w:rPr>
      </w:pPr>
    </w:p>
    <w:p w14:paraId="45DEC61E" w14:textId="105E80B1" w:rsidR="005B325D" w:rsidRPr="00AA663C" w:rsidRDefault="005B325D" w:rsidP="00C354FF">
      <w:pPr>
        <w:pStyle w:val="paragraph"/>
        <w:spacing w:before="30" w:beforeAutospacing="0" w:after="0" w:afterAutospacing="0"/>
        <w:textAlignment w:val="baseline"/>
        <w:rPr>
          <w:rStyle w:val="eop"/>
          <w:rFonts w:eastAsiaTheme="majorEastAsia"/>
        </w:rPr>
      </w:pPr>
      <w:r w:rsidRPr="00AA663C">
        <w:rPr>
          <w:rFonts w:eastAsiaTheme="majorEastAsia"/>
        </w:rPr>
        <w:t>Holyfield, L. and Fine, G. (2011). Adventure as Character Work: The Collective Taming of Fear. </w:t>
      </w:r>
      <w:r w:rsidRPr="00AA663C">
        <w:rPr>
          <w:rFonts w:eastAsiaTheme="majorEastAsia"/>
          <w:i/>
          <w:iCs/>
        </w:rPr>
        <w:t>Symbolic Interaction</w:t>
      </w:r>
      <w:r w:rsidRPr="00AA663C">
        <w:rPr>
          <w:rFonts w:eastAsiaTheme="majorEastAsia"/>
        </w:rPr>
        <w:t xml:space="preserve">. 20(4), pp.343-363. Available at: </w:t>
      </w:r>
      <w:hyperlink r:id="rId21" w:history="1">
        <w:r w:rsidRPr="00AA663C">
          <w:rPr>
            <w:rStyle w:val="Hyperlink"/>
            <w:rFonts w:eastAsiaTheme="majorEastAsia"/>
          </w:rPr>
          <w:t>https://onlinelibrary.wiley.com/doi/full/10.1525/si.1997.20.4.343?saml_referrer=</w:t>
        </w:r>
      </w:hyperlink>
      <w:r w:rsidRPr="00AA663C">
        <w:rPr>
          <w:rFonts w:eastAsiaTheme="majorEastAsia"/>
        </w:rPr>
        <w:t xml:space="preserve"> [Accessed 3 April 2026].</w:t>
      </w:r>
    </w:p>
    <w:p w14:paraId="5CD4EA62" w14:textId="77777777" w:rsidR="005B325D" w:rsidRDefault="005B325D" w:rsidP="00C354FF">
      <w:pPr>
        <w:pStyle w:val="paragraph"/>
        <w:tabs>
          <w:tab w:val="left" w:pos="3633"/>
        </w:tabs>
        <w:spacing w:before="30" w:beforeAutospacing="0" w:after="0" w:afterAutospacing="0"/>
        <w:textAlignment w:val="baseline"/>
        <w:rPr>
          <w:rFonts w:eastAsiaTheme="majorEastAsia"/>
        </w:rPr>
      </w:pPr>
    </w:p>
    <w:p w14:paraId="45849FE0" w14:textId="7F033D9C" w:rsidR="005B325D" w:rsidRDefault="005B325D" w:rsidP="00C354FF">
      <w:pPr>
        <w:pStyle w:val="paragraph"/>
        <w:spacing w:before="30" w:beforeAutospacing="0" w:after="0" w:afterAutospacing="0"/>
        <w:textAlignment w:val="baseline"/>
        <w:rPr>
          <w:rFonts w:eastAsiaTheme="majorEastAsia"/>
        </w:rPr>
      </w:pPr>
      <w:r w:rsidRPr="00AA663C">
        <w:rPr>
          <w:rFonts w:eastAsiaTheme="majorEastAsia"/>
        </w:rPr>
        <w:t>Jones, G. and Hanton, S. (2001). Pre-competitive feeling states and directional anxiety interpretations. </w:t>
      </w:r>
      <w:r w:rsidRPr="00AA663C">
        <w:rPr>
          <w:rFonts w:eastAsiaTheme="majorEastAsia"/>
          <w:i/>
          <w:iCs/>
        </w:rPr>
        <w:t>Journal of sports sciences</w:t>
      </w:r>
      <w:r w:rsidRPr="00AA663C">
        <w:rPr>
          <w:rFonts w:eastAsiaTheme="majorEastAsia"/>
        </w:rPr>
        <w:t xml:space="preserve">. 19(6), p.385–395. Available at: </w:t>
      </w:r>
      <w:hyperlink r:id="rId22" w:history="1">
        <w:r w:rsidRPr="00AA663C">
          <w:rPr>
            <w:rStyle w:val="Hyperlink"/>
            <w:rFonts w:eastAsiaTheme="majorEastAsia"/>
          </w:rPr>
          <w:t>https://pubmed.ncbi.nlm.nih.gov/11411775/</w:t>
        </w:r>
      </w:hyperlink>
      <w:r w:rsidRPr="00AA663C">
        <w:rPr>
          <w:rFonts w:eastAsiaTheme="majorEastAsia"/>
        </w:rPr>
        <w:t xml:space="preserve"> [Accessed 3 April 2026].</w:t>
      </w:r>
    </w:p>
    <w:p w14:paraId="64135EE4" w14:textId="52C5881A" w:rsidR="005B325D" w:rsidRDefault="005B325D" w:rsidP="00C354FF">
      <w:pPr>
        <w:pStyle w:val="paragraph"/>
        <w:spacing w:before="30" w:beforeAutospacing="0" w:after="0"/>
        <w:textAlignment w:val="baseline"/>
        <w:rPr>
          <w:rFonts w:eastAsiaTheme="majorEastAsia"/>
        </w:rPr>
      </w:pPr>
      <w:r w:rsidRPr="00AA663C">
        <w:rPr>
          <w:rFonts w:eastAsiaTheme="majorEastAsia"/>
        </w:rPr>
        <w:t>Knowledge and Science Bulletin Board System. (2023). </w:t>
      </w:r>
      <w:r w:rsidRPr="00AA663C">
        <w:rPr>
          <w:rFonts w:eastAsiaTheme="majorEastAsia"/>
          <w:i/>
          <w:iCs/>
        </w:rPr>
        <w:t>How to Overcome Fear in Adventure Activities</w:t>
      </w:r>
      <w:r w:rsidRPr="00AA663C">
        <w:rPr>
          <w:rFonts w:eastAsiaTheme="majorEastAsia"/>
        </w:rPr>
        <w:t xml:space="preserve">. Knowledge and Science Bulletin Board System. Last Updated: 12 May 2023. Available at: </w:t>
      </w:r>
      <w:hyperlink r:id="rId23" w:history="1">
        <w:r w:rsidRPr="00AA663C">
          <w:rPr>
            <w:rStyle w:val="Hyperlink"/>
            <w:rFonts w:eastAsiaTheme="majorEastAsia"/>
          </w:rPr>
          <w:t>https://www.knbbs.com/how-to-overcome-fear-in-adventure-activities/</w:t>
        </w:r>
      </w:hyperlink>
      <w:r w:rsidRPr="00AA663C">
        <w:rPr>
          <w:rFonts w:eastAsiaTheme="majorEastAsia"/>
        </w:rPr>
        <w:t xml:space="preserve"> [Accessed 3 April 2026]. </w:t>
      </w:r>
    </w:p>
    <w:p w14:paraId="2D49B399" w14:textId="77777777" w:rsidR="005B325D" w:rsidRDefault="005B325D" w:rsidP="00C354FF">
      <w:pPr>
        <w:pStyle w:val="paragraph"/>
        <w:spacing w:before="30" w:beforeAutospacing="0" w:after="0" w:afterAutospacing="0"/>
        <w:textAlignment w:val="baseline"/>
      </w:pPr>
      <w:r w:rsidRPr="00AA663C">
        <w:lastRenderedPageBreak/>
        <w:t xml:space="preserve">Mercader-Rubio, I., Ángel, N., Silva, S., </w:t>
      </w:r>
      <w:proofErr w:type="spellStart"/>
      <w:r w:rsidRPr="00AA663C">
        <w:t>Moisão</w:t>
      </w:r>
      <w:proofErr w:type="spellEnd"/>
      <w:r w:rsidRPr="00AA663C">
        <w:t>, A. and Brito-Costa, S. (2023). Relationships between somatic anxiety, cognitive anxiety, self-efficacy, and emotional intelligence levels in university. </w:t>
      </w:r>
      <w:r w:rsidRPr="00AA663C">
        <w:rPr>
          <w:i/>
          <w:iCs/>
        </w:rPr>
        <w:t>Frontiers in Psychology</w:t>
      </w:r>
      <w:r w:rsidRPr="00AA663C">
        <w:t xml:space="preserve">. 13. Available at: </w:t>
      </w:r>
      <w:hyperlink r:id="rId24" w:history="1">
        <w:r w:rsidRPr="00AA663C">
          <w:rPr>
            <w:rStyle w:val="Hyperlink"/>
          </w:rPr>
          <w:t>https://www.frontiersin.org/journals/psychology/articles/10.3389/fpsyg.2022.1059432/full</w:t>
        </w:r>
      </w:hyperlink>
      <w:r w:rsidRPr="00AA663C">
        <w:t xml:space="preserve"> [Accessed 3 April 2026].</w:t>
      </w:r>
    </w:p>
    <w:p w14:paraId="50E667BA" w14:textId="77777777" w:rsidR="005B325D" w:rsidRDefault="005B325D" w:rsidP="00C354FF">
      <w:pPr>
        <w:pStyle w:val="paragraph"/>
        <w:spacing w:before="30" w:beforeAutospacing="0" w:after="0" w:afterAutospacing="0"/>
        <w:textAlignment w:val="baseline"/>
      </w:pPr>
    </w:p>
    <w:p w14:paraId="47296E31" w14:textId="77004173" w:rsidR="005B325D" w:rsidRPr="005B325D" w:rsidRDefault="005B325D" w:rsidP="00C354FF">
      <w:pPr>
        <w:pStyle w:val="paragraph"/>
        <w:spacing w:before="30" w:beforeAutospacing="0" w:after="0"/>
        <w:textAlignment w:val="baseline"/>
        <w:rPr>
          <w:rFonts w:eastAsiaTheme="majorEastAsia"/>
        </w:rPr>
      </w:pPr>
      <w:r w:rsidRPr="00AA663C">
        <w:rPr>
          <w:rFonts w:eastAsiaTheme="majorEastAsia"/>
        </w:rPr>
        <w:t>Mayo Clinic. (2025). </w:t>
      </w:r>
      <w:r w:rsidRPr="00AA663C">
        <w:rPr>
          <w:rFonts w:eastAsiaTheme="majorEastAsia"/>
          <w:i/>
          <w:iCs/>
        </w:rPr>
        <w:t>Anxiety disorders</w:t>
      </w:r>
      <w:r w:rsidRPr="00AA663C">
        <w:rPr>
          <w:rFonts w:eastAsiaTheme="majorEastAsia"/>
        </w:rPr>
        <w:t xml:space="preserve">. Mayo Clinic. Last Updated: 29 July 2025. Available at: </w:t>
      </w:r>
      <w:hyperlink r:id="rId25" w:history="1">
        <w:r w:rsidRPr="00AA663C">
          <w:rPr>
            <w:rStyle w:val="Hyperlink"/>
            <w:rFonts w:eastAsiaTheme="majorEastAsia"/>
          </w:rPr>
          <w:t>https://www.mayoclinic.org/diseases-conditions/anxiety/symptoms-causes/syc-20350961</w:t>
        </w:r>
      </w:hyperlink>
      <w:r w:rsidRPr="00AA663C">
        <w:rPr>
          <w:rFonts w:eastAsiaTheme="majorEastAsia"/>
        </w:rPr>
        <w:t xml:space="preserve"> [Accessed 3 April 2026].</w:t>
      </w:r>
    </w:p>
    <w:p w14:paraId="3B302F8F" w14:textId="77777777" w:rsidR="005B325D" w:rsidRPr="00AA663C" w:rsidRDefault="005B325D" w:rsidP="00C354FF">
      <w:pPr>
        <w:pStyle w:val="paragraph"/>
        <w:spacing w:before="30" w:beforeAutospacing="0" w:after="0" w:afterAutospacing="0"/>
        <w:textAlignment w:val="baseline"/>
        <w:rPr>
          <w:rStyle w:val="eop"/>
          <w:rFonts w:eastAsiaTheme="majorEastAsia"/>
        </w:rPr>
      </w:pPr>
      <w:r w:rsidRPr="00AA663C">
        <w:rPr>
          <w:rFonts w:eastAsiaTheme="majorEastAsia"/>
        </w:rPr>
        <w:t>Morgan, D. (2000). Adventure Tourism Activities in New Zealand: Perceptions and Management of Client Risk. </w:t>
      </w:r>
      <w:r w:rsidRPr="00AA663C">
        <w:rPr>
          <w:rFonts w:eastAsiaTheme="majorEastAsia"/>
          <w:i/>
          <w:iCs/>
        </w:rPr>
        <w:t>Tourism Recreation Research</w:t>
      </w:r>
      <w:r w:rsidRPr="00AA663C">
        <w:rPr>
          <w:rFonts w:eastAsiaTheme="majorEastAsia"/>
        </w:rPr>
        <w:t xml:space="preserve">. 25(3), p.79–89. Available at: </w:t>
      </w:r>
      <w:hyperlink r:id="rId26" w:history="1">
        <w:r w:rsidRPr="00AA663C">
          <w:rPr>
            <w:rStyle w:val="Hyperlink"/>
            <w:rFonts w:eastAsiaTheme="majorEastAsia"/>
          </w:rPr>
          <w:t>https://www.tandfonline.com/doi/epdf/10.1080/02508281.2000.11014927?needAccess=true</w:t>
        </w:r>
      </w:hyperlink>
      <w:r w:rsidRPr="00AA663C">
        <w:rPr>
          <w:rFonts w:eastAsiaTheme="majorEastAsia"/>
        </w:rPr>
        <w:t xml:space="preserve"> [Accessed 3 April 2026].</w:t>
      </w:r>
    </w:p>
    <w:p w14:paraId="44563B5D" w14:textId="77777777" w:rsidR="005B325D" w:rsidRDefault="005B325D" w:rsidP="00C354FF">
      <w:pPr>
        <w:pStyle w:val="paragraph"/>
        <w:spacing w:before="30" w:beforeAutospacing="0" w:after="0" w:afterAutospacing="0"/>
        <w:textAlignment w:val="baseline"/>
      </w:pPr>
    </w:p>
    <w:p w14:paraId="7F12C200" w14:textId="373E0B9B" w:rsidR="005B325D" w:rsidRDefault="005B325D" w:rsidP="00C354FF">
      <w:pPr>
        <w:pStyle w:val="paragraph"/>
        <w:spacing w:before="30" w:beforeAutospacing="0" w:after="0" w:afterAutospacing="0"/>
        <w:textAlignment w:val="baseline"/>
        <w:rPr>
          <w:rFonts w:eastAsiaTheme="majorEastAsia"/>
        </w:rPr>
      </w:pPr>
      <w:r w:rsidRPr="00AA663C">
        <w:rPr>
          <w:rFonts w:eastAsiaTheme="majorEastAsia"/>
        </w:rPr>
        <w:t xml:space="preserve">Mutia, A., Jannah, M. and </w:t>
      </w:r>
      <w:proofErr w:type="spellStart"/>
      <w:r w:rsidRPr="00AA663C">
        <w:rPr>
          <w:rFonts w:eastAsiaTheme="majorEastAsia"/>
        </w:rPr>
        <w:t>Henlianto</w:t>
      </w:r>
      <w:proofErr w:type="spellEnd"/>
      <w:r w:rsidRPr="00AA663C">
        <w:rPr>
          <w:rFonts w:eastAsiaTheme="majorEastAsia"/>
        </w:rPr>
        <w:t xml:space="preserve">, M. (2025). The Influence of Motivation on the Performance of </w:t>
      </w:r>
      <w:proofErr w:type="gramStart"/>
      <w:r w:rsidRPr="00AA663C">
        <w:rPr>
          <w:rFonts w:eastAsiaTheme="majorEastAsia"/>
        </w:rPr>
        <w:t>Rock Climbing</w:t>
      </w:r>
      <w:proofErr w:type="gramEnd"/>
      <w:r w:rsidRPr="00AA663C">
        <w:rPr>
          <w:rFonts w:eastAsiaTheme="majorEastAsia"/>
        </w:rPr>
        <w:t xml:space="preserve"> Athletes. </w:t>
      </w:r>
      <w:r w:rsidRPr="00AA663C">
        <w:rPr>
          <w:rFonts w:eastAsiaTheme="majorEastAsia"/>
          <w:i/>
          <w:iCs/>
        </w:rPr>
        <w:t>Indonesian Journal of Sports and Health Psychology</w:t>
      </w:r>
      <w:r w:rsidRPr="00AA663C">
        <w:rPr>
          <w:rFonts w:eastAsiaTheme="majorEastAsia"/>
        </w:rPr>
        <w:t xml:space="preserve">. 1(2), pp.75-83. Available at: </w:t>
      </w:r>
      <w:hyperlink r:id="rId27" w:history="1">
        <w:r w:rsidRPr="00AA663C">
          <w:rPr>
            <w:rStyle w:val="Hyperlink"/>
            <w:rFonts w:eastAsiaTheme="majorEastAsia"/>
          </w:rPr>
          <w:t>https://journal.unesa.ac.id/index.php/indojshp/article/download/43709/13974</w:t>
        </w:r>
      </w:hyperlink>
      <w:r w:rsidRPr="00AA663C">
        <w:rPr>
          <w:rFonts w:eastAsiaTheme="majorEastAsia"/>
        </w:rPr>
        <w:t xml:space="preserve"> [Accessed 3 April 2026].</w:t>
      </w:r>
    </w:p>
    <w:p w14:paraId="4CA1A115" w14:textId="77777777" w:rsidR="005B325D" w:rsidRDefault="005B325D" w:rsidP="00C354FF">
      <w:pPr>
        <w:pStyle w:val="paragraph"/>
        <w:spacing w:before="30" w:beforeAutospacing="0" w:after="0" w:afterAutospacing="0"/>
        <w:textAlignment w:val="baseline"/>
        <w:rPr>
          <w:rFonts w:eastAsiaTheme="majorEastAsia"/>
        </w:rPr>
      </w:pPr>
    </w:p>
    <w:p w14:paraId="22632186" w14:textId="77777777" w:rsidR="005B325D" w:rsidRDefault="005B325D" w:rsidP="00C354FF">
      <w:pPr>
        <w:pStyle w:val="paragraph"/>
        <w:tabs>
          <w:tab w:val="left" w:pos="3633"/>
        </w:tabs>
        <w:spacing w:before="30" w:beforeAutospacing="0" w:after="0" w:afterAutospacing="0"/>
        <w:textAlignment w:val="baseline"/>
        <w:rPr>
          <w:rFonts w:eastAsiaTheme="majorEastAsia"/>
        </w:rPr>
      </w:pPr>
      <w:r w:rsidRPr="00AA663C">
        <w:rPr>
          <w:rFonts w:eastAsiaTheme="majorEastAsia"/>
        </w:rPr>
        <w:t>Nanda, V. (2023). </w:t>
      </w:r>
      <w:r w:rsidRPr="00AA663C">
        <w:rPr>
          <w:rFonts w:eastAsiaTheme="majorEastAsia"/>
          <w:i/>
          <w:iCs/>
        </w:rPr>
        <w:t>Difference Between Facilitative Anxiety and Debilitative Anxiety</w:t>
      </w:r>
      <w:r w:rsidRPr="00AA663C">
        <w:rPr>
          <w:rFonts w:eastAsiaTheme="majorEastAsia"/>
        </w:rPr>
        <w:t xml:space="preserve">. Tutorials Point. Last Updated: 26 April 2023. Available at: </w:t>
      </w:r>
      <w:hyperlink r:id="rId28" w:history="1">
        <w:r w:rsidRPr="00AA663C">
          <w:rPr>
            <w:rStyle w:val="Hyperlink"/>
            <w:rFonts w:eastAsiaTheme="majorEastAsia"/>
          </w:rPr>
          <w:t>Difference Between Facilitative Anxiety and Debilitative Anxiety</w:t>
        </w:r>
      </w:hyperlink>
      <w:r w:rsidRPr="00AA663C">
        <w:rPr>
          <w:rFonts w:eastAsiaTheme="majorEastAsia"/>
        </w:rPr>
        <w:t xml:space="preserve"> [Accessed 3 April 2026].</w:t>
      </w:r>
    </w:p>
    <w:p w14:paraId="73FEF80D" w14:textId="365F81C4" w:rsidR="005B325D" w:rsidRPr="005B325D" w:rsidRDefault="005B325D" w:rsidP="00C354FF">
      <w:pPr>
        <w:pStyle w:val="paragraph"/>
        <w:spacing w:before="30" w:beforeAutospacing="0" w:after="0"/>
        <w:textAlignment w:val="baseline"/>
        <w:rPr>
          <w:rFonts w:eastAsiaTheme="majorEastAsia"/>
        </w:rPr>
      </w:pPr>
      <w:r w:rsidRPr="00AA663C">
        <w:rPr>
          <w:rFonts w:eastAsiaTheme="majorEastAsia"/>
        </w:rPr>
        <w:t>NHS. (2025). </w:t>
      </w:r>
      <w:r w:rsidRPr="00AA663C">
        <w:rPr>
          <w:rFonts w:eastAsiaTheme="majorEastAsia"/>
          <w:i/>
          <w:iCs/>
        </w:rPr>
        <w:t>Facing your fears</w:t>
      </w:r>
      <w:r w:rsidRPr="00AA663C">
        <w:rPr>
          <w:rFonts w:eastAsiaTheme="majorEastAsia"/>
        </w:rPr>
        <w:t xml:space="preserve">. NHS. Available at: </w:t>
      </w:r>
      <w:hyperlink r:id="rId29" w:history="1">
        <w:r w:rsidRPr="00AA663C">
          <w:rPr>
            <w:rStyle w:val="Hyperlink"/>
            <w:rFonts w:eastAsiaTheme="majorEastAsia"/>
          </w:rPr>
          <w:t>https://www.nhs.uk/every-mind-matters/mental-wellbeing-tips/self-help-cbt-techniques/facing-your-fea</w:t>
        </w:r>
      </w:hyperlink>
      <w:r w:rsidRPr="00AA663C">
        <w:rPr>
          <w:rFonts w:eastAsiaTheme="majorEastAsia"/>
        </w:rPr>
        <w:t xml:space="preserve"> [Accessed 3 April 2026].</w:t>
      </w:r>
    </w:p>
    <w:p w14:paraId="4FEAF052" w14:textId="77777777" w:rsidR="005B325D" w:rsidRPr="00AA663C" w:rsidRDefault="005B325D" w:rsidP="00C354FF">
      <w:pPr>
        <w:pStyle w:val="paragraph"/>
        <w:spacing w:before="30" w:beforeAutospacing="0" w:after="0" w:afterAutospacing="0"/>
        <w:textAlignment w:val="baseline"/>
        <w:rPr>
          <w:rStyle w:val="eop"/>
          <w:rFonts w:eastAsiaTheme="majorEastAsia"/>
        </w:rPr>
      </w:pPr>
      <w:r w:rsidRPr="00AA663C">
        <w:rPr>
          <w:rFonts w:eastAsiaTheme="majorEastAsia"/>
        </w:rPr>
        <w:t>Palmer, C. (2021). </w:t>
      </w:r>
      <w:r w:rsidRPr="00AA663C">
        <w:rPr>
          <w:rFonts w:eastAsiaTheme="majorEastAsia"/>
          <w:i/>
          <w:iCs/>
        </w:rPr>
        <w:t>Arts-based Education in Outdoor Learning</w:t>
      </w:r>
      <w:r w:rsidRPr="00AA663C">
        <w:rPr>
          <w:rFonts w:eastAsiaTheme="majorEastAsia"/>
        </w:rPr>
        <w:t>. Preston, UK: Sport and Wellbeing Press. pp.230-235.</w:t>
      </w:r>
    </w:p>
    <w:p w14:paraId="101FC15D" w14:textId="77777777" w:rsidR="005B325D" w:rsidRDefault="005B325D" w:rsidP="00C354FF">
      <w:pPr>
        <w:pStyle w:val="paragraph"/>
        <w:tabs>
          <w:tab w:val="left" w:pos="3633"/>
        </w:tabs>
        <w:spacing w:before="30" w:beforeAutospacing="0" w:after="0" w:afterAutospacing="0"/>
        <w:textAlignment w:val="baseline"/>
        <w:rPr>
          <w:rFonts w:eastAsiaTheme="majorEastAsia"/>
        </w:rPr>
      </w:pPr>
    </w:p>
    <w:p w14:paraId="47CE9186" w14:textId="76469E72" w:rsidR="005B325D" w:rsidRPr="005B325D" w:rsidRDefault="005B325D" w:rsidP="00C354FF">
      <w:pPr>
        <w:pStyle w:val="paragraph"/>
        <w:spacing w:before="30" w:beforeAutospacing="0" w:after="0" w:afterAutospacing="0"/>
        <w:textAlignment w:val="baseline"/>
      </w:pPr>
      <w:r w:rsidRPr="00AA663C">
        <w:t>Parfitt, G. and Pates, J. (1999). Effects of cognitive and somatic anxiety and self-confidence on components of performance during competition. </w:t>
      </w:r>
      <w:r w:rsidRPr="00AA663C">
        <w:rPr>
          <w:i/>
          <w:iCs/>
        </w:rPr>
        <w:t>Journal of sports sciences</w:t>
      </w:r>
      <w:r w:rsidRPr="00AA663C">
        <w:t xml:space="preserve">. 17, pp.351-6. Available at: </w:t>
      </w:r>
      <w:hyperlink r:id="rId30" w:history="1">
        <w:r w:rsidRPr="00AA663C">
          <w:rPr>
            <w:rStyle w:val="Hyperlink"/>
          </w:rPr>
          <w:t>(PDF) Effects of cognitive and somatic anxiety and self-confidence on components of performance during competition</w:t>
        </w:r>
      </w:hyperlink>
      <w:r w:rsidRPr="00AA663C">
        <w:t xml:space="preserve"> [Accessed 3 April 2026].</w:t>
      </w:r>
    </w:p>
    <w:p w14:paraId="0F74AB9E" w14:textId="77777777" w:rsidR="005B325D" w:rsidRDefault="005B325D" w:rsidP="00C354FF">
      <w:pPr>
        <w:pStyle w:val="paragraph"/>
        <w:tabs>
          <w:tab w:val="left" w:pos="3633"/>
        </w:tabs>
        <w:spacing w:before="30" w:beforeAutospacing="0" w:after="0" w:afterAutospacing="0"/>
        <w:textAlignment w:val="baseline"/>
        <w:rPr>
          <w:rFonts w:eastAsiaTheme="majorEastAsia"/>
        </w:rPr>
      </w:pPr>
    </w:p>
    <w:p w14:paraId="3F88BFE3" w14:textId="1AC31A41" w:rsidR="005B325D" w:rsidRDefault="005B325D" w:rsidP="00C354FF">
      <w:pPr>
        <w:pStyle w:val="paragraph"/>
        <w:spacing w:before="30" w:beforeAutospacing="0" w:after="0" w:afterAutospacing="0"/>
        <w:textAlignment w:val="baseline"/>
        <w:rPr>
          <w:rFonts w:eastAsiaTheme="majorEastAsia"/>
        </w:rPr>
      </w:pPr>
      <w:r w:rsidRPr="00AA663C">
        <w:rPr>
          <w:rFonts w:eastAsiaTheme="majorEastAsia"/>
        </w:rPr>
        <w:t>Ree, M., French, D., MacLeod, C. and Locke, V. (2008). Distinguishing Cognitive and Somatic Dimensions of State and Trait Anxiety: Development and Validation of the State-Trait Inventory for Cognitive and Somatic Anxiety (STICSA). </w:t>
      </w:r>
      <w:r w:rsidRPr="00AA663C">
        <w:rPr>
          <w:rFonts w:eastAsiaTheme="majorEastAsia"/>
          <w:i/>
          <w:iCs/>
        </w:rPr>
        <w:t>Behavioural and Cognitive Psychotherapy</w:t>
      </w:r>
      <w:r w:rsidRPr="00AA663C">
        <w:rPr>
          <w:rFonts w:eastAsiaTheme="majorEastAsia"/>
        </w:rPr>
        <w:t xml:space="preserve">. 36(3), pp.313-332. Available at: </w:t>
      </w:r>
      <w:hyperlink r:id="rId31" w:history="1">
        <w:r w:rsidRPr="00AA663C">
          <w:rPr>
            <w:rStyle w:val="Hyperlink"/>
            <w:rFonts w:eastAsiaTheme="majorEastAsia"/>
          </w:rPr>
          <w:t>https://www.cambridge.org/core/journals/behavioural-and-cognitive-psychotherapy/article/abs/distingu</w:t>
        </w:r>
      </w:hyperlink>
      <w:r w:rsidRPr="00AA663C">
        <w:rPr>
          <w:rFonts w:eastAsiaTheme="majorEastAsia"/>
        </w:rPr>
        <w:t xml:space="preserve"> [Accessed 3 April 2026].</w:t>
      </w:r>
    </w:p>
    <w:p w14:paraId="58A33316" w14:textId="77777777" w:rsidR="005B325D" w:rsidRDefault="005B325D" w:rsidP="00C354FF">
      <w:pPr>
        <w:pStyle w:val="paragraph"/>
        <w:spacing w:before="30" w:beforeAutospacing="0" w:after="0" w:afterAutospacing="0"/>
        <w:textAlignment w:val="baseline"/>
        <w:rPr>
          <w:rFonts w:eastAsiaTheme="majorEastAsia"/>
        </w:rPr>
      </w:pPr>
    </w:p>
    <w:p w14:paraId="6905D40E" w14:textId="77777777" w:rsidR="005B325D" w:rsidRPr="00AA663C" w:rsidRDefault="005B325D" w:rsidP="00C354FF">
      <w:pPr>
        <w:pStyle w:val="paragraph"/>
        <w:spacing w:before="30" w:beforeAutospacing="0" w:after="0" w:afterAutospacing="0"/>
        <w:textAlignment w:val="baseline"/>
        <w:rPr>
          <w:rStyle w:val="eop"/>
          <w:rFonts w:eastAsiaTheme="majorEastAsia"/>
        </w:rPr>
      </w:pPr>
      <w:r w:rsidRPr="00AA663C">
        <w:rPr>
          <w:rFonts w:eastAsiaTheme="majorEastAsia"/>
        </w:rPr>
        <w:t>Reed, J. and Smith, H. (2023). ‘Everything we do will have an element of fear in it’: challenging assumptions of fear for all in outdoor adventurous education. </w:t>
      </w:r>
      <w:r w:rsidRPr="00AA663C">
        <w:rPr>
          <w:rFonts w:eastAsiaTheme="majorEastAsia"/>
          <w:i/>
          <w:iCs/>
        </w:rPr>
        <w:t>Journal of Adventure Education and Outdoor Learning</w:t>
      </w:r>
      <w:r w:rsidRPr="00AA663C">
        <w:rPr>
          <w:rFonts w:eastAsiaTheme="majorEastAsia"/>
        </w:rPr>
        <w:t xml:space="preserve">. 23(2), p.107–119. Available at: </w:t>
      </w:r>
      <w:hyperlink r:id="rId32" w:history="1">
        <w:r w:rsidRPr="00AA663C">
          <w:rPr>
            <w:rStyle w:val="Hyperlink"/>
            <w:rFonts w:eastAsiaTheme="majorEastAsia"/>
          </w:rPr>
          <w:t>https://www.tandfonline.com/doi/full/10.1080/14729679.2021.1961092</w:t>
        </w:r>
      </w:hyperlink>
      <w:r w:rsidRPr="00AA663C">
        <w:rPr>
          <w:rFonts w:eastAsiaTheme="majorEastAsia"/>
        </w:rPr>
        <w:t xml:space="preserve"> [Accessed 3 April 2026].</w:t>
      </w:r>
    </w:p>
    <w:p w14:paraId="7F6F39B5" w14:textId="77777777" w:rsidR="005B325D" w:rsidRDefault="005B325D" w:rsidP="00C354FF">
      <w:pPr>
        <w:pStyle w:val="paragraph"/>
        <w:spacing w:before="30" w:beforeAutospacing="0" w:after="0" w:afterAutospacing="0"/>
        <w:textAlignment w:val="baseline"/>
        <w:rPr>
          <w:rFonts w:eastAsiaTheme="majorEastAsia"/>
        </w:rPr>
      </w:pPr>
    </w:p>
    <w:p w14:paraId="77B6D485" w14:textId="7FCBFADB" w:rsidR="005B325D" w:rsidRDefault="005B325D" w:rsidP="00C354FF">
      <w:pPr>
        <w:pStyle w:val="paragraph"/>
        <w:spacing w:before="30" w:beforeAutospacing="0" w:after="0" w:afterAutospacing="0"/>
        <w:textAlignment w:val="baseline"/>
        <w:rPr>
          <w:rFonts w:eastAsiaTheme="majorEastAsia"/>
        </w:rPr>
      </w:pPr>
      <w:r w:rsidRPr="00AA663C">
        <w:lastRenderedPageBreak/>
        <w:t>Reid, P. and Brymer, E. (2022). </w:t>
      </w:r>
      <w:r w:rsidRPr="00AA663C">
        <w:rPr>
          <w:i/>
          <w:iCs/>
        </w:rPr>
        <w:t>Adventure psychology: Going knowingly into the unknown</w:t>
      </w:r>
      <w:r w:rsidRPr="00AA663C">
        <w:t xml:space="preserve">. London: Taylor &amp; Francis. </w:t>
      </w:r>
      <w:r w:rsidRPr="00AA663C">
        <w:rPr>
          <w:rFonts w:eastAsiaTheme="majorEastAsia"/>
        </w:rPr>
        <w:t xml:space="preserve">Available at: </w:t>
      </w:r>
      <w:hyperlink r:id="rId33" w:history="1">
        <w:r w:rsidRPr="00AA663C">
          <w:rPr>
            <w:rStyle w:val="Hyperlink"/>
            <w:rFonts w:eastAsiaTheme="majorEastAsia"/>
          </w:rPr>
          <w:t>Adventure Psychology: Going Knowingly into the Unknown - Google Books</w:t>
        </w:r>
      </w:hyperlink>
      <w:r w:rsidRPr="00AA663C">
        <w:rPr>
          <w:rFonts w:eastAsiaTheme="majorEastAsia"/>
        </w:rPr>
        <w:t xml:space="preserve"> [Accessed 3 April 2026].</w:t>
      </w:r>
    </w:p>
    <w:p w14:paraId="4F63C1EA" w14:textId="49D2FF69" w:rsidR="00AA663C" w:rsidRPr="005B325D" w:rsidRDefault="005B325D" w:rsidP="00C354FF">
      <w:pPr>
        <w:pStyle w:val="paragraph"/>
        <w:spacing w:before="30" w:beforeAutospacing="0" w:after="0"/>
        <w:textAlignment w:val="baseline"/>
      </w:pPr>
      <w:r w:rsidRPr="00AA663C">
        <w:t>Romanyshyn, C. (2025). </w:t>
      </w:r>
      <w:r w:rsidRPr="00AA663C">
        <w:rPr>
          <w:i/>
          <w:iCs/>
        </w:rPr>
        <w:t>Five Sources of Adventure Burnout and What to Do</w:t>
      </w:r>
      <w:r w:rsidRPr="00AA663C">
        <w:t xml:space="preserve">. Tales of a Mountain Mama. Last Updated: 12 August 2025. Available at: </w:t>
      </w:r>
      <w:hyperlink r:id="rId34" w:history="1">
        <w:r w:rsidRPr="00AA663C">
          <w:rPr>
            <w:rStyle w:val="Hyperlink"/>
          </w:rPr>
          <w:t>https://talesofamountainmama.com/adventure-burnout-and-what-to-do/</w:t>
        </w:r>
      </w:hyperlink>
      <w:r w:rsidRPr="00AA663C">
        <w:t xml:space="preserve"> [Accessed 3 April 2026].</w:t>
      </w:r>
    </w:p>
    <w:p w14:paraId="5CB8B22C" w14:textId="77777777" w:rsidR="005B325D" w:rsidRPr="00AA663C" w:rsidRDefault="005B325D" w:rsidP="00C354FF">
      <w:pPr>
        <w:pStyle w:val="paragraph"/>
        <w:tabs>
          <w:tab w:val="left" w:pos="1728"/>
        </w:tabs>
        <w:spacing w:before="30" w:beforeAutospacing="0" w:after="0" w:afterAutospacing="0"/>
        <w:textAlignment w:val="baseline"/>
      </w:pPr>
      <w:r w:rsidRPr="00AA663C">
        <w:t>Sanchez, X., Boschker, M. and Llewellyn, J. (2010). Pre-performance psychological states and performance in an elite climbing competition. </w:t>
      </w:r>
      <w:r w:rsidRPr="00AA663C">
        <w:rPr>
          <w:i/>
          <w:iCs/>
        </w:rPr>
        <w:t>Scandinavian Journal of Medicine &amp; Science in Sports</w:t>
      </w:r>
      <w:r w:rsidRPr="00AA663C">
        <w:t xml:space="preserve">. 20(2), pp.356-363. Available at: </w:t>
      </w:r>
      <w:hyperlink r:id="rId35" w:history="1">
        <w:r w:rsidRPr="00AA663C">
          <w:rPr>
            <w:rStyle w:val="Hyperlink"/>
          </w:rPr>
          <w:t>https://onlinelibrary.wiley.com/doi/full/10.1111/j.1600-0838.2009.00904.x?saml_referrer=</w:t>
        </w:r>
      </w:hyperlink>
      <w:r w:rsidRPr="00AA663C">
        <w:t xml:space="preserve"> [Accessed 3 April 2026].</w:t>
      </w:r>
    </w:p>
    <w:p w14:paraId="105AB5F1" w14:textId="77777777" w:rsidR="00AA663C" w:rsidRDefault="00AA663C" w:rsidP="00C354FF">
      <w:pPr>
        <w:pStyle w:val="paragraph"/>
        <w:tabs>
          <w:tab w:val="left" w:pos="3633"/>
        </w:tabs>
        <w:spacing w:before="30" w:beforeAutospacing="0" w:after="0" w:afterAutospacing="0"/>
        <w:textAlignment w:val="baseline"/>
        <w:rPr>
          <w:rFonts w:eastAsiaTheme="majorEastAsia"/>
        </w:rPr>
      </w:pPr>
    </w:p>
    <w:p w14:paraId="286595AB" w14:textId="48C8FE32" w:rsidR="000B3621" w:rsidRPr="005B325D" w:rsidRDefault="005B325D" w:rsidP="00C354FF">
      <w:pPr>
        <w:pStyle w:val="paragraph"/>
        <w:spacing w:before="30" w:beforeAutospacing="0" w:after="0" w:afterAutospacing="0"/>
        <w:textAlignment w:val="baseline"/>
        <w:rPr>
          <w:rFonts w:eastAsiaTheme="majorEastAsia"/>
        </w:rPr>
      </w:pPr>
      <w:r w:rsidRPr="00AA663C">
        <w:rPr>
          <w:rFonts w:eastAsiaTheme="majorEastAsia"/>
        </w:rPr>
        <w:t xml:space="preserve">Wu, X., Cai, Y., Abidin, N. and </w:t>
      </w:r>
      <w:proofErr w:type="spellStart"/>
      <w:r w:rsidRPr="00AA663C">
        <w:rPr>
          <w:rFonts w:eastAsiaTheme="majorEastAsia"/>
        </w:rPr>
        <w:t>Jaladin</w:t>
      </w:r>
      <w:proofErr w:type="spellEnd"/>
      <w:r w:rsidRPr="00AA663C">
        <w:rPr>
          <w:rFonts w:eastAsiaTheme="majorEastAsia"/>
        </w:rPr>
        <w:t>, R. (2024). Associations between motivational factors and burnout syndrome among elite skiers. </w:t>
      </w:r>
      <w:r w:rsidRPr="00AA663C">
        <w:rPr>
          <w:rFonts w:eastAsiaTheme="majorEastAsia"/>
          <w:i/>
          <w:iCs/>
        </w:rPr>
        <w:t>BMC psychology</w:t>
      </w:r>
      <w:r w:rsidRPr="00AA663C">
        <w:rPr>
          <w:rFonts w:eastAsiaTheme="majorEastAsia"/>
        </w:rPr>
        <w:t xml:space="preserve">. 12(1), p.490. Available at: </w:t>
      </w:r>
      <w:hyperlink r:id="rId36" w:history="1">
        <w:r w:rsidRPr="00AA663C">
          <w:rPr>
            <w:rStyle w:val="Hyperlink"/>
            <w:rFonts w:eastAsiaTheme="majorEastAsia"/>
          </w:rPr>
          <w:t>https://link.springer.com/article/10.1186/s40359-024-01989-y</w:t>
        </w:r>
      </w:hyperlink>
      <w:r w:rsidRPr="00AA663C">
        <w:rPr>
          <w:rFonts w:eastAsiaTheme="majorEastAsia"/>
        </w:rPr>
        <w:t xml:space="preserve"> [Accessed 3 April 2026].</w:t>
      </w:r>
    </w:p>
    <w:sectPr w:rsidR="000B3621" w:rsidRPr="005B325D">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C2118" w14:textId="77777777" w:rsidR="0094666E" w:rsidRDefault="0094666E" w:rsidP="00AA663C">
      <w:pPr>
        <w:spacing w:after="0" w:line="240" w:lineRule="auto"/>
      </w:pPr>
      <w:r>
        <w:separator/>
      </w:r>
    </w:p>
  </w:endnote>
  <w:endnote w:type="continuationSeparator" w:id="0">
    <w:p w14:paraId="681F194A" w14:textId="77777777" w:rsidR="0094666E" w:rsidRDefault="0094666E" w:rsidP="00AA6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A5747" w14:textId="77777777" w:rsidR="003F3D4D" w:rsidRDefault="003F3D4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808FB7C" w14:textId="77777777" w:rsidR="003F3D4D" w:rsidRDefault="003F3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67D41" w14:textId="77777777" w:rsidR="0094666E" w:rsidRDefault="0094666E" w:rsidP="00AA663C">
      <w:pPr>
        <w:spacing w:after="0" w:line="240" w:lineRule="auto"/>
      </w:pPr>
      <w:r>
        <w:separator/>
      </w:r>
    </w:p>
  </w:footnote>
  <w:footnote w:type="continuationSeparator" w:id="0">
    <w:p w14:paraId="17291BF6" w14:textId="77777777" w:rsidR="0094666E" w:rsidRDefault="0094666E" w:rsidP="00AA66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30C005" w14:textId="2BA0CB6D" w:rsidR="003F3D4D" w:rsidRDefault="003F3D4D">
    <w:pPr>
      <w:pStyle w:val="Header"/>
    </w:pPr>
    <w:r>
      <w:t>2406212</w:t>
    </w:r>
    <w:r>
      <w:ptab w:relativeTo="margin" w:alignment="center" w:leader="none"/>
    </w:r>
    <w:r>
      <w:ptab w:relativeTo="margin" w:alignment="right" w:leader="none"/>
    </w:r>
    <w:r>
      <w:t>(BMOE5007)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C5A1C"/>
    <w:multiLevelType w:val="multilevel"/>
    <w:tmpl w:val="65784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821466"/>
    <w:multiLevelType w:val="multilevel"/>
    <w:tmpl w:val="6A361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D075E4"/>
    <w:multiLevelType w:val="multilevel"/>
    <w:tmpl w:val="0E3C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3B120A"/>
    <w:multiLevelType w:val="multilevel"/>
    <w:tmpl w:val="953E0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7104846">
    <w:abstractNumId w:val="3"/>
  </w:num>
  <w:num w:numId="2" w16cid:durableId="1023750441">
    <w:abstractNumId w:val="2"/>
  </w:num>
  <w:num w:numId="3" w16cid:durableId="726337687">
    <w:abstractNumId w:val="1"/>
  </w:num>
  <w:num w:numId="4" w16cid:durableId="796410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252"/>
    <w:rsid w:val="0000161B"/>
    <w:rsid w:val="00066572"/>
    <w:rsid w:val="000B3621"/>
    <w:rsid w:val="003F3D4D"/>
    <w:rsid w:val="004018FD"/>
    <w:rsid w:val="004946AA"/>
    <w:rsid w:val="00563238"/>
    <w:rsid w:val="00582B91"/>
    <w:rsid w:val="005B325D"/>
    <w:rsid w:val="006C5D49"/>
    <w:rsid w:val="00752A0D"/>
    <w:rsid w:val="0077241C"/>
    <w:rsid w:val="008872F4"/>
    <w:rsid w:val="008A738F"/>
    <w:rsid w:val="0094666E"/>
    <w:rsid w:val="00993064"/>
    <w:rsid w:val="00A21C4B"/>
    <w:rsid w:val="00A27B80"/>
    <w:rsid w:val="00AA663C"/>
    <w:rsid w:val="00B54F73"/>
    <w:rsid w:val="00C354FF"/>
    <w:rsid w:val="00C97A47"/>
    <w:rsid w:val="00CB3252"/>
    <w:rsid w:val="00EA15BF"/>
    <w:rsid w:val="00FF0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52358"/>
  <w15:chartTrackingRefBased/>
  <w15:docId w15:val="{AACAA9DC-4AC8-42CD-A843-8FCE96035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252"/>
  </w:style>
  <w:style w:type="paragraph" w:styleId="Heading1">
    <w:name w:val="heading 1"/>
    <w:basedOn w:val="Normal"/>
    <w:next w:val="Normal"/>
    <w:link w:val="Heading1Char"/>
    <w:uiPriority w:val="9"/>
    <w:qFormat/>
    <w:rsid w:val="00CB325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B325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32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32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32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32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2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2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2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25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B32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32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32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32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3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252"/>
    <w:rPr>
      <w:rFonts w:eastAsiaTheme="majorEastAsia" w:cstheme="majorBidi"/>
      <w:color w:val="272727" w:themeColor="text1" w:themeTint="D8"/>
    </w:rPr>
  </w:style>
  <w:style w:type="paragraph" w:styleId="Title">
    <w:name w:val="Title"/>
    <w:basedOn w:val="Normal"/>
    <w:next w:val="Normal"/>
    <w:link w:val="TitleChar"/>
    <w:uiPriority w:val="10"/>
    <w:qFormat/>
    <w:rsid w:val="00CB3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2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252"/>
    <w:pPr>
      <w:spacing w:before="160"/>
      <w:jc w:val="center"/>
    </w:pPr>
    <w:rPr>
      <w:i/>
      <w:iCs/>
      <w:color w:val="404040" w:themeColor="text1" w:themeTint="BF"/>
    </w:rPr>
  </w:style>
  <w:style w:type="character" w:customStyle="1" w:styleId="QuoteChar">
    <w:name w:val="Quote Char"/>
    <w:basedOn w:val="DefaultParagraphFont"/>
    <w:link w:val="Quote"/>
    <w:uiPriority w:val="29"/>
    <w:rsid w:val="00CB3252"/>
    <w:rPr>
      <w:i/>
      <w:iCs/>
      <w:color w:val="404040" w:themeColor="text1" w:themeTint="BF"/>
    </w:rPr>
  </w:style>
  <w:style w:type="paragraph" w:styleId="ListParagraph">
    <w:name w:val="List Paragraph"/>
    <w:basedOn w:val="Normal"/>
    <w:uiPriority w:val="34"/>
    <w:qFormat/>
    <w:rsid w:val="00CB3252"/>
    <w:pPr>
      <w:ind w:left="720"/>
      <w:contextualSpacing/>
    </w:pPr>
  </w:style>
  <w:style w:type="character" w:styleId="IntenseEmphasis">
    <w:name w:val="Intense Emphasis"/>
    <w:basedOn w:val="DefaultParagraphFont"/>
    <w:uiPriority w:val="21"/>
    <w:qFormat/>
    <w:rsid w:val="00CB3252"/>
    <w:rPr>
      <w:i/>
      <w:iCs/>
      <w:color w:val="2F5496" w:themeColor="accent1" w:themeShade="BF"/>
    </w:rPr>
  </w:style>
  <w:style w:type="paragraph" w:styleId="IntenseQuote">
    <w:name w:val="Intense Quote"/>
    <w:basedOn w:val="Normal"/>
    <w:next w:val="Normal"/>
    <w:link w:val="IntenseQuoteChar"/>
    <w:uiPriority w:val="30"/>
    <w:qFormat/>
    <w:rsid w:val="00CB32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3252"/>
    <w:rPr>
      <w:i/>
      <w:iCs/>
      <w:color w:val="2F5496" w:themeColor="accent1" w:themeShade="BF"/>
    </w:rPr>
  </w:style>
  <w:style w:type="character" w:styleId="IntenseReference">
    <w:name w:val="Intense Reference"/>
    <w:basedOn w:val="DefaultParagraphFont"/>
    <w:uiPriority w:val="32"/>
    <w:qFormat/>
    <w:rsid w:val="00CB3252"/>
    <w:rPr>
      <w:b/>
      <w:bCs/>
      <w:smallCaps/>
      <w:color w:val="2F5496" w:themeColor="accent1" w:themeShade="BF"/>
      <w:spacing w:val="5"/>
    </w:rPr>
  </w:style>
  <w:style w:type="character" w:styleId="Hyperlink">
    <w:name w:val="Hyperlink"/>
    <w:basedOn w:val="DefaultParagraphFont"/>
    <w:uiPriority w:val="99"/>
    <w:unhideWhenUsed/>
    <w:rsid w:val="00CB3252"/>
    <w:rPr>
      <w:color w:val="0563C1" w:themeColor="hyperlink"/>
      <w:u w:val="single"/>
    </w:rPr>
  </w:style>
  <w:style w:type="paragraph" w:customStyle="1" w:styleId="paragraph">
    <w:name w:val="paragraph"/>
    <w:basedOn w:val="Normal"/>
    <w:uiPriority w:val="1"/>
    <w:rsid w:val="00CB3252"/>
    <w:pPr>
      <w:spacing w:beforeAutospacing="1" w:afterAutospacing="1" w:line="240" w:lineRule="auto"/>
    </w:pPr>
    <w:rPr>
      <w:rFonts w:ascii="Times New Roman" w:eastAsia="Times New Roman" w:hAnsi="Times New Roman" w:cs="Times New Roman"/>
      <w:lang w:eastAsia="en-GB"/>
    </w:rPr>
  </w:style>
  <w:style w:type="character" w:customStyle="1" w:styleId="eop">
    <w:name w:val="eop"/>
    <w:basedOn w:val="DefaultParagraphFont"/>
    <w:rsid w:val="00CB3252"/>
  </w:style>
  <w:style w:type="character" w:styleId="FollowedHyperlink">
    <w:name w:val="FollowedHyperlink"/>
    <w:basedOn w:val="DefaultParagraphFont"/>
    <w:uiPriority w:val="99"/>
    <w:semiHidden/>
    <w:unhideWhenUsed/>
    <w:rsid w:val="00CB3252"/>
    <w:rPr>
      <w:color w:val="954F72" w:themeColor="followedHyperlink"/>
      <w:u w:val="single"/>
    </w:rPr>
  </w:style>
  <w:style w:type="character" w:styleId="UnresolvedMention">
    <w:name w:val="Unresolved Mention"/>
    <w:basedOn w:val="DefaultParagraphFont"/>
    <w:uiPriority w:val="99"/>
    <w:semiHidden/>
    <w:unhideWhenUsed/>
    <w:rsid w:val="00CB3252"/>
    <w:rPr>
      <w:color w:val="605E5C"/>
      <w:shd w:val="clear" w:color="auto" w:fill="E1DFDD"/>
    </w:rPr>
  </w:style>
  <w:style w:type="paragraph" w:styleId="Header">
    <w:name w:val="header"/>
    <w:basedOn w:val="Normal"/>
    <w:link w:val="HeaderChar"/>
    <w:uiPriority w:val="99"/>
    <w:unhideWhenUsed/>
    <w:rsid w:val="00AA6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63C"/>
  </w:style>
  <w:style w:type="paragraph" w:styleId="Footer">
    <w:name w:val="footer"/>
    <w:basedOn w:val="Normal"/>
    <w:link w:val="FooterChar"/>
    <w:uiPriority w:val="99"/>
    <w:unhideWhenUsed/>
    <w:rsid w:val="00AA6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63C"/>
  </w:style>
  <w:style w:type="character" w:customStyle="1" w:styleId="normaltextrun">
    <w:name w:val="normaltextrun"/>
    <w:basedOn w:val="DefaultParagraphFont"/>
    <w:rsid w:val="00AA6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26151770500004X?ref=pdf_download&amp;fr=RR-2&amp;rr=9e67" TargetMode="External"/><Relationship Id="rId18" Type="http://schemas.openxmlformats.org/officeDocument/2006/relationships/hyperlink" Target="https://www.researchgate.net/publication/222557927_Competitive_anxiety_responses_in_the_week_leading" TargetMode="External"/><Relationship Id="rId26" Type="http://schemas.openxmlformats.org/officeDocument/2006/relationships/hyperlink" Target="https://www.tandfonline.com/doi/epdf/10.1080/02508281.2000.11014927?needAccess=true" TargetMode="External"/><Relationship Id="rId39" Type="http://schemas.openxmlformats.org/officeDocument/2006/relationships/fontTable" Target="fontTable.xml"/><Relationship Id="rId21" Type="http://schemas.openxmlformats.org/officeDocument/2006/relationships/hyperlink" Target="https://onlinelibrary.wiley.com/doi/full/10.1525/si.1997.20.4.343?saml_referrer=" TargetMode="External"/><Relationship Id="rId34" Type="http://schemas.openxmlformats.org/officeDocument/2006/relationships/hyperlink" Target="https://talesofamountainmama.com/adventure-burnout-and-what-to-do/" TargetMode="External"/><Relationship Id="rId7" Type="http://schemas.openxmlformats.org/officeDocument/2006/relationships/webSettings" Target="webSettings.xml"/><Relationship Id="rId12" Type="http://schemas.openxmlformats.org/officeDocument/2006/relationships/hyperlink" Target="https://www.sciencedirect.com/science/article/pii/S0261517709001393" TargetMode="External"/><Relationship Id="rId17" Type="http://schemas.openxmlformats.org/officeDocument/2006/relationships/hyperlink" Target="https://www.tandfonline.com/doi/epdf/10.1080/026404102320761804?needAccess=true" TargetMode="External"/><Relationship Id="rId25" Type="http://schemas.openxmlformats.org/officeDocument/2006/relationships/hyperlink" Target="https://www.mayoclinic.org/diseases-conditions/anxiety/symptoms-causes/syc-20350961" TargetMode="External"/><Relationship Id="rId33" Type="http://schemas.openxmlformats.org/officeDocument/2006/relationships/hyperlink" Target="https://books.google.co.uk/books?id=MJCdEAAAQBAJ&amp;dq=Adventure+Psychology:+Going+Knowingly+into+the+Unknown&amp;lr=&amp;source=gbs_navlinks_s"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portscienceinsider.com/competitive-state-anxiety-inventory-2-csai-2/" TargetMode="External"/><Relationship Id="rId20" Type="http://schemas.openxmlformats.org/officeDocument/2006/relationships/hyperlink" Target="https://akjournals.com/view/journals/2006/5/2/article-p332.xml" TargetMode="External"/><Relationship Id="rId29" Type="http://schemas.openxmlformats.org/officeDocument/2006/relationships/hyperlink" Target="https://www.nhs.uk/every-mind-matters/mental-wellbeing-tips/self-help-cbt-techniques/facing-your-fea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rontiersin.org/journals/psychology/articles/10.3389/fpsyg.2016.01187/full" TargetMode="External"/><Relationship Id="rId24" Type="http://schemas.openxmlformats.org/officeDocument/2006/relationships/hyperlink" Target="https://www.frontiersin.org/journals/psychology/articles/10.3389/fpsyg.2022.1059432/full" TargetMode="External"/><Relationship Id="rId32" Type="http://schemas.openxmlformats.org/officeDocument/2006/relationships/hyperlink" Target="https://www.tandfonline.com/doi/full/10.1080/14729679.2021.1961092"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sciencedirect.com/science/article/abs/pii/S0278591923000674" TargetMode="External"/><Relationship Id="rId23" Type="http://schemas.openxmlformats.org/officeDocument/2006/relationships/hyperlink" Target="https://www.knbbs.com/how-to-overcome-fear-in-adventure-activities/" TargetMode="External"/><Relationship Id="rId28" Type="http://schemas.openxmlformats.org/officeDocument/2006/relationships/hyperlink" Target="https://www.tutorialspoint.com/article/difference-between-facilitative-anxiety-and-debilitative-anxiety" TargetMode="External"/><Relationship Id="rId36" Type="http://schemas.openxmlformats.org/officeDocument/2006/relationships/hyperlink" Target="https://link.springer.com/article/10.1186/s40359-024-01989-y" TargetMode="External"/><Relationship Id="rId10" Type="http://schemas.openxmlformats.org/officeDocument/2006/relationships/chart" Target="charts/chart1.xml"/><Relationship Id="rId19" Type="http://schemas.openxmlformats.org/officeDocument/2006/relationships/hyperlink" Target="https://www.researchgate.net/publication/229801788_Management_of_Competitive_Stress_in_Elite_Sport" TargetMode="External"/><Relationship Id="rId31" Type="http://schemas.openxmlformats.org/officeDocument/2006/relationships/hyperlink" Target="https://www.cambridge.org/core/journals/behavioural-and-cognitive-psychotherapy/article/abs/distingu"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sycnet.apa.org/fulltext/2018-02791-001.html" TargetMode="External"/><Relationship Id="rId22" Type="http://schemas.openxmlformats.org/officeDocument/2006/relationships/hyperlink" Target="https://pubmed.ncbi.nlm.nih.gov/11411775/" TargetMode="External"/><Relationship Id="rId27" Type="http://schemas.openxmlformats.org/officeDocument/2006/relationships/hyperlink" Target="https://journal.unesa.ac.id/index.php/indojshp/article/download/43709/13974" TargetMode="External"/><Relationship Id="rId30" Type="http://schemas.openxmlformats.org/officeDocument/2006/relationships/hyperlink" Target="https://www.researchgate.net/publication/12886734_Effects_of_cognitive_and_somatic_anxiety_and_self-confidence_on_components_of_performance_during_competition" TargetMode="External"/><Relationship Id="rId35" Type="http://schemas.openxmlformats.org/officeDocument/2006/relationships/hyperlink" Target="https://onlinelibrary.wiley.com/doi/full/10.1111/j.1600-0838.2009.00904.x?saml_referrer=" TargetMode="External"/><Relationship Id="rId8" Type="http://schemas.openxmlformats.org/officeDocument/2006/relationships/footnotes" Target="footnote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Mean results of emotions prior to caving trip</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Cognitive</c:v>
                </c:pt>
              </c:strCache>
            </c:strRef>
          </c:tx>
          <c:spPr>
            <a:ln w="22225" cap="rnd">
              <a:solidFill>
                <a:schemeClr val="accent6"/>
              </a:solidFill>
              <a:round/>
            </a:ln>
            <a:effectLst/>
          </c:spPr>
          <c:marker>
            <c:symbol val="diamond"/>
            <c:size val="6"/>
            <c:spPr>
              <a:solidFill>
                <a:schemeClr val="accent6"/>
              </a:solidFill>
              <a:ln w="9525">
                <a:solidFill>
                  <a:schemeClr val="accent6"/>
                </a:solidFill>
                <a:round/>
              </a:ln>
              <a:effectLst/>
            </c:spPr>
          </c:marker>
          <c:cat>
            <c:strRef>
              <c:f>Sheet1!$A$2:$A$4</c:f>
              <c:strCache>
                <c:ptCount val="3"/>
                <c:pt idx="0">
                  <c:v>1 Week</c:v>
                </c:pt>
                <c:pt idx="1">
                  <c:v>Morning</c:v>
                </c:pt>
                <c:pt idx="2">
                  <c:v>Immediately Prior</c:v>
                </c:pt>
              </c:strCache>
            </c:strRef>
          </c:cat>
          <c:val>
            <c:numRef>
              <c:f>Sheet1!$B$2:$B$4</c:f>
              <c:numCache>
                <c:formatCode>General</c:formatCode>
                <c:ptCount val="3"/>
                <c:pt idx="0">
                  <c:v>17.6875</c:v>
                </c:pt>
                <c:pt idx="1">
                  <c:v>19.9375</c:v>
                </c:pt>
                <c:pt idx="2">
                  <c:v>23.1875</c:v>
                </c:pt>
              </c:numCache>
            </c:numRef>
          </c:val>
          <c:smooth val="0"/>
          <c:extLst>
            <c:ext xmlns:c16="http://schemas.microsoft.com/office/drawing/2014/chart" uri="{C3380CC4-5D6E-409C-BE32-E72D297353CC}">
              <c16:uniqueId val="{00000000-124A-4EFA-81EC-91380A3910A3}"/>
            </c:ext>
          </c:extLst>
        </c:ser>
        <c:ser>
          <c:idx val="1"/>
          <c:order val="1"/>
          <c:tx>
            <c:strRef>
              <c:f>Sheet1!$C$1</c:f>
              <c:strCache>
                <c:ptCount val="1"/>
                <c:pt idx="0">
                  <c:v>Somatic</c:v>
                </c:pt>
              </c:strCache>
            </c:strRef>
          </c:tx>
          <c:spPr>
            <a:ln w="22225" cap="rnd">
              <a:solidFill>
                <a:schemeClr val="accent5"/>
              </a:solidFill>
              <a:round/>
            </a:ln>
            <a:effectLst/>
          </c:spPr>
          <c:marker>
            <c:symbol val="square"/>
            <c:size val="6"/>
            <c:spPr>
              <a:solidFill>
                <a:schemeClr val="accent5"/>
              </a:solidFill>
              <a:ln w="9525">
                <a:solidFill>
                  <a:schemeClr val="accent5"/>
                </a:solidFill>
                <a:round/>
              </a:ln>
              <a:effectLst/>
            </c:spPr>
          </c:marker>
          <c:cat>
            <c:strRef>
              <c:f>Sheet1!$A$2:$A$4</c:f>
              <c:strCache>
                <c:ptCount val="3"/>
                <c:pt idx="0">
                  <c:v>1 Week</c:v>
                </c:pt>
                <c:pt idx="1">
                  <c:v>Morning</c:v>
                </c:pt>
                <c:pt idx="2">
                  <c:v>Immediately Prior</c:v>
                </c:pt>
              </c:strCache>
            </c:strRef>
          </c:cat>
          <c:val>
            <c:numRef>
              <c:f>Sheet1!$C$2:$C$4</c:f>
              <c:numCache>
                <c:formatCode>General</c:formatCode>
                <c:ptCount val="3"/>
                <c:pt idx="0">
                  <c:v>14.5625</c:v>
                </c:pt>
                <c:pt idx="1">
                  <c:v>18.8125</c:v>
                </c:pt>
                <c:pt idx="2">
                  <c:v>23.1875</c:v>
                </c:pt>
              </c:numCache>
            </c:numRef>
          </c:val>
          <c:smooth val="0"/>
          <c:extLst>
            <c:ext xmlns:c16="http://schemas.microsoft.com/office/drawing/2014/chart" uri="{C3380CC4-5D6E-409C-BE32-E72D297353CC}">
              <c16:uniqueId val="{00000001-124A-4EFA-81EC-91380A3910A3}"/>
            </c:ext>
          </c:extLst>
        </c:ser>
        <c:ser>
          <c:idx val="2"/>
          <c:order val="2"/>
          <c:tx>
            <c:strRef>
              <c:f>Sheet1!$D$1</c:f>
              <c:strCache>
                <c:ptCount val="1"/>
                <c:pt idx="0">
                  <c:v>Confidence</c:v>
                </c:pt>
              </c:strCache>
            </c:strRef>
          </c:tx>
          <c:spPr>
            <a:ln w="22225" cap="rnd">
              <a:solidFill>
                <a:schemeClr val="accent4"/>
              </a:solidFill>
              <a:round/>
            </a:ln>
            <a:effectLst/>
          </c:spPr>
          <c:marker>
            <c:symbol val="triangle"/>
            <c:size val="6"/>
            <c:spPr>
              <a:solidFill>
                <a:schemeClr val="accent4"/>
              </a:solidFill>
              <a:ln w="9525">
                <a:solidFill>
                  <a:schemeClr val="accent4"/>
                </a:solidFill>
                <a:round/>
              </a:ln>
              <a:effectLst/>
            </c:spPr>
          </c:marker>
          <c:cat>
            <c:strRef>
              <c:f>Sheet1!$A$2:$A$4</c:f>
              <c:strCache>
                <c:ptCount val="3"/>
                <c:pt idx="0">
                  <c:v>1 Week</c:v>
                </c:pt>
                <c:pt idx="1">
                  <c:v>Morning</c:v>
                </c:pt>
                <c:pt idx="2">
                  <c:v>Immediately Prior</c:v>
                </c:pt>
              </c:strCache>
            </c:strRef>
          </c:cat>
          <c:val>
            <c:numRef>
              <c:f>Sheet1!$D$2:$D$4</c:f>
              <c:numCache>
                <c:formatCode>General</c:formatCode>
                <c:ptCount val="3"/>
                <c:pt idx="0">
                  <c:v>24</c:v>
                </c:pt>
                <c:pt idx="1">
                  <c:v>20.9375</c:v>
                </c:pt>
                <c:pt idx="2">
                  <c:v>19.25</c:v>
                </c:pt>
              </c:numCache>
            </c:numRef>
          </c:val>
          <c:smooth val="0"/>
          <c:extLst>
            <c:ext xmlns:c16="http://schemas.microsoft.com/office/drawing/2014/chart" uri="{C3380CC4-5D6E-409C-BE32-E72D297353CC}">
              <c16:uniqueId val="{00000002-124A-4EFA-81EC-91380A3910A3}"/>
            </c:ext>
          </c:extLst>
        </c:ser>
        <c:dLbls>
          <c:showLegendKey val="0"/>
          <c:showVal val="0"/>
          <c:showCatName val="0"/>
          <c:showSerName val="0"/>
          <c:showPercent val="0"/>
          <c:showBubbleSize val="0"/>
        </c:dLbls>
        <c:marker val="1"/>
        <c:smooth val="0"/>
        <c:axId val="296544544"/>
        <c:axId val="296543584"/>
      </c:lineChart>
      <c:catAx>
        <c:axId val="2965445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96543584"/>
        <c:crosses val="autoZero"/>
        <c:auto val="1"/>
        <c:lblAlgn val="ctr"/>
        <c:lblOffset val="100"/>
        <c:noMultiLvlLbl val="0"/>
      </c:catAx>
      <c:valAx>
        <c:axId val="296543584"/>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6544544"/>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9676e5d94b65fad48c06a63e9fe19797">
  <xsd:schema xmlns:xsd="http://www.w3.org/2001/XMLSchema" xmlns:xs="http://www.w3.org/2001/XMLSchema" xmlns:p="http://schemas.microsoft.com/office/2006/metadata/properties" xmlns:ns3="170d7878-6d73-463a-a069-a6c57769e00c" targetNamespace="http://schemas.microsoft.com/office/2006/metadata/properties" ma:root="true" ma:fieldsID="9bc26430293bd74178f4f1929549821d"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3551C739-E74C-4839-8B31-F82017C000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0EE53F-6BA3-4A21-BF42-96AC51FED2A0}">
  <ds:schemaRefs>
    <ds:schemaRef ds:uri="http://schemas.microsoft.com/sharepoint/v3/contenttype/forms"/>
  </ds:schemaRefs>
</ds:datastoreItem>
</file>

<file path=customXml/itemProps3.xml><?xml version="1.0" encoding="utf-8"?>
<ds:datastoreItem xmlns:ds="http://schemas.openxmlformats.org/officeDocument/2006/customXml" ds:itemID="{7648651F-84EC-4284-9195-36545C6B2803}">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3709</Words>
  <Characters>21144</Characters>
  <Application>Microsoft Office Word</Application>
  <DocSecurity>0</DocSecurity>
  <Lines>176</Lines>
  <Paragraphs>49</Paragraphs>
  <ScaleCrop>false</ScaleCrop>
  <Company/>
  <LinksUpToDate>false</LinksUpToDate>
  <CharactersWithSpaces>24804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Walker (2406212)</dc:creator>
  <cp:keywords/>
  <dc:description/>
  <cp:lastModifiedBy>Holly Walker (2406212)</cp:lastModifiedBy>
  <cp:revision>4</cp:revision>
  <dcterms:created xsi:type="dcterms:W3CDTF">2026-04-03T13:26:00Z</dcterms:created>
  <dcterms:modified xsi:type="dcterms:W3CDTF">2026-04-03T13:31:00Z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