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496EE" w14:textId="0DD8DA99" w:rsidR="00510BD1" w:rsidRDefault="00510BD1" w:rsidP="00510BD1">
      <w:pPr>
        <w:jc w:val="center"/>
      </w:pPr>
      <w:r w:rsidRPr="00A406E5">
        <w:rPr>
          <w:rFonts w:ascii="Arial" w:hAnsi="Arial" w:cs="Arial"/>
          <w:noProof/>
        </w:rPr>
        <w:drawing>
          <wp:anchor distT="0" distB="0" distL="114300" distR="114300" simplePos="0" relativeHeight="251659264" behindDoc="0" locked="0" layoutInCell="1" allowOverlap="1" wp14:anchorId="5346D78D" wp14:editId="4A0E5737">
            <wp:simplePos x="0" y="0"/>
            <wp:positionH relativeFrom="column">
              <wp:posOffset>2095500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D346378" w14:textId="77777777" w:rsidR="00510BD1" w:rsidRDefault="00510BD1" w:rsidP="00510BD1">
      <w:pPr>
        <w:jc w:val="center"/>
      </w:pPr>
    </w:p>
    <w:p w14:paraId="530CF795" w14:textId="77777777" w:rsidR="00510BD1" w:rsidRDefault="00510BD1" w:rsidP="00510BD1">
      <w:pPr>
        <w:jc w:val="center"/>
      </w:pPr>
    </w:p>
    <w:p w14:paraId="4432E3C2" w14:textId="13EF012E" w:rsidR="00510BD1" w:rsidRPr="00510BD1" w:rsidRDefault="00510BD1" w:rsidP="00510BD1">
      <w:pPr>
        <w:jc w:val="center"/>
      </w:pPr>
      <w:r w:rsidRPr="00510BD1">
        <w:t>University of Wales Trinity Saint David</w:t>
      </w:r>
    </w:p>
    <w:p w14:paraId="2BDE77FF" w14:textId="2B297836" w:rsidR="00510BD1" w:rsidRPr="00510BD1" w:rsidRDefault="00510BD1" w:rsidP="00510BD1">
      <w:pPr>
        <w:jc w:val="center"/>
      </w:pPr>
      <w:r w:rsidRPr="00510BD1">
        <w:t>BMHP6029: Psychopathological Classifications and Provisions</w:t>
      </w:r>
    </w:p>
    <w:p w14:paraId="418AF464" w14:textId="77777777" w:rsidR="00510BD1" w:rsidRPr="00510BD1" w:rsidRDefault="00510BD1" w:rsidP="00510BD1">
      <w:pPr>
        <w:jc w:val="center"/>
      </w:pPr>
      <w:r w:rsidRPr="00510BD1">
        <w:t>Title</w:t>
      </w:r>
    </w:p>
    <w:p w14:paraId="3CD268A9" w14:textId="7FFDAAB6" w:rsidR="00510BD1" w:rsidRPr="00510BD1" w:rsidRDefault="00510BD1" w:rsidP="00510BD1">
      <w:pPr>
        <w:pStyle w:val="Title"/>
      </w:pPr>
      <w:r w:rsidRPr="00510BD1">
        <w:t>A Critical Examination of Anorexia Nervosa (ICD-11: 6B80):</w:t>
      </w:r>
      <w:r w:rsidRPr="00510BD1">
        <w:br/>
        <w:t>Classification, Diagnosis, Treatment, and Rehabilitation in the UK Context</w:t>
      </w:r>
    </w:p>
    <w:p w14:paraId="06670548" w14:textId="77777777" w:rsidR="00510BD1" w:rsidRDefault="00510BD1" w:rsidP="00510BD1">
      <w:pPr>
        <w:jc w:val="center"/>
      </w:pPr>
    </w:p>
    <w:p w14:paraId="2CA47521" w14:textId="71846B56" w:rsidR="00510BD1" w:rsidRPr="00510BD1" w:rsidRDefault="00510BD1" w:rsidP="00510BD1">
      <w:pPr>
        <w:jc w:val="center"/>
      </w:pPr>
      <w:r w:rsidRPr="00510BD1">
        <w:t xml:space="preserve">Student Name: </w:t>
      </w:r>
      <w:r w:rsidR="002A5A14">
        <w:t>Razia Khan</w:t>
      </w:r>
    </w:p>
    <w:p w14:paraId="7A7D489D" w14:textId="24593299" w:rsidR="00510BD1" w:rsidRPr="00510BD1" w:rsidRDefault="00510BD1" w:rsidP="00510BD1">
      <w:pPr>
        <w:jc w:val="center"/>
      </w:pPr>
      <w:r w:rsidRPr="00510BD1">
        <w:t xml:space="preserve">Student Number: </w:t>
      </w:r>
      <w:r w:rsidR="00FE592B" w:rsidRPr="00FE592B">
        <w:t>2313058</w:t>
      </w:r>
    </w:p>
    <w:p w14:paraId="63A9FA11" w14:textId="77777777" w:rsidR="00510BD1" w:rsidRPr="00510BD1" w:rsidRDefault="00510BD1" w:rsidP="00510BD1">
      <w:pPr>
        <w:jc w:val="center"/>
      </w:pPr>
      <w:r w:rsidRPr="00510BD1">
        <w:t>Module Code &amp; Title: BMHP6029 – Psychopathological Classifications and Provisions</w:t>
      </w:r>
    </w:p>
    <w:p w14:paraId="7B059A2E" w14:textId="77777777" w:rsidR="00510BD1" w:rsidRDefault="00510BD1" w:rsidP="00510BD1">
      <w:pPr>
        <w:jc w:val="center"/>
      </w:pPr>
      <w:r w:rsidRPr="00510BD1">
        <w:t>Assignment: Component 2 – Report</w:t>
      </w:r>
    </w:p>
    <w:p w14:paraId="79A95A48" w14:textId="3BC46727" w:rsidR="005629EC" w:rsidRPr="00510BD1" w:rsidRDefault="005629EC" w:rsidP="00510BD1">
      <w:pPr>
        <w:jc w:val="center"/>
      </w:pPr>
      <w:r>
        <w:t xml:space="preserve">Lecturer: </w:t>
      </w:r>
      <w:r>
        <w:rPr>
          <w:rFonts w:cs="Arial"/>
          <w:kern w:val="0"/>
          <w:szCs w:val="22"/>
          <w14:ligatures w14:val="none"/>
        </w:rPr>
        <w:t xml:space="preserve">Tomy Adattu Chacko  </w:t>
      </w:r>
    </w:p>
    <w:p w14:paraId="6F05F801" w14:textId="20F7A886" w:rsidR="00510BD1" w:rsidRPr="00510BD1" w:rsidRDefault="00510BD1" w:rsidP="002A5A14">
      <w:pPr>
        <w:jc w:val="center"/>
      </w:pPr>
      <w:r w:rsidRPr="00510BD1">
        <w:t xml:space="preserve">Word Count: </w:t>
      </w:r>
      <w:r w:rsidR="002A5A14">
        <w:t>2134</w:t>
      </w:r>
    </w:p>
    <w:p w14:paraId="28364FBA" w14:textId="77777777" w:rsidR="00510BD1" w:rsidRDefault="00510BD1" w:rsidP="00510BD1"/>
    <w:p w14:paraId="3A12D910" w14:textId="77777777" w:rsidR="00510BD1" w:rsidRDefault="00510BD1" w:rsidP="00510BD1"/>
    <w:p w14:paraId="1AFFF3E1" w14:textId="77777777" w:rsidR="00510BD1" w:rsidRDefault="00510BD1" w:rsidP="00510BD1"/>
    <w:p w14:paraId="584A2458" w14:textId="77777777" w:rsidR="00510BD1" w:rsidRDefault="00510BD1" w:rsidP="00510BD1"/>
    <w:p w14:paraId="3CFD91A5" w14:textId="77777777" w:rsidR="00510BD1" w:rsidRDefault="00510BD1" w:rsidP="00510BD1"/>
    <w:sdt>
      <w:sdtPr>
        <w:rPr>
          <w:rFonts w:ascii="Times New Roman" w:eastAsiaTheme="minorHAnsi" w:hAnsi="Times New Roman" w:cstheme="minorBidi"/>
          <w:color w:val="auto"/>
          <w:kern w:val="2"/>
          <w:sz w:val="24"/>
          <w:szCs w:val="24"/>
          <w:lang w:val="en-GB"/>
          <w14:ligatures w14:val="standardContextual"/>
        </w:rPr>
        <w:id w:val="-393898012"/>
        <w:docPartObj>
          <w:docPartGallery w:val="Table of Contents"/>
          <w:docPartUnique/>
        </w:docPartObj>
      </w:sdtPr>
      <w:sdtEndPr>
        <w:rPr>
          <w:b/>
          <w:bCs/>
          <w:noProof/>
        </w:rPr>
      </w:sdtEndPr>
      <w:sdtContent>
        <w:p w14:paraId="3F35E7DD" w14:textId="2EAE6AC7" w:rsidR="00510BD1" w:rsidRDefault="00510BD1">
          <w:pPr>
            <w:pStyle w:val="TOCHeading"/>
          </w:pPr>
          <w:r>
            <w:t>Table of Contents</w:t>
          </w:r>
        </w:p>
        <w:p w14:paraId="18267271" w14:textId="7B397E4F" w:rsidR="00510BD1" w:rsidRDefault="00510BD1">
          <w:pPr>
            <w:pStyle w:val="TOC1"/>
            <w:tabs>
              <w:tab w:val="left" w:pos="480"/>
              <w:tab w:val="right" w:leader="dot" w:pos="9350"/>
            </w:tabs>
            <w:rPr>
              <w:noProof/>
            </w:rPr>
          </w:pPr>
          <w:r>
            <w:fldChar w:fldCharType="begin"/>
          </w:r>
          <w:r>
            <w:instrText xml:space="preserve"> TOC \o "1-3" \h \z \u </w:instrText>
          </w:r>
          <w:r>
            <w:fldChar w:fldCharType="separate"/>
          </w:r>
          <w:hyperlink w:anchor="_Toc211992399" w:history="1">
            <w:r w:rsidRPr="00E63671">
              <w:rPr>
                <w:rStyle w:val="Hyperlink"/>
                <w:noProof/>
              </w:rPr>
              <w:t>1</w:t>
            </w:r>
            <w:r>
              <w:rPr>
                <w:noProof/>
              </w:rPr>
              <w:tab/>
            </w:r>
            <w:r w:rsidRPr="00E63671">
              <w:rPr>
                <w:rStyle w:val="Hyperlink"/>
                <w:noProof/>
              </w:rPr>
              <w:t>Introduction</w:t>
            </w:r>
            <w:r>
              <w:rPr>
                <w:noProof/>
                <w:webHidden/>
              </w:rPr>
              <w:tab/>
            </w:r>
            <w:r>
              <w:rPr>
                <w:noProof/>
                <w:webHidden/>
              </w:rPr>
              <w:fldChar w:fldCharType="begin"/>
            </w:r>
            <w:r>
              <w:rPr>
                <w:noProof/>
                <w:webHidden/>
              </w:rPr>
              <w:instrText xml:space="preserve"> PAGEREF _Toc211992399 \h </w:instrText>
            </w:r>
            <w:r>
              <w:rPr>
                <w:noProof/>
                <w:webHidden/>
              </w:rPr>
            </w:r>
            <w:r>
              <w:rPr>
                <w:noProof/>
                <w:webHidden/>
              </w:rPr>
              <w:fldChar w:fldCharType="separate"/>
            </w:r>
            <w:r>
              <w:rPr>
                <w:noProof/>
                <w:webHidden/>
              </w:rPr>
              <w:t>2</w:t>
            </w:r>
            <w:r>
              <w:rPr>
                <w:noProof/>
                <w:webHidden/>
              </w:rPr>
              <w:fldChar w:fldCharType="end"/>
            </w:r>
          </w:hyperlink>
        </w:p>
        <w:p w14:paraId="160104E4" w14:textId="56E99E40" w:rsidR="00510BD1" w:rsidRDefault="002A5A14">
          <w:pPr>
            <w:pStyle w:val="TOC1"/>
            <w:tabs>
              <w:tab w:val="left" w:pos="480"/>
              <w:tab w:val="right" w:leader="dot" w:pos="9350"/>
            </w:tabs>
            <w:rPr>
              <w:noProof/>
            </w:rPr>
          </w:pPr>
          <w:hyperlink w:anchor="_Toc211992400" w:history="1">
            <w:r w:rsidR="00510BD1" w:rsidRPr="00E63671">
              <w:rPr>
                <w:rStyle w:val="Hyperlink"/>
                <w:noProof/>
              </w:rPr>
              <w:t>2</w:t>
            </w:r>
            <w:r w:rsidR="00510BD1">
              <w:rPr>
                <w:noProof/>
              </w:rPr>
              <w:tab/>
            </w:r>
            <w:r w:rsidR="00510BD1" w:rsidRPr="00E63671">
              <w:rPr>
                <w:rStyle w:val="Hyperlink"/>
                <w:noProof/>
              </w:rPr>
              <w:t>Classification and Diagnosis</w:t>
            </w:r>
            <w:r w:rsidR="00510BD1">
              <w:rPr>
                <w:noProof/>
                <w:webHidden/>
              </w:rPr>
              <w:tab/>
            </w:r>
            <w:r w:rsidR="00510BD1">
              <w:rPr>
                <w:noProof/>
                <w:webHidden/>
              </w:rPr>
              <w:fldChar w:fldCharType="begin"/>
            </w:r>
            <w:r w:rsidR="00510BD1">
              <w:rPr>
                <w:noProof/>
                <w:webHidden/>
              </w:rPr>
              <w:instrText xml:space="preserve"> PAGEREF _Toc211992400 \h </w:instrText>
            </w:r>
            <w:r w:rsidR="00510BD1">
              <w:rPr>
                <w:noProof/>
                <w:webHidden/>
              </w:rPr>
            </w:r>
            <w:r w:rsidR="00510BD1">
              <w:rPr>
                <w:noProof/>
                <w:webHidden/>
              </w:rPr>
              <w:fldChar w:fldCharType="separate"/>
            </w:r>
            <w:r w:rsidR="00510BD1">
              <w:rPr>
                <w:noProof/>
                <w:webHidden/>
              </w:rPr>
              <w:t>2</w:t>
            </w:r>
            <w:r w:rsidR="00510BD1">
              <w:rPr>
                <w:noProof/>
                <w:webHidden/>
              </w:rPr>
              <w:fldChar w:fldCharType="end"/>
            </w:r>
          </w:hyperlink>
        </w:p>
        <w:p w14:paraId="40254CE9" w14:textId="61E4E9F2" w:rsidR="00510BD1" w:rsidRDefault="002A5A14">
          <w:pPr>
            <w:pStyle w:val="TOC1"/>
            <w:tabs>
              <w:tab w:val="left" w:pos="480"/>
              <w:tab w:val="right" w:leader="dot" w:pos="9350"/>
            </w:tabs>
            <w:rPr>
              <w:noProof/>
            </w:rPr>
          </w:pPr>
          <w:hyperlink w:anchor="_Toc211992401" w:history="1">
            <w:r w:rsidR="00510BD1" w:rsidRPr="00E63671">
              <w:rPr>
                <w:rStyle w:val="Hyperlink"/>
                <w:noProof/>
              </w:rPr>
              <w:t>3</w:t>
            </w:r>
            <w:r w:rsidR="00510BD1">
              <w:rPr>
                <w:noProof/>
              </w:rPr>
              <w:tab/>
            </w:r>
            <w:r w:rsidR="00510BD1" w:rsidRPr="00E63671">
              <w:rPr>
                <w:rStyle w:val="Hyperlink"/>
                <w:noProof/>
              </w:rPr>
              <w:t>Treatment Approaches</w:t>
            </w:r>
            <w:r w:rsidR="00510BD1">
              <w:rPr>
                <w:noProof/>
                <w:webHidden/>
              </w:rPr>
              <w:tab/>
            </w:r>
            <w:r w:rsidR="00510BD1">
              <w:rPr>
                <w:noProof/>
                <w:webHidden/>
              </w:rPr>
              <w:fldChar w:fldCharType="begin"/>
            </w:r>
            <w:r w:rsidR="00510BD1">
              <w:rPr>
                <w:noProof/>
                <w:webHidden/>
              </w:rPr>
              <w:instrText xml:space="preserve"> PAGEREF _Toc211992401 \h </w:instrText>
            </w:r>
            <w:r w:rsidR="00510BD1">
              <w:rPr>
                <w:noProof/>
                <w:webHidden/>
              </w:rPr>
            </w:r>
            <w:r w:rsidR="00510BD1">
              <w:rPr>
                <w:noProof/>
                <w:webHidden/>
              </w:rPr>
              <w:fldChar w:fldCharType="separate"/>
            </w:r>
            <w:r w:rsidR="00510BD1">
              <w:rPr>
                <w:noProof/>
                <w:webHidden/>
              </w:rPr>
              <w:t>4</w:t>
            </w:r>
            <w:r w:rsidR="00510BD1">
              <w:rPr>
                <w:noProof/>
                <w:webHidden/>
              </w:rPr>
              <w:fldChar w:fldCharType="end"/>
            </w:r>
          </w:hyperlink>
        </w:p>
        <w:p w14:paraId="72045551" w14:textId="7CCF7819" w:rsidR="00510BD1" w:rsidRDefault="002A5A14">
          <w:pPr>
            <w:pStyle w:val="TOC1"/>
            <w:tabs>
              <w:tab w:val="left" w:pos="480"/>
              <w:tab w:val="right" w:leader="dot" w:pos="9350"/>
            </w:tabs>
            <w:rPr>
              <w:noProof/>
            </w:rPr>
          </w:pPr>
          <w:hyperlink w:anchor="_Toc211992402" w:history="1">
            <w:r w:rsidR="00510BD1" w:rsidRPr="00E63671">
              <w:rPr>
                <w:rStyle w:val="Hyperlink"/>
                <w:noProof/>
              </w:rPr>
              <w:t>4</w:t>
            </w:r>
            <w:r w:rsidR="00510BD1">
              <w:rPr>
                <w:noProof/>
              </w:rPr>
              <w:tab/>
            </w:r>
            <w:r w:rsidR="00510BD1" w:rsidRPr="00E63671">
              <w:rPr>
                <w:rStyle w:val="Hyperlink"/>
                <w:noProof/>
              </w:rPr>
              <w:t>Rehabilitation and Long-Term Management</w:t>
            </w:r>
            <w:r w:rsidR="00510BD1">
              <w:rPr>
                <w:noProof/>
                <w:webHidden/>
              </w:rPr>
              <w:tab/>
            </w:r>
            <w:r w:rsidR="00510BD1">
              <w:rPr>
                <w:noProof/>
                <w:webHidden/>
              </w:rPr>
              <w:fldChar w:fldCharType="begin"/>
            </w:r>
            <w:r w:rsidR="00510BD1">
              <w:rPr>
                <w:noProof/>
                <w:webHidden/>
              </w:rPr>
              <w:instrText xml:space="preserve"> PAGEREF _Toc211992402 \h </w:instrText>
            </w:r>
            <w:r w:rsidR="00510BD1">
              <w:rPr>
                <w:noProof/>
                <w:webHidden/>
              </w:rPr>
            </w:r>
            <w:r w:rsidR="00510BD1">
              <w:rPr>
                <w:noProof/>
                <w:webHidden/>
              </w:rPr>
              <w:fldChar w:fldCharType="separate"/>
            </w:r>
            <w:r w:rsidR="00510BD1">
              <w:rPr>
                <w:noProof/>
                <w:webHidden/>
              </w:rPr>
              <w:t>5</w:t>
            </w:r>
            <w:r w:rsidR="00510BD1">
              <w:rPr>
                <w:noProof/>
                <w:webHidden/>
              </w:rPr>
              <w:fldChar w:fldCharType="end"/>
            </w:r>
          </w:hyperlink>
        </w:p>
        <w:p w14:paraId="2B49F9FD" w14:textId="1D1E9333" w:rsidR="00510BD1" w:rsidRDefault="002A5A14">
          <w:pPr>
            <w:pStyle w:val="TOC1"/>
            <w:tabs>
              <w:tab w:val="left" w:pos="480"/>
              <w:tab w:val="right" w:leader="dot" w:pos="9350"/>
            </w:tabs>
            <w:rPr>
              <w:noProof/>
            </w:rPr>
          </w:pPr>
          <w:hyperlink w:anchor="_Toc211992403" w:history="1">
            <w:r w:rsidR="00510BD1" w:rsidRPr="00E63671">
              <w:rPr>
                <w:rStyle w:val="Hyperlink"/>
                <w:noProof/>
              </w:rPr>
              <w:t>5</w:t>
            </w:r>
            <w:r w:rsidR="00510BD1">
              <w:rPr>
                <w:noProof/>
              </w:rPr>
              <w:tab/>
            </w:r>
            <w:r w:rsidR="00510BD1" w:rsidRPr="00E63671">
              <w:rPr>
                <w:rStyle w:val="Hyperlink"/>
                <w:noProof/>
              </w:rPr>
              <w:t>Current Debates and Emerging Issues</w:t>
            </w:r>
            <w:r w:rsidR="00510BD1">
              <w:rPr>
                <w:noProof/>
                <w:webHidden/>
              </w:rPr>
              <w:tab/>
            </w:r>
            <w:r w:rsidR="00510BD1">
              <w:rPr>
                <w:noProof/>
                <w:webHidden/>
              </w:rPr>
              <w:fldChar w:fldCharType="begin"/>
            </w:r>
            <w:r w:rsidR="00510BD1">
              <w:rPr>
                <w:noProof/>
                <w:webHidden/>
              </w:rPr>
              <w:instrText xml:space="preserve"> PAGEREF _Toc211992403 \h </w:instrText>
            </w:r>
            <w:r w:rsidR="00510BD1">
              <w:rPr>
                <w:noProof/>
                <w:webHidden/>
              </w:rPr>
            </w:r>
            <w:r w:rsidR="00510BD1">
              <w:rPr>
                <w:noProof/>
                <w:webHidden/>
              </w:rPr>
              <w:fldChar w:fldCharType="separate"/>
            </w:r>
            <w:r w:rsidR="00510BD1">
              <w:rPr>
                <w:noProof/>
                <w:webHidden/>
              </w:rPr>
              <w:t>6</w:t>
            </w:r>
            <w:r w:rsidR="00510BD1">
              <w:rPr>
                <w:noProof/>
                <w:webHidden/>
              </w:rPr>
              <w:fldChar w:fldCharType="end"/>
            </w:r>
          </w:hyperlink>
        </w:p>
        <w:p w14:paraId="50083899" w14:textId="15F1D98B" w:rsidR="00510BD1" w:rsidRDefault="002A5A14">
          <w:pPr>
            <w:pStyle w:val="TOC1"/>
            <w:tabs>
              <w:tab w:val="left" w:pos="480"/>
              <w:tab w:val="right" w:leader="dot" w:pos="9350"/>
            </w:tabs>
            <w:rPr>
              <w:noProof/>
            </w:rPr>
          </w:pPr>
          <w:hyperlink w:anchor="_Toc211992404" w:history="1">
            <w:r w:rsidR="00510BD1" w:rsidRPr="00E63671">
              <w:rPr>
                <w:rStyle w:val="Hyperlink"/>
                <w:noProof/>
              </w:rPr>
              <w:t>6</w:t>
            </w:r>
            <w:r w:rsidR="00510BD1">
              <w:rPr>
                <w:noProof/>
              </w:rPr>
              <w:tab/>
            </w:r>
            <w:r w:rsidR="00510BD1" w:rsidRPr="00E63671">
              <w:rPr>
                <w:rStyle w:val="Hyperlink"/>
                <w:noProof/>
              </w:rPr>
              <w:t>Recommendations</w:t>
            </w:r>
            <w:r w:rsidR="00510BD1">
              <w:rPr>
                <w:noProof/>
                <w:webHidden/>
              </w:rPr>
              <w:tab/>
            </w:r>
            <w:r w:rsidR="00510BD1">
              <w:rPr>
                <w:noProof/>
                <w:webHidden/>
              </w:rPr>
              <w:fldChar w:fldCharType="begin"/>
            </w:r>
            <w:r w:rsidR="00510BD1">
              <w:rPr>
                <w:noProof/>
                <w:webHidden/>
              </w:rPr>
              <w:instrText xml:space="preserve"> PAGEREF _Toc211992404 \h </w:instrText>
            </w:r>
            <w:r w:rsidR="00510BD1">
              <w:rPr>
                <w:noProof/>
                <w:webHidden/>
              </w:rPr>
            </w:r>
            <w:r w:rsidR="00510BD1">
              <w:rPr>
                <w:noProof/>
                <w:webHidden/>
              </w:rPr>
              <w:fldChar w:fldCharType="separate"/>
            </w:r>
            <w:r w:rsidR="00510BD1">
              <w:rPr>
                <w:noProof/>
                <w:webHidden/>
              </w:rPr>
              <w:t>7</w:t>
            </w:r>
            <w:r w:rsidR="00510BD1">
              <w:rPr>
                <w:noProof/>
                <w:webHidden/>
              </w:rPr>
              <w:fldChar w:fldCharType="end"/>
            </w:r>
          </w:hyperlink>
        </w:p>
        <w:p w14:paraId="66702FAE" w14:textId="2076E323" w:rsidR="00510BD1" w:rsidRDefault="002A5A14">
          <w:pPr>
            <w:pStyle w:val="TOC1"/>
            <w:tabs>
              <w:tab w:val="left" w:pos="480"/>
              <w:tab w:val="right" w:leader="dot" w:pos="9350"/>
            </w:tabs>
            <w:rPr>
              <w:noProof/>
            </w:rPr>
          </w:pPr>
          <w:hyperlink w:anchor="_Toc211992405" w:history="1">
            <w:r w:rsidR="00510BD1" w:rsidRPr="00E63671">
              <w:rPr>
                <w:rStyle w:val="Hyperlink"/>
                <w:noProof/>
              </w:rPr>
              <w:t>7</w:t>
            </w:r>
            <w:r w:rsidR="00510BD1">
              <w:rPr>
                <w:noProof/>
              </w:rPr>
              <w:tab/>
            </w:r>
            <w:r w:rsidR="00510BD1" w:rsidRPr="00E63671">
              <w:rPr>
                <w:rStyle w:val="Hyperlink"/>
                <w:noProof/>
              </w:rPr>
              <w:t>Conclusion</w:t>
            </w:r>
            <w:r w:rsidR="00510BD1">
              <w:rPr>
                <w:noProof/>
                <w:webHidden/>
              </w:rPr>
              <w:tab/>
            </w:r>
            <w:r w:rsidR="00510BD1">
              <w:rPr>
                <w:noProof/>
                <w:webHidden/>
              </w:rPr>
              <w:fldChar w:fldCharType="begin"/>
            </w:r>
            <w:r w:rsidR="00510BD1">
              <w:rPr>
                <w:noProof/>
                <w:webHidden/>
              </w:rPr>
              <w:instrText xml:space="preserve"> PAGEREF _Toc211992405 \h </w:instrText>
            </w:r>
            <w:r w:rsidR="00510BD1">
              <w:rPr>
                <w:noProof/>
                <w:webHidden/>
              </w:rPr>
            </w:r>
            <w:r w:rsidR="00510BD1">
              <w:rPr>
                <w:noProof/>
                <w:webHidden/>
              </w:rPr>
              <w:fldChar w:fldCharType="separate"/>
            </w:r>
            <w:r w:rsidR="00510BD1">
              <w:rPr>
                <w:noProof/>
                <w:webHidden/>
              </w:rPr>
              <w:t>8</w:t>
            </w:r>
            <w:r w:rsidR="00510BD1">
              <w:rPr>
                <w:noProof/>
                <w:webHidden/>
              </w:rPr>
              <w:fldChar w:fldCharType="end"/>
            </w:r>
          </w:hyperlink>
        </w:p>
        <w:p w14:paraId="78E207D7" w14:textId="3F651592" w:rsidR="00510BD1" w:rsidRDefault="002A5A14">
          <w:pPr>
            <w:pStyle w:val="TOC1"/>
            <w:tabs>
              <w:tab w:val="left" w:pos="480"/>
              <w:tab w:val="right" w:leader="dot" w:pos="9350"/>
            </w:tabs>
            <w:rPr>
              <w:noProof/>
            </w:rPr>
          </w:pPr>
          <w:hyperlink w:anchor="_Toc211992406" w:history="1">
            <w:r w:rsidR="00510BD1" w:rsidRPr="00E63671">
              <w:rPr>
                <w:rStyle w:val="Hyperlink"/>
                <w:noProof/>
              </w:rPr>
              <w:t>8</w:t>
            </w:r>
            <w:r w:rsidR="00510BD1">
              <w:rPr>
                <w:noProof/>
              </w:rPr>
              <w:tab/>
            </w:r>
            <w:r w:rsidR="00510BD1" w:rsidRPr="00E63671">
              <w:rPr>
                <w:rStyle w:val="Hyperlink"/>
                <w:noProof/>
              </w:rPr>
              <w:t>References</w:t>
            </w:r>
            <w:r w:rsidR="00510BD1">
              <w:rPr>
                <w:noProof/>
                <w:webHidden/>
              </w:rPr>
              <w:tab/>
            </w:r>
            <w:r w:rsidR="00510BD1">
              <w:rPr>
                <w:noProof/>
                <w:webHidden/>
              </w:rPr>
              <w:fldChar w:fldCharType="begin"/>
            </w:r>
            <w:r w:rsidR="00510BD1">
              <w:rPr>
                <w:noProof/>
                <w:webHidden/>
              </w:rPr>
              <w:instrText xml:space="preserve"> PAGEREF _Toc211992406 \h </w:instrText>
            </w:r>
            <w:r w:rsidR="00510BD1">
              <w:rPr>
                <w:noProof/>
                <w:webHidden/>
              </w:rPr>
            </w:r>
            <w:r w:rsidR="00510BD1">
              <w:rPr>
                <w:noProof/>
                <w:webHidden/>
              </w:rPr>
              <w:fldChar w:fldCharType="separate"/>
            </w:r>
            <w:r w:rsidR="00510BD1">
              <w:rPr>
                <w:noProof/>
                <w:webHidden/>
              </w:rPr>
              <w:t>9</w:t>
            </w:r>
            <w:r w:rsidR="00510BD1">
              <w:rPr>
                <w:noProof/>
                <w:webHidden/>
              </w:rPr>
              <w:fldChar w:fldCharType="end"/>
            </w:r>
          </w:hyperlink>
        </w:p>
        <w:p w14:paraId="120CF0C4" w14:textId="23F9513E" w:rsidR="00510BD1" w:rsidRDefault="00510BD1">
          <w:r>
            <w:rPr>
              <w:b/>
              <w:bCs/>
              <w:noProof/>
            </w:rPr>
            <w:fldChar w:fldCharType="end"/>
          </w:r>
        </w:p>
      </w:sdtContent>
    </w:sdt>
    <w:p w14:paraId="52C3FEF2" w14:textId="77777777" w:rsidR="00510BD1" w:rsidRDefault="00510BD1" w:rsidP="00510BD1"/>
    <w:p w14:paraId="0DCACFA7" w14:textId="77777777" w:rsidR="00510BD1" w:rsidRDefault="00510BD1" w:rsidP="00510BD1"/>
    <w:p w14:paraId="11D431B8" w14:textId="77777777" w:rsidR="00510BD1" w:rsidRDefault="00510BD1" w:rsidP="00510BD1"/>
    <w:p w14:paraId="04443FFC" w14:textId="77777777" w:rsidR="00510BD1" w:rsidRDefault="00510BD1" w:rsidP="00510BD1"/>
    <w:p w14:paraId="0BD820AC" w14:textId="77777777" w:rsidR="00510BD1" w:rsidRDefault="00510BD1" w:rsidP="00510BD1"/>
    <w:p w14:paraId="265DFCCD" w14:textId="77777777" w:rsidR="00510BD1" w:rsidRDefault="00510BD1" w:rsidP="00510BD1"/>
    <w:p w14:paraId="3D954D76" w14:textId="77777777" w:rsidR="00510BD1" w:rsidRDefault="00510BD1" w:rsidP="00510BD1"/>
    <w:p w14:paraId="163DABA5" w14:textId="77777777" w:rsidR="00510BD1" w:rsidRDefault="00510BD1" w:rsidP="00510BD1"/>
    <w:p w14:paraId="7208BB7E" w14:textId="77777777" w:rsidR="00510BD1" w:rsidRDefault="00510BD1" w:rsidP="00510BD1"/>
    <w:p w14:paraId="2B311526" w14:textId="77777777" w:rsidR="00510BD1" w:rsidRDefault="00510BD1" w:rsidP="00510BD1"/>
    <w:p w14:paraId="3107A1E0" w14:textId="77777777" w:rsidR="00510BD1" w:rsidRDefault="00510BD1" w:rsidP="00510BD1"/>
    <w:p w14:paraId="176BABEB" w14:textId="77777777" w:rsidR="00510BD1" w:rsidRDefault="00510BD1" w:rsidP="00510BD1"/>
    <w:p w14:paraId="20E56DAB" w14:textId="77777777" w:rsidR="00510BD1" w:rsidRDefault="00510BD1" w:rsidP="00510BD1"/>
    <w:p w14:paraId="392FA98C" w14:textId="5727AD75" w:rsidR="00842B0A" w:rsidRPr="00842B0A" w:rsidRDefault="00842B0A" w:rsidP="00510BD1">
      <w:pPr>
        <w:pStyle w:val="Heading1"/>
      </w:pPr>
      <w:bookmarkStart w:id="0" w:name="_Toc211992399"/>
      <w:r w:rsidRPr="00842B0A">
        <w:lastRenderedPageBreak/>
        <w:t>Introduction</w:t>
      </w:r>
      <w:bookmarkEnd w:id="0"/>
    </w:p>
    <w:p w14:paraId="69D3FA32" w14:textId="502B43E5" w:rsidR="00403BFC" w:rsidRDefault="00403BFC" w:rsidP="00403BFC">
      <w:r>
        <w:t>Anorexia Nervosa (AN) is a severe and multifaceted eating disorder, which was included in the 11 th revision of the International Classification of Diseases (ICD-11: 6B80) under the subheading of mental and behavioural disorder. A chronic restriction of the energy intake, extremely low body weight, strong phobia regarding weight gain, and disturbances associated with self-perceived body image are also characteristic features of it (Reed et al., 2019). Anorexia Nervosa (AN) is the most lethal psychiatric disease, and it is possible to die because of medical and psychiatric complications such as organ failure as well as suicide (Auger et al., 2021). Approximately 1.25 million people in the UK have eating disorders, and anorexia is predominantly observed in the adolescent girls and young women (BEAT, 2022). However, its impact on males, ethnic minorities and the elderly has started to gain more and more acknowledgment thus pointing to its evolving demographic nature.</w:t>
      </w:r>
    </w:p>
    <w:p w14:paraId="0EE6BA91" w14:textId="196FF5C1" w:rsidR="00842B0A" w:rsidRPr="00842B0A" w:rsidRDefault="00403BFC" w:rsidP="00403BFC">
      <w:r>
        <w:t>The importance of critically examining anorexia is that it has extensive implications to human bodies, family lives and health systems of a population. Ongoing conflicts are associated with timely diagnosis, protracted NHS waiting period, treatment availability, and recidivism rates (Tse et al., 2022). Furthermore, the references to reliance on body mass index (BMI), the compulsory treatment, and the new studies that relate anorexia to neurodivergence highlight the problem of anorexia complexity (Cobbaert et al., 2024). In this report, I will be addressing ICD-11 of anorexia, its classification, diagnosis, treatment, rehabilitation, and the controversy that exists in the UK</w:t>
      </w:r>
      <w:r w:rsidR="00842B0A" w:rsidRPr="00842B0A">
        <w:t>.</w:t>
      </w:r>
    </w:p>
    <w:p w14:paraId="335E195B" w14:textId="77777777" w:rsidR="00842B0A" w:rsidRPr="00842B0A" w:rsidRDefault="00842B0A" w:rsidP="00510BD1">
      <w:pPr>
        <w:pStyle w:val="Heading1"/>
      </w:pPr>
      <w:bookmarkStart w:id="1" w:name="_Toc211992400"/>
      <w:r w:rsidRPr="00842B0A">
        <w:t>Classification and Diagnosis</w:t>
      </w:r>
      <w:bookmarkEnd w:id="1"/>
    </w:p>
    <w:p w14:paraId="0903FE85" w14:textId="77777777" w:rsidR="00403BFC" w:rsidRDefault="00403BFC" w:rsidP="00403BFC">
      <w:r>
        <w:t xml:space="preserve">The International Classification of Diseases, 11 th Revision (ICD-11: 6B80) officially classifies Anorexia Nervosa (AN) as an eating disorder within the broader version of feeding or eating disorders (Reed et al., 2019). The ICD-11 is based on three main characteristics: a long-term limitation of energy consumption and, as a result, extremely low body weight; constant fear of gaining weight or behavior to disrupt weight gain; disruption of body image, including overestimation of thinness (Quadflieg et al., 2023). It is important to note that ICD-11 will not isolate rigid subtypes such as the restricting type and the binge-eating/purging type, as used in the old diagnostic systems (Weiss, 2025). Instead, it involves specifications that indicate severity and comorbidity features, which renders it more similar to the spectrum approach of DSM-5 (Mazurek et al., 2018). Such a shift is an indicator of growing awareness of the fact that eating disorders are </w:t>
      </w:r>
      <w:r>
        <w:lastRenderedPageBreak/>
        <w:t>often heterogeneous and change over time, and thus diagnostic becomes flexible (Bryant et al., 2025).</w:t>
      </w:r>
    </w:p>
    <w:p w14:paraId="67683639" w14:textId="56634A9E" w:rsidR="00510BD1" w:rsidRPr="00510BD1" w:rsidRDefault="00403BFC" w:rsidP="00403BFC">
      <w:r>
        <w:t>The NICE Guideline NG69 also affects the diagnosis in the UK, as it provides evidence-based recommendations on the evaluation and treatment (NICE, 2017). Diagnostic processes typically involve a multidisciplinary team, and general practitioners, psychiatrists, dietitians, clinical psychologists can be involved (Dandan, Mansour and Diab, 2024). The symptoms may be detected by applying such tools as Eating Disorder Examination (EDE) and the SCOFF screening questionnaire, which are widespread in the NHS (Kutz et al., 2019)</w:t>
      </w:r>
      <w:r w:rsidR="00510BD1" w:rsidRPr="00510BD1">
        <w:t>. However, the use of body mass index (BMI) thresholds as a diagnostic tool has been questioned. Though ICD-11 defines the term significantly low body weight, it does not involve rigid BMI thresholds, to avoid excluding patients with severe psychological and behavioural symptoms but still within a normal weight range, a phenomenon largely known as atypical anorexia nervosa (Stein et al., 2020). This is a subtle change over ICD-10, which was vulnerable to underdiagnosis in these situations.</w:t>
      </w:r>
    </w:p>
    <w:p w14:paraId="23F5162E" w14:textId="77777777" w:rsidR="00510BD1" w:rsidRPr="00510BD1" w:rsidRDefault="00510BD1" w:rsidP="00510BD1">
      <w:r w:rsidRPr="00510BD1">
        <w:t>Even with these refinements, there are major diagnostic challenges. In the UK, excessive NHS waiting times of more than three months to specialist assessment have also been associated with worsening of symptoms in the absence of treatment (James, Denholm and Wood, 2024). Furthermore, it has been shown that there are gender and ethnicity disparities in the diagnoses: men are often underdiagnosed because of stereotyped beliefs about anorexia and femininity (Sim, 2019), and Black and Asian groups report recognition and referral barriers (Faugno et al., 2024). These diagnostic inequalities underscore the conflict between clinical definitions and the lived experiences of various populations.</w:t>
      </w:r>
    </w:p>
    <w:p w14:paraId="0C60A4A7" w14:textId="77777777" w:rsidR="00510BD1" w:rsidRPr="00510BD1" w:rsidRDefault="00510BD1" w:rsidP="00510BD1">
      <w:r w:rsidRPr="00510BD1">
        <w:t>The language of classification is also subject to critical reflection. Disorder suggests pathology, which may strengthen stigma and medicalise distress. Other researchers suggest using the term condition or positioning anorexia as a neurodivergence phenomenon, especially in the wake of new connections with autism spectrum characteristics (Rebecchi, 2025). This controversy demonstrates the vagueness of diagnostic language: although clinical phenomenon is required in the planning of treatment and service delivery, inflexible terminology can blind patient experience and cause further marginalisation.</w:t>
      </w:r>
    </w:p>
    <w:p w14:paraId="3FA13F01" w14:textId="7D71BD75" w:rsidR="00842B0A" w:rsidRPr="00842B0A" w:rsidRDefault="00510BD1" w:rsidP="00510BD1">
      <w:r w:rsidRPr="00510BD1">
        <w:t xml:space="preserve">Overall, the reorganisation of anorexia nervosa in ICD-11 mirrors the progress in understanding the latter as a spectrum disorder. Nevertheless, issues with diagnostic limits, cultural-specificity, </w:t>
      </w:r>
      <w:r w:rsidRPr="00510BD1">
        <w:lastRenderedPageBreak/>
        <w:t>and terminology implications still exist, especially in the UK healthcare system. Such shortcomings highlight the necessity of further development of both clinically sound and inclusive diagnostic frameworks</w:t>
      </w:r>
      <w:r w:rsidR="00842B0A" w:rsidRPr="00842B0A">
        <w:t>.</w:t>
      </w:r>
    </w:p>
    <w:p w14:paraId="41C74047" w14:textId="77777777" w:rsidR="00842B0A" w:rsidRPr="00842B0A" w:rsidRDefault="00842B0A" w:rsidP="00510BD1">
      <w:pPr>
        <w:pStyle w:val="Heading1"/>
      </w:pPr>
      <w:bookmarkStart w:id="2" w:name="_Toc211992401"/>
      <w:r w:rsidRPr="00842B0A">
        <w:t>Treatment Approaches</w:t>
      </w:r>
      <w:bookmarkEnd w:id="2"/>
    </w:p>
    <w:p w14:paraId="71BBA344" w14:textId="77777777" w:rsidR="00510BD1" w:rsidRPr="00510BD1" w:rsidRDefault="00510BD1" w:rsidP="00510BD1">
      <w:r w:rsidRPr="00510BD1">
        <w:t>Therapy of anorexia nervosa (AN) is extremely complicated, which is due to the psychological acuity of the disorder and its severe health consequences (Cass et al., 2020). ICD-11 emphasizes nutritional rehabilitation, psychological intervention, and comorbidities management (World Health Organization, 2022). In the UK, NICE Guideline NG69 offers a well-organized, evidence-based model, suggesting stepped care based on severity, age, and specific needs (NICE, 2017).</w:t>
      </w:r>
    </w:p>
    <w:p w14:paraId="467362A9" w14:textId="196947FB" w:rsidR="00510BD1" w:rsidRPr="00510BD1" w:rsidRDefault="00510BD1" w:rsidP="00510BD1">
      <w:r w:rsidRPr="00510BD1">
        <w:t>The treatment framework is based on psychological interventions. Among adults, Enhanced Cognitive Behavioural Therapy (CBT-E) and the Maudsley Anorexia Nervosa Treatment for Adults (MANTRA) are commonly used (Jansingh et al., 2020). Randomised controlled trials suggest that CBT-E benefits weight restoration and cognitive symptoms, but dropout levels are also high (Danielsen et al., 2016). UK-designed MANTRA is also designed to suit individual ways of thinking and has demonstrated similar results to expertly assistive clinical management yet can be better accepted by patients who do not respond to generic cognitive frameworks (Startup et al., 2021). In adolescents, Family-Based Therapy (FBT) is the first-line treatment with strong evidence of supporting recovery through empowerment of parents to assist weight restoration (Martin-Wagar, Holmes and Bhatnagar, 2018). Nevertheless, its applicability in other cultural settings is subject to debate, and some families have cited challenges related to the adoption of intensive involvement (Aguayo et al., 2021).</w:t>
      </w:r>
    </w:p>
    <w:p w14:paraId="539CCA14" w14:textId="77777777" w:rsidR="00510BD1" w:rsidRPr="00510BD1" w:rsidRDefault="00510BD1" w:rsidP="00510BD1">
      <w:r w:rsidRPr="00510BD1">
        <w:t>Nutritional rehabilitation is necessary, and in many cases, it starts with observed refeeding in an inpatient or outpatient facility. Although refeeding has proven useful in medical stabilisation, it is prone to refeeding syndrome and must be closely monitored (Peebles et al., 2017). This points to a conflict between the need to restore weight quickly to preserve lives and the psychological distress that patients may feel when compelled to gain weight, commonly resulting in disengagement with the treatment (Moisey, Merriweather and Drover, 2022).</w:t>
      </w:r>
    </w:p>
    <w:p w14:paraId="0D95499E" w14:textId="77777777" w:rsidR="00403BFC" w:rsidRDefault="00510BD1" w:rsidP="00403BFC">
      <w:r w:rsidRPr="00510BD1">
        <w:t xml:space="preserve">Pharmacological therapies do not qualify as primary interventions. </w:t>
      </w:r>
      <w:r w:rsidR="00403BFC">
        <w:t xml:space="preserve">Antidepressants should not be used as a monotherapy but selective serotonin reuptake inhibitors (SSRIs) may be prescribed to </w:t>
      </w:r>
      <w:r w:rsidR="00403BFC">
        <w:lastRenderedPageBreak/>
        <w:t>treat comorbid depression and anxiety (NICE, 2017). The clinical data on antipsychotics such as olanzapine in promoting weight gain are inconclusive: other studies indicate that slight changes are observed, but others caution about the hidden metabolic side effects (Parish, Gillis and Anthamatten, 2023).</w:t>
      </w:r>
    </w:p>
    <w:p w14:paraId="3335E161" w14:textId="77777777" w:rsidR="00403BFC" w:rsidRDefault="00403BFC" w:rsidP="00403BFC">
      <w:r>
        <w:t>The barriers that affect the effectiveness of treatment are systemic. Waiting time NHS eating disorder services in UK are a binding factor and some of the patients develop life threatening conditions before medical care is provided (Ayton et al., 2021). There are also geographic inequities, as big cities may have specialty care, and rural communities have to have out-of-area placements, which disrupts continuity of care (Marsland, White and Manthorpe, 2018).</w:t>
      </w:r>
    </w:p>
    <w:p w14:paraId="2C11ABFA" w14:textId="5F7B984F" w:rsidR="00842B0A" w:rsidRPr="00842B0A" w:rsidRDefault="00403BFC" w:rsidP="00403BFC">
      <w:r>
        <w:t>Notably, treatment outcomes do not always align, and the chances of relapse are approximated to 30-50% (Waite et al., 2023). This puts to question the idea that weight restoration in current models is being overemphasized, which comes at the expense of psychological and social integration over the long term. The researchers assert that a more recovery-oriented framework must be embraced, which includes vocational, educational, and social dimensions and medical stabilisation (Frost et al., 2017). This may contribute to the reduction of relapse by addressing the greater identity and sense making problems of anorexics</w:t>
      </w:r>
      <w:r w:rsidR="00842B0A" w:rsidRPr="00842B0A">
        <w:t>.</w:t>
      </w:r>
    </w:p>
    <w:p w14:paraId="799A137B" w14:textId="77777777" w:rsidR="00842B0A" w:rsidRPr="00842B0A" w:rsidRDefault="00842B0A" w:rsidP="00510BD1">
      <w:pPr>
        <w:pStyle w:val="Heading1"/>
      </w:pPr>
      <w:bookmarkStart w:id="3" w:name="_Toc211992402"/>
      <w:r w:rsidRPr="00842B0A">
        <w:t>Rehabilitation and Long-Term Management</w:t>
      </w:r>
      <w:bookmarkEnd w:id="3"/>
    </w:p>
    <w:p w14:paraId="6F41924D" w14:textId="77777777" w:rsidR="00510BD1" w:rsidRPr="00510BD1" w:rsidRDefault="00510BD1" w:rsidP="00510BD1">
      <w:r w:rsidRPr="00510BD1">
        <w:t>The treatment of anorexia nervosa (AN) is not limited to acute weight restoration but is aimed at lasting recovery, prevention of relapse, and reintegration into social and professional life. ICD-11 proposes rehabilitation as the restoration of functioning, both physical, psychological, and social, and recognises that anorexia can be a chronic and fluctuating disease with remission and flare-ups (World Health Organization, 2022).</w:t>
      </w:r>
    </w:p>
    <w:p w14:paraId="41969945" w14:textId="77777777" w:rsidR="00510BD1" w:rsidRPr="00510BD1" w:rsidRDefault="00510BD1" w:rsidP="00510BD1">
      <w:r w:rsidRPr="00510BD1">
        <w:t>The provision of rehabilitation in the UK is based on a tiered system of inpatient, outpatient, and community-based rehabilitation. Inpatient rehabilitation units offer structured programmes that involve medical stabilisation, nutritional rehabilitation, and intensive psychological therapy. Nonetheless, extended admissions tend to break social connections and lead to dependency, and there is controversy over whether excessive inpatient care fosters or obstructs long-term self-reliance (Treger et al., 2024). There is a growing focus on outpatient and day-patient models, which can be attributed to the evidence that community-based care promotes autonomy and cost-</w:t>
      </w:r>
      <w:r w:rsidRPr="00510BD1">
        <w:lastRenderedPageBreak/>
        <w:t>effectiveness, yet the result relies strongly on the availability of services and family support (Harvey et al., 2023).</w:t>
      </w:r>
    </w:p>
    <w:p w14:paraId="4982CB4D" w14:textId="77777777" w:rsidR="00510BD1" w:rsidRPr="00510BD1" w:rsidRDefault="00510BD1" w:rsidP="00510BD1">
      <w:r w:rsidRPr="00510BD1">
        <w:t>The model that has been extensively used in UK mental health policy is the recovery model, which emphasizes personal meaning, hope, and social reintegration over symptom elimination (Frost et al., 2017). In the case of AN, this includes vocational training, education support, and peer-led programs, usually with the support of voluntary organisations like Beat and Mind. It has been proposed that social prescribing and peer mentorship enhance quality of life, but their application in NHS services is still uneven (Staras et al., 2024).</w:t>
      </w:r>
    </w:p>
    <w:p w14:paraId="39BE1DA4" w14:textId="77777777" w:rsidR="00510BD1" w:rsidRPr="00510BD1" w:rsidRDefault="00510BD1" w:rsidP="00510BD1">
      <w:r w:rsidRPr="00510BD1">
        <w:t>Nevertheless, even with developments, the challenges remain. Rehabilitation out-of-area placements continue to disrupt continuity of care and family involvement (Mizen, Jones and Howson, 2024). High relapse rates show that rehabilitation approaches are not holistic enough, that is, little focus on rebuilding identity and stigma (Moniz-Lewis, 2024). Additionally, comorbid disorders, including depression, anxiety, and autism spectrum traits, make rehabilitation more complex and require a versatile and multidisciplinary approach (Barlattani et al., 2023).</w:t>
      </w:r>
    </w:p>
    <w:p w14:paraId="267D7B80" w14:textId="5C06E7BB" w:rsidR="00842B0A" w:rsidRPr="00842B0A" w:rsidRDefault="00510BD1" w:rsidP="00510BD1">
      <w:r w:rsidRPr="00510BD1">
        <w:t>All in all, the current state of rehabilitation of anorexia nervosa in the UK shifts towards recovery-oriented and community-based care, but systemic failures to deliver services effectively, hospital-based models of care, and insufficient long-term follow-up limit the achievements. To maintain recovery and avoid chronicity, a shift towards more integrated, personalised rehabilitation pathways is necessary</w:t>
      </w:r>
      <w:r w:rsidR="00842B0A" w:rsidRPr="00842B0A">
        <w:t>.</w:t>
      </w:r>
    </w:p>
    <w:p w14:paraId="061CE9D0" w14:textId="77777777" w:rsidR="00842B0A" w:rsidRPr="00842B0A" w:rsidRDefault="00842B0A" w:rsidP="00510BD1">
      <w:pPr>
        <w:pStyle w:val="Heading1"/>
      </w:pPr>
      <w:bookmarkStart w:id="4" w:name="_Toc211992403"/>
      <w:r w:rsidRPr="00842B0A">
        <w:t>Current Debates and Emerging Issues</w:t>
      </w:r>
      <w:bookmarkEnd w:id="4"/>
    </w:p>
    <w:p w14:paraId="6276DF8F" w14:textId="77777777" w:rsidR="00510BD1" w:rsidRPr="00510BD1" w:rsidRDefault="00510BD1" w:rsidP="00510BD1">
      <w:r w:rsidRPr="00510BD1">
        <w:t>Although the ICD-11 classification and the UK treatment guidelines are advanced, anorexia nervosa (AN) continues to be a controversial topic. Among the concerns is dependence on BMI levels to access specialist services. Although ICD-11 does not impose rigid demarcation, NHS practice continues to rely on BMI indicators in many cases, ignoring those who have an atypical AN and yet fit the psychological requirements but whose bodies fit into normal weight ranges (Stein et al., 2020; James, Denholm and Wood, 2024).</w:t>
      </w:r>
    </w:p>
    <w:p w14:paraId="654F9944" w14:textId="77777777" w:rsidR="00403BFC" w:rsidRDefault="00510BD1" w:rsidP="00403BFC">
      <w:r w:rsidRPr="00510BD1">
        <w:t xml:space="preserve">Another controversy is based on neurodivergence, where neuroscientific studies have identified higher levels of autistic characteristics in individuals with AN, such as rigidity and sensory </w:t>
      </w:r>
      <w:r w:rsidRPr="00510BD1">
        <w:lastRenderedPageBreak/>
        <w:t xml:space="preserve">sensitivities. </w:t>
      </w:r>
      <w:r w:rsidR="00403BFC">
        <w:t>Opponents argue that the current therapies such as CBT-E are not tailored enough, and that is why personal approaches are needed (Barlattani et al., 2023).</w:t>
      </w:r>
    </w:p>
    <w:p w14:paraId="451E8042" w14:textId="55D1F943" w:rsidR="00842B0A" w:rsidRPr="00842B0A" w:rsidRDefault="00403BFC" w:rsidP="00403BFC">
      <w:r>
        <w:t>Finally, there is ethical necessity of obligatory treatment by Mental Health Act, which permits force-feeding. Even though it is a life-saving practice, it can lead to trauma and loss of autonomy (Touyz et al., 2024). These controversies testify to the current controversies about clinical accuracy, patient rights, and equal access to services in the UK</w:t>
      </w:r>
      <w:r w:rsidR="00842B0A" w:rsidRPr="00842B0A">
        <w:t>.</w:t>
      </w:r>
    </w:p>
    <w:p w14:paraId="1979CA5B" w14:textId="77777777" w:rsidR="00842B0A" w:rsidRPr="00842B0A" w:rsidRDefault="00842B0A" w:rsidP="00510BD1">
      <w:pPr>
        <w:pStyle w:val="Heading1"/>
      </w:pPr>
      <w:bookmarkStart w:id="5" w:name="_Toc211992404"/>
      <w:r w:rsidRPr="00842B0A">
        <w:t>Recommendations</w:t>
      </w:r>
      <w:bookmarkEnd w:id="5"/>
    </w:p>
    <w:p w14:paraId="6A57AA89" w14:textId="77777777" w:rsidR="00403BFC" w:rsidRPr="00403BFC" w:rsidRDefault="00403BFC" w:rsidP="00403BFC">
      <w:pPr>
        <w:pStyle w:val="ListParagraph"/>
        <w:numPr>
          <w:ilvl w:val="0"/>
          <w:numId w:val="4"/>
        </w:numPr>
      </w:pPr>
      <w:r w:rsidRPr="00403BFC">
        <w:t>Enlarge diagnostic paradigms: Reduce BMI as a diagnostic criterion and concentrate on psychological and behavioural symptoms to facilitate the recognition of bizarre manifestations (Sibal et al., 2025).</w:t>
      </w:r>
    </w:p>
    <w:p w14:paraId="40362ABA" w14:textId="77777777" w:rsidR="00403BFC" w:rsidRPr="00403BFC" w:rsidRDefault="00403BFC" w:rsidP="00403BFC">
      <w:pPr>
        <w:pStyle w:val="ListParagraph"/>
        <w:numPr>
          <w:ilvl w:val="0"/>
          <w:numId w:val="4"/>
        </w:numPr>
      </w:pPr>
      <w:r w:rsidRPr="00403BFC">
        <w:t>Customize interventions among neurodivergent individuals: Add neurodiversity-based updates to CBT-E and family therapies, which enable inclusive care paths.</w:t>
      </w:r>
    </w:p>
    <w:p w14:paraId="7911FD0E" w14:textId="77777777" w:rsidR="00403BFC" w:rsidRPr="00403BFC" w:rsidRDefault="00403BFC" w:rsidP="00403BFC">
      <w:pPr>
        <w:pStyle w:val="ListParagraph"/>
        <w:numPr>
          <w:ilvl w:val="0"/>
          <w:numId w:val="4"/>
        </w:numPr>
      </w:pPr>
      <w:r w:rsidRPr="00403BFC">
        <w:t>Improve early intervention: Improve screening at school and GP education to reduce delays in referral.</w:t>
      </w:r>
    </w:p>
    <w:p w14:paraId="4225F9F9" w14:textId="77777777" w:rsidR="00403BFC" w:rsidRPr="00403BFC" w:rsidRDefault="00403BFC" w:rsidP="00403BFC">
      <w:pPr>
        <w:pStyle w:val="ListParagraph"/>
        <w:numPr>
          <w:ilvl w:val="0"/>
          <w:numId w:val="4"/>
        </w:numPr>
      </w:pPr>
      <w:r w:rsidRPr="00403BFC">
        <w:t>Increase NHS service capacity: Add specialist units and community rehabilitation to reduce waiting time and out-of-area placements (Mizen, Jones and Howson, 2024).</w:t>
      </w:r>
    </w:p>
    <w:p w14:paraId="45F390E9" w14:textId="77777777" w:rsidR="00403BFC" w:rsidRPr="00403BFC" w:rsidRDefault="00403BFC" w:rsidP="00403BFC">
      <w:pPr>
        <w:pStyle w:val="ListParagraph"/>
        <w:numPr>
          <w:ilvl w:val="0"/>
          <w:numId w:val="4"/>
        </w:numPr>
      </w:pPr>
      <w:r w:rsidRPr="00403BFC">
        <w:t>Law reform: Update to reflect that the reform of the Mental Health Act includes stronger guarantees of patient autonomy, although leaving the option of immediate life saving treatment (Green, Manthorpe and Martineau, 2021).</w:t>
      </w:r>
    </w:p>
    <w:p w14:paraId="3FC4374E" w14:textId="3BFC7448" w:rsidR="00842B0A" w:rsidRPr="00842B0A" w:rsidRDefault="00403BFC" w:rsidP="00403BFC">
      <w:r w:rsidRPr="00403BFC">
        <w:t>This would not only enhance the accuracy of diagnosis and the effectiveness of treatment, but would also address systemic injustices, which would ensure that UK policy is aligned with recovery-oriented, patient-centred care</w:t>
      </w:r>
      <w:r w:rsidR="00842B0A" w:rsidRPr="00842B0A">
        <w:t>.</w:t>
      </w:r>
    </w:p>
    <w:p w14:paraId="3242349E" w14:textId="77777777" w:rsidR="00842B0A" w:rsidRPr="00842B0A" w:rsidRDefault="00842B0A" w:rsidP="00510BD1">
      <w:pPr>
        <w:pStyle w:val="Heading1"/>
      </w:pPr>
      <w:bookmarkStart w:id="6" w:name="_Toc211992405"/>
      <w:r w:rsidRPr="00842B0A">
        <w:t>Conclusion</w:t>
      </w:r>
      <w:bookmarkEnd w:id="6"/>
    </w:p>
    <w:p w14:paraId="30E95E21" w14:textId="0DB12025" w:rsidR="00842B0A" w:rsidRPr="00842B0A" w:rsidRDefault="00403BFC" w:rsidP="00510BD1">
      <w:r w:rsidRPr="00403BFC">
        <w:t xml:space="preserve">One of the most dangerous and problematic disorders in the ICD-11, the psychological, physical, and social consequences of which are profound and disastrous, is anorexia nervosa. As demonstrated in this report, diagnostic models have been modified to suit the spectrum-based standard but there are immense challenges, particularly of the application of BMI thresholds, </w:t>
      </w:r>
      <w:r w:rsidRPr="00403BFC">
        <w:lastRenderedPageBreak/>
        <w:t>cultural applicability, and recognition of atypical presentations. CBT-E, MANTRA, and FBT are evidence-based methods of treatment and rehabilitation, yet the results are not effective in the UK regarding the relapse rates and service disparities</w:t>
      </w:r>
      <w:r w:rsidR="00842B0A" w:rsidRPr="00842B0A">
        <w:t>.</w:t>
      </w:r>
    </w:p>
    <w:p w14:paraId="72228306" w14:textId="77777777" w:rsidR="00842B0A" w:rsidRDefault="00842B0A"/>
    <w:p w14:paraId="6D49E1D7" w14:textId="77777777" w:rsidR="00510BD1" w:rsidRDefault="00510BD1"/>
    <w:p w14:paraId="6548DF3E" w14:textId="77777777" w:rsidR="00510BD1" w:rsidRDefault="00510BD1"/>
    <w:p w14:paraId="7445D3AE" w14:textId="77777777" w:rsidR="00510BD1" w:rsidRDefault="00510BD1"/>
    <w:p w14:paraId="08C0316F" w14:textId="77777777" w:rsidR="00510BD1" w:rsidRDefault="00510BD1"/>
    <w:p w14:paraId="23706E08" w14:textId="77777777" w:rsidR="00510BD1" w:rsidRDefault="00510BD1"/>
    <w:p w14:paraId="6957A446" w14:textId="77777777" w:rsidR="00510BD1" w:rsidRDefault="00510BD1"/>
    <w:p w14:paraId="34C069CB" w14:textId="77777777" w:rsidR="00510BD1" w:rsidRDefault="00510BD1"/>
    <w:p w14:paraId="3301CD13" w14:textId="77777777" w:rsidR="00510BD1" w:rsidRDefault="00510BD1"/>
    <w:p w14:paraId="161AA012" w14:textId="77777777" w:rsidR="00510BD1" w:rsidRDefault="00510BD1"/>
    <w:p w14:paraId="1F1B533C" w14:textId="77777777" w:rsidR="00510BD1" w:rsidRDefault="00510BD1"/>
    <w:p w14:paraId="32EDC517" w14:textId="77777777" w:rsidR="00510BD1" w:rsidRDefault="00510BD1"/>
    <w:p w14:paraId="7B7064EE" w14:textId="77777777" w:rsidR="00F369B0" w:rsidRDefault="00F369B0"/>
    <w:p w14:paraId="3716E670" w14:textId="77777777" w:rsidR="00F369B0" w:rsidRDefault="00F369B0"/>
    <w:p w14:paraId="7C246ED4" w14:textId="77777777" w:rsidR="00510BD1" w:rsidRDefault="00510BD1"/>
    <w:p w14:paraId="09523F15" w14:textId="77777777" w:rsidR="000A7800" w:rsidRDefault="000A7800"/>
    <w:p w14:paraId="56E5550C" w14:textId="77777777" w:rsidR="000A7800" w:rsidRDefault="000A7800"/>
    <w:p w14:paraId="675D68F9" w14:textId="77777777" w:rsidR="000A7800" w:rsidRDefault="000A7800"/>
    <w:p w14:paraId="585BC163" w14:textId="77777777" w:rsidR="000A7800" w:rsidRDefault="000A7800"/>
    <w:p w14:paraId="0D563CE4" w14:textId="41D67113" w:rsidR="00510BD1" w:rsidRDefault="00510BD1" w:rsidP="00510BD1">
      <w:pPr>
        <w:pStyle w:val="Heading1"/>
      </w:pPr>
      <w:bookmarkStart w:id="7" w:name="_Toc211992406"/>
      <w:r>
        <w:lastRenderedPageBreak/>
        <w:t>References</w:t>
      </w:r>
      <w:bookmarkEnd w:id="7"/>
    </w:p>
    <w:p w14:paraId="5DCBF3C9" w14:textId="77777777" w:rsidR="00510BD1" w:rsidRPr="00510BD1" w:rsidRDefault="00510BD1" w:rsidP="00510BD1">
      <w:r w:rsidRPr="00510BD1">
        <w:t xml:space="preserve">Aguayo, L., Hernandez, I.G., Yasui, M., Estabrook, R., Anderson, E.L., Davis, M.M., Briggs-Gowan, M.J., Wakschlag, L.S. and Heard-Garris, N. (2021). Cultural socialization in childhood: Analysis of parent–child conversations with a direct observation measure. </w:t>
      </w:r>
      <w:r w:rsidRPr="00510BD1">
        <w:rPr>
          <w:i/>
          <w:iCs/>
        </w:rPr>
        <w:t>Journal of Family Psychology</w:t>
      </w:r>
      <w:r w:rsidRPr="00510BD1">
        <w:t>, [online] 35(2), pp.138–148. doi:https://doi.org/10.1037/fam0000663.</w:t>
      </w:r>
    </w:p>
    <w:p w14:paraId="74544480" w14:textId="77777777" w:rsidR="00510BD1" w:rsidRPr="00510BD1" w:rsidRDefault="00510BD1" w:rsidP="00510BD1">
      <w:r w:rsidRPr="00510BD1">
        <w:t xml:space="preserve">Auger, N., Potter, B.J., Ukah, U.V., Low, N., Israël, M., Steiger, H., Healy‐Profitós, J. and Paradis, G. (2021). Anorexia nervosa and the long‐term risk of mortality in women. </w:t>
      </w:r>
      <w:r w:rsidRPr="00510BD1">
        <w:rPr>
          <w:i/>
          <w:iCs/>
        </w:rPr>
        <w:t>World Psychiatry</w:t>
      </w:r>
      <w:r w:rsidRPr="00510BD1">
        <w:t>, [online] 20(3), pp.448–449. doi:https://doi.org/10.1002/wps.20904.</w:t>
      </w:r>
    </w:p>
    <w:p w14:paraId="5FD4E493" w14:textId="77777777" w:rsidR="00510BD1" w:rsidRPr="00510BD1" w:rsidRDefault="00510BD1" w:rsidP="00510BD1">
      <w:r w:rsidRPr="00510BD1">
        <w:t xml:space="preserve">Ayton, A., Viljoen, D., Ryan, S., Ibrahim, A. and Ford, D. (2021). Risk, demand, capacity and outcomes in adult specialist eating disorder services in South-East of England before and since COVID-19. </w:t>
      </w:r>
      <w:r w:rsidRPr="00510BD1">
        <w:rPr>
          <w:i/>
          <w:iCs/>
        </w:rPr>
        <w:t>BJPsych Bulletin</w:t>
      </w:r>
      <w:r w:rsidRPr="00510BD1">
        <w:t>, 46(2), pp.1–7. doi:https://doi.org/10.1192/bjb.2021.73.</w:t>
      </w:r>
    </w:p>
    <w:p w14:paraId="0551C1D5" w14:textId="77777777" w:rsidR="00510BD1" w:rsidRPr="00510BD1" w:rsidRDefault="00510BD1" w:rsidP="00510BD1">
      <w:r w:rsidRPr="00510BD1">
        <w:t xml:space="preserve">Barlattani, T., D’Amelio, C., Cavatassi, A., Luca, D.D., Stefano, R.D., Berardo, A.D., Mantenuto, S., Minutillo, F., Leonardi, V., Renzi, G., Russo, A., Rossi, A. and Pacitti, F. (2023). Autism spectrum disorders and psychiatric comorbidities: a narrative review. </w:t>
      </w:r>
      <w:r w:rsidRPr="00510BD1">
        <w:rPr>
          <w:i/>
          <w:iCs/>
        </w:rPr>
        <w:t>Journal of Psychopathology</w:t>
      </w:r>
      <w:r w:rsidRPr="00510BD1">
        <w:t>, [online] 1(1-2). doi:https://doi.org/10.36148/2284-0249-N281.</w:t>
      </w:r>
    </w:p>
    <w:p w14:paraId="2C85C778" w14:textId="77777777" w:rsidR="00510BD1" w:rsidRPr="00510BD1" w:rsidRDefault="00510BD1" w:rsidP="00510BD1">
      <w:r w:rsidRPr="00510BD1">
        <w:t xml:space="preserve">BEAT (2022). </w:t>
      </w:r>
      <w:r w:rsidRPr="00510BD1">
        <w:rPr>
          <w:i/>
          <w:iCs/>
        </w:rPr>
        <w:t>How Many People Have an Eating Disorder in the UK?</w:t>
      </w:r>
      <w:r w:rsidRPr="00510BD1">
        <w:t xml:space="preserve"> [online] Beat Eating Disorders. Available at: https://www.beateatingdisorders.org.uk/get-information-and-support/about-eating-disorders/how-many-people-eating-disorder-uk/.</w:t>
      </w:r>
    </w:p>
    <w:p w14:paraId="23421E30" w14:textId="77777777" w:rsidR="00510BD1" w:rsidRPr="00510BD1" w:rsidRDefault="00510BD1" w:rsidP="00510BD1">
      <w:r w:rsidRPr="00510BD1">
        <w:t xml:space="preserve">Bryant, E., Marks, P., Griffiths, K., Boulet, S., Pehlivan, M., Barakat, S., Touyz, S. and Maguire, S. (2025). Treating the individual: moving towards personalised eating disorder care. </w:t>
      </w:r>
      <w:r w:rsidRPr="00510BD1">
        <w:rPr>
          <w:i/>
          <w:iCs/>
        </w:rPr>
        <w:t>Journal of Eating Disorders</w:t>
      </w:r>
      <w:r w:rsidRPr="00510BD1">
        <w:t>, 13(1). doi:https://doi.org/10.1186/s40337-025-01246-6.</w:t>
      </w:r>
    </w:p>
    <w:p w14:paraId="3A8CD7E0" w14:textId="77777777" w:rsidR="00510BD1" w:rsidRPr="00510BD1" w:rsidRDefault="00510BD1" w:rsidP="00510BD1">
      <w:r w:rsidRPr="00510BD1">
        <w:t xml:space="preserve">Cass, K., McGuire, C., Bjork, I., Sobotka, N., Walsh, K. and Mehler, P.S. (2020). Medical Complications of Anorexia Nervosa. </w:t>
      </w:r>
      <w:r w:rsidRPr="00510BD1">
        <w:rPr>
          <w:i/>
          <w:iCs/>
        </w:rPr>
        <w:t>Psychosomatics</w:t>
      </w:r>
      <w:r w:rsidRPr="00510BD1">
        <w:t>, 61(6). doi:https://doi.org/10.1016/j.psym.2020.06.020.</w:t>
      </w:r>
    </w:p>
    <w:p w14:paraId="48428E4E" w14:textId="77777777" w:rsidR="00510BD1" w:rsidRPr="00510BD1" w:rsidRDefault="00510BD1" w:rsidP="00510BD1">
      <w:r w:rsidRPr="00510BD1">
        <w:t xml:space="preserve">Cobbaert, L., Millichamp, A.R., Elwyn, R., Silverstein, S., Schweizer, K., Thomas, E. and Miskovic-Wheatley, J. (2024). Neurodivergence, intersectionality, and eating disorders: a lived experience-led narrative review. </w:t>
      </w:r>
      <w:r w:rsidRPr="00510BD1">
        <w:rPr>
          <w:i/>
          <w:iCs/>
        </w:rPr>
        <w:t>Journal of Eating Disorders</w:t>
      </w:r>
      <w:r w:rsidRPr="00510BD1">
        <w:t>, 12(1). doi:https://doi.org/10.1186/s40337-024-01126-5.</w:t>
      </w:r>
    </w:p>
    <w:p w14:paraId="3C5A2FB0" w14:textId="77777777" w:rsidR="00510BD1" w:rsidRPr="00510BD1" w:rsidRDefault="00510BD1" w:rsidP="00510BD1">
      <w:r w:rsidRPr="00510BD1">
        <w:lastRenderedPageBreak/>
        <w:t xml:space="preserve">Dandan, N., Mansour, F. and Diab, T. (2024). The role of psychology in a multi-disciplinary psychiatric inpatient setting: perspectives from the multidisciplinary team. </w:t>
      </w:r>
      <w:r w:rsidRPr="00510BD1">
        <w:rPr>
          <w:i/>
          <w:iCs/>
        </w:rPr>
        <w:t>Middle East Current Psychiatry</w:t>
      </w:r>
      <w:r w:rsidRPr="00510BD1">
        <w:t>, 31(1). doi:https://doi.org/10.1186/s43045-024-00417-6.</w:t>
      </w:r>
    </w:p>
    <w:p w14:paraId="6AE4353F" w14:textId="77777777" w:rsidR="00510BD1" w:rsidRPr="00510BD1" w:rsidRDefault="00510BD1" w:rsidP="00510BD1">
      <w:r w:rsidRPr="00510BD1">
        <w:t xml:space="preserve">Danielsen, Y.S., Årdal Rekkedal, G., Frostad, S. and Kessler, U. (2016). Effectiveness of enhanced cognitive behavioral therapy (CBT-E) in the treatment of anorexia nervosa: a prospective multidisciplinary study. </w:t>
      </w:r>
      <w:r w:rsidRPr="00510BD1">
        <w:rPr>
          <w:i/>
          <w:iCs/>
        </w:rPr>
        <w:t>BMC Psychiatry</w:t>
      </w:r>
      <w:r w:rsidRPr="00510BD1">
        <w:t>, 16(1). doi:https://doi.org/10.1186/s12888-016-1056-6.</w:t>
      </w:r>
    </w:p>
    <w:p w14:paraId="4FDBA893" w14:textId="77777777" w:rsidR="00510BD1" w:rsidRPr="00510BD1" w:rsidRDefault="00510BD1" w:rsidP="00510BD1">
      <w:r w:rsidRPr="00510BD1">
        <w:t xml:space="preserve">Faugno, E., Galbraith, A.A., Walsh, K., Maglione, P.J., Farmer, J.R. and Ong, M.-S. (2024). Experiences with diagnostic delay among underserved racial and ethnic patients: A systematic review of the qualitative literature. </w:t>
      </w:r>
      <w:r w:rsidRPr="00510BD1">
        <w:rPr>
          <w:i/>
          <w:iCs/>
        </w:rPr>
        <w:t>BMJ Quality &amp; Safety</w:t>
      </w:r>
      <w:r w:rsidRPr="00510BD1">
        <w:t>, [online] 34(3), p.bmjqs-2024-017506. doi:https://doi.org/10.1136/bmjqs-2024-017506.</w:t>
      </w:r>
    </w:p>
    <w:p w14:paraId="38DEDE74" w14:textId="77777777" w:rsidR="00510BD1" w:rsidRPr="00510BD1" w:rsidRDefault="00510BD1" w:rsidP="00510BD1">
      <w:r w:rsidRPr="00510BD1">
        <w:t xml:space="preserve">Frost, B.G., Tirupati, S., Johnston, S., Turrell, M., Lewin, T.J., Sly, K.A. and Conrad, A.M. (2017). An integrated recovery-oriented model (IRM) for mental health services: Evolution and challenges. </w:t>
      </w:r>
      <w:r w:rsidRPr="00510BD1">
        <w:rPr>
          <w:i/>
          <w:iCs/>
        </w:rPr>
        <w:t>BMC Psychiatry</w:t>
      </w:r>
      <w:r w:rsidRPr="00510BD1">
        <w:t>, [online] 17(1), pp.1–17. doi:https://doi.org/10.1186/s12888-016-1164-3.</w:t>
      </w:r>
    </w:p>
    <w:p w14:paraId="5908D3D1" w14:textId="77777777" w:rsidR="00510BD1" w:rsidRPr="00510BD1" w:rsidRDefault="00510BD1" w:rsidP="00510BD1">
      <w:r w:rsidRPr="00510BD1">
        <w:t xml:space="preserve">Green, C.E.D.A., Manthorpe, J. and Martineau, S. (2021). A matter of life or death: a rapid review assessment of London’s safeguarding adults reviews to inform the future of mental health adult social care under a new Mental Health Act. </w:t>
      </w:r>
      <w:r w:rsidRPr="00510BD1">
        <w:rPr>
          <w:i/>
          <w:iCs/>
        </w:rPr>
        <w:t>kclpure.kcl.ac.uk</w:t>
      </w:r>
      <w:r w:rsidRPr="00510BD1">
        <w:t>. [online] doi:https://doi.org/10.18742/pub01-058.</w:t>
      </w:r>
    </w:p>
    <w:p w14:paraId="42B2E44C" w14:textId="77777777" w:rsidR="00510BD1" w:rsidRPr="00510BD1" w:rsidRDefault="00510BD1" w:rsidP="00510BD1">
      <w:r w:rsidRPr="00510BD1">
        <w:t xml:space="preserve">Harvey, C., Zirnsak, T.-M., Brasier, C., Ennals, P., Fletcher, J., Hamilton, B., Killaspy, H., McKenzie, P., Kennedy, H. and Brophy, L. (2023). Community-based models of care facilitating the recovery of people living with persistent and complex mental health needs: a systematic review and narrative synthesis. </w:t>
      </w:r>
      <w:r w:rsidRPr="00510BD1">
        <w:rPr>
          <w:i/>
          <w:iCs/>
        </w:rPr>
        <w:t>Frontiers in Psychiatry</w:t>
      </w:r>
      <w:r w:rsidRPr="00510BD1">
        <w:t>, 14(14). doi:https://doi.org/10.3389/fpsyt.2023.1259944.</w:t>
      </w:r>
    </w:p>
    <w:p w14:paraId="63ED1C9C" w14:textId="77777777" w:rsidR="00510BD1" w:rsidRPr="00510BD1" w:rsidRDefault="00510BD1" w:rsidP="00510BD1">
      <w:r w:rsidRPr="00510BD1">
        <w:t xml:space="preserve">James, C., Denholm, R. and Wood, R. (2024). The cost of keeping patients waiting: retrospective treatment-control study of additional healthcare utilisation for UK patients awaiting elective treatment. </w:t>
      </w:r>
      <w:r w:rsidRPr="00510BD1">
        <w:rPr>
          <w:i/>
          <w:iCs/>
        </w:rPr>
        <w:t>BMC health services research</w:t>
      </w:r>
      <w:r w:rsidRPr="00510BD1">
        <w:t>, [online] 24(1). doi:https://doi.org/10.1186/s12913-024-10931-2.</w:t>
      </w:r>
    </w:p>
    <w:p w14:paraId="1A6F872F" w14:textId="77777777" w:rsidR="00510BD1" w:rsidRPr="00510BD1" w:rsidRDefault="00510BD1" w:rsidP="00510BD1">
      <w:r w:rsidRPr="00510BD1">
        <w:lastRenderedPageBreak/>
        <w:t xml:space="preserve">Jansingh, A., Danner, U.N., Hoek, H.W. and van Elburg, A.A. (2020). Developments in the psychological treatment of anorexia nervosa and their implications for daily practice. </w:t>
      </w:r>
      <w:r w:rsidRPr="00510BD1">
        <w:rPr>
          <w:i/>
          <w:iCs/>
        </w:rPr>
        <w:t>Current Opinion in Psychiatry</w:t>
      </w:r>
      <w:r w:rsidRPr="00510BD1">
        <w:t>, [online] 33(6), pp.534–541. doi:https://doi.org/10.1097/yco.0000000000000642.</w:t>
      </w:r>
    </w:p>
    <w:p w14:paraId="43A1C8E0" w14:textId="77777777" w:rsidR="00510BD1" w:rsidRPr="00510BD1" w:rsidRDefault="00510BD1" w:rsidP="00510BD1">
      <w:r w:rsidRPr="00510BD1">
        <w:t xml:space="preserve">Kutz, A.M., Marsh, A.G., Gunderson, C.G., Maguen, S. and Masheb, R.M. (2019). Eating Disorder Screening: a Systematic Review and Meta-analysis of Diagnostic Test Characteristics of the SCOFF. </w:t>
      </w:r>
      <w:r w:rsidRPr="00510BD1">
        <w:rPr>
          <w:i/>
          <w:iCs/>
        </w:rPr>
        <w:t>Journal of General Internal Medicine</w:t>
      </w:r>
      <w:r w:rsidRPr="00510BD1">
        <w:t>, [online] 35(3). doi:https://doi.org/10.1007/s11606-019-05478-6.</w:t>
      </w:r>
    </w:p>
    <w:p w14:paraId="30A4190F" w14:textId="77777777" w:rsidR="00510BD1" w:rsidRPr="00510BD1" w:rsidRDefault="00510BD1" w:rsidP="00510BD1">
      <w:r w:rsidRPr="00510BD1">
        <w:t xml:space="preserve">Marsland, D., White, C. and Manthorpe, J. (2018). The continuity of social care when moving across regional boundaries. </w:t>
      </w:r>
      <w:r w:rsidRPr="00510BD1">
        <w:rPr>
          <w:i/>
          <w:iCs/>
        </w:rPr>
        <w:t>Journal of Social Work</w:t>
      </w:r>
      <w:r w:rsidRPr="00510BD1">
        <w:t>, 19(5), pp.557–577. doi:https://doi.org/10.1177/1468017318762268.</w:t>
      </w:r>
    </w:p>
    <w:p w14:paraId="22622C91" w14:textId="77777777" w:rsidR="00510BD1" w:rsidRPr="00510BD1" w:rsidRDefault="00510BD1" w:rsidP="00510BD1">
      <w:r w:rsidRPr="00510BD1">
        <w:t xml:space="preserve">Martin-Wagar, C.A., Holmes, S. and Bhatnagar, K.A.C. (2018). Predictors of Weight Restoration in a Day-Treatment Program that Supports Family-Based Treatment for Adolescents with Anorexia Nervosa. </w:t>
      </w:r>
      <w:r w:rsidRPr="00510BD1">
        <w:rPr>
          <w:i/>
          <w:iCs/>
        </w:rPr>
        <w:t>Eating Disorders</w:t>
      </w:r>
      <w:r w:rsidRPr="00510BD1">
        <w:t>, 27(4), pp.400–417. doi:https://doi.org/10.1080/10640266.2018.1528085.</w:t>
      </w:r>
    </w:p>
    <w:p w14:paraId="2B548188" w14:textId="77777777" w:rsidR="00510BD1" w:rsidRPr="00510BD1" w:rsidRDefault="00510BD1" w:rsidP="00510BD1">
      <w:r w:rsidRPr="00510BD1">
        <w:t xml:space="preserve">Mazurek, M.O., Lu, F., Macklin, E.A. and Handen, B.L. (2018). Factors associated with DSM-5 severity level ratings for autism spectrum disorder. </w:t>
      </w:r>
      <w:r w:rsidRPr="00510BD1">
        <w:rPr>
          <w:i/>
          <w:iCs/>
        </w:rPr>
        <w:t>Autism</w:t>
      </w:r>
      <w:r w:rsidRPr="00510BD1">
        <w:t>, 23(2), pp.468–476. doi:https://doi.org/10.1177/1362361318755318.</w:t>
      </w:r>
    </w:p>
    <w:p w14:paraId="63FA037D" w14:textId="77777777" w:rsidR="00510BD1" w:rsidRPr="00510BD1" w:rsidRDefault="00510BD1" w:rsidP="00510BD1">
      <w:r w:rsidRPr="00510BD1">
        <w:t xml:space="preserve">Mizen, S., Jones, V. and Howson, S. (2024). Out of area placements for people with ‘Personality Disorder’: Making the case for a local intensive psychotherapeutic alternative. </w:t>
      </w:r>
      <w:r w:rsidRPr="00510BD1">
        <w:rPr>
          <w:i/>
          <w:iCs/>
        </w:rPr>
        <w:t>Personality and Mental Health</w:t>
      </w:r>
      <w:r w:rsidRPr="00510BD1">
        <w:t>, 19(1). doi:https://doi.org/10.1002/pmh.1649.</w:t>
      </w:r>
    </w:p>
    <w:p w14:paraId="0964BE63" w14:textId="77777777" w:rsidR="00510BD1" w:rsidRPr="00510BD1" w:rsidRDefault="00510BD1" w:rsidP="00510BD1">
      <w:r w:rsidRPr="00510BD1">
        <w:t xml:space="preserve">Moisey, L.L., Merriweather, J.L. and Drover, J.W. (2022). The role of nutrition rehabilitation in the recovery of survivors of critical illness: underrecognized and underappreciated. </w:t>
      </w:r>
      <w:r w:rsidRPr="00510BD1">
        <w:rPr>
          <w:i/>
          <w:iCs/>
        </w:rPr>
        <w:t>Critical Care</w:t>
      </w:r>
      <w:r w:rsidRPr="00510BD1">
        <w:t>, 26(1). doi:https://doi.org/10.1186/s13054-022-04143-5.</w:t>
      </w:r>
    </w:p>
    <w:p w14:paraId="78E8859F" w14:textId="77777777" w:rsidR="00510BD1" w:rsidRPr="00510BD1" w:rsidRDefault="00510BD1" w:rsidP="00510BD1">
      <w:r w:rsidRPr="00510BD1">
        <w:t xml:space="preserve">Moniz-Lewis, D. (2024). The mindful resiliency in recovery model: Empowering the transcendence of stigma. </w:t>
      </w:r>
      <w:r w:rsidRPr="00510BD1">
        <w:rPr>
          <w:i/>
          <w:iCs/>
        </w:rPr>
        <w:t>Frontiers in Psychology</w:t>
      </w:r>
      <w:r w:rsidRPr="00510BD1">
        <w:t>, 15. doi:https://doi.org/10.3389/fpsyg.2024.1460329.</w:t>
      </w:r>
    </w:p>
    <w:p w14:paraId="0B5B24AB" w14:textId="77777777" w:rsidR="00510BD1" w:rsidRPr="00510BD1" w:rsidRDefault="00510BD1" w:rsidP="00510BD1">
      <w:r w:rsidRPr="00510BD1">
        <w:lastRenderedPageBreak/>
        <w:t xml:space="preserve">NICE (2017). </w:t>
      </w:r>
      <w:r w:rsidRPr="00510BD1">
        <w:rPr>
          <w:i/>
          <w:iCs/>
        </w:rPr>
        <w:t>Overview | Eating disorders: Recognition and Treatment | Guidance | NICE</w:t>
      </w:r>
      <w:r w:rsidRPr="00510BD1">
        <w:t>. [online] Nice.org.uk. Available at: https://www.nice.org.uk/guidance/ng69.</w:t>
      </w:r>
    </w:p>
    <w:p w14:paraId="429A69FF" w14:textId="77777777" w:rsidR="00510BD1" w:rsidRPr="00510BD1" w:rsidRDefault="00510BD1" w:rsidP="00510BD1">
      <w:r w:rsidRPr="00510BD1">
        <w:t xml:space="preserve">Parish, A.L., Gillis, B. and Anthamatten, A. (2023). Pharmacotherapy for Depression and Anxiety in the Primary Care Setting. </w:t>
      </w:r>
      <w:r w:rsidRPr="00510BD1">
        <w:rPr>
          <w:i/>
          <w:iCs/>
        </w:rPr>
        <w:t>The Journal for Nurse Practitioners</w:t>
      </w:r>
      <w:r w:rsidRPr="00510BD1">
        <w:t>, 19(4), p.104556. doi:https://doi.org/10.1016/j.nurpra.2023.104556.</w:t>
      </w:r>
    </w:p>
    <w:p w14:paraId="38E1261E" w14:textId="77777777" w:rsidR="00510BD1" w:rsidRPr="00510BD1" w:rsidRDefault="00510BD1" w:rsidP="00510BD1">
      <w:r w:rsidRPr="00510BD1">
        <w:t xml:space="preserve">Peebles, R., Lesser, A., Park, C.C., Heckert, K., Timko, C.A., Lantzouni, E., Liebman, R. and Weaver, L. (2017). Outcomes of an inpatient medical nutritional rehabilitation protocol in children and adolescents with eating disorders. </w:t>
      </w:r>
      <w:r w:rsidRPr="00510BD1">
        <w:rPr>
          <w:i/>
          <w:iCs/>
        </w:rPr>
        <w:t>Journal of Eating Disorders</w:t>
      </w:r>
      <w:r w:rsidRPr="00510BD1">
        <w:t>, 5(1). doi:https://doi.org/10.1186/s40337-017-0134-6.</w:t>
      </w:r>
    </w:p>
    <w:p w14:paraId="30801581" w14:textId="77777777" w:rsidR="00510BD1" w:rsidRPr="00510BD1" w:rsidRDefault="00510BD1" w:rsidP="00510BD1">
      <w:r w:rsidRPr="00510BD1">
        <w:t>Quadflieg, N., Voderholzer, U., Meule, A. and Fichter, M.M. (2023). Comparing ICD‐11 and DSM‐5 eating disorder diagnoses with the Munich eating and feeding disorder questionnaire (ED‐Quest). doi:https://doi.org/10.1002/eat.24010.</w:t>
      </w:r>
    </w:p>
    <w:p w14:paraId="3CC5D014" w14:textId="77777777" w:rsidR="00510BD1" w:rsidRPr="00510BD1" w:rsidRDefault="00510BD1" w:rsidP="00510BD1">
      <w:r w:rsidRPr="00510BD1">
        <w:t xml:space="preserve">Rebecchi, K. (2025). Beyond ‘autism spectrum disorder’: toward a redefinition of the conceptual foundations of autism. </w:t>
      </w:r>
      <w:r w:rsidRPr="00510BD1">
        <w:rPr>
          <w:i/>
          <w:iCs/>
        </w:rPr>
        <w:t>AIMS Medical Science</w:t>
      </w:r>
      <w:r w:rsidRPr="00510BD1">
        <w:t>, 12(2), pp.193–209. doi:https://doi.org/10.3934/medsci.2025012.</w:t>
      </w:r>
    </w:p>
    <w:p w14:paraId="0BCC5D6B" w14:textId="77777777" w:rsidR="00510BD1" w:rsidRPr="00510BD1" w:rsidRDefault="00510BD1" w:rsidP="00510BD1">
      <w:r w:rsidRPr="00510BD1">
        <w:t xml:space="preserve">Reed, G.M., First, M.B., Kogan, C.S., Hyman, S.E., Gureje, O., Gaebel, W., Maj, M., Stein, D.J., Maercker, A., Tyrer, P., Claudino, A., Garralda, E., Salvador-Carulla, L., Ray, R., Saunders, J.B., Dua, T., Poznyak, V., Medina-Mora, M.E., Pike, K.M. and Ayuso-Mateos, J.L. (2019). Innovations and changes in the ICD-11 classification of mental, behavioural and neurodevelopmental disorders. </w:t>
      </w:r>
      <w:r w:rsidRPr="00510BD1">
        <w:rPr>
          <w:i/>
          <w:iCs/>
        </w:rPr>
        <w:t>World Psychiatry</w:t>
      </w:r>
      <w:r w:rsidRPr="00510BD1">
        <w:t>, [online] 18(1), pp.3–19. Available at: https://onlinelibrary.wiley.com/doi/full/10.1002/wps.20611.</w:t>
      </w:r>
    </w:p>
    <w:p w14:paraId="3A2896A8" w14:textId="77777777" w:rsidR="00510BD1" w:rsidRPr="00510BD1" w:rsidRDefault="00510BD1" w:rsidP="00510BD1">
      <w:r w:rsidRPr="00510BD1">
        <w:t xml:space="preserve">Sibal, R., G Balamurugan, Graham, Y. and Kamal Mahawar (2025). Moving away from BMI: a new era of diagnostic criteria in obesity. </w:t>
      </w:r>
      <w:r w:rsidRPr="00510BD1">
        <w:rPr>
          <w:i/>
          <w:iCs/>
        </w:rPr>
        <w:t>Expert Review of Endocrinology &amp; Metabolism</w:t>
      </w:r>
      <w:r w:rsidRPr="00510BD1">
        <w:t>. doi:https://doi.org/10.1080/17446651.2025.2537160.</w:t>
      </w:r>
    </w:p>
    <w:p w14:paraId="42287B21" w14:textId="77777777" w:rsidR="00510BD1" w:rsidRPr="00510BD1" w:rsidRDefault="00510BD1" w:rsidP="00510BD1">
      <w:r w:rsidRPr="00510BD1">
        <w:t xml:space="preserve">Sim, L. (2019). Our Eating Disorders Blind Spot: Sex and Ethnic/Racial Disparities in Help-Seeking for Eating Disorders. </w:t>
      </w:r>
      <w:r w:rsidRPr="00510BD1">
        <w:rPr>
          <w:i/>
          <w:iCs/>
        </w:rPr>
        <w:t>Mayo Clinic Proceedings</w:t>
      </w:r>
      <w:r w:rsidRPr="00510BD1">
        <w:t>, 94(8), pp.1398–1400. doi:https://doi.org/10.1016/j.mayocp.2019.06.006.</w:t>
      </w:r>
    </w:p>
    <w:p w14:paraId="2608817F" w14:textId="77777777" w:rsidR="00510BD1" w:rsidRPr="00510BD1" w:rsidRDefault="00510BD1" w:rsidP="00510BD1">
      <w:r w:rsidRPr="00510BD1">
        <w:lastRenderedPageBreak/>
        <w:t xml:space="preserve">Staras, C.O., Juliet, McDermott, D.T. and Jones, B.A. (2024). An evaluation of the role of social identity processes for enhancing health outcomes within UK‐based social prescribing initiatives designed to increase social connection and reduce loneliness: A systematic review. </w:t>
      </w:r>
      <w:r w:rsidRPr="00510BD1">
        <w:rPr>
          <w:i/>
          <w:iCs/>
        </w:rPr>
        <w:t>Journal of Community &amp; Applied Social Psychology</w:t>
      </w:r>
      <w:r w:rsidRPr="00510BD1">
        <w:t>, 34(5). doi:https://doi.org/10.1002/casp.2878.</w:t>
      </w:r>
    </w:p>
    <w:p w14:paraId="2F5CBD2E" w14:textId="77777777" w:rsidR="00510BD1" w:rsidRPr="00510BD1" w:rsidRDefault="00510BD1" w:rsidP="00510BD1">
      <w:r w:rsidRPr="00510BD1">
        <w:t xml:space="preserve">Startup, H., Franklin-Smith, M., Barber, W., Gilbert, N., Brown, Y., Glennon, D., Fukutomi, A. and Schmidt, U. (2021). The Maudsley Anorexia Nervosa Treatment for Adults (MANTRA): a feasibility case series of an integrated group based approach. </w:t>
      </w:r>
      <w:r w:rsidRPr="00510BD1">
        <w:rPr>
          <w:i/>
          <w:iCs/>
        </w:rPr>
        <w:t>Journal of Eating Disorders</w:t>
      </w:r>
      <w:r w:rsidRPr="00510BD1">
        <w:t>, [online] 9(1). doi:https://doi.org/10.1186/s40337-021-00424-6.</w:t>
      </w:r>
    </w:p>
    <w:p w14:paraId="13D25199" w14:textId="77777777" w:rsidR="00510BD1" w:rsidRPr="00510BD1" w:rsidRDefault="00510BD1" w:rsidP="00510BD1">
      <w:r w:rsidRPr="00510BD1">
        <w:t xml:space="preserve">Stein, D.J., Szatmari, P., Gaebel, W., Berk, M., Vieta, E., Maj, M., de Vries, Y.A., Roest, A.M., de Jonge, P., Maercker, A., Brewin, C.R., Pike, K.M., Grilo, C.M., Fineberg, N.A., Briken, P., Cohen-Kettenis, P.T. and Reed, G.M. (2020). Mental, behavioral and neurodevelopmental disorders in the ICD-11: an international perspective on key changes and controversies. </w:t>
      </w:r>
      <w:r w:rsidRPr="00510BD1">
        <w:rPr>
          <w:i/>
          <w:iCs/>
        </w:rPr>
        <w:t>BMC Medicine</w:t>
      </w:r>
      <w:r w:rsidRPr="00510BD1">
        <w:t>, [online] 18(21). doi:https://doi.org/10.1186/s12916-020-1495-2.</w:t>
      </w:r>
    </w:p>
    <w:p w14:paraId="069123CA" w14:textId="77777777" w:rsidR="00510BD1" w:rsidRPr="00510BD1" w:rsidRDefault="00510BD1" w:rsidP="00510BD1">
      <w:r w:rsidRPr="00510BD1">
        <w:t xml:space="preserve">Touyz, S., Aouad, P., Carney, T., Ong, S.H., Yager, J., Newton, R., Hay, P., Maguire, S. and Bryant, E. (2024). Clinical, legal and ethical implications of coercion and compulsory treatment in eating disorders: do rapid review findings identify clear answers or more muddy waters? </w:t>
      </w:r>
      <w:r w:rsidRPr="00510BD1">
        <w:rPr>
          <w:i/>
          <w:iCs/>
        </w:rPr>
        <w:t>Journal of Eating Disorders</w:t>
      </w:r>
      <w:r w:rsidRPr="00510BD1">
        <w:t>, [online] 12(1). doi:https://doi.org/10.1186/s40337-024-01120-x.</w:t>
      </w:r>
    </w:p>
    <w:p w14:paraId="0916C19F" w14:textId="77777777" w:rsidR="00510BD1" w:rsidRPr="00510BD1" w:rsidRDefault="00510BD1" w:rsidP="00510BD1">
      <w:r w:rsidRPr="00510BD1">
        <w:t xml:space="preserve">Treger, I., Kosto, A., Vadas, D., Friedman, A., Lutsky, L. and Kalichman, L. (2024). Crafting the Future of Community-Based Medical Rehabilitation: Exploring Optimal Models for Non-Inpatient Rehabilitation Services through a Narrative Review. </w:t>
      </w:r>
      <w:r w:rsidRPr="00510BD1">
        <w:rPr>
          <w:i/>
          <w:iCs/>
        </w:rPr>
        <w:t>International Journal of Environmental Research and Public Health</w:t>
      </w:r>
      <w:r w:rsidRPr="00510BD1">
        <w:t>, [online] 21(10), p.1332. doi:https://doi.org/10.3390/ijerph21101332.</w:t>
      </w:r>
    </w:p>
    <w:p w14:paraId="490E9DF1" w14:textId="77777777" w:rsidR="00510BD1" w:rsidRPr="00510BD1" w:rsidRDefault="00510BD1" w:rsidP="00510BD1">
      <w:r w:rsidRPr="00510BD1">
        <w:t xml:space="preserve">Tse, A., Xavier, S., Trollope-Kumar, K., Agarwal, G. and Lokker, C. (2022). Challenges in eating disorder diagnosis and management among family physicians and trainees: a qualitative study. </w:t>
      </w:r>
      <w:r w:rsidRPr="00510BD1">
        <w:rPr>
          <w:i/>
          <w:iCs/>
        </w:rPr>
        <w:t>Journal of Eating Disorders</w:t>
      </w:r>
      <w:r w:rsidRPr="00510BD1">
        <w:t>, 10(1). doi:https://doi.org/10.1186/s40337-022-00570-5.</w:t>
      </w:r>
    </w:p>
    <w:p w14:paraId="50CE14B2" w14:textId="77777777" w:rsidR="00510BD1" w:rsidRPr="00510BD1" w:rsidRDefault="00510BD1" w:rsidP="00510BD1">
      <w:r w:rsidRPr="00510BD1">
        <w:t xml:space="preserve">Waite, M.R., Heslin, K., Cook, J., Kim, A. and Simpson, M. (2023). Predicting substance use disorder treatment follow-ups and relapse across the continuum of care at a single behavioral health center. </w:t>
      </w:r>
      <w:r w:rsidRPr="00510BD1">
        <w:rPr>
          <w:i/>
          <w:iCs/>
        </w:rPr>
        <w:t>Journal of Substance Use and Addiction Treatment</w:t>
      </w:r>
      <w:r w:rsidRPr="00510BD1">
        <w:t>, p.208933. doi:https://doi.org/10.1016/j.josat.2022.208933.</w:t>
      </w:r>
    </w:p>
    <w:p w14:paraId="0CFCCAF5" w14:textId="77777777" w:rsidR="00510BD1" w:rsidRPr="00510BD1" w:rsidRDefault="00510BD1" w:rsidP="00510BD1">
      <w:r w:rsidRPr="00510BD1">
        <w:lastRenderedPageBreak/>
        <w:t xml:space="preserve">Weiss, B. (2025). </w:t>
      </w:r>
      <w:r w:rsidRPr="00510BD1">
        <w:rPr>
          <w:i/>
          <w:iCs/>
        </w:rPr>
        <w:t>Behave Health</w:t>
      </w:r>
      <w:r w:rsidRPr="00510BD1">
        <w:t>. [online] Behave Health. Available at: https://behavehealth.com/blog/eating-disorder-treatment-plan-billing-compliance-guide [Accessed 22 Oct. 2025].</w:t>
      </w:r>
    </w:p>
    <w:p w14:paraId="5902C7C2" w14:textId="77777777" w:rsidR="00510BD1" w:rsidRPr="00510BD1" w:rsidRDefault="00510BD1" w:rsidP="00510BD1">
      <w:r w:rsidRPr="00510BD1">
        <w:t xml:space="preserve">World Health Organization (2022). </w:t>
      </w:r>
      <w:r w:rsidRPr="00510BD1">
        <w:rPr>
          <w:i/>
          <w:iCs/>
        </w:rPr>
        <w:t>International statistical classification of diseases and related health problems (11th ed.)</w:t>
      </w:r>
      <w:r w:rsidRPr="00510BD1">
        <w:t>. [online] International Classification of Diseases 11th Revision. Available at: https://icd.who.int/.</w:t>
      </w:r>
    </w:p>
    <w:p w14:paraId="268BBA2F" w14:textId="77777777" w:rsidR="00510BD1" w:rsidRPr="00510BD1" w:rsidRDefault="00510BD1" w:rsidP="00510BD1"/>
    <w:sectPr w:rsidR="00510BD1" w:rsidRPr="00510BD1" w:rsidSect="00510BD1">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2C02E" w14:textId="77777777" w:rsidR="001E61AF" w:rsidRDefault="001E61AF" w:rsidP="00510BD1">
      <w:pPr>
        <w:spacing w:after="0" w:line="240" w:lineRule="auto"/>
      </w:pPr>
      <w:r>
        <w:separator/>
      </w:r>
    </w:p>
  </w:endnote>
  <w:endnote w:type="continuationSeparator" w:id="0">
    <w:p w14:paraId="5EFED7FD" w14:textId="77777777" w:rsidR="001E61AF" w:rsidRDefault="001E61AF" w:rsidP="00510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953728"/>
      <w:docPartObj>
        <w:docPartGallery w:val="Page Numbers (Bottom of Page)"/>
        <w:docPartUnique/>
      </w:docPartObj>
    </w:sdtPr>
    <w:sdtEndPr>
      <w:rPr>
        <w:noProof/>
      </w:rPr>
    </w:sdtEndPr>
    <w:sdtContent>
      <w:p w14:paraId="3672BCA9" w14:textId="294FDC01" w:rsidR="00510BD1" w:rsidRDefault="00510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F8546E" w14:textId="77777777" w:rsidR="00510BD1" w:rsidRDefault="00510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DE1FD" w14:textId="77777777" w:rsidR="001E61AF" w:rsidRDefault="001E61AF" w:rsidP="00510BD1">
      <w:pPr>
        <w:spacing w:after="0" w:line="240" w:lineRule="auto"/>
      </w:pPr>
      <w:r>
        <w:separator/>
      </w:r>
    </w:p>
  </w:footnote>
  <w:footnote w:type="continuationSeparator" w:id="0">
    <w:p w14:paraId="0B8DACB1" w14:textId="77777777" w:rsidR="001E61AF" w:rsidRDefault="001E61AF" w:rsidP="00510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1DA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6116B56"/>
    <w:multiLevelType w:val="hybridMultilevel"/>
    <w:tmpl w:val="14F6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7053D"/>
    <w:multiLevelType w:val="hybridMultilevel"/>
    <w:tmpl w:val="24D0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AF5240"/>
    <w:multiLevelType w:val="multilevel"/>
    <w:tmpl w:val="2E502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0A"/>
    <w:rsid w:val="000A7800"/>
    <w:rsid w:val="000D188A"/>
    <w:rsid w:val="001E61AF"/>
    <w:rsid w:val="002A5A14"/>
    <w:rsid w:val="00403BFC"/>
    <w:rsid w:val="004B57DF"/>
    <w:rsid w:val="00510BD1"/>
    <w:rsid w:val="005629EC"/>
    <w:rsid w:val="005D4D7A"/>
    <w:rsid w:val="00842B0A"/>
    <w:rsid w:val="00A57599"/>
    <w:rsid w:val="00B354C4"/>
    <w:rsid w:val="00F369B0"/>
    <w:rsid w:val="00FE5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36E02"/>
  <w15:chartTrackingRefBased/>
  <w15:docId w15:val="{0BB190A0-52E6-4054-8EE2-8C6941AF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BD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510BD1"/>
    <w:pPr>
      <w:keepNext/>
      <w:keepLines/>
      <w:numPr>
        <w:numId w:val="3"/>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510BD1"/>
    <w:pPr>
      <w:keepNext/>
      <w:keepLines/>
      <w:numPr>
        <w:ilvl w:val="1"/>
        <w:numId w:val="3"/>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42B0A"/>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B0A"/>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B0A"/>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B0A"/>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B0A"/>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B0A"/>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B0A"/>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BD1"/>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semiHidden/>
    <w:rsid w:val="00510BD1"/>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842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B0A"/>
    <w:rPr>
      <w:rFonts w:eastAsiaTheme="majorEastAsia" w:cstheme="majorBidi"/>
      <w:color w:val="272727" w:themeColor="text1" w:themeTint="D8"/>
    </w:rPr>
  </w:style>
  <w:style w:type="paragraph" w:styleId="Title">
    <w:name w:val="Title"/>
    <w:basedOn w:val="Normal"/>
    <w:next w:val="Normal"/>
    <w:link w:val="TitleChar"/>
    <w:uiPriority w:val="10"/>
    <w:qFormat/>
    <w:rsid w:val="00510BD1"/>
    <w:pPr>
      <w:spacing w:after="8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10BD1"/>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842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B0A"/>
    <w:pPr>
      <w:spacing w:before="160"/>
      <w:jc w:val="center"/>
    </w:pPr>
    <w:rPr>
      <w:i/>
      <w:iCs/>
      <w:color w:val="404040" w:themeColor="text1" w:themeTint="BF"/>
    </w:rPr>
  </w:style>
  <w:style w:type="character" w:customStyle="1" w:styleId="QuoteChar">
    <w:name w:val="Quote Char"/>
    <w:basedOn w:val="DefaultParagraphFont"/>
    <w:link w:val="Quote"/>
    <w:uiPriority w:val="29"/>
    <w:rsid w:val="00842B0A"/>
    <w:rPr>
      <w:i/>
      <w:iCs/>
      <w:color w:val="404040" w:themeColor="text1" w:themeTint="BF"/>
    </w:rPr>
  </w:style>
  <w:style w:type="paragraph" w:styleId="ListParagraph">
    <w:name w:val="List Paragraph"/>
    <w:basedOn w:val="Normal"/>
    <w:uiPriority w:val="34"/>
    <w:qFormat/>
    <w:rsid w:val="00842B0A"/>
    <w:pPr>
      <w:ind w:left="720"/>
      <w:contextualSpacing/>
    </w:pPr>
  </w:style>
  <w:style w:type="character" w:styleId="IntenseEmphasis">
    <w:name w:val="Intense Emphasis"/>
    <w:basedOn w:val="DefaultParagraphFont"/>
    <w:uiPriority w:val="21"/>
    <w:qFormat/>
    <w:rsid w:val="00842B0A"/>
    <w:rPr>
      <w:i/>
      <w:iCs/>
      <w:color w:val="0F4761" w:themeColor="accent1" w:themeShade="BF"/>
    </w:rPr>
  </w:style>
  <w:style w:type="paragraph" w:styleId="IntenseQuote">
    <w:name w:val="Intense Quote"/>
    <w:basedOn w:val="Normal"/>
    <w:next w:val="Normal"/>
    <w:link w:val="IntenseQuoteChar"/>
    <w:uiPriority w:val="30"/>
    <w:qFormat/>
    <w:rsid w:val="00842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B0A"/>
    <w:rPr>
      <w:i/>
      <w:iCs/>
      <w:color w:val="0F4761" w:themeColor="accent1" w:themeShade="BF"/>
    </w:rPr>
  </w:style>
  <w:style w:type="character" w:styleId="IntenseReference">
    <w:name w:val="Intense Reference"/>
    <w:basedOn w:val="DefaultParagraphFont"/>
    <w:uiPriority w:val="32"/>
    <w:qFormat/>
    <w:rsid w:val="00842B0A"/>
    <w:rPr>
      <w:b/>
      <w:bCs/>
      <w:smallCaps/>
      <w:color w:val="0F4761" w:themeColor="accent1" w:themeShade="BF"/>
      <w:spacing w:val="5"/>
    </w:rPr>
  </w:style>
  <w:style w:type="paragraph" w:styleId="Header">
    <w:name w:val="header"/>
    <w:basedOn w:val="Normal"/>
    <w:link w:val="HeaderChar"/>
    <w:uiPriority w:val="99"/>
    <w:unhideWhenUsed/>
    <w:rsid w:val="00510B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BD1"/>
    <w:rPr>
      <w:rFonts w:ascii="Times New Roman" w:hAnsi="Times New Roman"/>
    </w:rPr>
  </w:style>
  <w:style w:type="paragraph" w:styleId="Footer">
    <w:name w:val="footer"/>
    <w:basedOn w:val="Normal"/>
    <w:link w:val="FooterChar"/>
    <w:uiPriority w:val="99"/>
    <w:unhideWhenUsed/>
    <w:rsid w:val="00510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BD1"/>
    <w:rPr>
      <w:rFonts w:ascii="Times New Roman" w:hAnsi="Times New Roman"/>
    </w:rPr>
  </w:style>
  <w:style w:type="paragraph" w:styleId="TOCHeading">
    <w:name w:val="TOC Heading"/>
    <w:basedOn w:val="Heading1"/>
    <w:next w:val="Normal"/>
    <w:uiPriority w:val="39"/>
    <w:unhideWhenUsed/>
    <w:qFormat/>
    <w:rsid w:val="00510BD1"/>
    <w:pPr>
      <w:numPr>
        <w:numId w:val="0"/>
      </w:num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510BD1"/>
    <w:pPr>
      <w:spacing w:after="100"/>
    </w:pPr>
  </w:style>
  <w:style w:type="character" w:styleId="Hyperlink">
    <w:name w:val="Hyperlink"/>
    <w:basedOn w:val="DefaultParagraphFont"/>
    <w:uiPriority w:val="99"/>
    <w:unhideWhenUsed/>
    <w:rsid w:val="00510B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15</Pages>
  <Words>3669</Words>
  <Characters>23929</Characters>
  <Application>Microsoft Office Word</Application>
  <DocSecurity>0</DocSecurity>
  <Lines>392</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dcterms:created xsi:type="dcterms:W3CDTF">2025-10-22T08:40:00Z</dcterms:created>
  <dcterms:modified xsi:type="dcterms:W3CDTF">2025-10-23T09:53:00Z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2025-10-22T09:26:43Z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e0e5b249-75ed-41df-b9f9-e9cbe438b206</vt:lpwstr>
  </property>
  <property fmtid="{D5CDD505-2E9C-101B-9397-08002B2CF9AE}" pid="7" name="MSIP_Label_defa4170-0d19-0005-0004-bc88714345d2_ActionId">
    <vt:lpwstr>34281517-ab79-44f1-a99a-00a04bf34f16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a8abb6b5-f29f-42ac-9cdf-e2cecebea86a</vt:lpwstr>
  </property>
</Properties>
</file>