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2DF43" w14:textId="37BD7495" w:rsidR="001A680C" w:rsidRPr="001A680C" w:rsidRDefault="001A680C" w:rsidP="001A680C">
      <w:pPr>
        <w:rPr>
          <w:b/>
          <w:bCs/>
        </w:rPr>
      </w:pPr>
      <w:r w:rsidRPr="001A680C">
        <w:rPr>
          <w:b/>
          <w:bCs/>
        </w:rPr>
        <w:t>Evaluation of Person-Centred Care and Partnership Working in Health and Social Care</w:t>
      </w:r>
    </w:p>
    <w:p w14:paraId="5FDBB7BF" w14:textId="77777777" w:rsidR="001A680C" w:rsidRPr="001A680C" w:rsidRDefault="001A680C" w:rsidP="001A680C">
      <w:pPr>
        <w:rPr>
          <w:b/>
          <w:bCs/>
        </w:rPr>
      </w:pPr>
      <w:r w:rsidRPr="001A680C">
        <w:rPr>
          <w:b/>
          <w:bCs/>
        </w:rPr>
        <w:t>Introduction</w:t>
      </w:r>
    </w:p>
    <w:p w14:paraId="5817B8F0" w14:textId="404082E5" w:rsidR="004B40C3" w:rsidRDefault="001A680C" w:rsidP="001A680C">
      <w:r>
        <w:t>Person-centred care (PCC) and partnership working (PW) are key principles in modern UK health and social care. They focus on providing respectful, coordinated, and personalized care while encouraging collaboration among professionals, service users, and organisations. This report reviews PCC and PW, their connection, and their impact on policy and practice.</w:t>
      </w:r>
    </w:p>
    <w:p w14:paraId="003FFD3A" w14:textId="47C8DC30" w:rsidR="001A680C" w:rsidRPr="001A680C" w:rsidRDefault="001A680C" w:rsidP="001A680C">
      <w:pPr>
        <w:rPr>
          <w:b/>
          <w:bCs/>
        </w:rPr>
      </w:pPr>
      <w:r w:rsidRPr="001A680C">
        <w:rPr>
          <w:b/>
          <w:bCs/>
        </w:rPr>
        <w:t>Definition of Person-Centred Care (PCC), Benefits and Limitations</w:t>
      </w:r>
    </w:p>
    <w:p w14:paraId="4902AA95" w14:textId="77777777" w:rsidR="00D835D0" w:rsidRDefault="00D835D0" w:rsidP="00D835D0">
      <w:r>
        <w:t>Person-centred care (PCC) is an approach in health and social care that focuses on respecting and valuing the individual as a unique person. It emphasizes understanding the person’s own needs, preferences, and experiences rather than just treating their illness or condition. This approach involves active collaboration between the care provider and the individual, ensuring that care decisions are made with the person’s full involvement and consent.</w:t>
      </w:r>
    </w:p>
    <w:p w14:paraId="6C8C2B8B" w14:textId="5D1D52E9" w:rsidR="00D835D0" w:rsidRDefault="00D835D0" w:rsidP="00D835D0">
      <w:r>
        <w:t>One of the main benefits of person-centred care is that it promotes dignity and respect, which can lead to improved satisfaction and better health outcomes. When individuals feel heard and understood, they are more likely to engage positively with their care plans. PCC also encourages holistic care, addressing physical, emotional, social, and psychological needs, which supports overall well-being. Additionally, it can enhance trust between professionals and those they support, fostering stronger partnerships.</w:t>
      </w:r>
    </w:p>
    <w:p w14:paraId="3E035D59" w14:textId="0656EC3A" w:rsidR="00D835D0" w:rsidRDefault="00D835D0" w:rsidP="00D835D0">
      <w:r>
        <w:t>However, there are some limitations to this practice. Implementing PCC can be time-consuming and resource-intensive, which may be challenging in busy healthcare settings. It requires well-trained staff who are skilled in communication and empathy. Sometimes, organizational policies or systemic constraints can limit the flexibility needed for truly personalised care. Moreover, balancing person-centred approaches with medical or safety priorities can be complex, especially in urgent or critical situations.</w:t>
      </w:r>
    </w:p>
    <w:p w14:paraId="57FB2464" w14:textId="5788600F" w:rsidR="00D835D0" w:rsidRDefault="00D835D0" w:rsidP="001A680C">
      <w:r>
        <w:t>In summary, person-centred care is a vital approach that puts the individual at the heart of health and social care. While it offers significant benefits in improving care quality and experience, it also faces practical challenges that need to be managed within professional practice.</w:t>
      </w:r>
    </w:p>
    <w:p w14:paraId="634900FB" w14:textId="4E52D1B6" w:rsidR="001A680C" w:rsidRDefault="001A680C" w:rsidP="001A680C">
      <w:pPr>
        <w:rPr>
          <w:b/>
          <w:bCs/>
        </w:rPr>
      </w:pPr>
      <w:r w:rsidRPr="001A680C">
        <w:rPr>
          <w:b/>
          <w:bCs/>
        </w:rPr>
        <w:t>Benefits of PCC</w:t>
      </w:r>
    </w:p>
    <w:p w14:paraId="6A427E6A" w14:textId="430E9B14" w:rsidR="001A680C" w:rsidRDefault="001A680C" w:rsidP="001A680C">
      <w:r>
        <w:lastRenderedPageBreak/>
        <w:t>A key benefit of person-centred care is increased patient satisfaction, as individuals feel acknowledged and respected. It also improves health outcomes by creating care plans tailored to each person's needs, which helps them follow treatments more effectively. Furthermore, it empowers people by encouraging active involvement in their own care.</w:t>
      </w:r>
    </w:p>
    <w:p w14:paraId="13E79A2C" w14:textId="13F898E7" w:rsidR="001A680C" w:rsidRPr="001A680C" w:rsidRDefault="001A680C" w:rsidP="001A680C">
      <w:r>
        <w:t>Another benefit is better communication between professionals and service users, which helps prevent misunderstandings and mistakes. Person-centred care also supports a holistic approach, addressing not just physical health but also emotional, social, and psychological needs.</w:t>
      </w:r>
    </w:p>
    <w:p w14:paraId="51BE4A2F" w14:textId="10DAF289" w:rsidR="001A680C" w:rsidRDefault="001A680C" w:rsidP="001A680C">
      <w:r w:rsidRPr="001A680C">
        <w:rPr>
          <w:b/>
          <w:bCs/>
        </w:rPr>
        <w:t>Limitations of PCC</w:t>
      </w:r>
    </w:p>
    <w:p w14:paraId="018C467D" w14:textId="77777777" w:rsidR="001A680C" w:rsidRDefault="001A680C" w:rsidP="001A680C">
      <w:r>
        <w:t>Although person-centred care has many benefits, it can be time-consuming, especially in busy healthcare environments with limited staff, making full implementation challenging.</w:t>
      </w:r>
    </w:p>
    <w:p w14:paraId="21B5F705" w14:textId="77777777" w:rsidR="001A680C" w:rsidRDefault="001A680C" w:rsidP="001A680C">
      <w:r>
        <w:t>There can also be conflicts between what patients want and professional judgement, particularly when risks are involved. Additionally, some individuals may lack the capacity or confidence to participate in decision-making, which can reduce the effectiveness of PCC.</w:t>
      </w:r>
    </w:p>
    <w:p w14:paraId="024CB003" w14:textId="53090196" w:rsidR="001A680C" w:rsidRDefault="001A680C" w:rsidP="001A680C">
      <w:r>
        <w:t>Limited resources and organisational demands can further hinder the provision of genuinely person-centred care.</w:t>
      </w:r>
    </w:p>
    <w:p w14:paraId="4BCB9757" w14:textId="7C0B78F5" w:rsidR="001A680C" w:rsidRDefault="001A680C" w:rsidP="001A680C">
      <w:pPr>
        <w:rPr>
          <w:b/>
          <w:bCs/>
        </w:rPr>
      </w:pPr>
      <w:r w:rsidRPr="001A680C">
        <w:rPr>
          <w:b/>
          <w:bCs/>
        </w:rPr>
        <w:t>Critical Examination of a Relevant Theory Underpinning PCC</w:t>
      </w:r>
    </w:p>
    <w:p w14:paraId="259D0F90" w14:textId="23ADD524" w:rsidR="00D835D0" w:rsidRDefault="00D835D0" w:rsidP="00D835D0">
      <w:r>
        <w:t xml:space="preserve">One key theory that underpins person-centred care (PCC) is Carl Rogers’ Humanistic Theory, especially his client-centred approach. This theory focuses on the belief that every person </w:t>
      </w:r>
      <w:r>
        <w:t>can</w:t>
      </w:r>
      <w:r>
        <w:t xml:space="preserve"> grow and improve when they are in an environment that provides empathy, genuineness, and unconditional positive regard. In health and social care, this translates to treating individuals as unique people with their own feelings, experiences, and needs, rather than just focusing on their illness or condition.</w:t>
      </w:r>
    </w:p>
    <w:p w14:paraId="3D0DAC37" w14:textId="5ED69A12" w:rsidR="00D835D0" w:rsidRDefault="00D835D0" w:rsidP="00D835D0">
      <w:r>
        <w:t>Rogers’ theory highlights the importance of understanding the person’s subjective experience. It encourages professionals to listen actively and build relationships based on trust and respect. This aligns perfectly with PCC’s core values, which include respect for the individual, empowerment, and collaboration in decision-making. By creating a supportive environment, care providers help individuals feel valued and understood, promoting their well-being and engagement in their own care.</w:t>
      </w:r>
    </w:p>
    <w:p w14:paraId="6F288EC3" w14:textId="69E19621" w:rsidR="00D835D0" w:rsidRDefault="00D835D0" w:rsidP="00D835D0">
      <w:r>
        <w:lastRenderedPageBreak/>
        <w:t>However, while Rogers’ Humanistic Theory offers a strong foundation for PCC, it does have limitations. One key challenge is that the theory assumes individuals are capable of self-direction and growth. This may not always be true for people with severe cognitive impairments, mental health issues, or those in crisis, where decision-making capacity might be reduced. In such cases, the approach needs to be adapted to ensure safety and appropriate care without undermining person-centred principles.</w:t>
      </w:r>
    </w:p>
    <w:p w14:paraId="62B7824C" w14:textId="0E4957EB" w:rsidR="00D835D0" w:rsidRDefault="00D835D0" w:rsidP="00D835D0">
      <w:r>
        <w:t>Another limitation is that the emotional labour required from care professionals to provide empathy and unconditional positive regard can be demanding, especially in busy or resource-limited settings. Maintaining this level of emotional engagement consistently can lead to burnout or compassion fatigue. Additionally, organisational constraints and time pressures can make it difficult to fully implement the client-centred approach in everyday practice.</w:t>
      </w:r>
    </w:p>
    <w:p w14:paraId="2891DD07" w14:textId="35E4BCCA" w:rsidR="00D835D0" w:rsidRDefault="00D835D0" w:rsidP="001243F6">
      <w:r>
        <w:t>In conclusion, Carl Rogers’ Humanistic Theory is a valuable model that supports the philosophy of person-centred care by emphasising empathy, respect, and the individual’s lived experience. It helps care providers focus on the whole person, not just their condition. Despite its challenges in practical application, especially with certain populations and in constrained environments, the theory remains a crucial underpinning of PCC, guiding professionals to deliver more compassionate and personalised care.</w:t>
      </w:r>
    </w:p>
    <w:p w14:paraId="0D7F6394" w14:textId="04307B60" w:rsidR="001243F6" w:rsidRPr="001243F6" w:rsidRDefault="001243F6" w:rsidP="001243F6">
      <w:pPr>
        <w:rPr>
          <w:b/>
          <w:bCs/>
        </w:rPr>
      </w:pPr>
      <w:r w:rsidRPr="001243F6">
        <w:rPr>
          <w:b/>
          <w:bCs/>
        </w:rPr>
        <w:t>Ethical Fundamentals of Health and Social Care</w:t>
      </w:r>
    </w:p>
    <w:p w14:paraId="3712083A" w14:textId="66183304" w:rsidR="00D835D0" w:rsidRDefault="00D835D0" w:rsidP="00D835D0">
      <w:r>
        <w:t>The ethical fundamentals of health and social care are essential principles that guide professionals in delivering safe, respectful, and effective care. These principles ensure that the dignity, rights, and well-being of individuals are protected throughout their care journey.</w:t>
      </w:r>
    </w:p>
    <w:p w14:paraId="28D16EDB" w14:textId="0563F0C4" w:rsidR="00D835D0" w:rsidRDefault="00D835D0" w:rsidP="00D835D0">
      <w:r>
        <w:t>One of the core ethical principles is autonomy, which means respecting a person’s right to make their own decisions about their care and life. This involves providing all necessary information in an understandable way so people can give informed consent. Autonomy supports person-centred care by empowering individuals to be active participants in their treatment.</w:t>
      </w:r>
    </w:p>
    <w:p w14:paraId="796DD4C4" w14:textId="612C8E82" w:rsidR="00D835D0" w:rsidRDefault="00D835D0" w:rsidP="00D835D0">
      <w:r>
        <w:t>Beneficence is another key principle, referring to the duty of care providers to act in the best interest of their clients or patients. This means promoting good, preventing harm, and ensuring positive outcomes. Professionals must always aim to improve the health and well-being of those they care for.</w:t>
      </w:r>
    </w:p>
    <w:p w14:paraId="5A9432F6" w14:textId="1FE9A35B" w:rsidR="00D835D0" w:rsidRDefault="00D835D0" w:rsidP="00D835D0">
      <w:r>
        <w:lastRenderedPageBreak/>
        <w:t>Closely related is non-maleficence, which means “do no harm.” Health and social care workers must avoid causing injury or suffering, whether through action or neglect. This principle requires careful consideration of risks and benefits before any intervention.</w:t>
      </w:r>
    </w:p>
    <w:p w14:paraId="3365567C" w14:textId="496A19E9" w:rsidR="00D835D0" w:rsidRDefault="00D835D0" w:rsidP="00D835D0">
      <w:r>
        <w:t>Justice is the principle of fairness in care delivery. It ensures that individuals receive equal access to care and resources regardless of their background, ethnicity, gender, or socioeconomic status. Justice also involves advocating for vulnerable or marginalised groups to reduce health inequalities.</w:t>
      </w:r>
    </w:p>
    <w:p w14:paraId="75D3FF70" w14:textId="1862C343" w:rsidR="00D835D0" w:rsidRDefault="00D835D0" w:rsidP="00D835D0">
      <w:r>
        <w:t>Confidentiality is fundamental in maintaining trust between care providers and service users. Personal information must be protected and only shared with consent or when legally required. Breaching confidentiality can cause harm and damage the therapeutic relationship.</w:t>
      </w:r>
    </w:p>
    <w:p w14:paraId="26A66FC0" w14:textId="713EFC52" w:rsidR="00D835D0" w:rsidRDefault="00D835D0" w:rsidP="00D835D0">
      <w:r>
        <w:t>Finally, respect for dignity underpins all care interactions. Every person should be treated with kindness, respect, and without discrimination. This includes recognising cultural, spiritual, and personal values and preferences.</w:t>
      </w:r>
    </w:p>
    <w:p w14:paraId="30120150" w14:textId="6AA2590B" w:rsidR="00D835D0" w:rsidRDefault="00D835D0" w:rsidP="00D835D0">
      <w:r>
        <w:t>In practice, these ethical principles often overlap and can sometimes conflict, requiring professionals to carefully balance them. For example, respecting autonomy might be challenging when a person’s decision could cause harm, creating a tension between autonomy and beneficence. Ethical decision-making frameworks and codes of conduct help guide professionals in resolving such dilemmas.</w:t>
      </w:r>
    </w:p>
    <w:p w14:paraId="2671B38B" w14:textId="6C147260" w:rsidR="001243F6" w:rsidRDefault="001243F6" w:rsidP="001243F6">
      <w:r>
        <w:t>Ethics are fundamental to both person-centred care (PCC) and personalised wellbeing (PW). The four main ethical principles are:</w:t>
      </w:r>
    </w:p>
    <w:p w14:paraId="1F664628" w14:textId="4713839E" w:rsidR="001243F6" w:rsidRDefault="001243F6" w:rsidP="001243F6">
      <w:r>
        <w:t>Autonomy – respecting people’s rights to make their own care decisions, which fits closely with PCC.</w:t>
      </w:r>
    </w:p>
    <w:p w14:paraId="1A94FA85" w14:textId="52AD1BEA" w:rsidR="001243F6" w:rsidRDefault="001243F6" w:rsidP="001243F6">
      <w:r>
        <w:t>Beneficence – acting to promote the service user’s well-being.</w:t>
      </w:r>
    </w:p>
    <w:p w14:paraId="33DCD1B9" w14:textId="5614BFD7" w:rsidR="001243F6" w:rsidRDefault="001243F6" w:rsidP="001243F6">
      <w:r>
        <w:t>Non-maleficence – avoiding causing harm, which can sometimes conflict with respecting autonomy if someone chooses a risky option.</w:t>
      </w:r>
    </w:p>
    <w:p w14:paraId="2B98E60D" w14:textId="75108128" w:rsidR="001243F6" w:rsidRDefault="001243F6" w:rsidP="001243F6">
      <w:r>
        <w:t>Justice – ensuring fairness and equal access to care and treatment.</w:t>
      </w:r>
    </w:p>
    <w:p w14:paraId="241E8CE6" w14:textId="23BE4D14" w:rsidR="001243F6" w:rsidRDefault="001243F6" w:rsidP="001243F6">
      <w:r>
        <w:t>Following these ethical principles ensures care is given responsibly and respectfully, meeting individual needs while upholding broader societal values.</w:t>
      </w:r>
    </w:p>
    <w:p w14:paraId="3DC9C810" w14:textId="5C1C902B" w:rsidR="001243F6" w:rsidRPr="001243F6" w:rsidRDefault="001243F6" w:rsidP="001243F6">
      <w:pPr>
        <w:rPr>
          <w:b/>
          <w:bCs/>
        </w:rPr>
      </w:pPr>
      <w:r w:rsidRPr="001243F6">
        <w:rPr>
          <w:b/>
          <w:bCs/>
        </w:rPr>
        <w:t>Evaluation of Partnership Working (PW)</w:t>
      </w:r>
    </w:p>
    <w:p w14:paraId="5FB5F364" w14:textId="542E9A0B" w:rsidR="001243F6" w:rsidRDefault="001243F6" w:rsidP="001243F6">
      <w:r>
        <w:lastRenderedPageBreak/>
        <w:t>Partnership working means different professionals, organisations, service users, and families collaborating to provide effective care.</w:t>
      </w:r>
    </w:p>
    <w:p w14:paraId="5DE62467" w14:textId="1AD8786E" w:rsidR="001243F6" w:rsidRDefault="001243F6" w:rsidP="001243F6">
      <w:r>
        <w:t>The benefits include better coordination of services, which reduces duplication and gaps. It enables sharing of knowledge and expertise, leading to improved decision-making. It also promotes holistic care by bringing together various perspectives to understand a person’s needs.</w:t>
      </w:r>
    </w:p>
    <w:p w14:paraId="67E33A8B" w14:textId="610F6DF7" w:rsidR="001243F6" w:rsidRDefault="001243F6" w:rsidP="001243F6">
      <w:r>
        <w:t>However, challenges include communication difficulties, differences in professional cultures, and unclear roles. There can be confidentiality concerns when sharing information between organisations, and power imbalances among professionals might influence decisions.</w:t>
      </w:r>
    </w:p>
    <w:p w14:paraId="3AAF5247" w14:textId="34957E5C" w:rsidR="001243F6" w:rsidRPr="001243F6" w:rsidRDefault="001243F6" w:rsidP="001243F6">
      <w:pPr>
        <w:rPr>
          <w:b/>
          <w:bCs/>
        </w:rPr>
      </w:pPr>
      <w:r w:rsidRPr="001243F6">
        <w:rPr>
          <w:b/>
          <w:bCs/>
        </w:rPr>
        <w:t>Application of Partnership Working in Practice</w:t>
      </w:r>
    </w:p>
    <w:p w14:paraId="0C3F5D3E" w14:textId="68512343" w:rsidR="001243F6" w:rsidRDefault="001243F6" w:rsidP="001243F6">
      <w:r>
        <w:t>Partnership working is demonstrated through multidisciplinary teams (MDTs) in hospitals or community care settings.</w:t>
      </w:r>
    </w:p>
    <w:p w14:paraId="7C60F11A" w14:textId="799BC7E9" w:rsidR="001243F6" w:rsidRDefault="001243F6" w:rsidP="001243F6">
      <w:r>
        <w:t>In an MDT, professionals like doctors, nurses, social workers, and therapists work together to create and carry out care plans.</w:t>
      </w:r>
    </w:p>
    <w:p w14:paraId="7B179EA2" w14:textId="6397A53A" w:rsidR="001243F6" w:rsidRDefault="001243F6" w:rsidP="001243F6">
      <w:r>
        <w:t>For example, when caring for an elderly patient with complex needs:</w:t>
      </w:r>
    </w:p>
    <w:p w14:paraId="542DB944" w14:textId="77777777" w:rsidR="001243F6" w:rsidRDefault="001243F6" w:rsidP="001243F6">
      <w:r>
        <w:t xml:space="preserve">- Doctors handle medical treatment  </w:t>
      </w:r>
    </w:p>
    <w:p w14:paraId="79294ED3" w14:textId="77777777" w:rsidR="001243F6" w:rsidRDefault="001243F6" w:rsidP="001243F6">
      <w:r>
        <w:t xml:space="preserve">- Nurses provide daily care  </w:t>
      </w:r>
    </w:p>
    <w:p w14:paraId="40C1EEC9" w14:textId="77777777" w:rsidR="001243F6" w:rsidRDefault="001243F6" w:rsidP="001243F6">
      <w:r>
        <w:t xml:space="preserve">- Social workers organise support services  </w:t>
      </w:r>
    </w:p>
    <w:p w14:paraId="7206BA6B" w14:textId="4BAAA0D9" w:rsidR="001243F6" w:rsidRDefault="001243F6" w:rsidP="001243F6">
      <w:r>
        <w:t xml:space="preserve">- Physiotherapists help with mobility  </w:t>
      </w:r>
    </w:p>
    <w:p w14:paraId="06CB8DD4" w14:textId="6BE98B8E" w:rsidR="001243F6" w:rsidRDefault="001243F6" w:rsidP="001243F6">
      <w:r>
        <w:t>This team approach ensures all aspects of the person’s needs are covered.</w:t>
      </w:r>
    </w:p>
    <w:p w14:paraId="2C467B73" w14:textId="4A0CAEB8" w:rsidR="001243F6" w:rsidRDefault="001243F6" w:rsidP="001243F6">
      <w:r>
        <w:t>However, for it to work well, clear communication and well-defined roles are crucial.</w:t>
      </w:r>
    </w:p>
    <w:p w14:paraId="717FA2C7" w14:textId="3E7D2026" w:rsidR="00344715" w:rsidRDefault="00344715" w:rsidP="00344715">
      <w:r>
        <w:t>Partnership working is a vital approach in health and social care settings, where professionals from different disciplines collaborate to provide comprehensive care. One practical example is in a community nursing service, which supports patients with long-term conditions such as diabetes or heart disease.</w:t>
      </w:r>
    </w:p>
    <w:p w14:paraId="0962A4A1" w14:textId="19B48C75" w:rsidR="00344715" w:rsidRDefault="00344715" w:rsidP="00344715">
      <w:r>
        <w:t xml:space="preserve">In this setting, partnership working involves community nurses, GPs, dietitians, social workers, and sometimes voluntary organizations working together to meet the physical, emotional, and social needs of patients. For instance, a community nurse might visit a patient at home to monitor their condition and provide wound care, while the GP </w:t>
      </w:r>
      <w:r>
        <w:lastRenderedPageBreak/>
        <w:t>manages medication and overall health. A dietitian could offer advice on nutrition, especially if the patient has diabetes, and a social worker might help with accessing benefits or arranging home support if the patient struggles with daily tasks.</w:t>
      </w:r>
    </w:p>
    <w:p w14:paraId="7ECF84DA" w14:textId="5063A4C2" w:rsidR="00344715" w:rsidRDefault="00344715" w:rsidP="00344715">
      <w:r>
        <w:t>Effective partnership working ensures that all these professionals communicate regularly, share relevant information, and coordinate their interventions to avoid duplication and gaps in care. For example, regular multidisciplinary team (MDT) meetings allow professionals to discuss patient progress, review care plans, and adjust support as needed. This collaborative approach helps create a holistic care plan tailored to the individual’s needs.</w:t>
      </w:r>
    </w:p>
    <w:p w14:paraId="0415F6C4" w14:textId="3C2E1EE2" w:rsidR="00344715" w:rsidRDefault="00344715" w:rsidP="00344715">
      <w:r>
        <w:t>Another critical aspect is involving the patient and their family or carers in decision-making. Partnership working encourages active participation, where patients are empowered to express their preferences and goals. This person-centred approach improves satisfaction and adherence to treatment plans, ultimately leading to better health outcomes.</w:t>
      </w:r>
    </w:p>
    <w:p w14:paraId="3086F766" w14:textId="25E0CD3B" w:rsidR="00344715" w:rsidRDefault="00344715" w:rsidP="00344715">
      <w:r>
        <w:t>Challenges in partnership working can include differences in professional perspectives, communication barriers, or unclear roles. To overcome these, clear protocols, mutual respect, and effective leadership are essential. Training in teamwork and communication skills also supports successful collaboration.</w:t>
      </w:r>
    </w:p>
    <w:p w14:paraId="69DFBD0F" w14:textId="44CDCA90" w:rsidR="00344715" w:rsidRDefault="00344715" w:rsidP="00344715">
      <w:r>
        <w:t>In summary, partnership working in a community nursing service exemplifies how collaboration across health and social care professionals improves care quality. By sharing knowledge and resources, involving patients, and coordinating efforts, partnership working addresses complex needs more effectively than isolated care, promoting better health and well-being for individuals in the community.</w:t>
      </w:r>
    </w:p>
    <w:p w14:paraId="0297BEDD" w14:textId="77777777" w:rsidR="00344715" w:rsidRDefault="00344715" w:rsidP="001243F6"/>
    <w:p w14:paraId="1C334F04" w14:textId="77777777" w:rsidR="00344715" w:rsidRDefault="00344715" w:rsidP="001243F6"/>
    <w:p w14:paraId="5E50C5FC" w14:textId="77777777" w:rsidR="00344715" w:rsidRDefault="00344715" w:rsidP="001243F6"/>
    <w:p w14:paraId="480C543D" w14:textId="6CCB491F" w:rsidR="001243F6" w:rsidRPr="001243F6" w:rsidRDefault="001243F6" w:rsidP="001243F6">
      <w:pPr>
        <w:rPr>
          <w:b/>
          <w:bCs/>
        </w:rPr>
      </w:pPr>
      <w:r w:rsidRPr="001243F6">
        <w:rPr>
          <w:b/>
          <w:bCs/>
        </w:rPr>
        <w:t>Policy and Legislation Related to PCC and PW</w:t>
      </w:r>
    </w:p>
    <w:p w14:paraId="4FB7B420" w14:textId="03B3765F" w:rsidR="001243F6" w:rsidRDefault="001243F6" w:rsidP="001243F6">
      <w:r>
        <w:t>Several UK laws and policies support person-centred care (PCC) and partnership working:</w:t>
      </w:r>
    </w:p>
    <w:p w14:paraId="142E347F" w14:textId="4905EF20" w:rsidR="001243F6" w:rsidRDefault="001243F6" w:rsidP="001243F6">
      <w:r>
        <w:t>The Care Act 2014 focuses on promoting well-being and placing individuals at the centre of their care, supporting PCC.</w:t>
      </w:r>
    </w:p>
    <w:p w14:paraId="6F3A179F" w14:textId="61C3685E" w:rsidR="001243F6" w:rsidRDefault="001243F6" w:rsidP="001243F6">
      <w:r>
        <w:lastRenderedPageBreak/>
        <w:t xml:space="preserve">The Health and Social Care Act 2012 </w:t>
      </w:r>
      <w:r>
        <w:t>promote</w:t>
      </w:r>
      <w:r>
        <w:t xml:space="preserve"> the integration of services and collaboration between organisations.</w:t>
      </w:r>
    </w:p>
    <w:p w14:paraId="4F956A3D" w14:textId="4CCD9DE8" w:rsidR="001243F6" w:rsidRDefault="001243F6" w:rsidP="001243F6">
      <w:r>
        <w:t>The Mental Capacity Act 2005 protects individuals’ autonomy by ensuring they are involved in decisions whenever possible.</w:t>
      </w:r>
    </w:p>
    <w:p w14:paraId="176FF041" w14:textId="53039DE8" w:rsidR="001243F6" w:rsidRDefault="001243F6" w:rsidP="001243F6">
      <w:r>
        <w:t>The NHS Long Term Plan highlights personalised care and teamwork to enhance outcomes.</w:t>
      </w:r>
    </w:p>
    <w:p w14:paraId="60F42DD4" w14:textId="00122434" w:rsidR="001243F6" w:rsidRDefault="001243F6" w:rsidP="001243F6">
      <w:r>
        <w:t>The Data Protection Act 2018 guarantees that information sharing within partnerships is conducted ethically and legally.</w:t>
      </w:r>
    </w:p>
    <w:p w14:paraId="498AB70A" w14:textId="0E341B90" w:rsidR="001243F6" w:rsidRDefault="001243F6" w:rsidP="001243F6">
      <w:r>
        <w:t>These policies provide important guidance and legal requirements to ensure PCC and partnership working are delivered effectively.</w:t>
      </w:r>
    </w:p>
    <w:p w14:paraId="3F0EC8F5" w14:textId="25997179" w:rsidR="001243F6" w:rsidRPr="001243F6" w:rsidRDefault="001243F6" w:rsidP="001243F6">
      <w:pPr>
        <w:rPr>
          <w:b/>
          <w:bCs/>
        </w:rPr>
      </w:pPr>
      <w:r w:rsidRPr="001243F6">
        <w:rPr>
          <w:b/>
          <w:bCs/>
        </w:rPr>
        <w:t>Suggestions for Future Development in the UK</w:t>
      </w:r>
    </w:p>
    <w:p w14:paraId="4AC735BE" w14:textId="6DE880F4" w:rsidR="001243F6" w:rsidRDefault="001243F6" w:rsidP="001243F6">
      <w:r>
        <w:t>To enhance person-centred care (PCC) and partnership working, the following actions can be taken:</w:t>
      </w:r>
    </w:p>
    <w:p w14:paraId="5765A9BE" w14:textId="77777777" w:rsidR="001243F6" w:rsidRDefault="001243F6" w:rsidP="001243F6">
      <w:r>
        <w:t xml:space="preserve">1. Ongoing Training  </w:t>
      </w:r>
    </w:p>
    <w:p w14:paraId="5DF39677" w14:textId="5F58D4CC" w:rsidR="001243F6" w:rsidRDefault="001243F6" w:rsidP="001243F6">
      <w:r>
        <w:t>Healthcare professionals should have continuous training in communication, ethics, and teamwork.</w:t>
      </w:r>
    </w:p>
    <w:p w14:paraId="64E04233" w14:textId="77777777" w:rsidR="001243F6" w:rsidRDefault="001243F6" w:rsidP="001243F6">
      <w:r>
        <w:t xml:space="preserve">2. Improved Resource Allocation  </w:t>
      </w:r>
    </w:p>
    <w:p w14:paraId="7F1CDF2C" w14:textId="1BBDE722" w:rsidR="001243F6" w:rsidRDefault="001243F6" w:rsidP="001243F6">
      <w:r>
        <w:t>More funding and staff are needed to allow sufficient time for person-centred care.</w:t>
      </w:r>
    </w:p>
    <w:p w14:paraId="11AA8623" w14:textId="77777777" w:rsidR="001243F6" w:rsidRDefault="001243F6" w:rsidP="001243F6">
      <w:r>
        <w:t xml:space="preserve">3. Better Communication Systems  </w:t>
      </w:r>
    </w:p>
    <w:p w14:paraId="56E65A06" w14:textId="1858A4FB" w:rsidR="001243F6" w:rsidRDefault="001243F6" w:rsidP="001243F6">
      <w:r>
        <w:t>Digital platforms should be upgraded to enable safe and efficient sharing of information.</w:t>
      </w:r>
    </w:p>
    <w:p w14:paraId="5E188E57" w14:textId="77777777" w:rsidR="001243F6" w:rsidRDefault="001243F6" w:rsidP="001243F6">
      <w:r>
        <w:t xml:space="preserve">4. Greater Involvement of Service Users  </w:t>
      </w:r>
    </w:p>
    <w:p w14:paraId="41E71E78" w14:textId="3BED440E" w:rsidR="001243F6" w:rsidRDefault="001243F6" w:rsidP="001243F6">
      <w:r>
        <w:t>Service users should be actively engaged in shaping policies and designing services.</w:t>
      </w:r>
    </w:p>
    <w:p w14:paraId="5A88CA6B" w14:textId="77777777" w:rsidR="001243F6" w:rsidRDefault="001243F6" w:rsidP="001243F6">
      <w:r>
        <w:t xml:space="preserve">5. Closer Integration of Services  </w:t>
      </w:r>
    </w:p>
    <w:p w14:paraId="0D4C7FA4" w14:textId="48673F1E" w:rsidR="001243F6" w:rsidRDefault="001243F6" w:rsidP="001243F6">
      <w:r>
        <w:t>Stronger collaboration between health and social care services can reduce gaps and improve continuity of care.</w:t>
      </w:r>
    </w:p>
    <w:p w14:paraId="6EE7DBBC" w14:textId="37C90EBD" w:rsidR="001243F6" w:rsidRDefault="001243F6" w:rsidP="001243F6">
      <w:pPr>
        <w:rPr>
          <w:b/>
          <w:bCs/>
        </w:rPr>
      </w:pPr>
      <w:r w:rsidRPr="001243F6">
        <w:rPr>
          <w:b/>
          <w:bCs/>
        </w:rPr>
        <w:t>Conclusion</w:t>
      </w:r>
    </w:p>
    <w:p w14:paraId="443F1521" w14:textId="30AE43EC" w:rsidR="001243F6" w:rsidRDefault="001243F6" w:rsidP="001243F6">
      <w:r w:rsidRPr="001243F6">
        <w:lastRenderedPageBreak/>
        <w:t>Person-centred care and partnership working are vital elements of effective health and social care. Both approaches bring important benefits, such as better outcomes and higher satisfaction, but they also face challenges like limited resources and communication difficulties. Combining PCC and partnership working, guided by ethical standards and legal frameworks, is key to providing high-quality care. Future efforts should prioritise ongoing training to strengthen these practices.</w:t>
      </w:r>
    </w:p>
    <w:p w14:paraId="2EAC95DF" w14:textId="77777777" w:rsidR="006140A2" w:rsidRDefault="006140A2" w:rsidP="001243F6"/>
    <w:p w14:paraId="0EB0E642" w14:textId="77777777" w:rsidR="006140A2" w:rsidRDefault="006140A2" w:rsidP="001243F6"/>
    <w:p w14:paraId="086CF075" w14:textId="77777777" w:rsidR="006140A2" w:rsidRDefault="006140A2" w:rsidP="001243F6"/>
    <w:p w14:paraId="0AAE649F" w14:textId="77777777" w:rsidR="006140A2" w:rsidRDefault="006140A2" w:rsidP="001243F6"/>
    <w:p w14:paraId="218A4BD1" w14:textId="77777777" w:rsidR="006140A2" w:rsidRDefault="006140A2" w:rsidP="001243F6"/>
    <w:p w14:paraId="6B5540D7" w14:textId="77777777" w:rsidR="006140A2" w:rsidRDefault="006140A2" w:rsidP="001243F6"/>
    <w:p w14:paraId="24A99B9B" w14:textId="77777777" w:rsidR="006140A2" w:rsidRDefault="006140A2" w:rsidP="001243F6"/>
    <w:p w14:paraId="762FEC73" w14:textId="77777777" w:rsidR="006140A2" w:rsidRDefault="006140A2" w:rsidP="001243F6"/>
    <w:p w14:paraId="32564F4F" w14:textId="77777777" w:rsidR="006140A2" w:rsidRDefault="006140A2" w:rsidP="001243F6"/>
    <w:p w14:paraId="4AE926F8" w14:textId="77777777" w:rsidR="006140A2" w:rsidRDefault="006140A2" w:rsidP="001243F6"/>
    <w:p w14:paraId="374ED3F3" w14:textId="77777777" w:rsidR="006140A2" w:rsidRDefault="006140A2" w:rsidP="001243F6"/>
    <w:p w14:paraId="585AA854" w14:textId="77777777" w:rsidR="006140A2" w:rsidRDefault="006140A2" w:rsidP="001243F6"/>
    <w:p w14:paraId="5F05CE8A" w14:textId="77777777" w:rsidR="006140A2" w:rsidRDefault="006140A2" w:rsidP="001243F6"/>
    <w:p w14:paraId="09E34A8B" w14:textId="77777777" w:rsidR="006140A2" w:rsidRDefault="006140A2" w:rsidP="001243F6"/>
    <w:p w14:paraId="370E4C4E" w14:textId="77777777" w:rsidR="006140A2" w:rsidRDefault="006140A2" w:rsidP="001243F6"/>
    <w:p w14:paraId="0FB90D19" w14:textId="77777777" w:rsidR="006140A2" w:rsidRDefault="006140A2" w:rsidP="001243F6"/>
    <w:p w14:paraId="0B7018AD" w14:textId="77777777" w:rsidR="006140A2" w:rsidRDefault="006140A2" w:rsidP="001243F6"/>
    <w:p w14:paraId="58E136B8" w14:textId="77777777" w:rsidR="006140A2" w:rsidRDefault="006140A2" w:rsidP="001243F6"/>
    <w:p w14:paraId="52EB5216" w14:textId="77777777" w:rsidR="006140A2" w:rsidRDefault="006140A2" w:rsidP="001243F6"/>
    <w:p w14:paraId="4C172FF6" w14:textId="77777777" w:rsidR="006140A2" w:rsidRDefault="006140A2" w:rsidP="001243F6"/>
    <w:p w14:paraId="4A9CA045" w14:textId="0CD5CBF8" w:rsidR="006140A2" w:rsidRPr="006140A2" w:rsidRDefault="006140A2" w:rsidP="001243F6">
      <w:pPr>
        <w:rPr>
          <w:b/>
          <w:bCs/>
          <w:i/>
          <w:iCs/>
          <w:u w:val="single"/>
        </w:rPr>
      </w:pPr>
      <w:r w:rsidRPr="006140A2">
        <w:rPr>
          <w:b/>
          <w:bCs/>
          <w:i/>
          <w:iCs/>
          <w:u w:val="single"/>
        </w:rPr>
        <w:t>References</w:t>
      </w:r>
    </w:p>
    <w:p w14:paraId="43AF6B5C" w14:textId="77777777" w:rsidR="006140A2" w:rsidRDefault="006140A2" w:rsidP="001243F6"/>
    <w:p w14:paraId="2016C2B2" w14:textId="77777777" w:rsidR="006140A2" w:rsidRPr="006140A2" w:rsidRDefault="006140A2" w:rsidP="006140A2">
      <w:pPr>
        <w:rPr>
          <w:i/>
          <w:iCs/>
          <w:u w:val="single"/>
        </w:rPr>
      </w:pPr>
      <w:r w:rsidRPr="006140A2">
        <w:rPr>
          <w:i/>
          <w:iCs/>
          <w:u w:val="single"/>
        </w:rPr>
        <w:t>Rogers’ Theory</w:t>
      </w:r>
    </w:p>
    <w:p w14:paraId="10E5E427" w14:textId="27005781" w:rsidR="006140A2" w:rsidRPr="006140A2" w:rsidRDefault="006140A2" w:rsidP="006140A2">
      <w:pPr>
        <w:rPr>
          <w:i/>
          <w:iCs/>
          <w:u w:val="single"/>
        </w:rPr>
      </w:pPr>
      <w:r w:rsidRPr="006140A2">
        <w:rPr>
          <w:i/>
          <w:iCs/>
          <w:u w:val="single"/>
        </w:rPr>
        <w:t>Carl Rogers’ humanistic approach underpins person-centred care through empathy and respect (Carl Rogers, 1951).</w:t>
      </w:r>
    </w:p>
    <w:p w14:paraId="5E6E7632" w14:textId="77777777" w:rsidR="006140A2" w:rsidRPr="006140A2" w:rsidRDefault="006140A2" w:rsidP="006140A2">
      <w:pPr>
        <w:rPr>
          <w:i/>
          <w:iCs/>
          <w:u w:val="single"/>
        </w:rPr>
      </w:pPr>
      <w:r w:rsidRPr="006140A2">
        <w:rPr>
          <w:i/>
          <w:iCs/>
          <w:u w:val="single"/>
        </w:rPr>
        <w:t>Ethical Principles</w:t>
      </w:r>
    </w:p>
    <w:p w14:paraId="34FFF784" w14:textId="269D3926" w:rsidR="006140A2" w:rsidRPr="006140A2" w:rsidRDefault="006140A2" w:rsidP="006140A2">
      <w:pPr>
        <w:rPr>
          <w:i/>
          <w:iCs/>
          <w:u w:val="single"/>
        </w:rPr>
      </w:pPr>
      <w:r w:rsidRPr="006140A2">
        <w:rPr>
          <w:i/>
          <w:iCs/>
          <w:u w:val="single"/>
        </w:rPr>
        <w:t>Ethical principles such as autonomy and beneficence guide care practice (Principles of Biomedical Ethics, 2019)</w:t>
      </w:r>
    </w:p>
    <w:p w14:paraId="5AC74EDB" w14:textId="77777777" w:rsidR="006140A2" w:rsidRPr="006140A2" w:rsidRDefault="006140A2" w:rsidP="006140A2">
      <w:pPr>
        <w:rPr>
          <w:i/>
          <w:iCs/>
          <w:u w:val="single"/>
        </w:rPr>
      </w:pPr>
      <w:r w:rsidRPr="006140A2">
        <w:rPr>
          <w:i/>
          <w:iCs/>
          <w:u w:val="single"/>
        </w:rPr>
        <w:t>Partnership Working</w:t>
      </w:r>
    </w:p>
    <w:p w14:paraId="2B290179" w14:textId="77777777" w:rsidR="006140A2" w:rsidRPr="006140A2" w:rsidRDefault="006140A2" w:rsidP="006140A2">
      <w:pPr>
        <w:rPr>
          <w:i/>
          <w:iCs/>
          <w:u w:val="single"/>
        </w:rPr>
      </w:pPr>
      <w:r w:rsidRPr="006140A2">
        <w:rPr>
          <w:i/>
          <w:iCs/>
          <w:u w:val="single"/>
        </w:rPr>
        <w:t>Partnership working improves coordination and outcomes across services (Health Education England, 2020).</w:t>
      </w:r>
    </w:p>
    <w:p w14:paraId="766F5DD9" w14:textId="77777777" w:rsidR="006140A2" w:rsidRPr="006140A2" w:rsidRDefault="006140A2" w:rsidP="006140A2">
      <w:pPr>
        <w:rPr>
          <w:i/>
          <w:iCs/>
          <w:u w:val="single"/>
        </w:rPr>
      </w:pPr>
      <w:r w:rsidRPr="006140A2">
        <w:rPr>
          <w:i/>
          <w:iCs/>
          <w:u w:val="single"/>
        </w:rPr>
        <w:t>Policy References</w:t>
      </w:r>
    </w:p>
    <w:p w14:paraId="297042CC" w14:textId="6B7B1C81" w:rsidR="006140A2" w:rsidRPr="006140A2" w:rsidRDefault="006140A2" w:rsidP="006140A2">
      <w:pPr>
        <w:rPr>
          <w:i/>
          <w:iCs/>
          <w:u w:val="single"/>
        </w:rPr>
      </w:pPr>
      <w:r w:rsidRPr="006140A2">
        <w:rPr>
          <w:i/>
          <w:iCs/>
          <w:u w:val="single"/>
        </w:rPr>
        <w:t>The Care Act 2014 promotes well-being and person-centred approaches.</w:t>
      </w:r>
      <w:r w:rsidRPr="006140A2">
        <w:rPr>
          <w:i/>
          <w:iCs/>
          <w:u w:val="single"/>
        </w:rPr>
        <w:br/>
        <w:t xml:space="preserve">The Health and Social Care Act 2012 </w:t>
      </w:r>
      <w:r w:rsidRPr="006140A2">
        <w:rPr>
          <w:i/>
          <w:iCs/>
          <w:u w:val="single"/>
        </w:rPr>
        <w:t>support</w:t>
      </w:r>
      <w:r w:rsidRPr="006140A2">
        <w:rPr>
          <w:i/>
          <w:iCs/>
          <w:u w:val="single"/>
        </w:rPr>
        <w:t xml:space="preserve"> integrated working.</w:t>
      </w:r>
      <w:r w:rsidRPr="006140A2">
        <w:rPr>
          <w:i/>
          <w:iCs/>
          <w:u w:val="single"/>
        </w:rPr>
        <w:br/>
        <w:t>The Mental Capacity Act 2005 protects decision-making rights.</w:t>
      </w:r>
    </w:p>
    <w:p w14:paraId="7B4AB714" w14:textId="77777777" w:rsidR="006140A2" w:rsidRPr="006140A2" w:rsidRDefault="006140A2" w:rsidP="006140A2">
      <w:pPr>
        <w:rPr>
          <w:i/>
          <w:iCs/>
          <w:u w:val="single"/>
        </w:rPr>
      </w:pPr>
      <w:r w:rsidRPr="006140A2">
        <w:rPr>
          <w:i/>
          <w:iCs/>
          <w:u w:val="single"/>
        </w:rPr>
        <w:t>Carl Rogers (1951) Client-</w:t>
      </w:r>
      <w:proofErr w:type="spellStart"/>
      <w:r w:rsidRPr="006140A2">
        <w:rPr>
          <w:i/>
          <w:iCs/>
          <w:u w:val="single"/>
        </w:rPr>
        <w:t>Centered</w:t>
      </w:r>
      <w:proofErr w:type="spellEnd"/>
      <w:r w:rsidRPr="006140A2">
        <w:rPr>
          <w:i/>
          <w:iCs/>
          <w:u w:val="single"/>
        </w:rPr>
        <w:t xml:space="preserve"> Therapy. Boston: Houghton Mifflin.</w:t>
      </w:r>
    </w:p>
    <w:p w14:paraId="7C5E8195" w14:textId="77777777" w:rsidR="006140A2" w:rsidRPr="006140A2" w:rsidRDefault="006140A2" w:rsidP="006140A2">
      <w:pPr>
        <w:rPr>
          <w:i/>
          <w:iCs/>
          <w:u w:val="single"/>
        </w:rPr>
      </w:pPr>
      <w:r w:rsidRPr="006140A2">
        <w:rPr>
          <w:i/>
          <w:iCs/>
          <w:u w:val="single"/>
        </w:rPr>
        <w:t>Care Act 2014. London: The Stationery Office.</w:t>
      </w:r>
    </w:p>
    <w:p w14:paraId="509E3321" w14:textId="77777777" w:rsidR="006140A2" w:rsidRPr="006140A2" w:rsidRDefault="006140A2" w:rsidP="006140A2">
      <w:pPr>
        <w:rPr>
          <w:i/>
          <w:iCs/>
          <w:u w:val="single"/>
        </w:rPr>
      </w:pPr>
      <w:r w:rsidRPr="006140A2">
        <w:rPr>
          <w:i/>
          <w:iCs/>
          <w:u w:val="single"/>
        </w:rPr>
        <w:t>Health Education England (2020) Partnership Working in Health and Social Care. London: HEE.</w:t>
      </w:r>
    </w:p>
    <w:p w14:paraId="601C5885" w14:textId="77777777" w:rsidR="006140A2" w:rsidRPr="006140A2" w:rsidRDefault="006140A2" w:rsidP="006140A2">
      <w:pPr>
        <w:rPr>
          <w:i/>
          <w:iCs/>
          <w:u w:val="single"/>
        </w:rPr>
      </w:pPr>
      <w:r w:rsidRPr="006140A2">
        <w:rPr>
          <w:i/>
          <w:iCs/>
          <w:u w:val="single"/>
        </w:rPr>
        <w:t>Health and Social Care Act 2012. London: The Stationery Office.</w:t>
      </w:r>
    </w:p>
    <w:p w14:paraId="624FA558" w14:textId="77777777" w:rsidR="006140A2" w:rsidRPr="001243F6" w:rsidRDefault="006140A2" w:rsidP="001243F6"/>
    <w:sectPr w:rsidR="006140A2" w:rsidRPr="001243F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B7D26" w14:textId="77777777" w:rsidR="007B268B" w:rsidRDefault="007B268B" w:rsidP="00F576ED">
      <w:pPr>
        <w:spacing w:after="0" w:line="240" w:lineRule="auto"/>
      </w:pPr>
      <w:r>
        <w:separator/>
      </w:r>
    </w:p>
  </w:endnote>
  <w:endnote w:type="continuationSeparator" w:id="0">
    <w:p w14:paraId="1BA2C6F3" w14:textId="77777777" w:rsidR="007B268B" w:rsidRDefault="007B268B" w:rsidP="00F57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AE8F9" w14:textId="77777777" w:rsidR="007B268B" w:rsidRDefault="007B268B" w:rsidP="00F576ED">
      <w:pPr>
        <w:spacing w:after="0" w:line="240" w:lineRule="auto"/>
      </w:pPr>
      <w:r>
        <w:separator/>
      </w:r>
    </w:p>
  </w:footnote>
  <w:footnote w:type="continuationSeparator" w:id="0">
    <w:p w14:paraId="25F8C59F" w14:textId="77777777" w:rsidR="007B268B" w:rsidRDefault="007B268B" w:rsidP="00F576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10A75" w14:textId="498CE820" w:rsidR="00F576ED" w:rsidRDefault="00F576ED" w:rsidP="00F576ED">
    <w:pPr>
      <w:spacing w:before="120" w:after="120"/>
      <w:rPr>
        <w:rFonts w:ascii="Arial" w:hAnsi="Arial" w:cs="Arial"/>
        <w:b/>
        <w:sz w:val="22"/>
        <w:szCs w:val="22"/>
      </w:rPr>
    </w:pPr>
    <w:r>
      <w:rPr>
        <w:rFonts w:ascii="Arial" w:hAnsi="Arial" w:cs="Arial"/>
        <w:b/>
        <w:sz w:val="22"/>
        <w:szCs w:val="22"/>
      </w:rPr>
      <w:t xml:space="preserve">Student name: </w:t>
    </w:r>
    <w:r>
      <w:rPr>
        <w:rFonts w:ascii="Arial" w:hAnsi="Arial" w:cs="Arial"/>
        <w:b/>
        <w:sz w:val="22"/>
        <w:szCs w:val="22"/>
      </w:rPr>
      <w:t>Cerdiyaa</w:t>
    </w:r>
    <w:r>
      <w:rPr>
        <w:rFonts w:ascii="Arial" w:hAnsi="Arial" w:cs="Arial"/>
        <w:b/>
        <w:sz w:val="22"/>
        <w:szCs w:val="22"/>
      </w:rPr>
      <w:t xml:space="preserve"> Khan</w:t>
    </w:r>
  </w:p>
  <w:p w14:paraId="69AB186C" w14:textId="020D38EF" w:rsidR="00F576ED" w:rsidRDefault="00F576ED" w:rsidP="00F576ED">
    <w:pPr>
      <w:spacing w:before="120" w:after="120"/>
      <w:rPr>
        <w:rFonts w:ascii="Arial" w:hAnsi="Arial" w:cs="Arial"/>
        <w:b/>
        <w:sz w:val="22"/>
        <w:szCs w:val="22"/>
      </w:rPr>
    </w:pPr>
    <w:r>
      <w:rPr>
        <w:rFonts w:ascii="Arial" w:hAnsi="Arial" w:cs="Arial"/>
        <w:b/>
        <w:sz w:val="22"/>
        <w:szCs w:val="22"/>
      </w:rPr>
      <w:t>Student ID number: 2</w:t>
    </w:r>
    <w:r>
      <w:rPr>
        <w:rFonts w:ascii="Arial" w:hAnsi="Arial" w:cs="Arial"/>
        <w:b/>
        <w:sz w:val="22"/>
        <w:szCs w:val="22"/>
      </w:rPr>
      <w:t>325009</w:t>
    </w:r>
  </w:p>
  <w:p w14:paraId="63D4D30E" w14:textId="63922A20" w:rsidR="00F576ED" w:rsidRPr="00F576ED" w:rsidRDefault="00F576ED" w:rsidP="00F576ED">
    <w:pPr>
      <w:spacing w:before="120" w:after="120"/>
      <w:rPr>
        <w:rFonts w:ascii="Arial" w:hAnsi="Arial" w:cs="Arial"/>
        <w:b/>
        <w:sz w:val="22"/>
        <w:szCs w:val="22"/>
      </w:rPr>
    </w:pPr>
    <w:r>
      <w:rPr>
        <w:rFonts w:ascii="Arial" w:hAnsi="Arial" w:cs="Arial"/>
        <w:b/>
        <w:sz w:val="22"/>
        <w:szCs w:val="22"/>
      </w:rPr>
      <w:t>Module: Principles of Health and Social Care Practice</w:t>
    </w:r>
  </w:p>
  <w:p w14:paraId="0C7280CE" w14:textId="76E2B8E0" w:rsidR="00F576ED" w:rsidRPr="00F576ED" w:rsidRDefault="00F576ED" w:rsidP="00F576ED">
    <w:pPr>
      <w:spacing w:before="120" w:after="120" w:line="360" w:lineRule="auto"/>
      <w:rPr>
        <w:rFonts w:ascii="Arial" w:hAnsi="Arial" w:cs="Arial"/>
        <w:b/>
        <w:sz w:val="22"/>
        <w:szCs w:val="22"/>
      </w:rPr>
    </w:pPr>
    <w:r>
      <w:rPr>
        <w:rFonts w:ascii="Arial" w:hAnsi="Arial" w:cs="Arial"/>
        <w:b/>
        <w:sz w:val="22"/>
        <w:szCs w:val="22"/>
      </w:rPr>
      <w:t>Assignment Title: Component 2: Written Assignment (Report)</w:t>
    </w:r>
  </w:p>
  <w:p w14:paraId="23864114" w14:textId="77777777" w:rsidR="00F576ED" w:rsidRDefault="00F576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80C"/>
    <w:rsid w:val="001243F6"/>
    <w:rsid w:val="001A680C"/>
    <w:rsid w:val="00344715"/>
    <w:rsid w:val="004479CC"/>
    <w:rsid w:val="004B40C3"/>
    <w:rsid w:val="006140A2"/>
    <w:rsid w:val="007B268B"/>
    <w:rsid w:val="00A0681D"/>
    <w:rsid w:val="00A06C3A"/>
    <w:rsid w:val="00D835D0"/>
    <w:rsid w:val="00F57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44DD"/>
  <w15:chartTrackingRefBased/>
  <w15:docId w15:val="{F98297A4-484D-4ADB-B801-82939A7C0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6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6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68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68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68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68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68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68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68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8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68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68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68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68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68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68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68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680C"/>
    <w:rPr>
      <w:rFonts w:eastAsiaTheme="majorEastAsia" w:cstheme="majorBidi"/>
      <w:color w:val="272727" w:themeColor="text1" w:themeTint="D8"/>
    </w:rPr>
  </w:style>
  <w:style w:type="paragraph" w:styleId="Title">
    <w:name w:val="Title"/>
    <w:basedOn w:val="Normal"/>
    <w:next w:val="Normal"/>
    <w:link w:val="TitleChar"/>
    <w:uiPriority w:val="10"/>
    <w:qFormat/>
    <w:rsid w:val="001A68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8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68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68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680C"/>
    <w:pPr>
      <w:spacing w:before="160"/>
      <w:jc w:val="center"/>
    </w:pPr>
    <w:rPr>
      <w:i/>
      <w:iCs/>
      <w:color w:val="404040" w:themeColor="text1" w:themeTint="BF"/>
    </w:rPr>
  </w:style>
  <w:style w:type="character" w:customStyle="1" w:styleId="QuoteChar">
    <w:name w:val="Quote Char"/>
    <w:basedOn w:val="DefaultParagraphFont"/>
    <w:link w:val="Quote"/>
    <w:uiPriority w:val="29"/>
    <w:rsid w:val="001A680C"/>
    <w:rPr>
      <w:i/>
      <w:iCs/>
      <w:color w:val="404040" w:themeColor="text1" w:themeTint="BF"/>
    </w:rPr>
  </w:style>
  <w:style w:type="paragraph" w:styleId="ListParagraph">
    <w:name w:val="List Paragraph"/>
    <w:basedOn w:val="Normal"/>
    <w:uiPriority w:val="34"/>
    <w:qFormat/>
    <w:rsid w:val="001A680C"/>
    <w:pPr>
      <w:ind w:left="720"/>
      <w:contextualSpacing/>
    </w:pPr>
  </w:style>
  <w:style w:type="character" w:styleId="IntenseEmphasis">
    <w:name w:val="Intense Emphasis"/>
    <w:basedOn w:val="DefaultParagraphFont"/>
    <w:uiPriority w:val="21"/>
    <w:qFormat/>
    <w:rsid w:val="001A680C"/>
    <w:rPr>
      <w:i/>
      <w:iCs/>
      <w:color w:val="0F4761" w:themeColor="accent1" w:themeShade="BF"/>
    </w:rPr>
  </w:style>
  <w:style w:type="paragraph" w:styleId="IntenseQuote">
    <w:name w:val="Intense Quote"/>
    <w:basedOn w:val="Normal"/>
    <w:next w:val="Normal"/>
    <w:link w:val="IntenseQuoteChar"/>
    <w:uiPriority w:val="30"/>
    <w:qFormat/>
    <w:rsid w:val="001A6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680C"/>
    <w:rPr>
      <w:i/>
      <w:iCs/>
      <w:color w:val="0F4761" w:themeColor="accent1" w:themeShade="BF"/>
    </w:rPr>
  </w:style>
  <w:style w:type="character" w:styleId="IntenseReference">
    <w:name w:val="Intense Reference"/>
    <w:basedOn w:val="DefaultParagraphFont"/>
    <w:uiPriority w:val="32"/>
    <w:qFormat/>
    <w:rsid w:val="001A680C"/>
    <w:rPr>
      <w:b/>
      <w:bCs/>
      <w:smallCaps/>
      <w:color w:val="0F4761" w:themeColor="accent1" w:themeShade="BF"/>
      <w:spacing w:val="5"/>
    </w:rPr>
  </w:style>
  <w:style w:type="paragraph" w:styleId="Header">
    <w:name w:val="header"/>
    <w:basedOn w:val="Normal"/>
    <w:link w:val="HeaderChar"/>
    <w:uiPriority w:val="99"/>
    <w:unhideWhenUsed/>
    <w:rsid w:val="00F57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6ED"/>
  </w:style>
  <w:style w:type="paragraph" w:styleId="Footer">
    <w:name w:val="footer"/>
    <w:basedOn w:val="Normal"/>
    <w:link w:val="FooterChar"/>
    <w:uiPriority w:val="99"/>
    <w:unhideWhenUsed/>
    <w:rsid w:val="00F57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2975</TotalTime>
  <Pages>9</Pages>
  <Words>2371</Words>
  <Characters>13520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Cerdiyaa Khan (2325009)</dc:creator>
  <cp:keywords/>
  <dc:description/>
  <cp:lastModifiedBy>Cerdiyaa Khan (2325009)</cp:lastModifiedBy>
  <cp:revision>6</cp:revision>
  <dcterms:created xsi:type="dcterms:W3CDTF">2026-03-28T00:43:00Z</dcterms:created>
  <dcterms:modified xsi:type="dcterms:W3CDTF">2026-03-30T01:25:00Z</dcterms:modified>
</cp:coreProperties>
</file>