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B5F0F" w14:textId="77777777" w:rsidR="005A0BF3" w:rsidRDefault="00896808">
      <w:pPr>
        <w:spacing w:line="360" w:lineRule="auto"/>
        <w:ind w:hanging="2"/>
        <w:rPr>
          <w:rFonts w:ascii="Arial" w:eastAsia="Arial" w:hAnsi="Arial" w:cs="Arial"/>
        </w:rPr>
      </w:pPr>
      <w:r>
        <w:rPr>
          <w:rFonts w:ascii="Arial" w:eastAsia="Arial" w:hAnsi="Arial" w:cs="Arial"/>
        </w:rPr>
        <w:t xml:space="preserve"> </w:t>
      </w:r>
    </w:p>
    <w:p w14:paraId="4E5B5F10" w14:textId="77777777" w:rsidR="005A0BF3" w:rsidRDefault="005A0BF3">
      <w:pPr>
        <w:spacing w:line="360" w:lineRule="auto"/>
        <w:ind w:hanging="2"/>
        <w:rPr>
          <w:rFonts w:ascii="Arial" w:eastAsia="Arial" w:hAnsi="Arial" w:cs="Arial"/>
        </w:rPr>
      </w:pPr>
    </w:p>
    <w:p w14:paraId="4E5B5F11" w14:textId="77777777" w:rsidR="005A0BF3" w:rsidRDefault="005A0BF3">
      <w:pPr>
        <w:spacing w:line="360" w:lineRule="auto"/>
        <w:ind w:hanging="2"/>
        <w:rPr>
          <w:rFonts w:ascii="Arial" w:eastAsia="Arial" w:hAnsi="Arial" w:cs="Arial"/>
        </w:rPr>
      </w:pPr>
    </w:p>
    <w:p w14:paraId="4E5B5F12" w14:textId="24DE9C4B" w:rsidR="005A0BF3" w:rsidRDefault="007D1C5D">
      <w:pPr>
        <w:spacing w:line="360" w:lineRule="auto"/>
        <w:ind w:hanging="2"/>
        <w:rPr>
          <w:rFonts w:ascii="Arial" w:eastAsia="Arial" w:hAnsi="Arial" w:cs="Arial"/>
          <w:b/>
          <w:bCs/>
          <w:sz w:val="36"/>
          <w:szCs w:val="36"/>
        </w:rPr>
      </w:pPr>
      <w:r w:rsidRPr="00E605C1">
        <w:rPr>
          <w:rFonts w:ascii="Arial" w:eastAsia="Arial" w:hAnsi="Arial" w:cs="Arial"/>
          <w:b/>
          <w:bCs/>
          <w:sz w:val="36"/>
          <w:szCs w:val="36"/>
        </w:rPr>
        <w:t xml:space="preserve">INTRODUCTION </w:t>
      </w:r>
      <w:r w:rsidR="003732C0" w:rsidRPr="00E605C1">
        <w:rPr>
          <w:rFonts w:ascii="Arial" w:eastAsia="Arial" w:hAnsi="Arial" w:cs="Arial"/>
          <w:b/>
          <w:bCs/>
          <w:sz w:val="36"/>
          <w:szCs w:val="36"/>
        </w:rPr>
        <w:t>TO HEALTH AND SOCIAL CARE</w:t>
      </w:r>
      <w:r w:rsidR="00597F17">
        <w:rPr>
          <w:rFonts w:ascii="Arial" w:eastAsia="Arial" w:hAnsi="Arial" w:cs="Arial"/>
          <w:b/>
          <w:bCs/>
          <w:sz w:val="36"/>
          <w:szCs w:val="36"/>
        </w:rPr>
        <w:t xml:space="preserve"> </w:t>
      </w:r>
      <w:r w:rsidR="00794256">
        <w:rPr>
          <w:rFonts w:ascii="Arial" w:eastAsia="Arial" w:hAnsi="Arial" w:cs="Arial"/>
          <w:b/>
          <w:bCs/>
          <w:sz w:val="36"/>
          <w:szCs w:val="36"/>
        </w:rPr>
        <w:t>COMPONENT</w:t>
      </w:r>
      <w:r w:rsidR="00597F17">
        <w:rPr>
          <w:rFonts w:ascii="Arial" w:eastAsia="Arial" w:hAnsi="Arial" w:cs="Arial"/>
          <w:b/>
          <w:bCs/>
          <w:sz w:val="36"/>
          <w:szCs w:val="36"/>
        </w:rPr>
        <w:t xml:space="preserve"> 2.</w:t>
      </w:r>
    </w:p>
    <w:p w14:paraId="2E8787ED" w14:textId="77777777" w:rsidR="00D71E3E" w:rsidRPr="00E605C1" w:rsidRDefault="00D71E3E">
      <w:pPr>
        <w:spacing w:line="360" w:lineRule="auto"/>
        <w:ind w:hanging="2"/>
        <w:rPr>
          <w:rFonts w:ascii="Arial" w:eastAsia="Arial" w:hAnsi="Arial" w:cs="Arial"/>
          <w:b/>
          <w:bCs/>
          <w:sz w:val="36"/>
          <w:szCs w:val="36"/>
        </w:rPr>
      </w:pPr>
    </w:p>
    <w:p w14:paraId="774449FD" w14:textId="4486742F" w:rsidR="00E605C1" w:rsidRDefault="00E605C1" w:rsidP="00DB4C0E">
      <w:pPr>
        <w:spacing w:line="360" w:lineRule="auto"/>
        <w:ind w:firstLine="0"/>
        <w:rPr>
          <w:rFonts w:ascii="Arial" w:eastAsia="Arial" w:hAnsi="Arial" w:cs="Arial"/>
          <w:b/>
          <w:bCs/>
          <w:sz w:val="32"/>
          <w:szCs w:val="32"/>
        </w:rPr>
      </w:pPr>
      <w:r w:rsidRPr="00D71E3E">
        <w:rPr>
          <w:rFonts w:ascii="Arial" w:eastAsia="Arial" w:hAnsi="Arial" w:cs="Arial"/>
          <w:b/>
          <w:bCs/>
          <w:sz w:val="32"/>
          <w:szCs w:val="32"/>
        </w:rPr>
        <w:t>NAME: RITAH NABUUMA</w:t>
      </w:r>
    </w:p>
    <w:p w14:paraId="024E4DA6" w14:textId="77777777" w:rsidR="00A84959" w:rsidRPr="00D71E3E" w:rsidRDefault="00A84959" w:rsidP="00DB4C0E">
      <w:pPr>
        <w:spacing w:line="360" w:lineRule="auto"/>
        <w:ind w:firstLine="0"/>
        <w:rPr>
          <w:rFonts w:ascii="Arial" w:eastAsia="Arial" w:hAnsi="Arial" w:cs="Arial"/>
          <w:b/>
          <w:bCs/>
          <w:sz w:val="32"/>
          <w:szCs w:val="32"/>
        </w:rPr>
      </w:pPr>
    </w:p>
    <w:p w14:paraId="49ACA449" w14:textId="4CC28425" w:rsidR="003732C0" w:rsidRDefault="00242537" w:rsidP="00DB4C0E">
      <w:pPr>
        <w:spacing w:line="360" w:lineRule="auto"/>
        <w:ind w:firstLine="0"/>
        <w:rPr>
          <w:rFonts w:ascii="Arial" w:eastAsia="Arial" w:hAnsi="Arial" w:cs="Arial"/>
          <w:b/>
          <w:bCs/>
          <w:sz w:val="32"/>
          <w:szCs w:val="32"/>
        </w:rPr>
      </w:pPr>
      <w:r>
        <w:rPr>
          <w:rFonts w:ascii="Arial" w:eastAsia="Arial" w:hAnsi="Arial" w:cs="Arial"/>
          <w:b/>
          <w:bCs/>
          <w:sz w:val="32"/>
          <w:szCs w:val="32"/>
        </w:rPr>
        <w:t xml:space="preserve">STUDENT </w:t>
      </w:r>
      <w:r w:rsidR="00A84959">
        <w:rPr>
          <w:rFonts w:ascii="Arial" w:eastAsia="Arial" w:hAnsi="Arial" w:cs="Arial"/>
          <w:b/>
          <w:bCs/>
          <w:sz w:val="32"/>
          <w:szCs w:val="32"/>
        </w:rPr>
        <w:t xml:space="preserve">ID </w:t>
      </w:r>
      <w:r w:rsidR="001669FC" w:rsidRPr="00D71E3E">
        <w:rPr>
          <w:rFonts w:ascii="Arial" w:eastAsia="Arial" w:hAnsi="Arial" w:cs="Arial"/>
          <w:b/>
          <w:bCs/>
          <w:sz w:val="32"/>
          <w:szCs w:val="32"/>
        </w:rPr>
        <w:t>NUMBER:</w:t>
      </w:r>
      <w:r w:rsidR="002D500A" w:rsidRPr="00D71E3E">
        <w:rPr>
          <w:rFonts w:ascii="Arial" w:eastAsia="Arial" w:hAnsi="Arial" w:cs="Arial"/>
          <w:b/>
          <w:bCs/>
          <w:sz w:val="32"/>
          <w:szCs w:val="32"/>
        </w:rPr>
        <w:t xml:space="preserve"> </w:t>
      </w:r>
      <w:r w:rsidR="003732C0" w:rsidRPr="00D71E3E">
        <w:rPr>
          <w:rFonts w:ascii="Arial" w:eastAsia="Arial" w:hAnsi="Arial" w:cs="Arial"/>
          <w:b/>
          <w:bCs/>
          <w:sz w:val="32"/>
          <w:szCs w:val="32"/>
        </w:rPr>
        <w:t>244</w:t>
      </w:r>
      <w:r w:rsidR="00E57CAF" w:rsidRPr="00D71E3E">
        <w:rPr>
          <w:rFonts w:ascii="Arial" w:eastAsia="Arial" w:hAnsi="Arial" w:cs="Arial"/>
          <w:b/>
          <w:bCs/>
          <w:sz w:val="32"/>
          <w:szCs w:val="32"/>
        </w:rPr>
        <w:t>2765</w:t>
      </w:r>
    </w:p>
    <w:p w14:paraId="1E992542" w14:textId="77777777" w:rsidR="00A84959" w:rsidRPr="00D71E3E" w:rsidRDefault="00A84959" w:rsidP="00DB4C0E">
      <w:pPr>
        <w:spacing w:line="360" w:lineRule="auto"/>
        <w:ind w:firstLine="0"/>
        <w:rPr>
          <w:rFonts w:ascii="Arial" w:eastAsia="Arial" w:hAnsi="Arial" w:cs="Arial"/>
          <w:b/>
          <w:bCs/>
          <w:sz w:val="32"/>
          <w:szCs w:val="32"/>
        </w:rPr>
      </w:pPr>
    </w:p>
    <w:p w14:paraId="742114D1" w14:textId="2349960D" w:rsidR="00733E4C" w:rsidRDefault="00733E4C" w:rsidP="00DB4C0E">
      <w:pPr>
        <w:spacing w:line="360" w:lineRule="auto"/>
        <w:ind w:firstLine="0"/>
        <w:rPr>
          <w:rFonts w:ascii="Arial" w:eastAsia="Arial" w:hAnsi="Arial" w:cs="Arial"/>
          <w:b/>
          <w:bCs/>
          <w:sz w:val="32"/>
          <w:szCs w:val="32"/>
        </w:rPr>
      </w:pPr>
      <w:r w:rsidRPr="00D71E3E">
        <w:rPr>
          <w:rFonts w:ascii="Arial" w:eastAsia="Arial" w:hAnsi="Arial" w:cs="Arial"/>
          <w:b/>
          <w:bCs/>
          <w:sz w:val="32"/>
          <w:szCs w:val="32"/>
        </w:rPr>
        <w:t>COURSE</w:t>
      </w:r>
      <w:r w:rsidR="001669FC" w:rsidRPr="00D71E3E">
        <w:rPr>
          <w:rFonts w:ascii="Arial" w:eastAsia="Arial" w:hAnsi="Arial" w:cs="Arial"/>
          <w:b/>
          <w:bCs/>
          <w:sz w:val="32"/>
          <w:szCs w:val="32"/>
        </w:rPr>
        <w:t xml:space="preserve"> CODE</w:t>
      </w:r>
      <w:r w:rsidRPr="00D71E3E">
        <w:rPr>
          <w:rFonts w:ascii="Arial" w:eastAsia="Arial" w:hAnsi="Arial" w:cs="Arial"/>
          <w:b/>
          <w:bCs/>
          <w:sz w:val="32"/>
          <w:szCs w:val="32"/>
        </w:rPr>
        <w:t xml:space="preserve">: </w:t>
      </w:r>
      <w:r w:rsidR="00273ABC" w:rsidRPr="00D71E3E">
        <w:rPr>
          <w:rFonts w:ascii="Arial" w:eastAsia="Arial" w:hAnsi="Arial" w:cs="Arial"/>
          <w:b/>
          <w:bCs/>
          <w:sz w:val="32"/>
          <w:szCs w:val="32"/>
        </w:rPr>
        <w:t>LCHS</w:t>
      </w:r>
      <w:r w:rsidR="008430BB" w:rsidRPr="00D71E3E">
        <w:rPr>
          <w:rFonts w:ascii="Arial" w:eastAsia="Arial" w:hAnsi="Arial" w:cs="Arial"/>
          <w:b/>
          <w:bCs/>
          <w:sz w:val="32"/>
          <w:szCs w:val="32"/>
        </w:rPr>
        <w:t>4003</w:t>
      </w:r>
    </w:p>
    <w:p w14:paraId="1AE5BE21" w14:textId="77777777" w:rsidR="00A84959" w:rsidRPr="00D71E3E" w:rsidRDefault="00A84959" w:rsidP="00DB4C0E">
      <w:pPr>
        <w:spacing w:line="360" w:lineRule="auto"/>
        <w:ind w:firstLine="0"/>
        <w:rPr>
          <w:rFonts w:ascii="Arial" w:eastAsia="Arial" w:hAnsi="Arial" w:cs="Arial"/>
          <w:b/>
          <w:bCs/>
          <w:sz w:val="32"/>
          <w:szCs w:val="32"/>
        </w:rPr>
      </w:pPr>
    </w:p>
    <w:p w14:paraId="5FE1D5E0" w14:textId="33E1AF2D" w:rsidR="007224F6" w:rsidRDefault="007224F6" w:rsidP="00DB4C0E">
      <w:pPr>
        <w:spacing w:line="360" w:lineRule="auto"/>
        <w:ind w:firstLine="0"/>
        <w:rPr>
          <w:rFonts w:ascii="Arial" w:eastAsia="Arial" w:hAnsi="Arial" w:cs="Arial"/>
          <w:b/>
          <w:bCs/>
          <w:sz w:val="32"/>
          <w:szCs w:val="32"/>
        </w:rPr>
      </w:pPr>
      <w:r w:rsidRPr="00D71E3E">
        <w:rPr>
          <w:rFonts w:ascii="Arial" w:eastAsia="Arial" w:hAnsi="Arial" w:cs="Arial"/>
          <w:b/>
          <w:bCs/>
          <w:sz w:val="32"/>
          <w:szCs w:val="32"/>
        </w:rPr>
        <w:t>LECTURER: ALIYU MOHAMME</w:t>
      </w:r>
      <w:r w:rsidR="00794256">
        <w:rPr>
          <w:rFonts w:ascii="Arial" w:eastAsia="Arial" w:hAnsi="Arial" w:cs="Arial"/>
          <w:b/>
          <w:bCs/>
          <w:sz w:val="32"/>
          <w:szCs w:val="32"/>
        </w:rPr>
        <w:t>D</w:t>
      </w:r>
    </w:p>
    <w:p w14:paraId="165476AA" w14:textId="77777777" w:rsidR="00794256" w:rsidRDefault="00794256" w:rsidP="00DB4C0E">
      <w:pPr>
        <w:spacing w:line="360" w:lineRule="auto"/>
        <w:ind w:firstLine="0"/>
        <w:rPr>
          <w:rFonts w:ascii="Arial" w:eastAsia="Arial" w:hAnsi="Arial" w:cs="Arial"/>
          <w:b/>
          <w:bCs/>
          <w:sz w:val="32"/>
          <w:szCs w:val="32"/>
        </w:rPr>
      </w:pPr>
    </w:p>
    <w:p w14:paraId="45360176" w14:textId="500C5206" w:rsidR="00794256" w:rsidRPr="00D71E3E" w:rsidRDefault="00794256" w:rsidP="00DB4C0E">
      <w:pPr>
        <w:spacing w:line="360" w:lineRule="auto"/>
        <w:ind w:firstLine="0"/>
        <w:rPr>
          <w:rFonts w:ascii="Arial" w:eastAsia="Arial" w:hAnsi="Arial" w:cs="Arial"/>
          <w:b/>
          <w:bCs/>
          <w:sz w:val="32"/>
          <w:szCs w:val="32"/>
        </w:rPr>
      </w:pPr>
      <w:r>
        <w:rPr>
          <w:rFonts w:ascii="Arial" w:eastAsia="Arial" w:hAnsi="Arial" w:cs="Arial"/>
          <w:b/>
          <w:bCs/>
          <w:sz w:val="32"/>
          <w:szCs w:val="32"/>
        </w:rPr>
        <w:t>ASSIGNMENT TITTLE: WRITTEN ASSIGNMENT</w:t>
      </w:r>
    </w:p>
    <w:p w14:paraId="513975B8" w14:textId="77777777" w:rsidR="003C5BA5" w:rsidRDefault="003C5BA5" w:rsidP="00A71BDB">
      <w:pPr>
        <w:spacing w:line="360" w:lineRule="auto"/>
        <w:ind w:firstLine="0"/>
        <w:rPr>
          <w:rFonts w:ascii="Arial" w:eastAsia="Arial" w:hAnsi="Arial" w:cs="Arial"/>
        </w:rPr>
      </w:pPr>
    </w:p>
    <w:p w14:paraId="67540DF3" w14:textId="77777777" w:rsidR="00A14521" w:rsidRDefault="00A14521" w:rsidP="00A71BDB">
      <w:pPr>
        <w:spacing w:line="360" w:lineRule="auto"/>
        <w:ind w:firstLine="0"/>
        <w:rPr>
          <w:rFonts w:ascii="Arial" w:eastAsia="Arial" w:hAnsi="Arial" w:cs="Arial"/>
        </w:rPr>
      </w:pPr>
    </w:p>
    <w:p w14:paraId="5BCDD705" w14:textId="77777777" w:rsidR="003E5A20" w:rsidRPr="00E83AB1" w:rsidRDefault="003E5A20" w:rsidP="00A71BDB">
      <w:pPr>
        <w:spacing w:line="360" w:lineRule="auto"/>
        <w:ind w:firstLine="0"/>
        <w:rPr>
          <w:rFonts w:ascii="Arial" w:eastAsia="Arial" w:hAnsi="Arial" w:cs="Arial"/>
          <w:b/>
          <w:lang w:val="it-IT"/>
        </w:rPr>
      </w:pPr>
    </w:p>
    <w:p w14:paraId="4E5B5F1B" w14:textId="1B20A41B" w:rsidR="005A0BF3" w:rsidRPr="003E5A20" w:rsidRDefault="005A0BF3" w:rsidP="003E5A20">
      <w:pPr>
        <w:spacing w:line="360" w:lineRule="auto"/>
        <w:ind w:hanging="2"/>
        <w:rPr>
          <w:rFonts w:ascii="Arial" w:eastAsia="Arial" w:hAnsi="Arial" w:cs="Arial"/>
          <w:lang w:val="it-IT"/>
        </w:rPr>
      </w:pPr>
    </w:p>
    <w:p w14:paraId="4E5B5F1C" w14:textId="77777777" w:rsidR="005A0BF3" w:rsidRDefault="005A0BF3">
      <w:pPr>
        <w:spacing w:line="360" w:lineRule="auto"/>
        <w:ind w:hanging="2"/>
        <w:rPr>
          <w:rFonts w:ascii="Arial" w:eastAsia="Arial" w:hAnsi="Arial" w:cs="Arial"/>
        </w:rPr>
      </w:pPr>
    </w:p>
    <w:p w14:paraId="4E5B5F24" w14:textId="6580E703" w:rsidR="005A0BF3" w:rsidRPr="00E64C6F" w:rsidRDefault="00896808">
      <w:pPr>
        <w:spacing w:after="0" w:line="360" w:lineRule="auto"/>
        <w:ind w:firstLine="0"/>
        <w:jc w:val="both"/>
        <w:rPr>
          <w:rFonts w:ascii="Arial" w:eastAsia="Arial" w:hAnsi="Arial" w:cs="Arial"/>
          <w:b/>
          <w:bCs/>
          <w:sz w:val="32"/>
          <w:szCs w:val="32"/>
        </w:rPr>
      </w:pPr>
      <w:r w:rsidRPr="00E64C6F">
        <w:rPr>
          <w:rFonts w:ascii="Arial" w:eastAsia="Arial" w:hAnsi="Arial" w:cs="Arial"/>
          <w:b/>
          <w:bCs/>
          <w:sz w:val="32"/>
          <w:szCs w:val="32"/>
        </w:rPr>
        <w:t>I</w:t>
      </w:r>
      <w:r w:rsidR="00FE7907" w:rsidRPr="00E64C6F">
        <w:rPr>
          <w:rFonts w:ascii="Arial" w:eastAsia="Arial" w:hAnsi="Arial" w:cs="Arial"/>
          <w:b/>
          <w:bCs/>
          <w:sz w:val="32"/>
          <w:szCs w:val="32"/>
        </w:rPr>
        <w:t>NTRODUCTION</w:t>
      </w:r>
      <w:r w:rsidR="001A7FC8">
        <w:rPr>
          <w:rFonts w:ascii="Arial" w:eastAsia="Arial" w:hAnsi="Arial" w:cs="Arial"/>
          <w:b/>
          <w:bCs/>
          <w:sz w:val="32"/>
          <w:szCs w:val="32"/>
        </w:rPr>
        <w:t>.</w:t>
      </w:r>
    </w:p>
    <w:p w14:paraId="4E5B5F25" w14:textId="0AFCAD6A" w:rsidR="005A0BF3" w:rsidRDefault="00896808">
      <w:pPr>
        <w:spacing w:after="0" w:line="360" w:lineRule="auto"/>
        <w:ind w:firstLine="0"/>
        <w:jc w:val="both"/>
        <w:rPr>
          <w:rFonts w:ascii="Arial" w:eastAsia="Arial" w:hAnsi="Arial" w:cs="Arial"/>
        </w:rPr>
      </w:pPr>
      <w:r>
        <w:rPr>
          <w:rFonts w:ascii="Arial" w:eastAsia="Arial" w:hAnsi="Arial" w:cs="Arial"/>
        </w:rPr>
        <w:t xml:space="preserve">Safe, person-centred care relies on </w:t>
      </w:r>
      <w:r w:rsidR="00642E77">
        <w:rPr>
          <w:rFonts w:ascii="Arial" w:eastAsia="Arial" w:hAnsi="Arial" w:cs="Arial"/>
        </w:rPr>
        <w:t>effective</w:t>
      </w:r>
      <w:r>
        <w:rPr>
          <w:rFonts w:ascii="Arial" w:eastAsia="Arial" w:hAnsi="Arial" w:cs="Arial"/>
        </w:rPr>
        <w:t xml:space="preserve"> communication, timely record-keeping, and interprofessional collaboration.</w:t>
      </w:r>
      <w:r w:rsidR="00642E77">
        <w:rPr>
          <w:rFonts w:ascii="Arial" w:eastAsia="Arial" w:hAnsi="Arial" w:cs="Arial"/>
        </w:rPr>
        <w:t xml:space="preserve"> Effective communication </w:t>
      </w:r>
      <w:r w:rsidR="00403D5E">
        <w:rPr>
          <w:rFonts w:ascii="Arial" w:eastAsia="Arial" w:hAnsi="Arial" w:cs="Arial"/>
        </w:rPr>
        <w:t>is</w:t>
      </w:r>
      <w:r w:rsidR="00892586">
        <w:rPr>
          <w:rFonts w:ascii="Arial" w:eastAsia="Arial" w:hAnsi="Arial" w:cs="Arial"/>
        </w:rPr>
        <w:t xml:space="preserve"> </w:t>
      </w:r>
      <w:r w:rsidR="007F0431">
        <w:rPr>
          <w:rFonts w:ascii="Arial" w:eastAsia="Arial" w:hAnsi="Arial" w:cs="Arial"/>
        </w:rPr>
        <w:t>“communication</w:t>
      </w:r>
      <w:r w:rsidR="00892586">
        <w:rPr>
          <w:rFonts w:ascii="Arial" w:eastAsia="Arial" w:hAnsi="Arial" w:cs="Arial"/>
        </w:rPr>
        <w:t xml:space="preserve"> that is clear</w:t>
      </w:r>
      <w:r w:rsidR="00855C4A">
        <w:rPr>
          <w:rFonts w:ascii="Arial" w:eastAsia="Arial" w:hAnsi="Arial" w:cs="Arial"/>
        </w:rPr>
        <w:t xml:space="preserve">, concise, accurate and understood by the </w:t>
      </w:r>
      <w:r w:rsidR="00D03977">
        <w:rPr>
          <w:rFonts w:ascii="Arial" w:eastAsia="Arial" w:hAnsi="Arial" w:cs="Arial"/>
        </w:rPr>
        <w:t>recipient” (</w:t>
      </w:r>
      <w:r w:rsidR="00CB0DF1">
        <w:rPr>
          <w:rFonts w:ascii="Arial" w:eastAsia="Arial" w:hAnsi="Arial" w:cs="Arial"/>
        </w:rPr>
        <w:t>A</w:t>
      </w:r>
      <w:r w:rsidR="00F70A03">
        <w:rPr>
          <w:rFonts w:ascii="Arial" w:eastAsia="Arial" w:hAnsi="Arial" w:cs="Arial"/>
        </w:rPr>
        <w:t>lder &amp;Elmhorst,2020</w:t>
      </w:r>
      <w:r w:rsidR="00D03977">
        <w:rPr>
          <w:rFonts w:ascii="Arial" w:eastAsia="Arial" w:hAnsi="Arial" w:cs="Arial"/>
        </w:rPr>
        <w:t>). It</w:t>
      </w:r>
      <w:r w:rsidR="00EE1290">
        <w:rPr>
          <w:rFonts w:ascii="Arial" w:eastAsia="Arial" w:hAnsi="Arial" w:cs="Arial"/>
        </w:rPr>
        <w:t xml:space="preserve"> involves not only speaking or writing clearly</w:t>
      </w:r>
      <w:r w:rsidR="00B80923">
        <w:rPr>
          <w:rFonts w:ascii="Arial" w:eastAsia="Arial" w:hAnsi="Arial" w:cs="Arial"/>
        </w:rPr>
        <w:t xml:space="preserve">, but also active listening, </w:t>
      </w:r>
      <w:r w:rsidR="00D24A5B">
        <w:rPr>
          <w:rFonts w:ascii="Arial" w:eastAsia="Arial" w:hAnsi="Arial" w:cs="Arial"/>
        </w:rPr>
        <w:t>appropriate</w:t>
      </w:r>
      <w:r w:rsidR="00B80923">
        <w:rPr>
          <w:rFonts w:ascii="Arial" w:eastAsia="Arial" w:hAnsi="Arial" w:cs="Arial"/>
        </w:rPr>
        <w:t xml:space="preserve"> tone, feedback</w:t>
      </w:r>
      <w:r w:rsidR="00D24A5B">
        <w:rPr>
          <w:rFonts w:ascii="Arial" w:eastAsia="Arial" w:hAnsi="Arial" w:cs="Arial"/>
        </w:rPr>
        <w:t xml:space="preserve"> and understanding non-verbal </w:t>
      </w:r>
      <w:r w:rsidR="0034575C">
        <w:rPr>
          <w:rFonts w:ascii="Arial" w:eastAsia="Arial" w:hAnsi="Arial" w:cs="Arial"/>
        </w:rPr>
        <w:t>cues. Whereas</w:t>
      </w:r>
      <w:r w:rsidR="008C5096">
        <w:rPr>
          <w:rFonts w:ascii="Arial" w:eastAsia="Arial" w:hAnsi="Arial" w:cs="Arial"/>
        </w:rPr>
        <w:t xml:space="preserve"> record keeping</w:t>
      </w:r>
      <w:r w:rsidR="000142AE">
        <w:rPr>
          <w:rFonts w:ascii="Arial" w:eastAsia="Arial" w:hAnsi="Arial" w:cs="Arial"/>
        </w:rPr>
        <w:t xml:space="preserve"> is </w:t>
      </w:r>
      <w:r w:rsidR="00D03977">
        <w:rPr>
          <w:rFonts w:ascii="Arial" w:eastAsia="Arial" w:hAnsi="Arial" w:cs="Arial"/>
        </w:rPr>
        <w:t>the</w:t>
      </w:r>
      <w:r w:rsidR="000142AE">
        <w:rPr>
          <w:rFonts w:ascii="Arial" w:eastAsia="Arial" w:hAnsi="Arial" w:cs="Arial"/>
        </w:rPr>
        <w:t xml:space="preserve"> systematic process of creating</w:t>
      </w:r>
      <w:r w:rsidR="00573286">
        <w:rPr>
          <w:rFonts w:ascii="Arial" w:eastAsia="Arial" w:hAnsi="Arial" w:cs="Arial"/>
        </w:rPr>
        <w:t>, organising</w:t>
      </w:r>
      <w:r w:rsidR="00D03977">
        <w:rPr>
          <w:rFonts w:ascii="Arial" w:eastAsia="Arial" w:hAnsi="Arial" w:cs="Arial"/>
        </w:rPr>
        <w:t xml:space="preserve">, </w:t>
      </w:r>
      <w:r w:rsidR="00573286">
        <w:rPr>
          <w:rFonts w:ascii="Arial" w:eastAsia="Arial" w:hAnsi="Arial" w:cs="Arial"/>
        </w:rPr>
        <w:t xml:space="preserve">storing, and maintain accurate and </w:t>
      </w:r>
      <w:r w:rsidR="00CC090C">
        <w:rPr>
          <w:rFonts w:ascii="Arial" w:eastAsia="Arial" w:hAnsi="Arial" w:cs="Arial"/>
        </w:rPr>
        <w:t>UpToDate information</w:t>
      </w:r>
      <w:r w:rsidR="00377203">
        <w:rPr>
          <w:rFonts w:ascii="Arial" w:eastAsia="Arial" w:hAnsi="Arial" w:cs="Arial"/>
        </w:rPr>
        <w:t xml:space="preserve"> to support accountability, decision making </w:t>
      </w:r>
      <w:r w:rsidR="009828FF">
        <w:rPr>
          <w:rFonts w:ascii="Arial" w:eastAsia="Arial" w:hAnsi="Arial" w:cs="Arial"/>
        </w:rPr>
        <w:t xml:space="preserve">and legal </w:t>
      </w:r>
      <w:r w:rsidR="00D03977">
        <w:rPr>
          <w:rFonts w:ascii="Arial" w:eastAsia="Arial" w:hAnsi="Arial" w:cs="Arial"/>
        </w:rPr>
        <w:t>compliance (</w:t>
      </w:r>
      <w:r w:rsidR="009828FF">
        <w:rPr>
          <w:rFonts w:ascii="Arial" w:eastAsia="Arial" w:hAnsi="Arial" w:cs="Arial"/>
        </w:rPr>
        <w:t>Marsh</w:t>
      </w:r>
      <w:r w:rsidR="00677056">
        <w:rPr>
          <w:rFonts w:ascii="Arial" w:eastAsia="Arial" w:hAnsi="Arial" w:cs="Arial"/>
        </w:rPr>
        <w:t>,2021)</w:t>
      </w:r>
      <w:r w:rsidR="00603308">
        <w:rPr>
          <w:rFonts w:ascii="Arial" w:eastAsia="Arial" w:hAnsi="Arial" w:cs="Arial"/>
        </w:rPr>
        <w:t>.</w:t>
      </w:r>
      <w:r w:rsidR="00D24A5B">
        <w:rPr>
          <w:rFonts w:ascii="Arial" w:eastAsia="Arial" w:hAnsi="Arial" w:cs="Arial"/>
        </w:rPr>
        <w:t xml:space="preserve"> These</w:t>
      </w:r>
      <w:r>
        <w:rPr>
          <w:rFonts w:ascii="Arial" w:eastAsia="Arial" w:hAnsi="Arial" w:cs="Arial"/>
        </w:rPr>
        <w:t xml:space="preserve"> factors are essential in helping Mrs Mann recover</w:t>
      </w:r>
      <w:r w:rsidR="00AB0365">
        <w:rPr>
          <w:rFonts w:ascii="Arial" w:eastAsia="Arial" w:hAnsi="Arial" w:cs="Arial"/>
        </w:rPr>
        <w:t>y</w:t>
      </w:r>
      <w:r>
        <w:rPr>
          <w:rFonts w:ascii="Arial" w:eastAsia="Arial" w:hAnsi="Arial" w:cs="Arial"/>
        </w:rPr>
        <w:t xml:space="preserve">, as they will allow continuity of care and safeguard her wellbeing. The case highlights the need to apply culturally sensitive practices, owing to the multidisciplinary nature </w:t>
      </w:r>
      <w:r w:rsidR="00F25066">
        <w:rPr>
          <w:rFonts w:ascii="Arial" w:eastAsia="Arial" w:hAnsi="Arial" w:cs="Arial"/>
        </w:rPr>
        <w:t>of her</w:t>
      </w:r>
      <w:r>
        <w:rPr>
          <w:rFonts w:ascii="Arial" w:eastAsia="Arial" w:hAnsi="Arial" w:cs="Arial"/>
        </w:rPr>
        <w:t xml:space="preserve"> care, cultural sensitivity, and the fact that Mrs Mann can only speak limited English and she relies on translators. Poor communication and record keeping, including the delayed medication adjustment as seen in the case, have been linked to serious consequences, which may include the risk of further harm, hospitalisation, and legal and professional </w:t>
      </w:r>
      <w:r w:rsidR="00272E1F">
        <w:rPr>
          <w:rFonts w:ascii="Arial" w:eastAsia="Arial" w:hAnsi="Arial" w:cs="Arial"/>
        </w:rPr>
        <w:t>transgressions (</w:t>
      </w:r>
      <w:r>
        <w:rPr>
          <w:rFonts w:ascii="Arial" w:eastAsia="Arial" w:hAnsi="Arial" w:cs="Arial"/>
        </w:rPr>
        <w:t>Howick et al., 2024). The purpose of this paper is to critically deliberate on the importance of communication, administrative, and collaborative practice based on Mrs Mann scenario. The paper uses relevant legislation, communication theory, and evidence-based arguments to demonstrate how these aspects serve as the foundations to deliver effective and equitable health and social care.</w:t>
      </w:r>
    </w:p>
    <w:p w14:paraId="4E5B5F26" w14:textId="77777777" w:rsidR="005A0BF3" w:rsidRDefault="005A0BF3">
      <w:pPr>
        <w:spacing w:after="0" w:line="360" w:lineRule="auto"/>
        <w:ind w:firstLine="0"/>
        <w:jc w:val="both"/>
        <w:rPr>
          <w:rFonts w:ascii="Arial" w:eastAsia="Arial" w:hAnsi="Arial" w:cs="Arial"/>
        </w:rPr>
      </w:pPr>
    </w:p>
    <w:p w14:paraId="4E5B5F27" w14:textId="3B107784" w:rsidR="005A0BF3" w:rsidRPr="003269C6" w:rsidRDefault="00896808">
      <w:pPr>
        <w:spacing w:after="0" w:line="360" w:lineRule="auto"/>
        <w:ind w:firstLine="0"/>
        <w:jc w:val="both"/>
        <w:rPr>
          <w:rFonts w:ascii="Arial" w:eastAsia="Arial" w:hAnsi="Arial" w:cs="Arial"/>
          <w:b/>
          <w:bCs/>
          <w:sz w:val="32"/>
          <w:szCs w:val="32"/>
        </w:rPr>
      </w:pPr>
      <w:r w:rsidRPr="003269C6">
        <w:rPr>
          <w:rFonts w:ascii="Arial" w:eastAsia="Arial" w:hAnsi="Arial" w:cs="Arial"/>
          <w:b/>
          <w:bCs/>
          <w:sz w:val="32"/>
          <w:szCs w:val="32"/>
        </w:rPr>
        <w:t>T</w:t>
      </w:r>
      <w:r w:rsidR="00BD0DDD" w:rsidRPr="003269C6">
        <w:rPr>
          <w:rFonts w:ascii="Arial" w:eastAsia="Arial" w:hAnsi="Arial" w:cs="Arial"/>
          <w:b/>
          <w:bCs/>
          <w:sz w:val="32"/>
          <w:szCs w:val="32"/>
        </w:rPr>
        <w:t xml:space="preserve">HE </w:t>
      </w:r>
      <w:r w:rsidR="009E2D19" w:rsidRPr="003269C6">
        <w:rPr>
          <w:rFonts w:ascii="Arial" w:eastAsia="Arial" w:hAnsi="Arial" w:cs="Arial"/>
          <w:b/>
          <w:bCs/>
          <w:sz w:val="32"/>
          <w:szCs w:val="32"/>
        </w:rPr>
        <w:t>IMPORTANCE OF EFFECTIVE COMMUNICATION.</w:t>
      </w:r>
    </w:p>
    <w:p w14:paraId="4E5B5F28" w14:textId="0256F6BC" w:rsidR="005A0BF3" w:rsidRDefault="00896808">
      <w:pPr>
        <w:spacing w:after="0" w:line="360" w:lineRule="auto"/>
        <w:ind w:firstLine="0"/>
        <w:jc w:val="both"/>
        <w:rPr>
          <w:rFonts w:ascii="Arial" w:eastAsia="Arial" w:hAnsi="Arial" w:cs="Arial"/>
        </w:rPr>
      </w:pPr>
      <w:r>
        <w:rPr>
          <w:rFonts w:ascii="Arial" w:eastAsia="Arial" w:hAnsi="Arial" w:cs="Arial"/>
        </w:rPr>
        <w:t xml:space="preserve">Communication as the cornerstone of person-centred and safe work, enables professionals to share essential information, get acquainted with patient needs, and build trust (Howick et al., 2024). The indication of the lack of her fluent command of English in Mrs Mann scenario is a concrete sign of communication barrier, which must be broken with automatic application of culturally expressive communication patterns. As stated in the Equality Act 2010, it is legally the responsibility of health and social care providers to make reasonable adjustments </w:t>
      </w:r>
      <w:r w:rsidR="0081585A">
        <w:rPr>
          <w:rFonts w:ascii="Arial" w:eastAsia="Arial" w:hAnsi="Arial" w:cs="Arial"/>
        </w:rPr>
        <w:t>to</w:t>
      </w:r>
      <w:r>
        <w:rPr>
          <w:rFonts w:ascii="Arial" w:eastAsia="Arial" w:hAnsi="Arial" w:cs="Arial"/>
        </w:rPr>
        <w:t xml:space="preserve"> make sure that individuals with protected characteristics, such as language barriers, are not disfavoured (Ratna, 2019). This implies that professionals need to make sure that Mrs Mann has a detailed awareness of her care plan, medication, and physiotherapy guidelines.</w:t>
      </w:r>
    </w:p>
    <w:p w14:paraId="4E5B5F29" w14:textId="0B3A4606" w:rsidR="005A0BF3" w:rsidRDefault="00896808">
      <w:pPr>
        <w:spacing w:after="0" w:line="360" w:lineRule="auto"/>
        <w:ind w:firstLine="0"/>
        <w:jc w:val="both"/>
        <w:rPr>
          <w:rFonts w:ascii="Arial" w:eastAsia="Arial" w:hAnsi="Arial" w:cs="Arial"/>
        </w:rPr>
      </w:pPr>
      <w:r>
        <w:rPr>
          <w:rFonts w:ascii="Arial" w:eastAsia="Arial" w:hAnsi="Arial" w:cs="Arial"/>
        </w:rPr>
        <w:lastRenderedPageBreak/>
        <w:t xml:space="preserve">A useful model that one can refer to in relation to the scenario is the transactional model of communication, which focuses on the two-way relationship between receiver and sender in the dynamic communication process that involves feedback and contextual </w:t>
      </w:r>
      <w:r w:rsidR="00272E1F">
        <w:rPr>
          <w:rFonts w:ascii="Arial" w:eastAsia="Arial" w:hAnsi="Arial" w:cs="Arial"/>
        </w:rPr>
        <w:t>variables (</w:t>
      </w:r>
      <w:proofErr w:type="spellStart"/>
      <w:r>
        <w:rPr>
          <w:rFonts w:ascii="Arial" w:eastAsia="Arial" w:hAnsi="Arial" w:cs="Arial"/>
        </w:rPr>
        <w:t>Parackal</w:t>
      </w:r>
      <w:proofErr w:type="spellEnd"/>
      <w:r>
        <w:rPr>
          <w:rFonts w:ascii="Arial" w:eastAsia="Arial" w:hAnsi="Arial" w:cs="Arial"/>
        </w:rPr>
        <w:t xml:space="preserve"> et al., 2020). Practically, this would necessitate care workers to employ plain language, visual aids, or the use of translated materials to facilitate the understanding of Mrs Mann. Where possible, professional interpreters should be engaged instead of just using family members to ensure confidentiality and accuracy (Kwame and </w:t>
      </w:r>
      <w:proofErr w:type="spellStart"/>
      <w:r>
        <w:rPr>
          <w:rFonts w:ascii="Arial" w:eastAsia="Arial" w:hAnsi="Arial" w:cs="Arial"/>
        </w:rPr>
        <w:t>Petrucka</w:t>
      </w:r>
      <w:proofErr w:type="spellEnd"/>
      <w:r>
        <w:rPr>
          <w:rFonts w:ascii="Arial" w:eastAsia="Arial" w:hAnsi="Arial" w:cs="Arial"/>
        </w:rPr>
        <w:t>, 2021). Listening, non-verbal and empathy enhance more trust and clarity, particularly in the post-operative environment whereby clear instructions are required.</w:t>
      </w:r>
    </w:p>
    <w:p w14:paraId="4E5B5F2A" w14:textId="77777777" w:rsidR="005A0BF3" w:rsidRDefault="00896808">
      <w:pPr>
        <w:spacing w:after="0" w:line="360" w:lineRule="auto"/>
        <w:ind w:firstLine="0"/>
        <w:jc w:val="both"/>
        <w:rPr>
          <w:rFonts w:ascii="Arial" w:eastAsia="Arial" w:hAnsi="Arial" w:cs="Arial"/>
        </w:rPr>
      </w:pPr>
      <w:r>
        <w:rPr>
          <w:rFonts w:ascii="Arial" w:eastAsia="Arial" w:hAnsi="Arial" w:cs="Arial"/>
        </w:rPr>
        <w:t xml:space="preserve">Language barriers have been discovered to contribute to unintended health outcomes, slow recovery, and contribute to a high risk of medication errors (Brooks et al., 2018). Mrs Mann case is an example of this risk when medication adjustments need to be delayed and that delay was caused in part by a failure to communicate. Kwame and </w:t>
      </w:r>
      <w:proofErr w:type="spellStart"/>
      <w:r>
        <w:rPr>
          <w:rFonts w:ascii="Arial" w:eastAsia="Arial" w:hAnsi="Arial" w:cs="Arial"/>
        </w:rPr>
        <w:t>Petrucka</w:t>
      </w:r>
      <w:proofErr w:type="spellEnd"/>
      <w:r>
        <w:rPr>
          <w:rFonts w:ascii="Arial" w:eastAsia="Arial" w:hAnsi="Arial" w:cs="Arial"/>
        </w:rPr>
        <w:t xml:space="preserve"> (2021) observe that good communication channels between care team, GP, and physiotherapist are necessary to prevent such incidents. The standard practice outlined by the Nursing and Midwifery Council also upholds the notion that nurses need the capacity to effectively communicate and share information sufficiently to guarantee patient security (NMC, 2018).</w:t>
      </w:r>
    </w:p>
    <w:p w14:paraId="4E5B5F2B" w14:textId="08493484" w:rsidR="005A0BF3" w:rsidRDefault="00896808">
      <w:pPr>
        <w:spacing w:after="0" w:line="360" w:lineRule="auto"/>
        <w:ind w:firstLine="0"/>
        <w:jc w:val="both"/>
        <w:rPr>
          <w:rFonts w:ascii="Arial" w:eastAsia="Arial" w:hAnsi="Arial" w:cs="Arial"/>
        </w:rPr>
      </w:pPr>
      <w:r>
        <w:rPr>
          <w:rFonts w:ascii="Arial" w:eastAsia="Arial" w:hAnsi="Arial" w:cs="Arial"/>
        </w:rPr>
        <w:t xml:space="preserve">Cultural competence is an equally crucial element, as the case suggests (Sheehan et al., 2021). Mrs Mann is of Urdu origin, requiring the needs to take into consideration her cultural norms and preferences that may influence her perception of care. Culturally responsive communication was associated with higher patient satisfaction and compliance with care plans (Ratna, 2019). In addition, using the daughter of Mrs Mann as an interpreter in a dignified manner, and, nonetheless, with a primary emphasis on professional interpreting services, can promote mutual decision-making, thereby increasing the extent of trust and interest in </w:t>
      </w:r>
      <w:r w:rsidR="00715AC4">
        <w:rPr>
          <w:rFonts w:ascii="Arial" w:eastAsia="Arial" w:hAnsi="Arial" w:cs="Arial"/>
        </w:rPr>
        <w:t>care (</w:t>
      </w:r>
      <w:r>
        <w:rPr>
          <w:rFonts w:ascii="Arial" w:eastAsia="Arial" w:hAnsi="Arial" w:cs="Arial"/>
        </w:rPr>
        <w:t xml:space="preserve">Sheehan et al., 2021). </w:t>
      </w:r>
      <w:r w:rsidR="00BB139E">
        <w:rPr>
          <w:rFonts w:ascii="Arial" w:eastAsia="Arial" w:hAnsi="Arial" w:cs="Arial"/>
        </w:rPr>
        <w:t>Overall</w:t>
      </w:r>
      <w:r>
        <w:rPr>
          <w:rFonts w:ascii="Arial" w:eastAsia="Arial" w:hAnsi="Arial" w:cs="Arial"/>
        </w:rPr>
        <w:t>, the functional communicative patterns in such an environment include legal compliance, application of evidence-based models, cultural awareness, and methodological communication among the professionals and the patient. These factors can go a long way in mitigating risks, empowering the patient, and sustaining improved health outcomes.</w:t>
      </w:r>
    </w:p>
    <w:p w14:paraId="4E5B5F2C" w14:textId="77777777" w:rsidR="005A0BF3" w:rsidRDefault="005A0BF3">
      <w:pPr>
        <w:spacing w:after="0" w:line="360" w:lineRule="auto"/>
        <w:ind w:firstLine="0"/>
        <w:jc w:val="both"/>
        <w:rPr>
          <w:rFonts w:ascii="Arial" w:eastAsia="Arial" w:hAnsi="Arial" w:cs="Arial"/>
        </w:rPr>
      </w:pPr>
    </w:p>
    <w:p w14:paraId="4E5B5F2D" w14:textId="1AC594B6" w:rsidR="005A0BF3" w:rsidRPr="003269C6" w:rsidRDefault="00DB1907">
      <w:pPr>
        <w:spacing w:after="0" w:line="360" w:lineRule="auto"/>
        <w:ind w:firstLine="0"/>
        <w:jc w:val="both"/>
        <w:rPr>
          <w:rFonts w:ascii="Arial" w:eastAsia="Arial" w:hAnsi="Arial" w:cs="Arial"/>
          <w:b/>
          <w:bCs/>
          <w:sz w:val="32"/>
          <w:szCs w:val="32"/>
        </w:rPr>
      </w:pPr>
      <w:r>
        <w:rPr>
          <w:rFonts w:ascii="Arial" w:eastAsia="Arial" w:hAnsi="Arial" w:cs="Arial"/>
          <w:b/>
          <w:bCs/>
          <w:sz w:val="32"/>
          <w:szCs w:val="32"/>
        </w:rPr>
        <w:t>IMPORTANCE</w:t>
      </w:r>
      <w:r w:rsidR="004B4695">
        <w:rPr>
          <w:rFonts w:ascii="Arial" w:eastAsia="Arial" w:hAnsi="Arial" w:cs="Arial"/>
          <w:b/>
          <w:bCs/>
          <w:sz w:val="32"/>
          <w:szCs w:val="32"/>
        </w:rPr>
        <w:t xml:space="preserve"> OF </w:t>
      </w:r>
      <w:r w:rsidR="001164EF">
        <w:rPr>
          <w:rFonts w:ascii="Arial" w:eastAsia="Arial" w:hAnsi="Arial" w:cs="Arial"/>
          <w:b/>
          <w:bCs/>
          <w:sz w:val="32"/>
          <w:szCs w:val="32"/>
        </w:rPr>
        <w:t xml:space="preserve">GOOD </w:t>
      </w:r>
      <w:r w:rsidR="00896808" w:rsidRPr="003269C6">
        <w:rPr>
          <w:rFonts w:ascii="Arial" w:eastAsia="Arial" w:hAnsi="Arial" w:cs="Arial"/>
          <w:b/>
          <w:bCs/>
          <w:sz w:val="32"/>
          <w:szCs w:val="32"/>
        </w:rPr>
        <w:t>A</w:t>
      </w:r>
      <w:r w:rsidR="00BA1F03" w:rsidRPr="003269C6">
        <w:rPr>
          <w:rFonts w:ascii="Arial" w:eastAsia="Arial" w:hAnsi="Arial" w:cs="Arial"/>
          <w:b/>
          <w:bCs/>
          <w:sz w:val="32"/>
          <w:szCs w:val="32"/>
        </w:rPr>
        <w:t>DMINISTRATIVE SKILLS AND RECORD KEEPING</w:t>
      </w:r>
      <w:r w:rsidR="00D45E75">
        <w:rPr>
          <w:rFonts w:ascii="Arial" w:eastAsia="Arial" w:hAnsi="Arial" w:cs="Arial"/>
          <w:b/>
          <w:bCs/>
          <w:sz w:val="32"/>
          <w:szCs w:val="32"/>
        </w:rPr>
        <w:t>.</w:t>
      </w:r>
    </w:p>
    <w:p w14:paraId="4E5B5F2E" w14:textId="04EB1F44" w:rsidR="005A0BF3" w:rsidRDefault="00A659D8">
      <w:pPr>
        <w:spacing w:after="0" w:line="360" w:lineRule="auto"/>
        <w:ind w:firstLine="0"/>
        <w:jc w:val="both"/>
        <w:rPr>
          <w:rFonts w:ascii="Arial" w:eastAsia="Arial" w:hAnsi="Arial" w:cs="Arial"/>
        </w:rPr>
      </w:pPr>
      <w:r>
        <w:rPr>
          <w:rFonts w:ascii="Arial" w:eastAsia="Arial" w:hAnsi="Arial" w:cs="Arial"/>
        </w:rPr>
        <w:lastRenderedPageBreak/>
        <w:t>G</w:t>
      </w:r>
      <w:r w:rsidR="002C75CB">
        <w:rPr>
          <w:rFonts w:ascii="Arial" w:eastAsia="Arial" w:hAnsi="Arial" w:cs="Arial"/>
        </w:rPr>
        <w:t xml:space="preserve">ood </w:t>
      </w:r>
      <w:r w:rsidR="00832902">
        <w:rPr>
          <w:rFonts w:ascii="Arial" w:eastAsia="Arial" w:hAnsi="Arial" w:cs="Arial"/>
        </w:rPr>
        <w:t xml:space="preserve">administration skills </w:t>
      </w:r>
      <w:r w:rsidR="00956C81">
        <w:rPr>
          <w:rFonts w:ascii="Arial" w:eastAsia="Arial" w:hAnsi="Arial" w:cs="Arial"/>
        </w:rPr>
        <w:t>involve</w:t>
      </w:r>
      <w:r w:rsidR="00832902">
        <w:rPr>
          <w:rFonts w:ascii="Arial" w:eastAsia="Arial" w:hAnsi="Arial" w:cs="Arial"/>
        </w:rPr>
        <w:t xml:space="preserve"> </w:t>
      </w:r>
      <w:r w:rsidR="00720F50">
        <w:rPr>
          <w:rFonts w:ascii="Arial" w:eastAsia="Arial" w:hAnsi="Arial" w:cs="Arial"/>
        </w:rPr>
        <w:t>organising</w:t>
      </w:r>
      <w:r w:rsidR="00832902">
        <w:rPr>
          <w:rFonts w:ascii="Arial" w:eastAsia="Arial" w:hAnsi="Arial" w:cs="Arial"/>
        </w:rPr>
        <w:t xml:space="preserve"> tasks</w:t>
      </w:r>
      <w:r w:rsidR="003F68A0">
        <w:rPr>
          <w:rFonts w:ascii="Arial" w:eastAsia="Arial" w:hAnsi="Arial" w:cs="Arial"/>
        </w:rPr>
        <w:t xml:space="preserve">, managing time </w:t>
      </w:r>
      <w:r w:rsidR="00720F50">
        <w:rPr>
          <w:rFonts w:ascii="Arial" w:eastAsia="Arial" w:hAnsi="Arial" w:cs="Arial"/>
        </w:rPr>
        <w:t>effectively, communicating</w:t>
      </w:r>
      <w:r w:rsidR="003F68A0">
        <w:rPr>
          <w:rFonts w:ascii="Arial" w:eastAsia="Arial" w:hAnsi="Arial" w:cs="Arial"/>
        </w:rPr>
        <w:t xml:space="preserve"> clearly</w:t>
      </w:r>
      <w:r w:rsidR="00B36EF4">
        <w:rPr>
          <w:rFonts w:ascii="Arial" w:eastAsia="Arial" w:hAnsi="Arial" w:cs="Arial"/>
        </w:rPr>
        <w:t xml:space="preserve">, and supporting the smooth ang and </w:t>
      </w:r>
      <w:r w:rsidR="00720F50">
        <w:rPr>
          <w:rFonts w:ascii="Arial" w:eastAsia="Arial" w:hAnsi="Arial" w:cs="Arial"/>
        </w:rPr>
        <w:t>efficient running</w:t>
      </w:r>
      <w:r w:rsidR="00C56B8E">
        <w:rPr>
          <w:rFonts w:ascii="Arial" w:eastAsia="Arial" w:hAnsi="Arial" w:cs="Arial"/>
        </w:rPr>
        <w:t xml:space="preserve"> of an </w:t>
      </w:r>
      <w:r w:rsidR="00BF3B8E">
        <w:rPr>
          <w:rFonts w:ascii="Arial" w:eastAsia="Arial" w:hAnsi="Arial" w:cs="Arial"/>
        </w:rPr>
        <w:t>organisation (</w:t>
      </w:r>
      <w:r w:rsidR="00C56B8E">
        <w:rPr>
          <w:rFonts w:ascii="Arial" w:eastAsia="Arial" w:hAnsi="Arial" w:cs="Arial"/>
        </w:rPr>
        <w:t>Gupta and S</w:t>
      </w:r>
      <w:r w:rsidR="00720F50">
        <w:rPr>
          <w:rFonts w:ascii="Arial" w:eastAsia="Arial" w:hAnsi="Arial" w:cs="Arial"/>
        </w:rPr>
        <w:t>harma,2019).</w:t>
      </w:r>
      <w:r w:rsidR="00896808">
        <w:rPr>
          <w:rFonts w:ascii="Arial" w:eastAsia="Arial" w:hAnsi="Arial" w:cs="Arial"/>
        </w:rPr>
        <w:t>Proper and timely record-keeping is a legal, ethical, and professional requirement in health and social care (Taylor, 2019). The risks of poor administrative practices in the case of Mrs Mann are seen through inconsistent documentation resulting in a delayed change of medication. Good record-keeping will guarantee continuity of care, support clinical decision-making, and safeguard both service users and practitioners during legal or regulatory inquiries (Brooks, 2021). Healthcare professionals are required by law to ensure patients’ records are complete whether it is a paper-based or electronic system documentation. This should be done in a patient-focused way and should be accurate, clear, accurate, timely, and confidential (</w:t>
      </w:r>
      <w:proofErr w:type="spellStart"/>
      <w:r w:rsidR="00896808">
        <w:rPr>
          <w:rFonts w:ascii="Arial" w:eastAsia="Arial" w:hAnsi="Arial" w:cs="Arial"/>
        </w:rPr>
        <w:t>Demsash</w:t>
      </w:r>
      <w:proofErr w:type="spellEnd"/>
      <w:r w:rsidR="00896808">
        <w:rPr>
          <w:rFonts w:ascii="Arial" w:eastAsia="Arial" w:hAnsi="Arial" w:cs="Arial"/>
        </w:rPr>
        <w:t xml:space="preserve"> et al., 2023). The legal framework on documenting and using service user information is given by the Data Protection Act 2018 and the UK General Data Protection Regulation. A patient’s records must contain the correct information, be current, and secure and only accessed by authorised persons (Brooks, 2021). This is particularly crucial in domiciliary and community contexts where a variety of professionals participate in care. Poor or wrong records can cause medication mistakes, referrals, or repeated interventions.</w:t>
      </w:r>
    </w:p>
    <w:p w14:paraId="4E5B5F2F" w14:textId="77777777" w:rsidR="005A0BF3" w:rsidRDefault="00896808">
      <w:pPr>
        <w:spacing w:after="0" w:line="360" w:lineRule="auto"/>
        <w:ind w:firstLine="0"/>
        <w:jc w:val="both"/>
        <w:rPr>
          <w:rFonts w:ascii="Arial" w:eastAsia="Arial" w:hAnsi="Arial" w:cs="Arial"/>
        </w:rPr>
      </w:pPr>
      <w:r>
        <w:rPr>
          <w:rFonts w:ascii="Arial" w:eastAsia="Arial" w:hAnsi="Arial" w:cs="Arial"/>
        </w:rPr>
        <w:t>Also, administrative skills are not limited to data entry, they are about knowing how to prioritise information, verify confidentiality, and being clear and legible. Good documentation must capture the description of the care given, variation in status, interactions with other professionals, and activities (</w:t>
      </w:r>
      <w:proofErr w:type="spellStart"/>
      <w:r>
        <w:rPr>
          <w:rFonts w:ascii="Arial" w:eastAsia="Arial" w:hAnsi="Arial" w:cs="Arial"/>
        </w:rPr>
        <w:t>Demsash</w:t>
      </w:r>
      <w:proofErr w:type="spellEnd"/>
      <w:r>
        <w:rPr>
          <w:rFonts w:ascii="Arial" w:eastAsia="Arial" w:hAnsi="Arial" w:cs="Arial"/>
        </w:rPr>
        <w:t xml:space="preserve"> et al., 2023). In the scenario of Mrs Mann, physiotherapy updates, pain management, and medication adjustment must be properly documented and shared with the rest of the care team. Digital records systems can also contribute to safer care by enabling the ability to retrieve information in real-time, although staff also need proper training on how to use these systems, and must be aligned with the values of data protection (Taylor, 2019). According to nursing literature, poor record-keeping is one of the primary contributors to numerous negative experiences in healthcare (Tingle, 2023). In Mrs Mann, postponed care might have been prevented had the care team and the GP shared changes with her medication when they occurred not postponed.</w:t>
      </w:r>
    </w:p>
    <w:p w14:paraId="4E5B5F30" w14:textId="77777777" w:rsidR="005A0BF3" w:rsidRDefault="00896808">
      <w:pPr>
        <w:spacing w:after="0" w:line="360" w:lineRule="auto"/>
        <w:ind w:firstLine="0"/>
        <w:jc w:val="both"/>
        <w:rPr>
          <w:rFonts w:ascii="Arial" w:eastAsia="Arial" w:hAnsi="Arial" w:cs="Arial"/>
        </w:rPr>
      </w:pPr>
      <w:r>
        <w:rPr>
          <w:rFonts w:ascii="Arial" w:eastAsia="Arial" w:hAnsi="Arial" w:cs="Arial"/>
        </w:rPr>
        <w:t xml:space="preserve">In addition, effective administrative ability is indicative of professionalism and accountability that align with the NMC (2018) standards of safe and effective care. Routine training, review of records and good laid-down communication guidelines among the agencies can be used to maintain high standards of documentation. Overall, administrative competence is crucial to legal compliance, patient safety, and coordinated care. Regarding the recovery of Mrs Mann, documentation </w:t>
      </w:r>
      <w:r>
        <w:rPr>
          <w:rFonts w:ascii="Arial" w:eastAsia="Arial" w:hAnsi="Arial" w:cs="Arial"/>
        </w:rPr>
        <w:lastRenderedPageBreak/>
        <w:t>practice should be enhanced to elevate medication safety, rehabilitation outcome, and the overall quality of her caring experience.</w:t>
      </w:r>
    </w:p>
    <w:p w14:paraId="4E5B5F31" w14:textId="77777777" w:rsidR="005A0BF3" w:rsidRDefault="005A0BF3">
      <w:pPr>
        <w:spacing w:after="0" w:line="360" w:lineRule="auto"/>
        <w:ind w:firstLine="0"/>
        <w:jc w:val="both"/>
        <w:rPr>
          <w:rFonts w:ascii="Arial" w:eastAsia="Arial" w:hAnsi="Arial" w:cs="Arial"/>
        </w:rPr>
      </w:pPr>
    </w:p>
    <w:p w14:paraId="4E5B5F32" w14:textId="2A7FF56C" w:rsidR="005A0BF3" w:rsidRPr="003269C6" w:rsidRDefault="00896808">
      <w:pPr>
        <w:spacing w:after="0" w:line="360" w:lineRule="auto"/>
        <w:ind w:firstLine="0"/>
        <w:jc w:val="both"/>
        <w:rPr>
          <w:rFonts w:ascii="Arial" w:eastAsia="Arial" w:hAnsi="Arial" w:cs="Arial"/>
          <w:b/>
          <w:bCs/>
          <w:sz w:val="32"/>
          <w:szCs w:val="32"/>
        </w:rPr>
      </w:pPr>
      <w:r w:rsidRPr="003269C6">
        <w:rPr>
          <w:rFonts w:ascii="Arial" w:eastAsia="Arial" w:hAnsi="Arial" w:cs="Arial"/>
          <w:b/>
          <w:bCs/>
          <w:sz w:val="32"/>
          <w:szCs w:val="32"/>
        </w:rPr>
        <w:t>T</w:t>
      </w:r>
      <w:r w:rsidR="00715AC4" w:rsidRPr="003269C6">
        <w:rPr>
          <w:rFonts w:ascii="Arial" w:eastAsia="Arial" w:hAnsi="Arial" w:cs="Arial"/>
          <w:b/>
          <w:bCs/>
          <w:sz w:val="32"/>
          <w:szCs w:val="32"/>
        </w:rPr>
        <w:t xml:space="preserve">HE </w:t>
      </w:r>
      <w:r w:rsidR="00A77E16" w:rsidRPr="003269C6">
        <w:rPr>
          <w:rFonts w:ascii="Arial" w:eastAsia="Arial" w:hAnsi="Arial" w:cs="Arial"/>
          <w:b/>
          <w:bCs/>
          <w:sz w:val="32"/>
          <w:szCs w:val="32"/>
        </w:rPr>
        <w:t>IMPORTANCE OF COLLABORATIVE WORKING.</w:t>
      </w:r>
    </w:p>
    <w:p w14:paraId="4E5B5F33" w14:textId="77777777" w:rsidR="005A0BF3" w:rsidRDefault="00896808">
      <w:pPr>
        <w:spacing w:after="0" w:line="360" w:lineRule="auto"/>
        <w:ind w:firstLine="0"/>
        <w:jc w:val="both"/>
        <w:rPr>
          <w:rFonts w:ascii="Arial" w:eastAsia="Arial" w:hAnsi="Arial" w:cs="Arial"/>
        </w:rPr>
      </w:pPr>
      <w:r>
        <w:rPr>
          <w:rFonts w:ascii="Arial" w:eastAsia="Arial" w:hAnsi="Arial" w:cs="Arial"/>
        </w:rPr>
        <w:t>Health and social care professionals should work together to provide holistic, safe, and effective care, especially to older adults with complex needs like Mrs Mann (</w:t>
      </w:r>
      <w:proofErr w:type="spellStart"/>
      <w:r>
        <w:rPr>
          <w:rFonts w:ascii="Arial" w:eastAsia="Arial" w:hAnsi="Arial" w:cs="Arial"/>
        </w:rPr>
        <w:t>Schot</w:t>
      </w:r>
      <w:proofErr w:type="spellEnd"/>
      <w:r>
        <w:rPr>
          <w:rFonts w:ascii="Arial" w:eastAsia="Arial" w:hAnsi="Arial" w:cs="Arial"/>
        </w:rPr>
        <w:t xml:space="preserve"> et al., 2020). Mrs Mann is cared for by domiciliary care workers, a GP, and a physiotherapist, and therefore requires multi-agency coordination to guarantee rehabilitation, medication safety, and home independence. The integrated working plays a role in eliminating duplication, avoiding gaps in care between transitions (such as hospital discharge to home), and enhancing shared responsibility to manage risks (Zajac et al., 2021). Some of the strategies that can be used to promote collaboration, in this regard, are frequent multidisciplinary team (MDT) meetings, shared care plans, and access to interoperable records that facilitate prompt information exchange (</w:t>
      </w:r>
      <w:proofErr w:type="spellStart"/>
      <w:r>
        <w:rPr>
          <w:rFonts w:ascii="Arial" w:eastAsia="Arial" w:hAnsi="Arial" w:cs="Arial"/>
        </w:rPr>
        <w:t>Pradelli</w:t>
      </w:r>
      <w:proofErr w:type="spellEnd"/>
      <w:r>
        <w:rPr>
          <w:rFonts w:ascii="Arial" w:eastAsia="Arial" w:hAnsi="Arial" w:cs="Arial"/>
        </w:rPr>
        <w:t xml:space="preserve"> et al., 2025). Organised communication mechanisms like SBAR (Situation-Background-Assessment-Recommendation) have also been shown to facilitate standardisation of handovers and minimise misunderstanding, hence could be equally appropriate (Coolen et al., 2020). In the case of Mrs Mann, the application of SBAR when communicating between the physiotherapist, GP and care agency during updated reporting would increase the likelihood that clinical alterations (such as pain levels or prescription requirements) would be observed and responded to in a timely manner.</w:t>
      </w:r>
    </w:p>
    <w:p w14:paraId="4E5B5F34" w14:textId="77777777" w:rsidR="005A0BF3" w:rsidRDefault="00896808">
      <w:pPr>
        <w:spacing w:after="0" w:line="360" w:lineRule="auto"/>
        <w:ind w:firstLine="0"/>
        <w:jc w:val="both"/>
        <w:rPr>
          <w:rFonts w:ascii="Arial" w:eastAsia="Arial" w:hAnsi="Arial" w:cs="Arial"/>
        </w:rPr>
      </w:pPr>
      <w:r>
        <w:rPr>
          <w:rFonts w:ascii="Arial" w:eastAsia="Arial" w:hAnsi="Arial" w:cs="Arial"/>
        </w:rPr>
        <w:t>Nonetheless, multi-agency working is frequently characterised by such difficulties as role ambiguity, communication gaps, and organisational differences (Zajac et al., 2021). Collaboration may be compromised by role ambiguity, divergent organisational priorities, and siloed record systems. Consequently, it is significant to address these barriers. For instance, this could be achieved through openly laid out roles, agreed standards, and supportive leadership where a culture of mutual respect and common objectives exists (Brooks et al., 2018). Interprofessional competencies training, such as communication, conflict resolution, and knowledge of the scope of each profession, also enhance teamwork and patient outcomes (</w:t>
      </w:r>
      <w:proofErr w:type="spellStart"/>
      <w:r>
        <w:rPr>
          <w:rFonts w:ascii="Arial" w:eastAsia="Arial" w:hAnsi="Arial" w:cs="Arial"/>
        </w:rPr>
        <w:t>Pradelli</w:t>
      </w:r>
      <w:proofErr w:type="spellEnd"/>
      <w:r>
        <w:rPr>
          <w:rFonts w:ascii="Arial" w:eastAsia="Arial" w:hAnsi="Arial" w:cs="Arial"/>
        </w:rPr>
        <w:t xml:space="preserve"> et al., 2025). Family involvement should also be handled with care. The interaction in this case can be enabled by Mrs Mann daughter, but her care team must make sure that all the decisions should be documented and that the principles of confidentiality and consent requirements are considered during the discharge planning. Lastly, the early integration is a key factor to consider in the discharge planning. The likelihood of adverse events and readmission can be reduced by assigning a named </w:t>
      </w:r>
      <w:r>
        <w:rPr>
          <w:rFonts w:ascii="Arial" w:eastAsia="Arial" w:hAnsi="Arial" w:cs="Arial"/>
        </w:rPr>
        <w:lastRenderedPageBreak/>
        <w:t xml:space="preserve">coordinator or care navigator who tracks appointments, medication reconciliation and physiotherapy scheduling. </w:t>
      </w:r>
    </w:p>
    <w:p w14:paraId="4E5B5F35" w14:textId="77777777" w:rsidR="005A0BF3" w:rsidRDefault="005A0BF3">
      <w:pPr>
        <w:spacing w:after="0" w:line="360" w:lineRule="auto"/>
        <w:ind w:firstLine="0"/>
        <w:jc w:val="both"/>
        <w:rPr>
          <w:rFonts w:ascii="Arial" w:eastAsia="Arial" w:hAnsi="Arial" w:cs="Arial"/>
        </w:rPr>
      </w:pPr>
    </w:p>
    <w:p w14:paraId="4E5B5F36" w14:textId="7C078317" w:rsidR="005A0BF3" w:rsidRPr="003269C6" w:rsidRDefault="00896808">
      <w:pPr>
        <w:spacing w:after="0" w:line="360" w:lineRule="auto"/>
        <w:ind w:firstLine="0"/>
        <w:jc w:val="both"/>
        <w:rPr>
          <w:rFonts w:ascii="Arial" w:eastAsia="Arial" w:hAnsi="Arial" w:cs="Arial"/>
          <w:b/>
          <w:bCs/>
          <w:sz w:val="32"/>
          <w:szCs w:val="32"/>
        </w:rPr>
      </w:pPr>
      <w:r w:rsidRPr="003269C6">
        <w:rPr>
          <w:rFonts w:ascii="Arial" w:eastAsia="Arial" w:hAnsi="Arial" w:cs="Arial"/>
          <w:b/>
          <w:bCs/>
          <w:sz w:val="32"/>
          <w:szCs w:val="32"/>
        </w:rPr>
        <w:t>C</w:t>
      </w:r>
      <w:r w:rsidR="00A77E16" w:rsidRPr="003269C6">
        <w:rPr>
          <w:rFonts w:ascii="Arial" w:eastAsia="Arial" w:hAnsi="Arial" w:cs="Arial"/>
          <w:b/>
          <w:bCs/>
          <w:sz w:val="32"/>
          <w:szCs w:val="32"/>
        </w:rPr>
        <w:t>ONCLUSION</w:t>
      </w:r>
      <w:r w:rsidR="003269C6">
        <w:rPr>
          <w:rFonts w:ascii="Arial" w:eastAsia="Arial" w:hAnsi="Arial" w:cs="Arial"/>
          <w:b/>
          <w:bCs/>
          <w:sz w:val="32"/>
          <w:szCs w:val="32"/>
        </w:rPr>
        <w:t>.</w:t>
      </w:r>
    </w:p>
    <w:p w14:paraId="4E5B5F39" w14:textId="03A207DA" w:rsidR="005A0BF3" w:rsidRDefault="00896808">
      <w:pPr>
        <w:spacing w:after="0" w:line="360" w:lineRule="auto"/>
        <w:ind w:firstLine="0"/>
        <w:jc w:val="both"/>
        <w:rPr>
          <w:rFonts w:ascii="Arial" w:eastAsia="Arial" w:hAnsi="Arial" w:cs="Arial"/>
        </w:rPr>
      </w:pPr>
      <w:bookmarkStart w:id="0" w:name="_heading=h.epteltoubiya" w:colFirst="0" w:colLast="0"/>
      <w:bookmarkEnd w:id="0"/>
      <w:r>
        <w:rPr>
          <w:rFonts w:ascii="Arial" w:eastAsia="Arial" w:hAnsi="Arial" w:cs="Arial"/>
        </w:rPr>
        <w:t xml:space="preserve">In conclusion, the analysed case illustrates how good communication, robust administrative practices and working together are support pillars of safe, person-centred care.  Communication should be </w:t>
      </w:r>
      <w:r w:rsidR="004E2673">
        <w:rPr>
          <w:rFonts w:ascii="Arial" w:eastAsia="Arial" w:hAnsi="Arial" w:cs="Arial"/>
        </w:rPr>
        <w:t>culturally,</w:t>
      </w:r>
      <w:r>
        <w:rPr>
          <w:rFonts w:ascii="Arial" w:eastAsia="Arial" w:hAnsi="Arial" w:cs="Arial"/>
        </w:rPr>
        <w:t xml:space="preserve"> and legally sensitive and language barriers should not be seen as a safety or patient autonomy threat. The paper further highlights how accuracy in record keeping can assist in continuity of care and legal requirements, and that shared communication can contribute to integrated care planning and reduce fragmentation. Combined, these practices do not only underpin patient outcomes but also professional norms and regulatory requirements in the provision of health and social care. These areas can be strengthened by training, clear guidelines and designed models of communication as witnessed in the case of Mrs Mann to avoid incidents such as the delayed administration of medication and to enhance the creation of a better and safer healthcare system that is more responsible</w:t>
      </w:r>
      <w:r w:rsidR="00362806">
        <w:rPr>
          <w:rFonts w:ascii="Arial" w:eastAsia="Arial" w:hAnsi="Arial" w:cs="Arial"/>
        </w:rPr>
        <w:t>.</w:t>
      </w:r>
    </w:p>
    <w:p w14:paraId="4E5B5F3A" w14:textId="77777777" w:rsidR="005A0BF3" w:rsidRDefault="005A0BF3">
      <w:pPr>
        <w:spacing w:after="0" w:line="360" w:lineRule="auto"/>
        <w:ind w:firstLine="0"/>
        <w:jc w:val="both"/>
        <w:rPr>
          <w:rFonts w:ascii="Arial" w:eastAsia="Arial" w:hAnsi="Arial" w:cs="Arial"/>
        </w:rPr>
      </w:pPr>
    </w:p>
    <w:p w14:paraId="4E5B5F3B" w14:textId="77777777" w:rsidR="005A0BF3" w:rsidRDefault="005A0BF3">
      <w:pPr>
        <w:spacing w:after="0" w:line="360" w:lineRule="auto"/>
        <w:ind w:firstLine="0"/>
        <w:jc w:val="both"/>
        <w:rPr>
          <w:rFonts w:ascii="Arial" w:eastAsia="Arial" w:hAnsi="Arial" w:cs="Arial"/>
        </w:rPr>
      </w:pPr>
    </w:p>
    <w:p w14:paraId="3E49709A" w14:textId="41A1DD16" w:rsidR="00A6292C" w:rsidRDefault="00A6292C">
      <w:pPr>
        <w:spacing w:after="0" w:line="360" w:lineRule="auto"/>
        <w:ind w:firstLine="0"/>
        <w:jc w:val="both"/>
        <w:rPr>
          <w:rFonts w:ascii="Arial" w:eastAsia="Arial" w:hAnsi="Arial" w:cs="Arial"/>
        </w:rPr>
      </w:pPr>
    </w:p>
    <w:p w14:paraId="4E5B5F3C" w14:textId="0015431F" w:rsidR="005A0BF3" w:rsidRPr="003F0C5C" w:rsidRDefault="00896808" w:rsidP="003F0C5C">
      <w:pPr>
        <w:spacing w:after="0" w:line="360" w:lineRule="auto"/>
        <w:ind w:firstLine="0"/>
        <w:rPr>
          <w:rFonts w:ascii="Arial" w:eastAsia="Arial" w:hAnsi="Arial" w:cs="Arial"/>
          <w:b/>
          <w:bCs/>
          <w:sz w:val="32"/>
          <w:szCs w:val="32"/>
        </w:rPr>
      </w:pPr>
      <w:r w:rsidRPr="003F0C5C">
        <w:rPr>
          <w:rFonts w:ascii="Arial" w:eastAsia="Arial" w:hAnsi="Arial" w:cs="Arial"/>
          <w:b/>
          <w:bCs/>
          <w:sz w:val="32"/>
          <w:szCs w:val="32"/>
        </w:rPr>
        <w:t>References:</w:t>
      </w:r>
    </w:p>
    <w:p w14:paraId="4E5B5F3D"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Brooks, L.A., Manias, E. and Bloomer, M.J. (2018) “Culturally sensitive communication in healthcare: A concept analysis,” </w:t>
      </w:r>
      <w:r>
        <w:rPr>
          <w:rFonts w:ascii="Arial" w:eastAsia="Arial" w:hAnsi="Arial" w:cs="Arial"/>
          <w:i/>
          <w:color w:val="000000"/>
        </w:rPr>
        <w:t>Collegian Journal of the Royal College of Nursing Australia</w:t>
      </w:r>
      <w:r>
        <w:rPr>
          <w:rFonts w:ascii="Arial" w:eastAsia="Arial" w:hAnsi="Arial" w:cs="Arial"/>
          <w:color w:val="000000"/>
        </w:rPr>
        <w:t>, 26(3), pp. 383–391. Available at: https://doi.org/10.1016/j.colegn.2018.09.007.</w:t>
      </w:r>
    </w:p>
    <w:p w14:paraId="4E5B5F3E"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Brooks, N. (2021) “How to undertake effective record-keeping and documentation,” </w:t>
      </w:r>
      <w:r>
        <w:rPr>
          <w:rFonts w:ascii="Arial" w:eastAsia="Arial" w:hAnsi="Arial" w:cs="Arial"/>
          <w:i/>
          <w:color w:val="000000"/>
        </w:rPr>
        <w:t>Nursing Standard</w:t>
      </w:r>
      <w:r>
        <w:rPr>
          <w:rFonts w:ascii="Arial" w:eastAsia="Arial" w:hAnsi="Arial" w:cs="Arial"/>
          <w:color w:val="000000"/>
        </w:rPr>
        <w:t>, 36(4), pp. 31–33. Available at: https://doi.org/10.7748/ns.2021.e11700.</w:t>
      </w:r>
    </w:p>
    <w:p w14:paraId="4E5B5F3F"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Coolen, E., Engbers, R., </w:t>
      </w:r>
      <w:proofErr w:type="spellStart"/>
      <w:r>
        <w:rPr>
          <w:rFonts w:ascii="Arial" w:eastAsia="Arial" w:hAnsi="Arial" w:cs="Arial"/>
          <w:color w:val="000000"/>
        </w:rPr>
        <w:t>Draaisma</w:t>
      </w:r>
      <w:proofErr w:type="spellEnd"/>
      <w:r>
        <w:rPr>
          <w:rFonts w:ascii="Arial" w:eastAsia="Arial" w:hAnsi="Arial" w:cs="Arial"/>
          <w:color w:val="000000"/>
        </w:rPr>
        <w:t xml:space="preserve">, J., Heinen, M. and Fluit, C. (2020) “The use of SBAR as a structured communication tool in the </w:t>
      </w:r>
      <w:proofErr w:type="spellStart"/>
      <w:r>
        <w:rPr>
          <w:rFonts w:ascii="Arial" w:eastAsia="Arial" w:hAnsi="Arial" w:cs="Arial"/>
          <w:color w:val="000000"/>
        </w:rPr>
        <w:t>pediatric</w:t>
      </w:r>
      <w:proofErr w:type="spellEnd"/>
      <w:r>
        <w:rPr>
          <w:rFonts w:ascii="Arial" w:eastAsia="Arial" w:hAnsi="Arial" w:cs="Arial"/>
          <w:color w:val="000000"/>
        </w:rPr>
        <w:t xml:space="preserve"> non-acute care setting: bridge or barrier for interprofessional collaboration?,” </w:t>
      </w:r>
      <w:r>
        <w:rPr>
          <w:rFonts w:ascii="Arial" w:eastAsia="Arial" w:hAnsi="Arial" w:cs="Arial"/>
          <w:i/>
          <w:color w:val="000000"/>
        </w:rPr>
        <w:t>Journal of Interprofessional Care</w:t>
      </w:r>
      <w:r>
        <w:rPr>
          <w:rFonts w:ascii="Arial" w:eastAsia="Arial" w:hAnsi="Arial" w:cs="Arial"/>
          <w:color w:val="000000"/>
        </w:rPr>
        <w:t>, pp. 1–10. Available at: https://doi.org/10.1080/13561820.2020.1816936.</w:t>
      </w:r>
    </w:p>
    <w:p w14:paraId="4E5B5F40"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Demsash</w:t>
      </w:r>
      <w:proofErr w:type="spellEnd"/>
      <w:r>
        <w:rPr>
          <w:rFonts w:ascii="Arial" w:eastAsia="Arial" w:hAnsi="Arial" w:cs="Arial"/>
          <w:color w:val="000000"/>
        </w:rPr>
        <w:t xml:space="preserve">, A.W., Kassie, S.Y., </w:t>
      </w:r>
      <w:proofErr w:type="spellStart"/>
      <w:r>
        <w:rPr>
          <w:rFonts w:ascii="Arial" w:eastAsia="Arial" w:hAnsi="Arial" w:cs="Arial"/>
          <w:color w:val="000000"/>
        </w:rPr>
        <w:t>Dubale</w:t>
      </w:r>
      <w:proofErr w:type="spellEnd"/>
      <w:r>
        <w:rPr>
          <w:rFonts w:ascii="Arial" w:eastAsia="Arial" w:hAnsi="Arial" w:cs="Arial"/>
          <w:color w:val="000000"/>
        </w:rPr>
        <w:t xml:space="preserve">, A.T., Chereka, A.A., </w:t>
      </w:r>
      <w:proofErr w:type="spellStart"/>
      <w:r>
        <w:rPr>
          <w:rFonts w:ascii="Arial" w:eastAsia="Arial" w:hAnsi="Arial" w:cs="Arial"/>
          <w:color w:val="000000"/>
        </w:rPr>
        <w:t>Ngusie</w:t>
      </w:r>
      <w:proofErr w:type="spellEnd"/>
      <w:r>
        <w:rPr>
          <w:rFonts w:ascii="Arial" w:eastAsia="Arial" w:hAnsi="Arial" w:cs="Arial"/>
          <w:color w:val="000000"/>
        </w:rPr>
        <w:t xml:space="preserve">, H.S., Hunde, M.K., Emanu, M.D., Shibabaw, A.A. and Walle, A.D. (2023) “Health professionals’ routine practice documentation and its associated factors in a resource-limited setting: a cross-sectional </w:t>
      </w:r>
      <w:r>
        <w:rPr>
          <w:rFonts w:ascii="Arial" w:eastAsia="Arial" w:hAnsi="Arial" w:cs="Arial"/>
          <w:color w:val="000000"/>
        </w:rPr>
        <w:lastRenderedPageBreak/>
        <w:t xml:space="preserve">study,” </w:t>
      </w:r>
      <w:r>
        <w:rPr>
          <w:rFonts w:ascii="Arial" w:eastAsia="Arial" w:hAnsi="Arial" w:cs="Arial"/>
          <w:i/>
          <w:color w:val="000000"/>
        </w:rPr>
        <w:t>BMJ Health &amp; Care Informatics</w:t>
      </w:r>
      <w:r>
        <w:rPr>
          <w:rFonts w:ascii="Arial" w:eastAsia="Arial" w:hAnsi="Arial" w:cs="Arial"/>
          <w:color w:val="000000"/>
        </w:rPr>
        <w:t>, 30(1), p. e100699. Available at: https://doi.org/10.1136/bmjhci-2022-100699.</w:t>
      </w:r>
    </w:p>
    <w:p w14:paraId="4E5B5F41"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Howick, J., Bennett-Weston, A., Solomon, J., Nockels, K., Bostock, J. and </w:t>
      </w:r>
      <w:proofErr w:type="spellStart"/>
      <w:r>
        <w:rPr>
          <w:rFonts w:ascii="Arial" w:eastAsia="Arial" w:hAnsi="Arial" w:cs="Arial"/>
          <w:color w:val="000000"/>
        </w:rPr>
        <w:t>Keshtkar</w:t>
      </w:r>
      <w:proofErr w:type="spellEnd"/>
      <w:r>
        <w:rPr>
          <w:rFonts w:ascii="Arial" w:eastAsia="Arial" w:hAnsi="Arial" w:cs="Arial"/>
          <w:color w:val="000000"/>
        </w:rPr>
        <w:t xml:space="preserve">, L. (2024) “How does communication affect patient safety? Protocol for a systematic review and logic model,” </w:t>
      </w:r>
      <w:r>
        <w:rPr>
          <w:rFonts w:ascii="Arial" w:eastAsia="Arial" w:hAnsi="Arial" w:cs="Arial"/>
          <w:i/>
          <w:color w:val="000000"/>
        </w:rPr>
        <w:t>BMJ Open</w:t>
      </w:r>
      <w:r>
        <w:rPr>
          <w:rFonts w:ascii="Arial" w:eastAsia="Arial" w:hAnsi="Arial" w:cs="Arial"/>
          <w:color w:val="000000"/>
        </w:rPr>
        <w:t>, 14(5), p. e085312. Available at: https://doi.org/10.1136/bmjopen-2024-085312.</w:t>
      </w:r>
    </w:p>
    <w:p w14:paraId="4E5B5F42"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Kwame, A. and </w:t>
      </w:r>
      <w:proofErr w:type="spellStart"/>
      <w:r>
        <w:rPr>
          <w:rFonts w:ascii="Arial" w:eastAsia="Arial" w:hAnsi="Arial" w:cs="Arial"/>
          <w:color w:val="000000"/>
        </w:rPr>
        <w:t>Petrucka</w:t>
      </w:r>
      <w:proofErr w:type="spellEnd"/>
      <w:r>
        <w:rPr>
          <w:rFonts w:ascii="Arial" w:eastAsia="Arial" w:hAnsi="Arial" w:cs="Arial"/>
          <w:color w:val="000000"/>
        </w:rPr>
        <w:t>, P.M. (2021) “A literature-based study of patient-</w:t>
      </w:r>
      <w:proofErr w:type="spellStart"/>
      <w:r>
        <w:rPr>
          <w:rFonts w:ascii="Arial" w:eastAsia="Arial" w:hAnsi="Arial" w:cs="Arial"/>
          <w:color w:val="000000"/>
        </w:rPr>
        <w:t>centered</w:t>
      </w:r>
      <w:proofErr w:type="spellEnd"/>
      <w:r>
        <w:rPr>
          <w:rFonts w:ascii="Arial" w:eastAsia="Arial" w:hAnsi="Arial" w:cs="Arial"/>
          <w:color w:val="000000"/>
        </w:rPr>
        <w:t xml:space="preserve"> care and communication in nurse-patient interactions: barriers, facilitators, and the way forward,” </w:t>
      </w:r>
      <w:r>
        <w:rPr>
          <w:rFonts w:ascii="Arial" w:eastAsia="Arial" w:hAnsi="Arial" w:cs="Arial"/>
          <w:i/>
          <w:color w:val="000000"/>
        </w:rPr>
        <w:t>BMC Nursing</w:t>
      </w:r>
      <w:r>
        <w:rPr>
          <w:rFonts w:ascii="Arial" w:eastAsia="Arial" w:hAnsi="Arial" w:cs="Arial"/>
          <w:color w:val="000000"/>
        </w:rPr>
        <w:t>, 20(1). Available at: https://doi.org/10.1186/s12912-021-00684-2.</w:t>
      </w:r>
    </w:p>
    <w:p w14:paraId="4E5B5F43"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Parackal</w:t>
      </w:r>
      <w:proofErr w:type="spellEnd"/>
      <w:r>
        <w:rPr>
          <w:rFonts w:ascii="Arial" w:eastAsia="Arial" w:hAnsi="Arial" w:cs="Arial"/>
          <w:color w:val="000000"/>
        </w:rPr>
        <w:t xml:space="preserve">, M., </w:t>
      </w:r>
      <w:proofErr w:type="spellStart"/>
      <w:r>
        <w:rPr>
          <w:rFonts w:ascii="Arial" w:eastAsia="Arial" w:hAnsi="Arial" w:cs="Arial"/>
          <w:color w:val="000000"/>
        </w:rPr>
        <w:t>Parackal</w:t>
      </w:r>
      <w:proofErr w:type="spellEnd"/>
      <w:r>
        <w:rPr>
          <w:rFonts w:ascii="Arial" w:eastAsia="Arial" w:hAnsi="Arial" w:cs="Arial"/>
          <w:color w:val="000000"/>
        </w:rPr>
        <w:t xml:space="preserve">, S., Mather, D. and Eusebius, S. (2020) “Dynamic transactional model: a framework for communicating public health messages via social media,” </w:t>
      </w:r>
      <w:r>
        <w:rPr>
          <w:rFonts w:ascii="Arial" w:eastAsia="Arial" w:hAnsi="Arial" w:cs="Arial"/>
          <w:i/>
          <w:color w:val="000000"/>
        </w:rPr>
        <w:t>Perspectives in Public Health</w:t>
      </w:r>
      <w:r>
        <w:rPr>
          <w:rFonts w:ascii="Arial" w:eastAsia="Arial" w:hAnsi="Arial" w:cs="Arial"/>
          <w:color w:val="000000"/>
        </w:rPr>
        <w:t>, 141(5), pp. 279–286. Available at: https://doi.org/10.1177/1757913920935910.</w:t>
      </w:r>
    </w:p>
    <w:p w14:paraId="4E5B5F44"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Pradelli, L., Risoli, C., Summer, E., Bellini, G., Mozzarelli, F., Anderson, G., </w:t>
      </w:r>
      <w:proofErr w:type="spellStart"/>
      <w:r>
        <w:rPr>
          <w:rFonts w:ascii="Arial" w:eastAsia="Arial" w:hAnsi="Arial" w:cs="Arial"/>
          <w:color w:val="000000"/>
        </w:rPr>
        <w:t>Guasconi</w:t>
      </w:r>
      <w:proofErr w:type="spellEnd"/>
      <w:r>
        <w:rPr>
          <w:rFonts w:ascii="Arial" w:eastAsia="Arial" w:hAnsi="Arial" w:cs="Arial"/>
          <w:color w:val="000000"/>
        </w:rPr>
        <w:t xml:space="preserve">, M., </w:t>
      </w:r>
      <w:proofErr w:type="spellStart"/>
      <w:r>
        <w:rPr>
          <w:rFonts w:ascii="Arial" w:eastAsia="Arial" w:hAnsi="Arial" w:cs="Arial"/>
          <w:color w:val="000000"/>
        </w:rPr>
        <w:t>Artioli</w:t>
      </w:r>
      <w:proofErr w:type="spellEnd"/>
      <w:r>
        <w:rPr>
          <w:rFonts w:ascii="Arial" w:eastAsia="Arial" w:hAnsi="Arial" w:cs="Arial"/>
          <w:color w:val="000000"/>
        </w:rPr>
        <w:t xml:space="preserve">, G., Bonacaro, A. and Sarli, L. (2025) “Healthcare professional perspective on barriers and facilitators of multidisciplinary team working in acute care setting: a systematic review and meta-synthesis,” </w:t>
      </w:r>
      <w:r>
        <w:rPr>
          <w:rFonts w:ascii="Arial" w:eastAsia="Arial" w:hAnsi="Arial" w:cs="Arial"/>
          <w:i/>
          <w:color w:val="000000"/>
        </w:rPr>
        <w:t>BMJ Open</w:t>
      </w:r>
      <w:r>
        <w:rPr>
          <w:rFonts w:ascii="Arial" w:eastAsia="Arial" w:hAnsi="Arial" w:cs="Arial"/>
          <w:color w:val="000000"/>
        </w:rPr>
        <w:t>, 15(3), p. e087268. Available at: https://doi.org/10.1136/bmjopen-2024-087268.</w:t>
      </w:r>
    </w:p>
    <w:p w14:paraId="4E5B5F45"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Ratna, H. (2019) “The importance of effective communication in healthcare practice,” </w:t>
      </w:r>
      <w:r>
        <w:rPr>
          <w:rFonts w:ascii="Arial" w:eastAsia="Arial" w:hAnsi="Arial" w:cs="Arial"/>
          <w:i/>
          <w:color w:val="000000"/>
        </w:rPr>
        <w:t>HPHR Journal</w:t>
      </w:r>
      <w:r>
        <w:rPr>
          <w:rFonts w:ascii="Arial" w:eastAsia="Arial" w:hAnsi="Arial" w:cs="Arial"/>
          <w:color w:val="000000"/>
        </w:rPr>
        <w:t xml:space="preserve"> [Preprint], (23). Available at: https://doi.org/10.54111/0001/w4.</w:t>
      </w:r>
    </w:p>
    <w:p w14:paraId="4E5B5F46"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Schot</w:t>
      </w:r>
      <w:proofErr w:type="spellEnd"/>
      <w:r>
        <w:rPr>
          <w:rFonts w:ascii="Arial" w:eastAsia="Arial" w:hAnsi="Arial" w:cs="Arial"/>
          <w:color w:val="000000"/>
        </w:rPr>
        <w:t xml:space="preserve">, E., </w:t>
      </w:r>
      <w:proofErr w:type="spellStart"/>
      <w:r>
        <w:rPr>
          <w:rFonts w:ascii="Arial" w:eastAsia="Arial" w:hAnsi="Arial" w:cs="Arial"/>
          <w:color w:val="000000"/>
        </w:rPr>
        <w:t>Tummers</w:t>
      </w:r>
      <w:proofErr w:type="spellEnd"/>
      <w:r>
        <w:rPr>
          <w:rFonts w:ascii="Arial" w:eastAsia="Arial" w:hAnsi="Arial" w:cs="Arial"/>
          <w:color w:val="000000"/>
        </w:rPr>
        <w:t xml:space="preserve">, L. and </w:t>
      </w:r>
      <w:proofErr w:type="spellStart"/>
      <w:r>
        <w:rPr>
          <w:rFonts w:ascii="Arial" w:eastAsia="Arial" w:hAnsi="Arial" w:cs="Arial"/>
          <w:color w:val="000000"/>
        </w:rPr>
        <w:t>Noordegraaf</w:t>
      </w:r>
      <w:proofErr w:type="spellEnd"/>
      <w:r>
        <w:rPr>
          <w:rFonts w:ascii="Arial" w:eastAsia="Arial" w:hAnsi="Arial" w:cs="Arial"/>
          <w:color w:val="000000"/>
        </w:rPr>
        <w:t xml:space="preserve">, M. (2020) “Working on working together. A systematic review on how healthcare professionals contribute to interprofessional collaboration,” </w:t>
      </w:r>
      <w:r>
        <w:rPr>
          <w:rFonts w:ascii="Arial" w:eastAsia="Arial" w:hAnsi="Arial" w:cs="Arial"/>
          <w:i/>
          <w:color w:val="000000"/>
        </w:rPr>
        <w:t>Journal of Interprofessional Care</w:t>
      </w:r>
      <w:r>
        <w:rPr>
          <w:rFonts w:ascii="Arial" w:eastAsia="Arial" w:hAnsi="Arial" w:cs="Arial"/>
          <w:color w:val="000000"/>
        </w:rPr>
        <w:t>, 34(3), pp. 332–342. Available at: https://doi.org/10.1080/13561820.2019.1636007.</w:t>
      </w:r>
    </w:p>
    <w:p w14:paraId="4E5B5F47"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Sheehan, J., Laver, K., </w:t>
      </w:r>
      <w:proofErr w:type="spellStart"/>
      <w:r>
        <w:rPr>
          <w:rFonts w:ascii="Arial" w:eastAsia="Arial" w:hAnsi="Arial" w:cs="Arial"/>
          <w:color w:val="000000"/>
        </w:rPr>
        <w:t>Bhopti</w:t>
      </w:r>
      <w:proofErr w:type="spellEnd"/>
      <w:r>
        <w:rPr>
          <w:rFonts w:ascii="Arial" w:eastAsia="Arial" w:hAnsi="Arial" w:cs="Arial"/>
          <w:color w:val="000000"/>
        </w:rPr>
        <w:t xml:space="preserve">, A., Rahja, M., Usherwood, T., Clemson, L. and Lannin, N.A. (2021) “Methods and Effectiveness of Communication between hospital allied health and primary care Practitioners: A Systematic Narrative review,” </w:t>
      </w:r>
      <w:r>
        <w:rPr>
          <w:rFonts w:ascii="Arial" w:eastAsia="Arial" w:hAnsi="Arial" w:cs="Arial"/>
          <w:i/>
          <w:color w:val="000000"/>
        </w:rPr>
        <w:t>Journal of Multidisciplinary Healthcare</w:t>
      </w:r>
      <w:r>
        <w:rPr>
          <w:rFonts w:ascii="Arial" w:eastAsia="Arial" w:hAnsi="Arial" w:cs="Arial"/>
          <w:color w:val="000000"/>
        </w:rPr>
        <w:t>, Volume 14, pp. 493–511. Available at: https://doi.org/10.2147/jmdh.s295549.</w:t>
      </w:r>
    </w:p>
    <w:p w14:paraId="4E5B5F48"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Taylor, K. (2019) “The importance of keeping good medical records,” </w:t>
      </w:r>
      <w:r>
        <w:rPr>
          <w:rFonts w:ascii="Arial" w:eastAsia="Arial" w:hAnsi="Arial" w:cs="Arial"/>
          <w:i/>
          <w:color w:val="000000"/>
        </w:rPr>
        <w:t>Practice Management</w:t>
      </w:r>
      <w:r>
        <w:rPr>
          <w:rFonts w:ascii="Arial" w:eastAsia="Arial" w:hAnsi="Arial" w:cs="Arial"/>
          <w:color w:val="000000"/>
        </w:rPr>
        <w:t>, 29(1), pp. 16–20. Available at: https://doi.org/10.12968/prma.2019.29.1.16.</w:t>
      </w:r>
    </w:p>
    <w:p w14:paraId="4E5B5F49"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Tingle, J. (2023) “Facing the consequences of poor record keeping and communication,” </w:t>
      </w:r>
      <w:r>
        <w:rPr>
          <w:rFonts w:ascii="Arial" w:eastAsia="Arial" w:hAnsi="Arial" w:cs="Arial"/>
          <w:i/>
          <w:color w:val="000000"/>
        </w:rPr>
        <w:t>British Journal of Nursing</w:t>
      </w:r>
      <w:r>
        <w:rPr>
          <w:rFonts w:ascii="Arial" w:eastAsia="Arial" w:hAnsi="Arial" w:cs="Arial"/>
          <w:color w:val="000000"/>
        </w:rPr>
        <w:t>, 32(3), pp. 152–153. Available at: https://doi.org/10.12968/bjon.2023.32.3.152.</w:t>
      </w:r>
    </w:p>
    <w:p w14:paraId="4E5B5F4A" w14:textId="77777777" w:rsidR="005A0BF3" w:rsidRDefault="00896808">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lastRenderedPageBreak/>
        <w:t xml:space="preserve">Zajac, S., Woods, A., Tannenbaum, S., Salas, E. and Holladay, C.L. (2021) “Overcoming Challenges to Teamwork in Healthcare: A Team Effectiveness Framework and Evidence-Based Guidance,” </w:t>
      </w:r>
      <w:r>
        <w:rPr>
          <w:rFonts w:ascii="Arial" w:eastAsia="Arial" w:hAnsi="Arial" w:cs="Arial"/>
          <w:i/>
          <w:color w:val="000000"/>
        </w:rPr>
        <w:t>Frontiers in Communication</w:t>
      </w:r>
      <w:r>
        <w:rPr>
          <w:rFonts w:ascii="Arial" w:eastAsia="Arial" w:hAnsi="Arial" w:cs="Arial"/>
          <w:color w:val="000000"/>
        </w:rPr>
        <w:t>, 6. Available at: https://doi.org/10.3389/fcomm.2021.606445.</w:t>
      </w:r>
    </w:p>
    <w:p w14:paraId="4E5B5F4B" w14:textId="77777777" w:rsidR="005A0BF3" w:rsidRDefault="005A0BF3">
      <w:pPr>
        <w:spacing w:after="0" w:line="360" w:lineRule="auto"/>
        <w:ind w:firstLine="0"/>
        <w:jc w:val="both"/>
        <w:rPr>
          <w:rFonts w:ascii="Arial" w:eastAsia="Arial" w:hAnsi="Arial" w:cs="Arial"/>
        </w:rPr>
      </w:pPr>
    </w:p>
    <w:p w14:paraId="4E5B5F4C" w14:textId="77777777" w:rsidR="005A0BF3" w:rsidRDefault="005A0BF3">
      <w:pPr>
        <w:spacing w:line="360" w:lineRule="auto"/>
        <w:rPr>
          <w:rFonts w:ascii="Arial" w:eastAsia="Arial" w:hAnsi="Arial" w:cs="Arial"/>
        </w:rPr>
      </w:pPr>
    </w:p>
    <w:sectPr w:rsidR="005A0B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C55A9" w14:textId="77777777" w:rsidR="000A0176" w:rsidRDefault="000A0176">
      <w:pPr>
        <w:spacing w:after="0" w:line="240" w:lineRule="auto"/>
      </w:pPr>
      <w:r>
        <w:separator/>
      </w:r>
    </w:p>
  </w:endnote>
  <w:endnote w:type="continuationSeparator" w:id="0">
    <w:p w14:paraId="2CE83225" w14:textId="77777777" w:rsidR="000A0176" w:rsidRDefault="000A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sig w:usb0="00000287" w:usb1="00000000" w:usb2="00000000" w:usb3="00000000" w:csb0="2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52" w14:textId="77777777" w:rsidR="005A0BF3" w:rsidRDefault="005A0BF3">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4E5B5F53" w14:textId="77777777" w:rsidR="005A0BF3" w:rsidRDefault="005A0BF3"/>
  <w:p w14:paraId="4E5B5F54" w14:textId="77777777" w:rsidR="005A0BF3" w:rsidRDefault="005A0B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55" w14:textId="77777777" w:rsidR="005A0BF3" w:rsidRDefault="005A0BF3"/>
  <w:p w14:paraId="4E5B5F56" w14:textId="77777777" w:rsidR="005A0BF3" w:rsidRDefault="005A0BF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5A" w14:textId="77777777" w:rsidR="005A0BF3" w:rsidRDefault="005A0BF3">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37D5C" w14:textId="77777777" w:rsidR="000A0176" w:rsidRDefault="000A0176">
      <w:pPr>
        <w:spacing w:after="0" w:line="240" w:lineRule="auto"/>
      </w:pPr>
      <w:r>
        <w:separator/>
      </w:r>
    </w:p>
  </w:footnote>
  <w:footnote w:type="continuationSeparator" w:id="0">
    <w:p w14:paraId="1BFBB255" w14:textId="77777777" w:rsidR="000A0176" w:rsidRDefault="000A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4D" w14:textId="77777777" w:rsidR="005A0BF3" w:rsidRDefault="005A0BF3">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p w14:paraId="4E5B5F4E" w14:textId="77777777" w:rsidR="005A0BF3" w:rsidRDefault="005A0BF3"/>
  <w:p w14:paraId="4E5B5F4F" w14:textId="77777777" w:rsidR="005A0BF3" w:rsidRDefault="005A0BF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51" w14:textId="5B319AB8" w:rsidR="005A0BF3" w:rsidRDefault="00896808" w:rsidP="00896808">
    <w:pPr>
      <w:spacing w:line="480" w:lineRule="auto"/>
      <w:ind w:hanging="2"/>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83AB1">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5F57" w14:textId="4BEDF349" w:rsidR="005A0BF3" w:rsidRDefault="00896808">
    <w:pPr>
      <w:spacing w:after="0" w:line="240" w:lineRule="auto"/>
      <w:ind w:hanging="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83AB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4E5B5F58" w14:textId="77777777" w:rsidR="005A0BF3" w:rsidRDefault="005A0BF3"/>
  <w:p w14:paraId="4E5B5F59" w14:textId="77777777" w:rsidR="005A0BF3" w:rsidRDefault="005A0BF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BF3"/>
    <w:rsid w:val="000142AE"/>
    <w:rsid w:val="00027ECD"/>
    <w:rsid w:val="000A0176"/>
    <w:rsid w:val="00103B97"/>
    <w:rsid w:val="001164EF"/>
    <w:rsid w:val="001669FC"/>
    <w:rsid w:val="0017787A"/>
    <w:rsid w:val="001A7FC8"/>
    <w:rsid w:val="001B2594"/>
    <w:rsid w:val="001D0325"/>
    <w:rsid w:val="0021131B"/>
    <w:rsid w:val="00242537"/>
    <w:rsid w:val="00257A4A"/>
    <w:rsid w:val="00272E1F"/>
    <w:rsid w:val="00273ABC"/>
    <w:rsid w:val="00287F75"/>
    <w:rsid w:val="0029068D"/>
    <w:rsid w:val="002C75CB"/>
    <w:rsid w:val="002D500A"/>
    <w:rsid w:val="003269C6"/>
    <w:rsid w:val="0034575C"/>
    <w:rsid w:val="00362806"/>
    <w:rsid w:val="003732C0"/>
    <w:rsid w:val="00377203"/>
    <w:rsid w:val="003C5BA5"/>
    <w:rsid w:val="003E5A20"/>
    <w:rsid w:val="003F0C5C"/>
    <w:rsid w:val="003F68A0"/>
    <w:rsid w:val="00403D5E"/>
    <w:rsid w:val="004657E8"/>
    <w:rsid w:val="004B4695"/>
    <w:rsid w:val="004E2673"/>
    <w:rsid w:val="004F0807"/>
    <w:rsid w:val="00511269"/>
    <w:rsid w:val="005701DD"/>
    <w:rsid w:val="00570F41"/>
    <w:rsid w:val="00573286"/>
    <w:rsid w:val="00594425"/>
    <w:rsid w:val="00597F17"/>
    <w:rsid w:val="005A0BF3"/>
    <w:rsid w:val="005D2270"/>
    <w:rsid w:val="005E1AEA"/>
    <w:rsid w:val="005F7902"/>
    <w:rsid w:val="00603308"/>
    <w:rsid w:val="00642E77"/>
    <w:rsid w:val="00646189"/>
    <w:rsid w:val="0066617A"/>
    <w:rsid w:val="00677056"/>
    <w:rsid w:val="00715AC4"/>
    <w:rsid w:val="00720F50"/>
    <w:rsid w:val="007224F6"/>
    <w:rsid w:val="00733E4C"/>
    <w:rsid w:val="00794256"/>
    <w:rsid w:val="007A30FE"/>
    <w:rsid w:val="007B6533"/>
    <w:rsid w:val="007D1C5D"/>
    <w:rsid w:val="007D4947"/>
    <w:rsid w:val="007F0431"/>
    <w:rsid w:val="0081585A"/>
    <w:rsid w:val="00832902"/>
    <w:rsid w:val="008430BB"/>
    <w:rsid w:val="00855C4A"/>
    <w:rsid w:val="0085650D"/>
    <w:rsid w:val="0087395E"/>
    <w:rsid w:val="00892586"/>
    <w:rsid w:val="00896808"/>
    <w:rsid w:val="008C5096"/>
    <w:rsid w:val="008D7EE3"/>
    <w:rsid w:val="00956C81"/>
    <w:rsid w:val="009828FF"/>
    <w:rsid w:val="00987577"/>
    <w:rsid w:val="009D478E"/>
    <w:rsid w:val="009E2D19"/>
    <w:rsid w:val="00A14521"/>
    <w:rsid w:val="00A229FD"/>
    <w:rsid w:val="00A61C2B"/>
    <w:rsid w:val="00A6292C"/>
    <w:rsid w:val="00A659D8"/>
    <w:rsid w:val="00A71BDB"/>
    <w:rsid w:val="00A73F6C"/>
    <w:rsid w:val="00A77E16"/>
    <w:rsid w:val="00A84959"/>
    <w:rsid w:val="00AA7A28"/>
    <w:rsid w:val="00AB0365"/>
    <w:rsid w:val="00AE6C31"/>
    <w:rsid w:val="00B36EF4"/>
    <w:rsid w:val="00B80923"/>
    <w:rsid w:val="00B956A5"/>
    <w:rsid w:val="00B971F7"/>
    <w:rsid w:val="00BA1F03"/>
    <w:rsid w:val="00BA32A6"/>
    <w:rsid w:val="00BB139E"/>
    <w:rsid w:val="00BD0DDD"/>
    <w:rsid w:val="00BF3B8E"/>
    <w:rsid w:val="00C44C20"/>
    <w:rsid w:val="00C56B8E"/>
    <w:rsid w:val="00C6135D"/>
    <w:rsid w:val="00C7448C"/>
    <w:rsid w:val="00C86346"/>
    <w:rsid w:val="00CB0DF1"/>
    <w:rsid w:val="00CB7077"/>
    <w:rsid w:val="00CC090C"/>
    <w:rsid w:val="00CE72EA"/>
    <w:rsid w:val="00D03977"/>
    <w:rsid w:val="00D24A5B"/>
    <w:rsid w:val="00D45E75"/>
    <w:rsid w:val="00D52D8C"/>
    <w:rsid w:val="00D56C25"/>
    <w:rsid w:val="00D71E3E"/>
    <w:rsid w:val="00D87D69"/>
    <w:rsid w:val="00DB1907"/>
    <w:rsid w:val="00DB4C0E"/>
    <w:rsid w:val="00E04F9B"/>
    <w:rsid w:val="00E57CAF"/>
    <w:rsid w:val="00E605C1"/>
    <w:rsid w:val="00E64C6F"/>
    <w:rsid w:val="00E83AB1"/>
    <w:rsid w:val="00ED71D5"/>
    <w:rsid w:val="00EE1290"/>
    <w:rsid w:val="00F17B96"/>
    <w:rsid w:val="00F25066"/>
    <w:rsid w:val="00F70A03"/>
    <w:rsid w:val="00F807ED"/>
    <w:rsid w:val="00F934EB"/>
    <w:rsid w:val="00FE79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B5F0F"/>
  <w15:docId w15:val="{E4F8D2D4-DF45-49D4-A840-82B83F92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uiPriority w:val="9"/>
    <w:semiHidden/>
    <w:unhideWhenUsed/>
    <w:qFormat/>
    <w:pPr>
      <w:keepNext/>
      <w:spacing w:before="240" w:after="60"/>
      <w:outlineLvl w:val="1"/>
    </w:pPr>
    <w:rPr>
      <w:b/>
      <w:i/>
      <w:sz w:val="28"/>
      <w:szCs w:val="28"/>
    </w:rPr>
  </w:style>
  <w:style w:type="paragraph" w:styleId="Heading3">
    <w:name w:val="heading 3"/>
    <w:basedOn w:val="Normal"/>
    <w:next w:val="Normal"/>
    <w:uiPriority w:val="9"/>
    <w:semiHidden/>
    <w:unhideWhenUsed/>
    <w:qFormat/>
    <w:pPr>
      <w:keepNext/>
      <w:spacing w:before="240" w:after="60"/>
      <w:outlineLvl w:val="2"/>
    </w:pPr>
    <w:rPr>
      <w:b/>
      <w:sz w:val="26"/>
      <w:szCs w:val="26"/>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paragraph" w:styleId="NormalWeb">
    <w:name w:val="Normal (Web)"/>
    <w:uiPriority w:val="99"/>
    <w:unhideWhenUsed/>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pPr>
      <w:spacing w:after="0" w:line="240" w:lineRule="auto"/>
      <w:ind w:firstLine="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Normal"/>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gkelc">
    <w:name w:val="hgkelc"/>
    <w:basedOn w:val="DefaultParagraphFont"/>
  </w:style>
  <w:style w:type="paragraph" w:customStyle="1" w:styleId="muitypography-root">
    <w:name w:val="muitypography-root"/>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halfrhythm">
    <w:name w:val="half_rhythm"/>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ListParagraph">
    <w:name w:val="List Paragraph"/>
    <w:uiPriority w:val="34"/>
    <w:qFormat/>
    <w:pPr>
      <w:ind w:left="720"/>
      <w:contextualSpacing/>
    </w:pPr>
  </w:style>
  <w:style w:type="paragraph" w:customStyle="1" w:styleId="xmsonormal">
    <w:name w:val="x_msonormal"/>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ff6">
    <w:name w:val="ff6"/>
    <w:basedOn w:val="DefaultParagraphFont"/>
  </w:style>
  <w:style w:type="character" w:customStyle="1" w:styleId="lsc">
    <w:name w:val="lsc"/>
    <w:basedOn w:val="DefaultParagraphFont"/>
  </w:style>
  <w:style w:type="character" w:customStyle="1" w:styleId="ls2">
    <w:name w:val="ls2"/>
    <w:basedOn w:val="DefaultParagraphFont"/>
  </w:style>
  <w:style w:type="character" w:customStyle="1" w:styleId="fc2">
    <w:name w:val="fc2"/>
    <w:basedOn w:val="DefaultParagraphFont"/>
  </w:style>
  <w:style w:type="character" w:customStyle="1" w:styleId="ls5d">
    <w:name w:val="ls5d"/>
    <w:basedOn w:val="DefaultParagraphFont"/>
  </w:style>
  <w:style w:type="character" w:customStyle="1" w:styleId="ls28">
    <w:name w:val="ls28"/>
    <w:basedOn w:val="DefaultParagraphFont"/>
  </w:style>
  <w:style w:type="character" w:customStyle="1" w:styleId="ls3">
    <w:name w:val="ls3"/>
    <w:basedOn w:val="DefaultParagraphFont"/>
  </w:style>
  <w:style w:type="character" w:customStyle="1" w:styleId="ls25">
    <w:name w:val="ls25"/>
    <w:basedOn w:val="DefaultParagraphFont"/>
  </w:style>
  <w:style w:type="character" w:customStyle="1" w:styleId="ls17">
    <w:name w:val="ls17"/>
    <w:basedOn w:val="DefaultParagraphFont"/>
  </w:style>
  <w:style w:type="character" w:customStyle="1" w:styleId="ls24">
    <w:name w:val="ls24"/>
    <w:basedOn w:val="DefaultParagraphFont"/>
  </w:style>
  <w:style w:type="character" w:customStyle="1" w:styleId="ls27">
    <w:name w:val="ls27"/>
    <w:basedOn w:val="DefaultParagraphFont"/>
  </w:style>
  <w:style w:type="character" w:customStyle="1" w:styleId="ls67">
    <w:name w:val="ls67"/>
    <w:basedOn w:val="DefaultParagraphFont"/>
  </w:style>
  <w:style w:type="character" w:customStyle="1" w:styleId="ls21">
    <w:name w:val="ls21"/>
    <w:basedOn w:val="DefaultParagraphFont"/>
  </w:style>
  <w:style w:type="character" w:customStyle="1" w:styleId="ls6">
    <w:name w:val="ls6"/>
    <w:basedOn w:val="DefaultParagraphFont"/>
  </w:style>
  <w:style w:type="character" w:customStyle="1" w:styleId="lse">
    <w:name w:val="lse"/>
    <w:basedOn w:val="DefaultParagraphFont"/>
  </w:style>
  <w:style w:type="character" w:customStyle="1" w:styleId="ls22">
    <w:name w:val="ls22"/>
    <w:basedOn w:val="DefaultParagraphFont"/>
  </w:style>
  <w:style w:type="character" w:customStyle="1" w:styleId="ls68">
    <w:name w:val="ls68"/>
    <w:basedOn w:val="DefaultParagraphFont"/>
  </w:style>
  <w:style w:type="character" w:customStyle="1" w:styleId="ls7">
    <w:name w:val="ls7"/>
    <w:basedOn w:val="DefaultParagraphFont"/>
  </w:style>
  <w:style w:type="character" w:customStyle="1" w:styleId="ls69">
    <w:name w:val="ls69"/>
    <w:basedOn w:val="DefaultParagraphFont"/>
  </w:style>
  <w:style w:type="character" w:customStyle="1" w:styleId="ls20">
    <w:name w:val="ls20"/>
    <w:basedOn w:val="DefaultParagraphFont"/>
  </w:style>
  <w:style w:type="character" w:customStyle="1" w:styleId="fc0">
    <w:name w:val="fc0"/>
    <w:basedOn w:val="DefaultParagraphFont"/>
  </w:style>
  <w:style w:type="character" w:customStyle="1" w:styleId="ls5a">
    <w:name w:val="ls5a"/>
    <w:basedOn w:val="DefaultParagraphFont"/>
  </w:style>
  <w:style w:type="character" w:customStyle="1" w:styleId="ls34">
    <w:name w:val="ls34"/>
    <w:basedOn w:val="DefaultParagraphFont"/>
  </w:style>
  <w:style w:type="character" w:customStyle="1" w:styleId="ls6a">
    <w:name w:val="ls6a"/>
    <w:basedOn w:val="DefaultParagraphFont"/>
  </w:style>
  <w:style w:type="character" w:customStyle="1" w:styleId="ws23">
    <w:name w:val="ws23"/>
    <w:basedOn w:val="DefaultParagraphFont"/>
  </w:style>
  <w:style w:type="character" w:customStyle="1" w:styleId="ls2d">
    <w:name w:val="ls2d"/>
    <w:basedOn w:val="DefaultParagraphFont"/>
  </w:style>
  <w:style w:type="character" w:customStyle="1" w:styleId="ws7">
    <w:name w:val="ws7"/>
    <w:basedOn w:val="DefaultParagraphFont"/>
  </w:style>
  <w:style w:type="character" w:customStyle="1" w:styleId="ls29">
    <w:name w:val="ls29"/>
    <w:basedOn w:val="DefaultParagraphFont"/>
  </w:style>
  <w:style w:type="character" w:customStyle="1" w:styleId="ls6b">
    <w:name w:val="ls6b"/>
    <w:basedOn w:val="DefaultParagraphFont"/>
  </w:style>
  <w:style w:type="character" w:customStyle="1" w:styleId="ws9">
    <w:name w:val="ws9"/>
    <w:basedOn w:val="DefaultParagraphFont"/>
  </w:style>
  <w:style w:type="character" w:customStyle="1" w:styleId="ls9">
    <w:name w:val="ls9"/>
    <w:basedOn w:val="DefaultParagraphFont"/>
  </w:style>
  <w:style w:type="character" w:customStyle="1" w:styleId="ls6c">
    <w:name w:val="ls6c"/>
    <w:basedOn w:val="DefaultParagraphFont"/>
  </w:style>
  <w:style w:type="character" w:customStyle="1" w:styleId="ls6d">
    <w:name w:val="ls6d"/>
    <w:basedOn w:val="DefaultParagraphFont"/>
  </w:style>
  <w:style w:type="character" w:customStyle="1" w:styleId="ws43">
    <w:name w:val="ws43"/>
    <w:basedOn w:val="DefaultParagraphFont"/>
  </w:style>
  <w:style w:type="character" w:customStyle="1" w:styleId="ls8">
    <w:name w:val="ls8"/>
    <w:basedOn w:val="DefaultParagraphFont"/>
  </w:style>
  <w:style w:type="paragraph" w:customStyle="1" w:styleId="p">
    <w:name w:val="p"/>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a">
    <w:name w:val="_"/>
    <w:basedOn w:val="DefaultParagraphFont"/>
  </w:style>
  <w:style w:type="character" w:customStyle="1" w:styleId="ls0">
    <w:name w:val="ls0"/>
    <w:basedOn w:val="DefaultParagraphFont"/>
  </w:style>
  <w:style w:type="character" w:customStyle="1" w:styleId="ff7">
    <w:name w:val="ff7"/>
    <w:basedOn w:val="DefaultParagraphFont"/>
  </w:style>
  <w:style w:type="character" w:customStyle="1" w:styleId="ref-lnk">
    <w:name w:val="ref-lnk"/>
    <w:basedOn w:val="DefaultParagraphFont"/>
  </w:style>
  <w:style w:type="character" w:customStyle="1" w:styleId="off-screen">
    <w:name w:val="off-screen"/>
    <w:basedOn w:val="DefaultParagraphFont"/>
  </w:style>
  <w:style w:type="paragraph" w:customStyle="1" w:styleId="para">
    <w:name w:val="para"/>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lsa">
    <w:name w:val="lsa"/>
    <w:basedOn w:val="DefaultParagraphFont"/>
  </w:style>
  <w:style w:type="character" w:customStyle="1" w:styleId="markedcontent">
    <w:name w:val="markedcontent"/>
    <w:basedOn w:val="DefaultParagraphFont"/>
  </w:style>
  <w:style w:type="character" w:customStyle="1" w:styleId="url">
    <w:name w:val="url"/>
    <w:basedOn w:val="DefaultParagraphFont"/>
  </w:style>
  <w:style w:type="character" w:customStyle="1" w:styleId="jpfdse">
    <w:name w:val="jpfdse"/>
    <w:basedOn w:val="DefaultParagraphFont"/>
  </w:style>
  <w:style w:type="character" w:customStyle="1" w:styleId="ff4">
    <w:name w:val="ff4"/>
    <w:basedOn w:val="DefaultParagraphFont"/>
  </w:style>
  <w:style w:type="character" w:customStyle="1" w:styleId="ff1">
    <w:name w:val="ff1"/>
    <w:basedOn w:val="DefaultParagraphFont"/>
  </w:style>
  <w:style w:type="character" w:customStyle="1" w:styleId="lsf">
    <w:name w:val="lsf"/>
    <w:basedOn w:val="DefaultParagraphFont"/>
  </w:style>
  <w:style w:type="character" w:customStyle="1" w:styleId="lsb">
    <w:name w:val="lsb"/>
    <w:basedOn w:val="DefaultParagraphFont"/>
  </w:style>
  <w:style w:type="character" w:customStyle="1" w:styleId="ls4">
    <w:name w:val="ls4"/>
    <w:basedOn w:val="DefaultParagraphFont"/>
  </w:style>
  <w:style w:type="character" w:customStyle="1" w:styleId="lsd">
    <w:name w:val="lsd"/>
    <w:basedOn w:val="DefaultParagraphFont"/>
  </w:style>
  <w:style w:type="character" w:customStyle="1" w:styleId="ls1">
    <w:name w:val="ls1"/>
    <w:basedOn w:val="DefaultParagraphFont"/>
  </w:style>
  <w:style w:type="character" w:customStyle="1" w:styleId="ff5">
    <w:name w:val="ff5"/>
    <w:basedOn w:val="DefaultParagraphFont"/>
  </w:style>
  <w:style w:type="character" w:customStyle="1" w:styleId="ls5">
    <w:name w:val="ls5"/>
    <w:basedOn w:val="DefaultParagraphFont"/>
  </w:style>
  <w:style w:type="paragraph" w:customStyle="1" w:styleId="text-main">
    <w:name w:val="text-main"/>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TableParagraph">
    <w:name w:val="Table Paragraph"/>
    <w:uiPriority w:val="1"/>
    <w:qFormat/>
    <w:pPr>
      <w:widowControl w:val="0"/>
      <w:autoSpaceDE w:val="0"/>
      <w:autoSpaceDN w:val="0"/>
      <w:spacing w:after="0" w:line="240" w:lineRule="auto"/>
      <w:ind w:firstLine="0"/>
    </w:pPr>
    <w:rPr>
      <w:rFonts w:ascii="Arial" w:eastAsia="Arial" w:hAnsi="Arial" w:cs="Arial"/>
      <w:lang w:val="en-US"/>
    </w:rPr>
  </w:style>
  <w:style w:type="character" w:customStyle="1" w:styleId="whitespace-normal">
    <w:name w:val="whitespace-normal"/>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GReQGnf5QKu+eTiESzERtREtpQ==">CgMxLjAyDmguZXB0ZWx0b3ViaXlhOAByITFvdVBfc2FvckpVcDJTWEhIeG42a1J1XzBBWm11aDUzNA==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Abb Bbc</cp:lastModifiedBy>
  <cp:revision>100</cp:revision>
  <dcterms:created xsi:type="dcterms:W3CDTF">2025-11-25T20:11:00Z</dcterms:created>
  <dcterms:modified xsi:type="dcterms:W3CDTF">2025-12-09T09:32:00Z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186279a31dffec49a0d8cc351ce9b3aca0aabdb9d2c90d45fe309bc184e4b345</vt:lpwstr>
  </property>
  <property fmtid="{D5CDD505-2E9C-101B-9397-08002B2CF9AE}" pid="3" name="MSIP_Label_d0354ca5-015e-47ab-9fdb-c0a8323bc23e_Enabled">
    <vt:lpwstr>true</vt:lpwstr>
  </property>
  <property fmtid="{D5CDD505-2E9C-101B-9397-08002B2CF9AE}" pid="4" name="MSIP_Label_d0354ca5-015e-47ab-9fdb-c0a8323bc23e_SetDate">
    <vt:lpwstr>2023-12-18T11:57:27Z</vt:lpwstr>
  </property>
  <property fmtid="{D5CDD505-2E9C-101B-9397-08002B2CF9AE}" pid="5" name="MSIP_Label_d0354ca5-015e-47ab-9fdb-c0a8323bc23e_Method">
    <vt:lpwstr>Privileged</vt:lpwstr>
  </property>
  <property fmtid="{D5CDD505-2E9C-101B-9397-08002B2CF9AE}" pid="6" name="MSIP_Label_d0354ca5-015e-47ab-9fdb-c0a8323bc23e_Name">
    <vt:lpwstr>d0354ca5-015e-47ab-9fdb-c0a8323bc23e</vt:lpwstr>
  </property>
  <property fmtid="{D5CDD505-2E9C-101B-9397-08002B2CF9AE}" pid="7" name="MSIP_Label_d0354ca5-015e-47ab-9fdb-c0a8323bc23e_SiteId">
    <vt:lpwstr>07ebc6c3-7074-4387-a625-b9d918ba4a97</vt:lpwstr>
  </property>
  <property fmtid="{D5CDD505-2E9C-101B-9397-08002B2CF9AE}" pid="8" name="MSIP_Label_d0354ca5-015e-47ab-9fdb-c0a8323bc23e_ActionId">
    <vt:lpwstr>17fc6f72-6f24-481b-8f46-2153f1eab63d</vt:lpwstr>
  </property>
  <property fmtid="{D5CDD505-2E9C-101B-9397-08002B2CF9AE}" pid="9" name="MSIP_Label_d0354ca5-015e-47ab-9fdb-c0a8323bc23e_ContentBits">
    <vt:lpwstr>0</vt:lpwstr>
  </property>
  <property fmtid="{D5CDD505-2E9C-101B-9397-08002B2CF9AE}" pid="10" name="KSOProductBuildVer">
    <vt:lpwstr>2057-12.2.0.23147</vt:lpwstr>
  </property>
  <property fmtid="{D5CDD505-2E9C-101B-9397-08002B2CF9AE}" pid="11" name="ICV">
    <vt:lpwstr>8F2608CD85214304B50F0B43269F6382_13</vt:lpwstr>
  </property>
</Properties>
</file>