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52BDF" w14:textId="56FB20E8" w:rsidR="00436A32" w:rsidRDefault="00436A32">
      <w:r>
        <w:rPr>
          <w:noProof/>
        </w:rPr>
        <w:drawing>
          <wp:inline distT="0" distB="0" distL="0" distR="0" wp14:anchorId="7B2A3CC5" wp14:editId="5419558F">
            <wp:extent cx="2000250" cy="753428"/>
            <wp:effectExtent l="0" t="0" r="0" b="8890"/>
            <wp:docPr id="1335701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701750" name="Picture 1335701750"/>
                    <pic:cNvPicPr/>
                  </pic:nvPicPr>
                  <pic:blipFill>
                    <a:blip r:embed="rId8">
                      <a:extLst>
                        <a:ext uri="{28A0092B-C50C-407E-A947-70E740481C1C}">
                          <a14:useLocalDpi xmlns:a14="http://schemas.microsoft.com/office/drawing/2010/main" val="0"/>
                        </a:ext>
                      </a:extLst>
                    </a:blip>
                    <a:stretch>
                      <a:fillRect/>
                    </a:stretch>
                  </pic:blipFill>
                  <pic:spPr>
                    <a:xfrm>
                      <a:off x="0" y="0"/>
                      <a:ext cx="2010157" cy="757160"/>
                    </a:xfrm>
                    <a:prstGeom prst="rect">
                      <a:avLst/>
                    </a:prstGeom>
                  </pic:spPr>
                </pic:pic>
              </a:graphicData>
            </a:graphic>
          </wp:inline>
        </w:drawing>
      </w:r>
    </w:p>
    <w:p w14:paraId="277FED06" w14:textId="77777777" w:rsidR="00436A32" w:rsidRDefault="00436A32"/>
    <w:p w14:paraId="56FF8C30" w14:textId="77777777" w:rsidR="00436A32" w:rsidRDefault="00436A32"/>
    <w:p w14:paraId="71D4AC7F" w14:textId="77777777" w:rsidR="00973883" w:rsidRDefault="00973883"/>
    <w:p w14:paraId="56F70C7E" w14:textId="77777777" w:rsidR="00436A32" w:rsidRDefault="00436A32"/>
    <w:p w14:paraId="4B221521" w14:textId="40782DFC" w:rsidR="00436A32" w:rsidRPr="00973883" w:rsidRDefault="00973883" w:rsidP="00973883">
      <w:pPr>
        <w:spacing w:line="360" w:lineRule="auto"/>
        <w:jc w:val="center"/>
        <w:rPr>
          <w:rFonts w:ascii="Arial" w:hAnsi="Arial" w:cs="Arial"/>
          <w:sz w:val="40"/>
          <w:szCs w:val="40"/>
        </w:rPr>
      </w:pPr>
      <w:r w:rsidRPr="00973883">
        <w:rPr>
          <w:rFonts w:ascii="Arial" w:hAnsi="Arial" w:cs="Arial"/>
          <w:sz w:val="40"/>
          <w:szCs w:val="40"/>
        </w:rPr>
        <w:t>Health, Wellbeing and Quality Education: A Critical Examination of the Healthy Child Programme as a National Strategy Supporting SDG 3 and SDG 4</w:t>
      </w:r>
    </w:p>
    <w:p w14:paraId="0FC985E7" w14:textId="77777777" w:rsidR="00973883" w:rsidRDefault="00973883"/>
    <w:p w14:paraId="6BE48A05" w14:textId="77777777" w:rsidR="00973883" w:rsidRDefault="00973883"/>
    <w:p w14:paraId="569E969D" w14:textId="77777777" w:rsidR="00973883" w:rsidRDefault="00973883"/>
    <w:p w14:paraId="623FA282" w14:textId="77777777" w:rsidR="00973883" w:rsidRDefault="00973883"/>
    <w:p w14:paraId="3ED9F266" w14:textId="77777777" w:rsidR="00973883" w:rsidRDefault="00973883"/>
    <w:p w14:paraId="4E796073" w14:textId="77777777" w:rsidR="00436A32" w:rsidRPr="001C5520" w:rsidRDefault="00436A32" w:rsidP="00436A32">
      <w:pPr>
        <w:tabs>
          <w:tab w:val="left" w:pos="6540"/>
        </w:tabs>
        <w:spacing w:line="360" w:lineRule="auto"/>
        <w:ind w:left="426"/>
        <w:jc w:val="center"/>
        <w:rPr>
          <w:rFonts w:ascii="Arial" w:hAnsi="Arial" w:cs="Arial"/>
          <w:sz w:val="28"/>
          <w:szCs w:val="28"/>
        </w:rPr>
      </w:pPr>
      <w:r w:rsidRPr="001C5520">
        <w:rPr>
          <w:rFonts w:ascii="Arial" w:hAnsi="Arial" w:cs="Arial"/>
          <w:b/>
          <w:bCs/>
          <w:sz w:val="28"/>
          <w:szCs w:val="28"/>
        </w:rPr>
        <w:t>Student name</w:t>
      </w:r>
      <w:r w:rsidRPr="001C5520">
        <w:rPr>
          <w:rFonts w:ascii="Arial" w:hAnsi="Arial" w:cs="Arial"/>
          <w:sz w:val="28"/>
          <w:szCs w:val="28"/>
        </w:rPr>
        <w:t>: Monika Suba</w:t>
      </w:r>
    </w:p>
    <w:p w14:paraId="2175F851" w14:textId="77777777" w:rsidR="00436A32" w:rsidRPr="001C5520" w:rsidRDefault="00436A32" w:rsidP="00436A32">
      <w:pPr>
        <w:tabs>
          <w:tab w:val="left" w:pos="6540"/>
        </w:tabs>
        <w:spacing w:line="360" w:lineRule="auto"/>
        <w:ind w:left="426"/>
        <w:jc w:val="center"/>
        <w:rPr>
          <w:rFonts w:ascii="Arial" w:hAnsi="Arial" w:cs="Arial"/>
          <w:sz w:val="28"/>
          <w:szCs w:val="28"/>
        </w:rPr>
      </w:pPr>
      <w:r w:rsidRPr="001C5520">
        <w:rPr>
          <w:rFonts w:ascii="Arial" w:hAnsi="Arial" w:cs="Arial"/>
          <w:b/>
          <w:bCs/>
          <w:sz w:val="28"/>
          <w:szCs w:val="28"/>
        </w:rPr>
        <w:t>Student ID</w:t>
      </w:r>
      <w:r w:rsidRPr="001C5520">
        <w:rPr>
          <w:rFonts w:ascii="Arial" w:hAnsi="Arial" w:cs="Arial"/>
          <w:sz w:val="28"/>
          <w:szCs w:val="28"/>
        </w:rPr>
        <w:t>: 2243843</w:t>
      </w:r>
    </w:p>
    <w:p w14:paraId="45C3FB6A" w14:textId="77777777" w:rsidR="00436A32" w:rsidRPr="001C5520" w:rsidRDefault="00436A32" w:rsidP="00436A32">
      <w:pPr>
        <w:tabs>
          <w:tab w:val="left" w:pos="6540"/>
        </w:tabs>
        <w:spacing w:line="360" w:lineRule="auto"/>
        <w:ind w:left="426"/>
        <w:jc w:val="center"/>
        <w:rPr>
          <w:rFonts w:ascii="Arial" w:hAnsi="Arial" w:cs="Arial"/>
          <w:sz w:val="28"/>
          <w:szCs w:val="28"/>
        </w:rPr>
      </w:pPr>
    </w:p>
    <w:p w14:paraId="0A90EFFF" w14:textId="3B31E690" w:rsidR="00436A32" w:rsidRPr="001C5520" w:rsidRDefault="00436A32" w:rsidP="00436A32">
      <w:pPr>
        <w:tabs>
          <w:tab w:val="left" w:pos="6540"/>
        </w:tabs>
        <w:spacing w:line="360" w:lineRule="auto"/>
        <w:ind w:left="426"/>
        <w:jc w:val="center"/>
        <w:rPr>
          <w:rFonts w:ascii="Arial" w:hAnsi="Arial" w:cs="Arial"/>
          <w:sz w:val="28"/>
          <w:szCs w:val="28"/>
        </w:rPr>
      </w:pPr>
      <w:r w:rsidRPr="001C5520">
        <w:rPr>
          <w:rFonts w:ascii="Arial" w:hAnsi="Arial" w:cs="Arial"/>
          <w:b/>
          <w:bCs/>
          <w:sz w:val="28"/>
          <w:szCs w:val="28"/>
        </w:rPr>
        <w:t>Module name</w:t>
      </w:r>
      <w:r w:rsidRPr="001C5520">
        <w:rPr>
          <w:rFonts w:ascii="Arial" w:hAnsi="Arial" w:cs="Arial"/>
          <w:sz w:val="28"/>
          <w:szCs w:val="28"/>
        </w:rPr>
        <w:t xml:space="preserve">: </w:t>
      </w:r>
      <w:r w:rsidRPr="00436A32">
        <w:rPr>
          <w:rFonts w:ascii="Arial" w:hAnsi="Arial" w:cs="Arial"/>
          <w:sz w:val="28"/>
          <w:szCs w:val="28"/>
          <w:lang w:val="en-US"/>
        </w:rPr>
        <w:t>Health, Wellbeing and Sustainable Development</w:t>
      </w:r>
    </w:p>
    <w:p w14:paraId="7553BEFC" w14:textId="70E2F286" w:rsidR="00436A32" w:rsidRDefault="00436A32" w:rsidP="00436A32">
      <w:pPr>
        <w:tabs>
          <w:tab w:val="left" w:pos="6540"/>
        </w:tabs>
        <w:spacing w:line="360" w:lineRule="auto"/>
        <w:ind w:left="426"/>
        <w:jc w:val="center"/>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 xml:space="preserve">: </w:t>
      </w:r>
      <w:r w:rsidRPr="00436A32">
        <w:rPr>
          <w:rFonts w:ascii="Arial" w:hAnsi="Arial" w:cs="Arial"/>
          <w:sz w:val="28"/>
          <w:szCs w:val="28"/>
          <w:lang w:val="en-US"/>
        </w:rPr>
        <w:t>BMHP6030</w:t>
      </w:r>
    </w:p>
    <w:p w14:paraId="28D2AFFA" w14:textId="41043137" w:rsidR="00436A32" w:rsidRDefault="00436A32" w:rsidP="00436A32">
      <w:pPr>
        <w:tabs>
          <w:tab w:val="left" w:pos="6540"/>
        </w:tabs>
        <w:spacing w:line="360" w:lineRule="auto"/>
        <w:ind w:left="426"/>
        <w:jc w:val="center"/>
        <w:rPr>
          <w:rFonts w:ascii="Arial" w:hAnsi="Arial" w:cs="Arial"/>
          <w:sz w:val="28"/>
          <w:szCs w:val="28"/>
        </w:rPr>
      </w:pPr>
      <w:r>
        <w:rPr>
          <w:rFonts w:ascii="Arial" w:hAnsi="Arial" w:cs="Arial"/>
          <w:b/>
          <w:bCs/>
          <w:sz w:val="28"/>
          <w:szCs w:val="28"/>
        </w:rPr>
        <w:t>Lecturer’s</w:t>
      </w:r>
      <w:r w:rsidRPr="00074402">
        <w:rPr>
          <w:rFonts w:ascii="Arial" w:hAnsi="Arial" w:cs="Arial"/>
          <w:b/>
          <w:bCs/>
          <w:sz w:val="28"/>
          <w:szCs w:val="28"/>
        </w:rPr>
        <w:t xml:space="preserve"> name</w:t>
      </w:r>
      <w:r>
        <w:rPr>
          <w:rFonts w:ascii="Arial" w:hAnsi="Arial" w:cs="Arial"/>
          <w:sz w:val="28"/>
          <w:szCs w:val="28"/>
        </w:rPr>
        <w:t xml:space="preserve">: Dr </w:t>
      </w:r>
      <w:r w:rsidRPr="00436A32">
        <w:rPr>
          <w:rFonts w:ascii="Arial" w:hAnsi="Arial" w:cs="Arial"/>
          <w:sz w:val="28"/>
          <w:szCs w:val="28"/>
          <w:lang w:val="en-US"/>
        </w:rPr>
        <w:t xml:space="preserve">Itse Olaoye </w:t>
      </w:r>
    </w:p>
    <w:p w14:paraId="40EDF263" w14:textId="77777777" w:rsidR="00436A32" w:rsidRDefault="00436A32"/>
    <w:p w14:paraId="35725199" w14:textId="77777777" w:rsidR="00436A32" w:rsidRDefault="00436A32"/>
    <w:p w14:paraId="0FDEFFCF" w14:textId="77777777" w:rsidR="00436A32" w:rsidRDefault="00436A32"/>
    <w:p w14:paraId="52A03746" w14:textId="77777777" w:rsidR="00436A32" w:rsidRDefault="00436A32"/>
    <w:sdt>
      <w:sdtPr>
        <w:rPr>
          <w:rFonts w:asciiTheme="minorHAnsi" w:eastAsiaTheme="minorHAnsi" w:hAnsiTheme="minorHAnsi" w:cstheme="minorBidi"/>
          <w:color w:val="auto"/>
          <w:kern w:val="2"/>
          <w:sz w:val="24"/>
          <w:szCs w:val="24"/>
          <w:lang w:val="en-GB"/>
          <w14:ligatures w14:val="standardContextual"/>
        </w:rPr>
        <w:id w:val="-368772667"/>
        <w:docPartObj>
          <w:docPartGallery w:val="Table of Contents"/>
          <w:docPartUnique/>
        </w:docPartObj>
      </w:sdtPr>
      <w:sdtEndPr>
        <w:rPr>
          <w:b/>
          <w:bCs/>
          <w:noProof/>
        </w:rPr>
      </w:sdtEndPr>
      <w:sdtContent>
        <w:p w14:paraId="2059A3C2" w14:textId="0BE1B06E" w:rsidR="00436A32" w:rsidRDefault="00436A32">
          <w:pPr>
            <w:pStyle w:val="TOCHeading"/>
          </w:pPr>
          <w:r>
            <w:t>Table of Contents</w:t>
          </w:r>
        </w:p>
        <w:p w14:paraId="278118F5" w14:textId="13824872" w:rsidR="00026531" w:rsidRDefault="00436A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7576158" w:history="1">
            <w:r w:rsidR="00026531" w:rsidRPr="004F714C">
              <w:rPr>
                <w:rStyle w:val="Hyperlink"/>
                <w:noProof/>
              </w:rPr>
              <w:t>Introduction</w:t>
            </w:r>
            <w:r w:rsidR="00026531">
              <w:rPr>
                <w:noProof/>
                <w:webHidden/>
              </w:rPr>
              <w:tab/>
            </w:r>
            <w:r w:rsidR="00026531">
              <w:rPr>
                <w:noProof/>
                <w:webHidden/>
              </w:rPr>
              <w:fldChar w:fldCharType="begin"/>
            </w:r>
            <w:r w:rsidR="00026531">
              <w:rPr>
                <w:noProof/>
                <w:webHidden/>
              </w:rPr>
              <w:instrText xml:space="preserve"> PAGEREF _Toc227576158 \h </w:instrText>
            </w:r>
            <w:r w:rsidR="00026531">
              <w:rPr>
                <w:noProof/>
                <w:webHidden/>
              </w:rPr>
            </w:r>
            <w:r w:rsidR="00026531">
              <w:rPr>
                <w:noProof/>
                <w:webHidden/>
              </w:rPr>
              <w:fldChar w:fldCharType="separate"/>
            </w:r>
            <w:r w:rsidR="00026531">
              <w:rPr>
                <w:noProof/>
                <w:webHidden/>
              </w:rPr>
              <w:t>3</w:t>
            </w:r>
            <w:r w:rsidR="00026531">
              <w:rPr>
                <w:noProof/>
                <w:webHidden/>
              </w:rPr>
              <w:fldChar w:fldCharType="end"/>
            </w:r>
          </w:hyperlink>
        </w:p>
        <w:p w14:paraId="1EA736DD" w14:textId="19488AD2" w:rsidR="00026531" w:rsidRDefault="00026531">
          <w:pPr>
            <w:pStyle w:val="TOC1"/>
            <w:tabs>
              <w:tab w:val="right" w:leader="dot" w:pos="9016"/>
            </w:tabs>
            <w:rPr>
              <w:rFonts w:eastAsiaTheme="minorEastAsia"/>
              <w:noProof/>
              <w:lang w:eastAsia="en-GB"/>
            </w:rPr>
          </w:pPr>
          <w:hyperlink w:anchor="_Toc227576159" w:history="1">
            <w:r w:rsidRPr="004F714C">
              <w:rPr>
                <w:rStyle w:val="Hyperlink"/>
                <w:noProof/>
              </w:rPr>
              <w:t>1. SDG 3: Good Health and Well-being</w:t>
            </w:r>
            <w:r>
              <w:rPr>
                <w:noProof/>
                <w:webHidden/>
              </w:rPr>
              <w:tab/>
            </w:r>
            <w:r>
              <w:rPr>
                <w:noProof/>
                <w:webHidden/>
              </w:rPr>
              <w:fldChar w:fldCharType="begin"/>
            </w:r>
            <w:r>
              <w:rPr>
                <w:noProof/>
                <w:webHidden/>
              </w:rPr>
              <w:instrText xml:space="preserve"> PAGEREF _Toc227576159 \h </w:instrText>
            </w:r>
            <w:r>
              <w:rPr>
                <w:noProof/>
                <w:webHidden/>
              </w:rPr>
            </w:r>
            <w:r>
              <w:rPr>
                <w:noProof/>
                <w:webHidden/>
              </w:rPr>
              <w:fldChar w:fldCharType="separate"/>
            </w:r>
            <w:r>
              <w:rPr>
                <w:noProof/>
                <w:webHidden/>
              </w:rPr>
              <w:t>3</w:t>
            </w:r>
            <w:r>
              <w:rPr>
                <w:noProof/>
                <w:webHidden/>
              </w:rPr>
              <w:fldChar w:fldCharType="end"/>
            </w:r>
          </w:hyperlink>
        </w:p>
        <w:p w14:paraId="0FF0772F" w14:textId="69D522B0" w:rsidR="00026531" w:rsidRDefault="00026531">
          <w:pPr>
            <w:pStyle w:val="TOC1"/>
            <w:tabs>
              <w:tab w:val="right" w:leader="dot" w:pos="9016"/>
            </w:tabs>
            <w:rPr>
              <w:rFonts w:eastAsiaTheme="minorEastAsia"/>
              <w:noProof/>
              <w:lang w:eastAsia="en-GB"/>
            </w:rPr>
          </w:pPr>
          <w:hyperlink w:anchor="_Toc227576160" w:history="1">
            <w:r w:rsidRPr="004F714C">
              <w:rPr>
                <w:rStyle w:val="Hyperlink"/>
                <w:noProof/>
              </w:rPr>
              <w:t>2. SDG 4: Quality Education</w:t>
            </w:r>
            <w:r>
              <w:rPr>
                <w:noProof/>
                <w:webHidden/>
              </w:rPr>
              <w:tab/>
            </w:r>
            <w:r>
              <w:rPr>
                <w:noProof/>
                <w:webHidden/>
              </w:rPr>
              <w:fldChar w:fldCharType="begin"/>
            </w:r>
            <w:r>
              <w:rPr>
                <w:noProof/>
                <w:webHidden/>
              </w:rPr>
              <w:instrText xml:space="preserve"> PAGEREF _Toc227576160 \h </w:instrText>
            </w:r>
            <w:r>
              <w:rPr>
                <w:noProof/>
                <w:webHidden/>
              </w:rPr>
            </w:r>
            <w:r>
              <w:rPr>
                <w:noProof/>
                <w:webHidden/>
              </w:rPr>
              <w:fldChar w:fldCharType="separate"/>
            </w:r>
            <w:r>
              <w:rPr>
                <w:noProof/>
                <w:webHidden/>
              </w:rPr>
              <w:t>4</w:t>
            </w:r>
            <w:r>
              <w:rPr>
                <w:noProof/>
                <w:webHidden/>
              </w:rPr>
              <w:fldChar w:fldCharType="end"/>
            </w:r>
          </w:hyperlink>
        </w:p>
        <w:p w14:paraId="1718F0B6" w14:textId="1DD8CDDE" w:rsidR="00026531" w:rsidRDefault="00026531">
          <w:pPr>
            <w:pStyle w:val="TOC1"/>
            <w:tabs>
              <w:tab w:val="right" w:leader="dot" w:pos="9016"/>
            </w:tabs>
            <w:rPr>
              <w:rFonts w:eastAsiaTheme="minorEastAsia"/>
              <w:noProof/>
              <w:lang w:eastAsia="en-GB"/>
            </w:rPr>
          </w:pPr>
          <w:hyperlink w:anchor="_Toc227576161" w:history="1">
            <w:r w:rsidRPr="004F714C">
              <w:rPr>
                <w:rStyle w:val="Hyperlink"/>
                <w:noProof/>
              </w:rPr>
              <w:t>3. National Wellbeing Initiatives</w:t>
            </w:r>
            <w:r>
              <w:rPr>
                <w:noProof/>
                <w:webHidden/>
              </w:rPr>
              <w:tab/>
            </w:r>
            <w:r>
              <w:rPr>
                <w:noProof/>
                <w:webHidden/>
              </w:rPr>
              <w:fldChar w:fldCharType="begin"/>
            </w:r>
            <w:r>
              <w:rPr>
                <w:noProof/>
                <w:webHidden/>
              </w:rPr>
              <w:instrText xml:space="preserve"> PAGEREF _Toc227576161 \h </w:instrText>
            </w:r>
            <w:r>
              <w:rPr>
                <w:noProof/>
                <w:webHidden/>
              </w:rPr>
            </w:r>
            <w:r>
              <w:rPr>
                <w:noProof/>
                <w:webHidden/>
              </w:rPr>
              <w:fldChar w:fldCharType="separate"/>
            </w:r>
            <w:r>
              <w:rPr>
                <w:noProof/>
                <w:webHidden/>
              </w:rPr>
              <w:t>5</w:t>
            </w:r>
            <w:r>
              <w:rPr>
                <w:noProof/>
                <w:webHidden/>
              </w:rPr>
              <w:fldChar w:fldCharType="end"/>
            </w:r>
          </w:hyperlink>
        </w:p>
        <w:p w14:paraId="32D73728" w14:textId="43DB141C" w:rsidR="00026531" w:rsidRDefault="00026531">
          <w:pPr>
            <w:pStyle w:val="TOC1"/>
            <w:tabs>
              <w:tab w:val="right" w:leader="dot" w:pos="9016"/>
            </w:tabs>
            <w:rPr>
              <w:rFonts w:eastAsiaTheme="minorEastAsia"/>
              <w:noProof/>
              <w:lang w:eastAsia="en-GB"/>
            </w:rPr>
          </w:pPr>
          <w:hyperlink w:anchor="_Toc227576162" w:history="1">
            <w:r w:rsidRPr="004F714C">
              <w:rPr>
                <w:rStyle w:val="Hyperlink"/>
                <w:noProof/>
              </w:rPr>
              <w:t>4. Local Wellbeing Initiatives</w:t>
            </w:r>
            <w:r>
              <w:rPr>
                <w:noProof/>
                <w:webHidden/>
              </w:rPr>
              <w:tab/>
            </w:r>
            <w:r>
              <w:rPr>
                <w:noProof/>
                <w:webHidden/>
              </w:rPr>
              <w:fldChar w:fldCharType="begin"/>
            </w:r>
            <w:r>
              <w:rPr>
                <w:noProof/>
                <w:webHidden/>
              </w:rPr>
              <w:instrText xml:space="preserve"> PAGEREF _Toc227576162 \h </w:instrText>
            </w:r>
            <w:r>
              <w:rPr>
                <w:noProof/>
                <w:webHidden/>
              </w:rPr>
            </w:r>
            <w:r>
              <w:rPr>
                <w:noProof/>
                <w:webHidden/>
              </w:rPr>
              <w:fldChar w:fldCharType="separate"/>
            </w:r>
            <w:r>
              <w:rPr>
                <w:noProof/>
                <w:webHidden/>
              </w:rPr>
              <w:t>7</w:t>
            </w:r>
            <w:r>
              <w:rPr>
                <w:noProof/>
                <w:webHidden/>
              </w:rPr>
              <w:fldChar w:fldCharType="end"/>
            </w:r>
          </w:hyperlink>
        </w:p>
        <w:p w14:paraId="056BC67D" w14:textId="68ADB62F" w:rsidR="00026531" w:rsidRDefault="00026531">
          <w:pPr>
            <w:pStyle w:val="TOC1"/>
            <w:tabs>
              <w:tab w:val="right" w:leader="dot" w:pos="9016"/>
            </w:tabs>
            <w:rPr>
              <w:rFonts w:eastAsiaTheme="minorEastAsia"/>
              <w:noProof/>
              <w:lang w:eastAsia="en-GB"/>
            </w:rPr>
          </w:pPr>
          <w:hyperlink w:anchor="_Toc227576163" w:history="1">
            <w:r w:rsidRPr="004F714C">
              <w:rPr>
                <w:rStyle w:val="Hyperlink"/>
                <w:noProof/>
              </w:rPr>
              <w:t>Conclusion</w:t>
            </w:r>
            <w:r>
              <w:rPr>
                <w:noProof/>
                <w:webHidden/>
              </w:rPr>
              <w:tab/>
            </w:r>
            <w:r>
              <w:rPr>
                <w:noProof/>
                <w:webHidden/>
              </w:rPr>
              <w:fldChar w:fldCharType="begin"/>
            </w:r>
            <w:r>
              <w:rPr>
                <w:noProof/>
                <w:webHidden/>
              </w:rPr>
              <w:instrText xml:space="preserve"> PAGEREF _Toc227576163 \h </w:instrText>
            </w:r>
            <w:r>
              <w:rPr>
                <w:noProof/>
                <w:webHidden/>
              </w:rPr>
            </w:r>
            <w:r>
              <w:rPr>
                <w:noProof/>
                <w:webHidden/>
              </w:rPr>
              <w:fldChar w:fldCharType="separate"/>
            </w:r>
            <w:r>
              <w:rPr>
                <w:noProof/>
                <w:webHidden/>
              </w:rPr>
              <w:t>9</w:t>
            </w:r>
            <w:r>
              <w:rPr>
                <w:noProof/>
                <w:webHidden/>
              </w:rPr>
              <w:fldChar w:fldCharType="end"/>
            </w:r>
          </w:hyperlink>
        </w:p>
        <w:p w14:paraId="12AA4B6E" w14:textId="1FFDB16E" w:rsidR="00026531" w:rsidRDefault="00026531">
          <w:pPr>
            <w:pStyle w:val="TOC1"/>
            <w:tabs>
              <w:tab w:val="right" w:leader="dot" w:pos="9016"/>
            </w:tabs>
            <w:rPr>
              <w:rFonts w:eastAsiaTheme="minorEastAsia"/>
              <w:noProof/>
              <w:lang w:eastAsia="en-GB"/>
            </w:rPr>
          </w:pPr>
          <w:hyperlink w:anchor="_Toc227576164" w:history="1">
            <w:r w:rsidRPr="004F714C">
              <w:rPr>
                <w:rStyle w:val="Hyperlink"/>
                <w:noProof/>
              </w:rPr>
              <w:t>References</w:t>
            </w:r>
            <w:r>
              <w:rPr>
                <w:noProof/>
                <w:webHidden/>
              </w:rPr>
              <w:tab/>
            </w:r>
            <w:r>
              <w:rPr>
                <w:noProof/>
                <w:webHidden/>
              </w:rPr>
              <w:fldChar w:fldCharType="begin"/>
            </w:r>
            <w:r>
              <w:rPr>
                <w:noProof/>
                <w:webHidden/>
              </w:rPr>
              <w:instrText xml:space="preserve"> PAGEREF _Toc227576164 \h </w:instrText>
            </w:r>
            <w:r>
              <w:rPr>
                <w:noProof/>
                <w:webHidden/>
              </w:rPr>
            </w:r>
            <w:r>
              <w:rPr>
                <w:noProof/>
                <w:webHidden/>
              </w:rPr>
              <w:fldChar w:fldCharType="separate"/>
            </w:r>
            <w:r>
              <w:rPr>
                <w:noProof/>
                <w:webHidden/>
              </w:rPr>
              <w:t>10</w:t>
            </w:r>
            <w:r>
              <w:rPr>
                <w:noProof/>
                <w:webHidden/>
              </w:rPr>
              <w:fldChar w:fldCharType="end"/>
            </w:r>
          </w:hyperlink>
        </w:p>
        <w:p w14:paraId="29EBFD54" w14:textId="2A1C8045" w:rsidR="00436A32" w:rsidRDefault="00436A32">
          <w:r>
            <w:rPr>
              <w:b/>
              <w:bCs/>
              <w:noProof/>
            </w:rPr>
            <w:fldChar w:fldCharType="end"/>
          </w:r>
        </w:p>
      </w:sdtContent>
    </w:sdt>
    <w:p w14:paraId="1DD8D099" w14:textId="77777777" w:rsidR="00436A32" w:rsidRDefault="00436A32"/>
    <w:p w14:paraId="513A19F9" w14:textId="77777777" w:rsidR="00436A32" w:rsidRPr="00436A32" w:rsidRDefault="00436A32" w:rsidP="00436A32"/>
    <w:p w14:paraId="444C0DFE" w14:textId="77777777" w:rsidR="00436A32" w:rsidRDefault="00436A32" w:rsidP="00436A32"/>
    <w:p w14:paraId="02CF4A65" w14:textId="77777777" w:rsidR="00436A32" w:rsidRDefault="00436A32" w:rsidP="00436A32">
      <w:pPr>
        <w:jc w:val="center"/>
      </w:pPr>
    </w:p>
    <w:p w14:paraId="0820D4C7" w14:textId="77777777" w:rsidR="00436A32" w:rsidRDefault="00436A32" w:rsidP="00436A32">
      <w:pPr>
        <w:jc w:val="center"/>
      </w:pPr>
    </w:p>
    <w:p w14:paraId="12352CCC" w14:textId="77777777" w:rsidR="00436A32" w:rsidRDefault="00436A32" w:rsidP="00436A32">
      <w:pPr>
        <w:jc w:val="center"/>
      </w:pPr>
    </w:p>
    <w:p w14:paraId="45D97A3C" w14:textId="77777777" w:rsidR="00436A32" w:rsidRDefault="00436A32" w:rsidP="00436A32">
      <w:pPr>
        <w:jc w:val="center"/>
      </w:pPr>
    </w:p>
    <w:p w14:paraId="1DC858C4" w14:textId="77777777" w:rsidR="00436A32" w:rsidRDefault="00436A32" w:rsidP="00436A32">
      <w:pPr>
        <w:jc w:val="center"/>
      </w:pPr>
    </w:p>
    <w:p w14:paraId="2FB05539" w14:textId="77777777" w:rsidR="00436A32" w:rsidRDefault="00436A32" w:rsidP="00436A32">
      <w:pPr>
        <w:jc w:val="center"/>
      </w:pPr>
    </w:p>
    <w:p w14:paraId="2871AEDD" w14:textId="77777777" w:rsidR="00436A32" w:rsidRDefault="00436A32" w:rsidP="00436A32">
      <w:pPr>
        <w:jc w:val="center"/>
      </w:pPr>
    </w:p>
    <w:p w14:paraId="4ABFFC2A" w14:textId="77777777" w:rsidR="00436A32" w:rsidRDefault="00436A32" w:rsidP="00436A32">
      <w:pPr>
        <w:jc w:val="center"/>
      </w:pPr>
    </w:p>
    <w:p w14:paraId="39EA2227" w14:textId="77777777" w:rsidR="00436A32" w:rsidRDefault="00436A32" w:rsidP="00436A32">
      <w:pPr>
        <w:jc w:val="center"/>
      </w:pPr>
    </w:p>
    <w:p w14:paraId="67219231" w14:textId="77777777" w:rsidR="00436A32" w:rsidRDefault="00436A32" w:rsidP="00436A32">
      <w:pPr>
        <w:jc w:val="center"/>
      </w:pPr>
    </w:p>
    <w:p w14:paraId="253C6255" w14:textId="77777777" w:rsidR="00436A32" w:rsidRDefault="00436A32" w:rsidP="00436A32">
      <w:pPr>
        <w:jc w:val="center"/>
      </w:pPr>
    </w:p>
    <w:p w14:paraId="79DD4E9A" w14:textId="77777777" w:rsidR="00310432" w:rsidRDefault="00310432" w:rsidP="00436A32">
      <w:pPr>
        <w:jc w:val="center"/>
      </w:pPr>
    </w:p>
    <w:p w14:paraId="174FB09A" w14:textId="77777777" w:rsidR="00310432" w:rsidRDefault="00310432" w:rsidP="00436A32">
      <w:pPr>
        <w:jc w:val="center"/>
      </w:pPr>
    </w:p>
    <w:p w14:paraId="62E59C50" w14:textId="77777777" w:rsidR="00436A32" w:rsidRDefault="00436A32" w:rsidP="00422C66"/>
    <w:p w14:paraId="75DFA038" w14:textId="77777777" w:rsidR="00422C66" w:rsidRPr="00422C66" w:rsidRDefault="00422C66" w:rsidP="00422C66">
      <w:pPr>
        <w:pStyle w:val="Heading1"/>
      </w:pPr>
      <w:bookmarkStart w:id="0" w:name="_Toc227576158"/>
      <w:r w:rsidRPr="00422C66">
        <w:lastRenderedPageBreak/>
        <w:t>Introduction</w:t>
      </w:r>
      <w:bookmarkEnd w:id="0"/>
    </w:p>
    <w:p w14:paraId="6EFD24B4" w14:textId="34A7AF50" w:rsidR="00B02BC9" w:rsidRPr="00CE5659" w:rsidRDefault="00192513" w:rsidP="00973883">
      <w:pPr>
        <w:spacing w:line="360" w:lineRule="auto"/>
        <w:jc w:val="both"/>
        <w:rPr>
          <w:rFonts w:ascii="Arial" w:hAnsi="Arial" w:cs="Arial"/>
          <w:sz w:val="22"/>
          <w:szCs w:val="22"/>
        </w:rPr>
      </w:pPr>
      <w:r w:rsidRPr="00192513">
        <w:rPr>
          <w:rFonts w:ascii="Arial" w:hAnsi="Arial" w:cs="Arial"/>
          <w:sz w:val="22"/>
          <w:szCs w:val="22"/>
        </w:rPr>
        <w:t>Health, well-being, and education are deeply interconnected determinants of human development, shaping life chances across the life course. The United Nations Sustainable Development Goals (SDGs) recognise this relationship, particularly through SDG 3 (Good Health and Well-being) and SDG 4 (Quality Education), which aim to reduce inequalities and promote equitable development globally. This report critically examines the relationship between these goals at global, national, and local levels, drawing on the social determinants of health, Bronfenbrenner’s ecological systems theory, and contemporary research. The analysis evaluates two national wellbeing initiatives</w:t>
      </w:r>
      <w:r>
        <w:rPr>
          <w:rFonts w:ascii="Arial" w:hAnsi="Arial" w:cs="Arial"/>
          <w:sz w:val="22"/>
          <w:szCs w:val="22"/>
        </w:rPr>
        <w:t xml:space="preserve">, </w:t>
      </w:r>
      <w:r w:rsidRPr="00192513">
        <w:rPr>
          <w:rFonts w:ascii="Arial" w:hAnsi="Arial" w:cs="Arial"/>
          <w:sz w:val="22"/>
          <w:szCs w:val="22"/>
        </w:rPr>
        <w:t>the Healthy Child Programme (HCP) and the NHS Long Term Plan</w:t>
      </w:r>
      <w:r>
        <w:rPr>
          <w:rFonts w:ascii="Arial" w:hAnsi="Arial" w:cs="Arial"/>
          <w:sz w:val="22"/>
          <w:szCs w:val="22"/>
        </w:rPr>
        <w:t xml:space="preserve">, </w:t>
      </w:r>
      <w:r w:rsidRPr="00192513">
        <w:rPr>
          <w:rFonts w:ascii="Arial" w:hAnsi="Arial" w:cs="Arial"/>
          <w:sz w:val="22"/>
          <w:szCs w:val="22"/>
        </w:rPr>
        <w:t>and two local initiatives</w:t>
      </w:r>
      <w:r>
        <w:rPr>
          <w:rFonts w:ascii="Arial" w:hAnsi="Arial" w:cs="Arial"/>
          <w:sz w:val="22"/>
          <w:szCs w:val="22"/>
        </w:rPr>
        <w:t xml:space="preserve">, </w:t>
      </w:r>
      <w:r w:rsidRPr="00192513">
        <w:rPr>
          <w:rFonts w:ascii="Arial" w:hAnsi="Arial" w:cs="Arial"/>
          <w:sz w:val="22"/>
          <w:szCs w:val="22"/>
        </w:rPr>
        <w:t>local implementation of Making Every Contact Count (MECC) and local delivery of the Early Years Foundation Stage (EYFS). Recommendations are integrated within each section to strengthen alignment with SDG 3 and SDG 4</w:t>
      </w:r>
      <w:r>
        <w:rPr>
          <w:rFonts w:ascii="Arial" w:hAnsi="Arial" w:cs="Arial"/>
          <w:sz w:val="22"/>
          <w:szCs w:val="22"/>
        </w:rPr>
        <w:t>.</w:t>
      </w:r>
    </w:p>
    <w:p w14:paraId="2570B53A" w14:textId="7CB5D6E1" w:rsidR="00422C66" w:rsidRPr="004632F3" w:rsidRDefault="0035327B" w:rsidP="0035327B">
      <w:pPr>
        <w:pStyle w:val="Heading1"/>
        <w:ind w:left="360"/>
      </w:pPr>
      <w:bookmarkStart w:id="1" w:name="_Toc227576159"/>
      <w:r>
        <w:t xml:space="preserve">1. </w:t>
      </w:r>
      <w:r w:rsidR="00FC2E82" w:rsidRPr="00FC2E82">
        <w:t>SDG 3: Good Health and Well-being</w:t>
      </w:r>
      <w:bookmarkEnd w:id="1"/>
    </w:p>
    <w:p w14:paraId="78517F28"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SDG 3 aims to ensure healthy lives and promote well-being for all ages, yet global health inequalities remain profound. Maternal mortality in low-income countries is fourteen times higher than in high-income countries (WHO, 2023), reflecting persistent disparities in access to skilled birth attendants, emergency obstetric care, and basic health services. Many regions continue to face infectious diseases, malnutrition, and limited healthcare access, all of which undermine development and widen inequality. These challenges demonstrate that achieving SDG 3 requires more than clinical interventions; it demands structural change addressing poverty, food systems, and global economic forces (Marmot, 2020).</w:t>
      </w:r>
    </w:p>
    <w:p w14:paraId="69881299"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Global health outcomes are shaped by broader structural determinants such as globalisation, trade, and food systems. Cuevas García-Dorado et al. (2019) highlight that globalisation has mixed effects on population health. In many low- and middle-income countries, rapid dietary transitions driven by foreign direct investment, processed food availability, and shifting cultural norms have created a double burden of malnutrition, where undernutrition coexists with rising obesity and non-communicable diseases (NCDs). This means SDG 3 must address both infectious and chronic disease prevention simultaneously. While trade liberalisation can improve dietary quality in some contexts, it may also increase exposure to unhealthy food environments, particularly for vulnerable groups.</w:t>
      </w:r>
    </w:p>
    <w:p w14:paraId="243E552B"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 xml:space="preserve">Education is also a key determinant of health, reinforcing the interdependence between SDG 3 and SDG 4. Higher educational attainment is associated with longer life expectancy, </w:t>
      </w:r>
      <w:r w:rsidRPr="004030C2">
        <w:rPr>
          <w:rFonts w:ascii="Arial" w:hAnsi="Arial" w:cs="Arial"/>
          <w:sz w:val="22"/>
          <w:szCs w:val="22"/>
        </w:rPr>
        <w:lastRenderedPageBreak/>
        <w:t>improved mental health, and reduced engagement in high-risk behaviours. Moga Rogoz et al. (2022) demonstrate that education has a stronger and more sustained impact on life expectancy than economic freedom, both in the short and long term. Education improves health through multiple pathways, including better employment opportunities, higher income, improved access to healthcare, and increased health literacy.</w:t>
      </w:r>
    </w:p>
    <w:p w14:paraId="06562772" w14:textId="4F3711E5"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Bronfenbrenner’s ecological systems theory</w:t>
      </w:r>
      <w:r w:rsidR="007D1CC4">
        <w:rPr>
          <w:rFonts w:ascii="Arial" w:hAnsi="Arial" w:cs="Arial"/>
          <w:sz w:val="22"/>
          <w:szCs w:val="22"/>
        </w:rPr>
        <w:t xml:space="preserve"> (1979)</w:t>
      </w:r>
      <w:r w:rsidR="00D079BD">
        <w:rPr>
          <w:rFonts w:ascii="Arial" w:hAnsi="Arial" w:cs="Arial"/>
          <w:sz w:val="22"/>
          <w:szCs w:val="22"/>
        </w:rPr>
        <w:t xml:space="preserve"> </w:t>
      </w:r>
      <w:r w:rsidRPr="004030C2">
        <w:rPr>
          <w:rFonts w:ascii="Arial" w:hAnsi="Arial" w:cs="Arial"/>
          <w:sz w:val="22"/>
          <w:szCs w:val="22"/>
        </w:rPr>
        <w:t>helps explain how health outcomes are shaped by interactions across multiple systems, including family, school, community, and wider policy environments. Children’s health is influenced by proximal processes within microsystems such as families and schools, which shape their sense of belonging, engagement, and capacity to thrive (El Zaatari and Maalouf, 2022). This reinforces the need for integrated approaches that address the social determinants of health rather than relying solely on clinical services.</w:t>
      </w:r>
    </w:p>
    <w:p w14:paraId="3233E534" w14:textId="77777777"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Breuer et al. (2023) further emphasise that the SDGs are interconnected and that progress in one area depends on progress in others. SDG 3 shares strong “synergistic interlinkages” with SDG 4, meaning that improvements in education directly support health outcomes, while investments in health systems enhance educational participation and attainment. Policymakers must therefore adopt integrated strategies that consider these cross-sector relationships, as siloed approaches risk undermining long-term development goals.</w:t>
      </w:r>
    </w:p>
    <w:p w14:paraId="0BECDCDA" w14:textId="68EA2E7C" w:rsidR="004030C2" w:rsidRPr="004030C2" w:rsidRDefault="004030C2" w:rsidP="004030C2">
      <w:pPr>
        <w:spacing w:line="360" w:lineRule="auto"/>
        <w:jc w:val="both"/>
        <w:rPr>
          <w:rFonts w:ascii="Arial" w:hAnsi="Arial" w:cs="Arial"/>
          <w:sz w:val="22"/>
          <w:szCs w:val="22"/>
        </w:rPr>
      </w:pPr>
      <w:r w:rsidRPr="004030C2">
        <w:rPr>
          <w:rFonts w:ascii="Arial" w:hAnsi="Arial" w:cs="Arial"/>
          <w:sz w:val="22"/>
          <w:szCs w:val="22"/>
        </w:rPr>
        <w:t>Overall, SDG 3 highlights the importance of universal health coverage, strong health systems, and multisectoral collaboration. Achieving good health and wellbeing requires addressing structural inequalities, improving access to services, and recognising the reciprocal relationship between health and education (</w:t>
      </w:r>
      <w:proofErr w:type="spellStart"/>
      <w:r w:rsidRPr="004030C2">
        <w:rPr>
          <w:rFonts w:ascii="Arial" w:hAnsi="Arial" w:cs="Arial"/>
          <w:sz w:val="22"/>
          <w:szCs w:val="22"/>
        </w:rPr>
        <w:t>Holttum</w:t>
      </w:r>
      <w:proofErr w:type="spellEnd"/>
      <w:r w:rsidRPr="004030C2">
        <w:rPr>
          <w:rFonts w:ascii="Arial" w:hAnsi="Arial" w:cs="Arial"/>
          <w:sz w:val="22"/>
          <w:szCs w:val="22"/>
        </w:rPr>
        <w:t>, 2021).</w:t>
      </w:r>
    </w:p>
    <w:p w14:paraId="7B6BACDC" w14:textId="77777777" w:rsidR="004246EC" w:rsidRPr="004246EC" w:rsidRDefault="004246EC" w:rsidP="004246EC"/>
    <w:p w14:paraId="6E5D144F" w14:textId="0F69D01D" w:rsidR="00422C66" w:rsidRPr="00422C66" w:rsidRDefault="00422C66" w:rsidP="00422C66">
      <w:pPr>
        <w:pStyle w:val="Heading1"/>
      </w:pPr>
      <w:bookmarkStart w:id="2" w:name="_Toc227576160"/>
      <w:r w:rsidRPr="00422C66">
        <w:t xml:space="preserve">2. </w:t>
      </w:r>
      <w:r w:rsidR="008E6D3E" w:rsidRPr="008E6D3E">
        <w:t>SDG 4: Quality Education</w:t>
      </w:r>
      <w:bookmarkEnd w:id="2"/>
    </w:p>
    <w:p w14:paraId="7913D420"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SDG 4 aims to ensure inclusive and equitable quality education for all, yet global inequalities persist. UNESCO (2023) reports that 244 million children remain out of school worldwide, reflecting barriers linked to poverty, gender, conflict, disability, and geography. Education is widely recognised as a key social determinant of health, influencing employment opportunities, income, health literacy, and long-term wellbeing.</w:t>
      </w:r>
    </w:p>
    <w:p w14:paraId="08BDC351"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 xml:space="preserve">Research consistently demonstrates the strong relationship between education and health. Moga Rogoz et al. (2022) show that educational attainment has a significant and sustained impact on life expectancy across new EU member states. Higher levels of education improve individuals’ ability to make informed decisions about lifestyle, disease prevention, and </w:t>
      </w:r>
      <w:r w:rsidRPr="000332EF">
        <w:rPr>
          <w:rFonts w:ascii="Arial" w:hAnsi="Arial" w:cs="Arial"/>
          <w:sz w:val="22"/>
          <w:szCs w:val="22"/>
        </w:rPr>
        <w:lastRenderedPageBreak/>
        <w:t>healthcare utilisation. Education also enhances mental well-being by increasing social inclusion, self-efficacy, and resilience.</w:t>
      </w:r>
    </w:p>
    <w:p w14:paraId="72FABF48"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The relationship between SDG 3 and SDG 4 is reciprocal. Good health is essential for educational participation and achievement, while education supports healthier behaviours and improved life outcomes. UNICEF’s global school-based nutrition programmes illustrate this relationship: children receiving adequate nutrition demonstrate better concentration, improved attendance, and higher academic performance. Conversely, poor health, such as untreated infections, chronic malnutrition, or unaddressed mental health needs, disrupts learning and perpetuates cycles of poverty (Whittaker, 2017).</w:t>
      </w:r>
    </w:p>
    <w:p w14:paraId="18892A97" w14:textId="37710431"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 xml:space="preserve">Bronfenbrenner’s </w:t>
      </w:r>
      <w:r w:rsidR="00B9213B">
        <w:rPr>
          <w:rFonts w:ascii="Arial" w:hAnsi="Arial" w:cs="Arial"/>
          <w:sz w:val="22"/>
          <w:szCs w:val="22"/>
        </w:rPr>
        <w:t>(1</w:t>
      </w:r>
      <w:r w:rsidR="00724456">
        <w:rPr>
          <w:rFonts w:ascii="Arial" w:hAnsi="Arial" w:cs="Arial"/>
          <w:sz w:val="22"/>
          <w:szCs w:val="22"/>
        </w:rPr>
        <w:t xml:space="preserve">979) </w:t>
      </w:r>
      <w:r w:rsidRPr="000332EF">
        <w:rPr>
          <w:rFonts w:ascii="Arial" w:hAnsi="Arial" w:cs="Arial"/>
          <w:sz w:val="22"/>
          <w:szCs w:val="22"/>
        </w:rPr>
        <w:t>ecological systems theory again provides a useful framework for understanding how interactions across multiple systems shape educational outcomes. Children’s learning is influenced by family environments, school quality, community resources, and national policies. El Zaatari and Maalouf (2022) emphasise that supportive microsystems, such as nurturing families and inclusive schools, play a significant role in shaping children’s sense of belonging and engagement.</w:t>
      </w:r>
    </w:p>
    <w:p w14:paraId="61339907" w14:textId="77777777"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 xml:space="preserve">Breuer et al. (2023) argue that SDG 4 cannot be achieved in isolation, as educational outcomes are shaped by health, economic policy, and social inequality. Their work highlights the need for integrated policy design that addresses the root causes of educational disadvantage. </w:t>
      </w:r>
      <w:r w:rsidRPr="000332EF">
        <w:rPr>
          <w:rFonts w:ascii="Arial" w:hAnsi="Arial" w:cs="Arial"/>
          <w:sz w:val="22"/>
          <w:szCs w:val="22"/>
          <w:lang w:val="nl-NL"/>
        </w:rPr>
        <w:t xml:space="preserve">Cuevas García-Dorado et al. (2019) and Moga Rogoz et al. </w:t>
      </w:r>
      <w:r w:rsidRPr="000332EF">
        <w:rPr>
          <w:rFonts w:ascii="Arial" w:hAnsi="Arial" w:cs="Arial"/>
          <w:sz w:val="22"/>
          <w:szCs w:val="22"/>
        </w:rPr>
        <w:t>(2022) similarly demonstrate that globalisation, economic structures, and social determinants shape both health and education outcomes.</w:t>
      </w:r>
    </w:p>
    <w:p w14:paraId="138287E6" w14:textId="034950E5" w:rsidR="000332EF" w:rsidRPr="000332EF" w:rsidRDefault="000332EF" w:rsidP="000332EF">
      <w:pPr>
        <w:spacing w:line="360" w:lineRule="auto"/>
        <w:jc w:val="both"/>
        <w:rPr>
          <w:rFonts w:ascii="Arial" w:hAnsi="Arial" w:cs="Arial"/>
          <w:sz w:val="22"/>
          <w:szCs w:val="22"/>
        </w:rPr>
      </w:pPr>
      <w:r w:rsidRPr="000332EF">
        <w:rPr>
          <w:rFonts w:ascii="Arial" w:hAnsi="Arial" w:cs="Arial"/>
          <w:sz w:val="22"/>
          <w:szCs w:val="22"/>
        </w:rPr>
        <w:t xml:space="preserve">Overall, SDG 4 highlights the importance of equitable access to quality education, early childhood development, and lifelong learning. Achieving this goal requires addressing structural inequalities, improving school readiness, and ensuring that health and education systems work together to support children’s development (Montez and </w:t>
      </w:r>
      <w:proofErr w:type="spellStart"/>
      <w:r w:rsidRPr="000332EF">
        <w:rPr>
          <w:rFonts w:ascii="Arial" w:hAnsi="Arial" w:cs="Arial"/>
          <w:sz w:val="22"/>
          <w:szCs w:val="22"/>
        </w:rPr>
        <w:t>Bisesti</w:t>
      </w:r>
      <w:proofErr w:type="spellEnd"/>
      <w:r w:rsidRPr="000332EF">
        <w:rPr>
          <w:rFonts w:ascii="Arial" w:hAnsi="Arial" w:cs="Arial"/>
          <w:sz w:val="22"/>
          <w:szCs w:val="22"/>
        </w:rPr>
        <w:t>, 2024)</w:t>
      </w:r>
      <w:r>
        <w:rPr>
          <w:rFonts w:ascii="Arial" w:hAnsi="Arial" w:cs="Arial"/>
          <w:sz w:val="22"/>
          <w:szCs w:val="22"/>
        </w:rPr>
        <w:t>.</w:t>
      </w:r>
    </w:p>
    <w:p w14:paraId="1881BB37" w14:textId="77777777" w:rsidR="00DC04B9" w:rsidRPr="00422C66" w:rsidRDefault="00DC04B9" w:rsidP="00422C66">
      <w:pPr>
        <w:spacing w:line="360" w:lineRule="auto"/>
        <w:rPr>
          <w:rFonts w:ascii="Arial" w:hAnsi="Arial" w:cs="Arial"/>
          <w:sz w:val="22"/>
          <w:szCs w:val="22"/>
        </w:rPr>
      </w:pPr>
    </w:p>
    <w:p w14:paraId="2208DB75" w14:textId="18EA2C07" w:rsidR="00422C66" w:rsidRDefault="00422C66" w:rsidP="00422C66">
      <w:pPr>
        <w:pStyle w:val="Heading1"/>
      </w:pPr>
      <w:bookmarkStart w:id="3" w:name="_Toc227576161"/>
      <w:r w:rsidRPr="00422C66">
        <w:t xml:space="preserve">3. </w:t>
      </w:r>
      <w:r w:rsidR="00924CB6" w:rsidRPr="00924CB6">
        <w:t>National Wellbeing Initiatives</w:t>
      </w:r>
      <w:bookmarkEnd w:id="3"/>
    </w:p>
    <w:p w14:paraId="0AE027DD" w14:textId="69808288"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t xml:space="preserve">National </w:t>
      </w:r>
      <w:r>
        <w:rPr>
          <w:rFonts w:ascii="Arial" w:hAnsi="Arial" w:cs="Arial"/>
          <w:sz w:val="22"/>
          <w:szCs w:val="22"/>
        </w:rPr>
        <w:t>well-being</w:t>
      </w:r>
      <w:r w:rsidRPr="00A22FE4">
        <w:rPr>
          <w:rFonts w:ascii="Arial" w:hAnsi="Arial" w:cs="Arial"/>
          <w:sz w:val="22"/>
          <w:szCs w:val="22"/>
        </w:rPr>
        <w:t xml:space="preserve"> initiatives play a crucial role in supporting SDG 3 and SDG 4 in the United Kingdom. This section evaluates the effectiveness of two major national initiatives: the Healthy Child Programme (HCP) and the NHS Long Term Plan. Both initiatives aim to reduce inequalities, improve early development, and strengthen the integration of health and education systems.</w:t>
      </w:r>
    </w:p>
    <w:p w14:paraId="5465FC63" w14:textId="77777777"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lastRenderedPageBreak/>
        <w:t>The Healthy Child Programme (HCP) is England’s universal public health framework for children and families from pregnancy to age 19. Its core purpose is to improve early development, reduce inequalities, and support school readiness through universal and targeted interventions (Department of Health, 2009). The programme includes developmental reviews, immunisations, safeguarding, breastfeeding support, and early identification of developmental concerns. By promoting physical and mental health, the HCP contributes directly to SDG 3. It also supports SDG 4 by improving school readiness, identifying special educational needs early, and strengthening cognitive and social development. For example, identifying delayed speech at the 2–2.5-year review enables timely referral to speech and language therapy, reducing later educational disadvantage.</w:t>
      </w:r>
    </w:p>
    <w:p w14:paraId="67903728" w14:textId="77777777"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t>A key strength of the HCP is its holistic, whole-family approach, which aligns with the social determinants of health and Bronfenbrenner’s ecological systems theory. Health visitors and school nurses work across homes, early years settings, and schools, supporting transitions and safeguarding vulnerable children. However, several challenges limit its effectiveness. Health visiting numbers have declined significantly since 2015, resulting in reduced home visits and inconsistent delivery across regions. These shortages disproportionately affect deprived communities and risk widening inequalities (Horne et al., 2024). Local authority budget cuts have reduced access to children’s centres and integrated services, while gaps in national data make long-term evaluation difficult.</w:t>
      </w:r>
    </w:p>
    <w:p w14:paraId="22A0E787" w14:textId="77777777" w:rsidR="00A22FE4" w:rsidRPr="00A22FE4" w:rsidRDefault="00A22FE4" w:rsidP="00A22FE4">
      <w:pPr>
        <w:spacing w:line="360" w:lineRule="auto"/>
        <w:jc w:val="both"/>
        <w:rPr>
          <w:rFonts w:ascii="Arial" w:hAnsi="Arial" w:cs="Arial"/>
          <w:sz w:val="22"/>
          <w:szCs w:val="22"/>
        </w:rPr>
      </w:pPr>
      <w:r w:rsidRPr="00A22FE4">
        <w:rPr>
          <w:rFonts w:ascii="Arial" w:hAnsi="Arial" w:cs="Arial"/>
          <w:sz w:val="22"/>
          <w:szCs w:val="22"/>
        </w:rPr>
        <w:t>The NHS Long Term Plan (2019) is another key national initiative supporting SDG 3 and SDG 4. It prioritises prevention, mental health expansion, maternity safety, and children’s services. The plan strengthens perinatal mental health support, expands school-based mental health teams, and promotes early intervention for childhood obesity. These priorities align with SDG 3’s focus on universal health coverage and SDG 4’s emphasis on early childhood development. The plan also reinforces the HCP by improving access to specialist services and promoting integrated care models. However, progress varies across regions due to workforce shortages, funding constraints, and uneven implementation (NHS England, 2019).</w:t>
      </w:r>
    </w:p>
    <w:p w14:paraId="11DEF266" w14:textId="353EF943" w:rsidR="00A22FE4" w:rsidRPr="00A22FE4" w:rsidRDefault="00A22FE4" w:rsidP="00A22FE4">
      <w:pPr>
        <w:spacing w:line="360" w:lineRule="auto"/>
        <w:jc w:val="both"/>
        <w:rPr>
          <w:rFonts w:ascii="Arial" w:hAnsi="Arial" w:cs="Arial"/>
          <w:sz w:val="22"/>
          <w:szCs w:val="22"/>
        </w:rPr>
      </w:pPr>
      <w:r w:rsidRPr="00A22FE4">
        <w:rPr>
          <w:rFonts w:ascii="Arial" w:hAnsi="Arial" w:cs="Arial"/>
          <w:b/>
          <w:bCs/>
          <w:sz w:val="22"/>
          <w:szCs w:val="22"/>
        </w:rPr>
        <w:t>National Recommendations:</w:t>
      </w:r>
      <w:r w:rsidRPr="00A22FE4">
        <w:rPr>
          <w:rFonts w:ascii="Arial" w:hAnsi="Arial" w:cs="Arial"/>
          <w:sz w:val="22"/>
          <w:szCs w:val="22"/>
        </w:rPr>
        <w:t xml:space="preserve"> To strengthen national wellbeing initiatives, rebuilding the health visiting workforce is essential to restore universal home visits and reduce inequalities (Horne et al., 2024). Improving integration between health and education services through shared data systems and joint training would support earlier identification of developmental needs (Goldberg et al., 2023). Strengthening national evaluation systems, including consistent data collection, would improve accountability and help assess long-term impact on child health and educational outcomes (Mooney et al., 2025)</w:t>
      </w:r>
      <w:r>
        <w:rPr>
          <w:rFonts w:ascii="Arial" w:hAnsi="Arial" w:cs="Arial"/>
          <w:sz w:val="22"/>
          <w:szCs w:val="22"/>
        </w:rPr>
        <w:t>.</w:t>
      </w:r>
    </w:p>
    <w:p w14:paraId="01C5B44F" w14:textId="77777777" w:rsidR="00A22FE4" w:rsidRPr="00A22FE4" w:rsidRDefault="00A22FE4" w:rsidP="00A22FE4">
      <w:pPr>
        <w:spacing w:line="360" w:lineRule="auto"/>
        <w:jc w:val="both"/>
        <w:rPr>
          <w:rFonts w:ascii="Arial" w:hAnsi="Arial" w:cs="Arial"/>
          <w:sz w:val="22"/>
          <w:szCs w:val="22"/>
        </w:rPr>
      </w:pPr>
    </w:p>
    <w:p w14:paraId="4A27AD54" w14:textId="6B17587A" w:rsidR="00422C66" w:rsidRDefault="00422C66" w:rsidP="00422C66">
      <w:pPr>
        <w:pStyle w:val="Heading1"/>
      </w:pPr>
      <w:bookmarkStart w:id="4" w:name="_Toc227576162"/>
      <w:r w:rsidRPr="00422C66">
        <w:lastRenderedPageBreak/>
        <w:t xml:space="preserve">4. </w:t>
      </w:r>
      <w:r w:rsidR="00744C0B" w:rsidRPr="00744C0B">
        <w:t>Local Wellbeing Initiatives</w:t>
      </w:r>
      <w:bookmarkEnd w:id="4"/>
    </w:p>
    <w:p w14:paraId="4CF33E29" w14:textId="2182B390"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 xml:space="preserve">Local </w:t>
      </w:r>
      <w:r w:rsidR="00B0555A">
        <w:rPr>
          <w:rFonts w:ascii="Arial" w:hAnsi="Arial" w:cs="Arial"/>
          <w:sz w:val="22"/>
          <w:szCs w:val="22"/>
        </w:rPr>
        <w:t>well-being</w:t>
      </w:r>
      <w:r w:rsidRPr="00352264">
        <w:rPr>
          <w:rFonts w:ascii="Arial" w:hAnsi="Arial" w:cs="Arial"/>
          <w:sz w:val="22"/>
          <w:szCs w:val="22"/>
        </w:rPr>
        <w:t xml:space="preserve"> initiatives play a critical role in translating national policy into practice. This section evaluates two local initiatives: the local implementation of Making Every Contact Count (MECC) and the local delivery of the Early Years Foundation Stage (EYFS). Both initiatives demonstrate how local authorities contribute to SDG 3 and SDG 4, but also highlight challenges related to funding, workforce capacity, and local inequalities.</w:t>
      </w:r>
    </w:p>
    <w:p w14:paraId="2AA48F73" w14:textId="77777777" w:rsidR="00352264" w:rsidRPr="00352264" w:rsidRDefault="00352264" w:rsidP="00352264">
      <w:pPr>
        <w:spacing w:line="360" w:lineRule="auto"/>
        <w:rPr>
          <w:rFonts w:ascii="Arial" w:hAnsi="Arial" w:cs="Arial"/>
          <w:sz w:val="22"/>
          <w:szCs w:val="22"/>
        </w:rPr>
      </w:pPr>
    </w:p>
    <w:p w14:paraId="061FFF7B" w14:textId="77777777"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Local implementation of MECC varies widely across England. MECC aims to embed behaviour-change conversations across the workforce, improving population health literacy and supporting early intervention (Public Health England, 2016). In some local authorities, MECC is embedded across health, education, and social care settings, enabling professionals to provide consistent health promotion messages. This supports SDG 3 by improving health literacy and SDG 4 by strengthening children’s capacity to learn. However, other areas face funding constraints, limited training capacity, and competing priorities, resulting in inconsistent implementation. These variations highlight the need for place-based approaches that address local needs and strengthen alignment between health and education systems (University of Edinburgh, 2023).</w:t>
      </w:r>
    </w:p>
    <w:p w14:paraId="1498B6DA" w14:textId="77777777" w:rsidR="00352264" w:rsidRPr="00352264" w:rsidRDefault="00352264" w:rsidP="00352264">
      <w:pPr>
        <w:spacing w:line="360" w:lineRule="auto"/>
        <w:rPr>
          <w:rFonts w:ascii="Arial" w:hAnsi="Arial" w:cs="Arial"/>
          <w:sz w:val="22"/>
          <w:szCs w:val="22"/>
        </w:rPr>
      </w:pPr>
    </w:p>
    <w:p w14:paraId="41AB8045" w14:textId="77777777"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Local delivery of the Early Years Foundation Stage (EYFS) also varies significantly. EYFS sets statutory standards for learning, development, and school readiness for children from birth to age five (Department for Education, 2021). Local authorities support early years settings in implementing EYFS, but disparities in funding, staff qualifications, and access to specialist support create uneven outcomes. Children in deprived areas are more likely to start school below expected developmental levels, have lower attendance, and achieve poorer educational outcomes (</w:t>
      </w:r>
      <w:proofErr w:type="spellStart"/>
      <w:r w:rsidRPr="00352264">
        <w:rPr>
          <w:rFonts w:ascii="Arial" w:hAnsi="Arial" w:cs="Arial"/>
          <w:sz w:val="22"/>
          <w:szCs w:val="22"/>
        </w:rPr>
        <w:t>Sandeepa</w:t>
      </w:r>
      <w:proofErr w:type="spellEnd"/>
      <w:r w:rsidRPr="00352264">
        <w:rPr>
          <w:rFonts w:ascii="Arial" w:hAnsi="Arial" w:cs="Arial"/>
          <w:sz w:val="22"/>
          <w:szCs w:val="22"/>
        </w:rPr>
        <w:t>, Longford and Dougal, 2025). These disparities reinforce the close relationship between SDG 3 and SDG 4: poor health reduces school engagement, while lower educational attainment increases long-term health risks.</w:t>
      </w:r>
    </w:p>
    <w:p w14:paraId="6B649DF2" w14:textId="77777777" w:rsidR="00352264" w:rsidRPr="00352264" w:rsidRDefault="00352264" w:rsidP="00352264">
      <w:pPr>
        <w:spacing w:line="360" w:lineRule="auto"/>
        <w:rPr>
          <w:rFonts w:ascii="Arial" w:hAnsi="Arial" w:cs="Arial"/>
          <w:sz w:val="22"/>
          <w:szCs w:val="22"/>
        </w:rPr>
      </w:pPr>
    </w:p>
    <w:p w14:paraId="0E0C46AD" w14:textId="5E554337" w:rsidR="00352264" w:rsidRPr="00352264" w:rsidRDefault="00352264" w:rsidP="00352264">
      <w:pPr>
        <w:spacing w:line="360" w:lineRule="auto"/>
        <w:rPr>
          <w:rFonts w:ascii="Arial" w:hAnsi="Arial" w:cs="Arial"/>
          <w:sz w:val="22"/>
          <w:szCs w:val="22"/>
        </w:rPr>
      </w:pPr>
      <w:r w:rsidRPr="00352264">
        <w:rPr>
          <w:rFonts w:ascii="Arial" w:hAnsi="Arial" w:cs="Arial"/>
          <w:sz w:val="22"/>
          <w:szCs w:val="22"/>
        </w:rPr>
        <w:t xml:space="preserve">Digital exclusion also affects </w:t>
      </w:r>
      <w:r w:rsidR="000A56FD">
        <w:rPr>
          <w:rFonts w:ascii="Arial" w:hAnsi="Arial" w:cs="Arial"/>
          <w:sz w:val="22"/>
          <w:szCs w:val="22"/>
        </w:rPr>
        <w:t xml:space="preserve">the </w:t>
      </w:r>
      <w:r w:rsidRPr="00352264">
        <w:rPr>
          <w:rFonts w:ascii="Arial" w:hAnsi="Arial" w:cs="Arial"/>
          <w:sz w:val="22"/>
          <w:szCs w:val="22"/>
        </w:rPr>
        <w:t>local delivery of both MECC and EYFS. Families without access to digital devices or internet connectivity face barriers to engaging with online health information, remote services, and early learning resources. Girmay (2024) highlights that digital inequalities disproportionately affect vulnerable families, limiting their ability to benefit from digital health and education initiatives.</w:t>
      </w:r>
    </w:p>
    <w:p w14:paraId="080014C5" w14:textId="77777777" w:rsidR="00352264" w:rsidRPr="00352264" w:rsidRDefault="00352264" w:rsidP="00352264">
      <w:pPr>
        <w:spacing w:line="360" w:lineRule="auto"/>
        <w:rPr>
          <w:rFonts w:ascii="Arial" w:hAnsi="Arial" w:cs="Arial"/>
          <w:sz w:val="22"/>
          <w:szCs w:val="22"/>
        </w:rPr>
      </w:pPr>
    </w:p>
    <w:p w14:paraId="06298CB5" w14:textId="77777777" w:rsidR="00352264" w:rsidRPr="00352264" w:rsidRDefault="00352264" w:rsidP="00352264">
      <w:pPr>
        <w:spacing w:line="360" w:lineRule="auto"/>
        <w:rPr>
          <w:rFonts w:ascii="Arial" w:hAnsi="Arial" w:cs="Arial"/>
          <w:b/>
          <w:bCs/>
          <w:sz w:val="22"/>
          <w:szCs w:val="22"/>
        </w:rPr>
      </w:pPr>
      <w:r w:rsidRPr="00352264">
        <w:rPr>
          <w:rFonts w:ascii="Arial" w:hAnsi="Arial" w:cs="Arial"/>
          <w:b/>
          <w:bCs/>
          <w:sz w:val="22"/>
          <w:szCs w:val="22"/>
        </w:rPr>
        <w:t xml:space="preserve">Local Recommendations:  </w:t>
      </w:r>
    </w:p>
    <w:p w14:paraId="08B2F374" w14:textId="27E5C9C2" w:rsidR="00162790" w:rsidRPr="00162790" w:rsidRDefault="00352264" w:rsidP="00352264">
      <w:pPr>
        <w:spacing w:line="360" w:lineRule="auto"/>
        <w:rPr>
          <w:rFonts w:ascii="Arial" w:hAnsi="Arial" w:cs="Arial"/>
          <w:sz w:val="22"/>
          <w:szCs w:val="22"/>
        </w:rPr>
      </w:pPr>
      <w:r w:rsidRPr="00352264">
        <w:rPr>
          <w:rFonts w:ascii="Arial" w:hAnsi="Arial" w:cs="Arial"/>
          <w:sz w:val="22"/>
          <w:szCs w:val="22"/>
        </w:rPr>
        <w:t xml:space="preserve">To strengthen local wellbeing initiatives, increasing local authority funding is essential to ensure consistent delivery of MECC and EYFS. Expanding MECC training across health, education, and community settings would improve health literacy and early intervention. Improving digital inclusion through </w:t>
      </w:r>
      <w:r w:rsidR="00642B20">
        <w:rPr>
          <w:rFonts w:ascii="Arial" w:hAnsi="Arial" w:cs="Arial"/>
          <w:sz w:val="22"/>
          <w:szCs w:val="22"/>
        </w:rPr>
        <w:t xml:space="preserve">the </w:t>
      </w:r>
      <w:r w:rsidRPr="00352264">
        <w:rPr>
          <w:rFonts w:ascii="Arial" w:hAnsi="Arial" w:cs="Arial"/>
          <w:sz w:val="22"/>
          <w:szCs w:val="22"/>
        </w:rPr>
        <w:t>provision of devices, internet access, and digital literacy support would ensure families can benefit from online services (Girmay, 2024). Developing place-based strategies tailored to the needs of deprived communities would further reduce inequalities and strengthen alignment with SDG 3 and SDG 4 (University of Edinburgh, 2023)</w:t>
      </w:r>
      <w:r>
        <w:rPr>
          <w:rFonts w:ascii="Arial" w:hAnsi="Arial" w:cs="Arial"/>
          <w:sz w:val="22"/>
          <w:szCs w:val="22"/>
        </w:rPr>
        <w:t>.</w:t>
      </w:r>
    </w:p>
    <w:p w14:paraId="1FF12246" w14:textId="77777777" w:rsidR="008A4A73" w:rsidRDefault="008A4A73" w:rsidP="008A4A73"/>
    <w:p w14:paraId="6B496B83" w14:textId="77777777" w:rsidR="00454E2A" w:rsidRDefault="00454E2A" w:rsidP="008A4A73"/>
    <w:p w14:paraId="5EC04C43" w14:textId="77777777" w:rsidR="00454E2A" w:rsidRDefault="00454E2A" w:rsidP="008A4A73"/>
    <w:p w14:paraId="4D306954" w14:textId="77777777" w:rsidR="00454E2A" w:rsidRDefault="00454E2A" w:rsidP="008A4A73"/>
    <w:p w14:paraId="3375D2F2" w14:textId="77777777" w:rsidR="00454E2A" w:rsidRDefault="00454E2A" w:rsidP="008A4A73"/>
    <w:p w14:paraId="5FBD81B4" w14:textId="77777777" w:rsidR="006A5FC7" w:rsidRDefault="006A5FC7" w:rsidP="008A4A73"/>
    <w:p w14:paraId="368D2618" w14:textId="77777777" w:rsidR="006A5FC7" w:rsidRDefault="006A5FC7" w:rsidP="008A4A73"/>
    <w:p w14:paraId="460AD28F" w14:textId="77777777" w:rsidR="006A5FC7" w:rsidRDefault="006A5FC7" w:rsidP="008A4A73"/>
    <w:p w14:paraId="377DDAE0" w14:textId="77777777" w:rsidR="006A5FC7" w:rsidRDefault="006A5FC7" w:rsidP="008A4A73"/>
    <w:p w14:paraId="7CEA22F0" w14:textId="77777777" w:rsidR="006A5FC7" w:rsidRDefault="006A5FC7" w:rsidP="008A4A73"/>
    <w:p w14:paraId="0E2AB352" w14:textId="77777777" w:rsidR="006A5FC7" w:rsidRDefault="006A5FC7" w:rsidP="008A4A73"/>
    <w:p w14:paraId="59D1289C" w14:textId="77777777" w:rsidR="006A5FC7" w:rsidRDefault="006A5FC7" w:rsidP="008A4A73"/>
    <w:p w14:paraId="206C4457" w14:textId="77777777" w:rsidR="006A5FC7" w:rsidRDefault="006A5FC7" w:rsidP="008A4A73"/>
    <w:p w14:paraId="67FCFE26" w14:textId="77777777" w:rsidR="006A5FC7" w:rsidRDefault="006A5FC7" w:rsidP="008A4A73"/>
    <w:p w14:paraId="226824B3" w14:textId="77777777" w:rsidR="006A5FC7" w:rsidRDefault="006A5FC7" w:rsidP="008A4A73"/>
    <w:p w14:paraId="1B477B0D" w14:textId="77777777" w:rsidR="006A5FC7" w:rsidRDefault="006A5FC7" w:rsidP="008A4A73"/>
    <w:p w14:paraId="14D3765A" w14:textId="77777777" w:rsidR="006A5FC7" w:rsidRDefault="006A5FC7" w:rsidP="008A4A73"/>
    <w:p w14:paraId="5CE75119" w14:textId="77777777" w:rsidR="006A5FC7" w:rsidRDefault="006A5FC7" w:rsidP="008A4A73"/>
    <w:p w14:paraId="5A37AFEF" w14:textId="77777777" w:rsidR="00454E2A" w:rsidRPr="008A4A73" w:rsidRDefault="00454E2A" w:rsidP="008A4A73"/>
    <w:p w14:paraId="2EFBFA13" w14:textId="77777777" w:rsidR="00422C66" w:rsidRDefault="00422C66" w:rsidP="00422C66">
      <w:pPr>
        <w:pStyle w:val="Heading1"/>
      </w:pPr>
      <w:bookmarkStart w:id="5" w:name="_Toc227576163"/>
      <w:r w:rsidRPr="00422C66">
        <w:lastRenderedPageBreak/>
        <w:t>Conclusion</w:t>
      </w:r>
      <w:bookmarkEnd w:id="5"/>
    </w:p>
    <w:p w14:paraId="1CEDF562" w14:textId="273DFFFF" w:rsidR="00F775E4" w:rsidRDefault="00B357D7" w:rsidP="00E33C6E">
      <w:pPr>
        <w:spacing w:line="360" w:lineRule="auto"/>
        <w:jc w:val="both"/>
        <w:rPr>
          <w:rFonts w:ascii="Arial" w:hAnsi="Arial" w:cs="Arial"/>
          <w:sz w:val="22"/>
          <w:szCs w:val="22"/>
        </w:rPr>
      </w:pPr>
      <w:r w:rsidRPr="00B357D7">
        <w:rPr>
          <w:rFonts w:ascii="Arial" w:hAnsi="Arial" w:cs="Arial"/>
          <w:sz w:val="22"/>
          <w:szCs w:val="22"/>
        </w:rPr>
        <w:t xml:space="preserve">SDG 3 and SDG 4 are closely interconnected goals that shape children’s health, development, and life chances. In England, national initiatives such as the Healthy Child Programme and the NHS Long Term Plan play a vital role in supporting early development, improving school readiness, and reducing inequalities. Local initiatives, including the local implementation of MECC and the delivery of EYFS, further demonstrate how </w:t>
      </w:r>
      <w:r>
        <w:rPr>
          <w:rFonts w:ascii="Arial" w:hAnsi="Arial" w:cs="Arial"/>
          <w:sz w:val="22"/>
          <w:szCs w:val="22"/>
        </w:rPr>
        <w:t>well-being</w:t>
      </w:r>
      <w:r w:rsidRPr="00B357D7">
        <w:rPr>
          <w:rFonts w:ascii="Arial" w:hAnsi="Arial" w:cs="Arial"/>
          <w:sz w:val="22"/>
          <w:szCs w:val="22"/>
        </w:rPr>
        <w:t xml:space="preserve"> strategies are implemented in practice. While these initiatives have clear strengths, workforce shortages, local disparities, and fragmented services limit their full potential. Strengthening integration, rebuilding the workforce, improving digital inclusion, and enhancing evaluation systems would enhance their ability to contribute to SDG 3 and SDG 4 and improve outcomes for children and families across England</w:t>
      </w:r>
      <w:r>
        <w:rPr>
          <w:rFonts w:ascii="Arial" w:hAnsi="Arial" w:cs="Arial"/>
          <w:sz w:val="22"/>
          <w:szCs w:val="22"/>
        </w:rPr>
        <w:t>.</w:t>
      </w:r>
    </w:p>
    <w:p w14:paraId="7BE6EC3C" w14:textId="77777777" w:rsidR="00F775E4" w:rsidRDefault="00F775E4" w:rsidP="00E33C6E">
      <w:pPr>
        <w:spacing w:line="360" w:lineRule="auto"/>
        <w:jc w:val="both"/>
        <w:rPr>
          <w:rFonts w:ascii="Arial" w:hAnsi="Arial" w:cs="Arial"/>
          <w:sz w:val="22"/>
          <w:szCs w:val="22"/>
        </w:rPr>
      </w:pPr>
    </w:p>
    <w:p w14:paraId="57FD0E1D" w14:textId="77777777" w:rsidR="00F775E4" w:rsidRDefault="00F775E4" w:rsidP="00E33C6E">
      <w:pPr>
        <w:spacing w:line="360" w:lineRule="auto"/>
        <w:jc w:val="both"/>
        <w:rPr>
          <w:rFonts w:ascii="Arial" w:hAnsi="Arial" w:cs="Arial"/>
          <w:sz w:val="22"/>
          <w:szCs w:val="22"/>
        </w:rPr>
      </w:pPr>
    </w:p>
    <w:p w14:paraId="0C777ED7" w14:textId="77777777" w:rsidR="00F775E4" w:rsidRDefault="00F775E4" w:rsidP="00E33C6E">
      <w:pPr>
        <w:spacing w:line="360" w:lineRule="auto"/>
        <w:jc w:val="both"/>
        <w:rPr>
          <w:rFonts w:ascii="Arial" w:hAnsi="Arial" w:cs="Arial"/>
          <w:sz w:val="22"/>
          <w:szCs w:val="22"/>
        </w:rPr>
      </w:pPr>
    </w:p>
    <w:p w14:paraId="77F2FE22" w14:textId="77777777" w:rsidR="00F775E4" w:rsidRDefault="00F775E4" w:rsidP="00E33C6E">
      <w:pPr>
        <w:spacing w:line="360" w:lineRule="auto"/>
        <w:jc w:val="both"/>
        <w:rPr>
          <w:rFonts w:ascii="Arial" w:hAnsi="Arial" w:cs="Arial"/>
          <w:sz w:val="22"/>
          <w:szCs w:val="22"/>
        </w:rPr>
      </w:pPr>
    </w:p>
    <w:p w14:paraId="0EEB4C2A" w14:textId="77777777" w:rsidR="00F775E4" w:rsidRDefault="00F775E4" w:rsidP="00E33C6E">
      <w:pPr>
        <w:spacing w:line="360" w:lineRule="auto"/>
        <w:jc w:val="both"/>
        <w:rPr>
          <w:rFonts w:ascii="Arial" w:hAnsi="Arial" w:cs="Arial"/>
          <w:sz w:val="22"/>
          <w:szCs w:val="22"/>
        </w:rPr>
      </w:pPr>
    </w:p>
    <w:p w14:paraId="51DEEDF8" w14:textId="77777777" w:rsidR="00F775E4" w:rsidRDefault="00F775E4" w:rsidP="00E33C6E">
      <w:pPr>
        <w:spacing w:line="360" w:lineRule="auto"/>
        <w:jc w:val="both"/>
        <w:rPr>
          <w:rFonts w:ascii="Arial" w:hAnsi="Arial" w:cs="Arial"/>
          <w:sz w:val="22"/>
          <w:szCs w:val="22"/>
        </w:rPr>
      </w:pPr>
    </w:p>
    <w:p w14:paraId="12ABB8ED" w14:textId="77777777" w:rsidR="00F775E4" w:rsidRDefault="00F775E4" w:rsidP="00E33C6E">
      <w:pPr>
        <w:spacing w:line="360" w:lineRule="auto"/>
        <w:jc w:val="both"/>
        <w:rPr>
          <w:rFonts w:ascii="Arial" w:hAnsi="Arial" w:cs="Arial"/>
          <w:sz w:val="22"/>
          <w:szCs w:val="22"/>
        </w:rPr>
      </w:pPr>
    </w:p>
    <w:p w14:paraId="345C303C" w14:textId="77777777" w:rsidR="00F775E4" w:rsidRDefault="00F775E4" w:rsidP="00E33C6E">
      <w:pPr>
        <w:spacing w:line="360" w:lineRule="auto"/>
        <w:jc w:val="both"/>
        <w:rPr>
          <w:rFonts w:ascii="Arial" w:hAnsi="Arial" w:cs="Arial"/>
          <w:sz w:val="22"/>
          <w:szCs w:val="22"/>
        </w:rPr>
      </w:pPr>
    </w:p>
    <w:p w14:paraId="52E8C156" w14:textId="77777777" w:rsidR="00F775E4" w:rsidRDefault="00F775E4" w:rsidP="00E33C6E">
      <w:pPr>
        <w:spacing w:line="360" w:lineRule="auto"/>
        <w:jc w:val="both"/>
        <w:rPr>
          <w:rFonts w:ascii="Arial" w:hAnsi="Arial" w:cs="Arial"/>
          <w:sz w:val="22"/>
          <w:szCs w:val="22"/>
        </w:rPr>
      </w:pPr>
    </w:p>
    <w:p w14:paraId="32B73E55" w14:textId="77777777" w:rsidR="00454E2A" w:rsidRDefault="00454E2A" w:rsidP="00E33C6E">
      <w:pPr>
        <w:spacing w:line="360" w:lineRule="auto"/>
        <w:jc w:val="both"/>
        <w:rPr>
          <w:rFonts w:ascii="Arial" w:hAnsi="Arial" w:cs="Arial"/>
          <w:sz w:val="22"/>
          <w:szCs w:val="22"/>
        </w:rPr>
      </w:pPr>
    </w:p>
    <w:p w14:paraId="1F6819BA" w14:textId="77777777" w:rsidR="00454E2A" w:rsidRDefault="00454E2A" w:rsidP="00E33C6E">
      <w:pPr>
        <w:spacing w:line="360" w:lineRule="auto"/>
        <w:jc w:val="both"/>
        <w:rPr>
          <w:rFonts w:ascii="Arial" w:hAnsi="Arial" w:cs="Arial"/>
          <w:sz w:val="22"/>
          <w:szCs w:val="22"/>
        </w:rPr>
      </w:pPr>
    </w:p>
    <w:p w14:paraId="0D982737" w14:textId="77777777" w:rsidR="00F775E4" w:rsidRDefault="00F775E4" w:rsidP="00E33C6E">
      <w:pPr>
        <w:spacing w:line="360" w:lineRule="auto"/>
        <w:jc w:val="both"/>
        <w:rPr>
          <w:rFonts w:ascii="Arial" w:hAnsi="Arial" w:cs="Arial"/>
          <w:sz w:val="22"/>
          <w:szCs w:val="22"/>
        </w:rPr>
      </w:pPr>
    </w:p>
    <w:p w14:paraId="0B77EF3D" w14:textId="77777777" w:rsidR="00F775E4" w:rsidRDefault="00F775E4" w:rsidP="00E33C6E">
      <w:pPr>
        <w:spacing w:line="360" w:lineRule="auto"/>
        <w:jc w:val="both"/>
        <w:rPr>
          <w:rFonts w:ascii="Arial" w:hAnsi="Arial" w:cs="Arial"/>
          <w:sz w:val="22"/>
          <w:szCs w:val="22"/>
        </w:rPr>
      </w:pPr>
    </w:p>
    <w:p w14:paraId="66786D78" w14:textId="77777777" w:rsidR="00F775E4" w:rsidRDefault="00F775E4" w:rsidP="00E33C6E">
      <w:pPr>
        <w:spacing w:line="360" w:lineRule="auto"/>
        <w:jc w:val="both"/>
        <w:rPr>
          <w:rFonts w:ascii="Arial" w:hAnsi="Arial" w:cs="Arial"/>
          <w:sz w:val="22"/>
          <w:szCs w:val="22"/>
        </w:rPr>
      </w:pPr>
    </w:p>
    <w:p w14:paraId="4D8269E0" w14:textId="77777777" w:rsidR="00F775E4" w:rsidRPr="00E33C6E" w:rsidRDefault="00F775E4" w:rsidP="00E33C6E">
      <w:pPr>
        <w:spacing w:line="360" w:lineRule="auto"/>
        <w:jc w:val="both"/>
        <w:rPr>
          <w:rFonts w:ascii="Arial" w:hAnsi="Arial" w:cs="Arial"/>
          <w:sz w:val="22"/>
          <w:szCs w:val="22"/>
        </w:rPr>
      </w:pPr>
    </w:p>
    <w:p w14:paraId="34F06C93" w14:textId="5ABC681B" w:rsidR="00436A32" w:rsidRDefault="00422C66" w:rsidP="00DE17C2">
      <w:pPr>
        <w:pStyle w:val="Heading1"/>
      </w:pPr>
      <w:bookmarkStart w:id="6" w:name="_Toc227576164"/>
      <w:r>
        <w:lastRenderedPageBreak/>
        <w:t>References</w:t>
      </w:r>
      <w:bookmarkEnd w:id="6"/>
    </w:p>
    <w:p w14:paraId="0C70BB52" w14:textId="0EEE8855" w:rsidR="00F775E4" w:rsidRDefault="00F775E4" w:rsidP="00454E2A">
      <w:pPr>
        <w:tabs>
          <w:tab w:val="left" w:pos="1870"/>
        </w:tabs>
        <w:jc w:val="both"/>
      </w:pPr>
      <w:r w:rsidRPr="00C8088B">
        <w:t>Adjei, N.K. </w:t>
      </w:r>
      <w:r w:rsidRPr="00C8088B">
        <w:rPr>
          <w:i/>
          <w:iCs/>
        </w:rPr>
        <w:t>et al.</w:t>
      </w:r>
      <w:r w:rsidRPr="00C8088B">
        <w:t> </w:t>
      </w:r>
      <w:r w:rsidRPr="00C36DB1">
        <w:t>(2024) “Impact of poverty and adversity on perceived family support in adolescence: findings from the UK Millennium Cohort Study,” </w:t>
      </w:r>
      <w:r w:rsidRPr="00C36DB1">
        <w:rPr>
          <w:i/>
          <w:iCs/>
        </w:rPr>
        <w:t>European child &amp; adolescent psychiatry</w:t>
      </w:r>
      <w:r w:rsidRPr="00C36DB1">
        <w:t xml:space="preserve">, 33(9), pp. 3123–3132. Available at: </w:t>
      </w:r>
      <w:hyperlink r:id="rId9" w:history="1">
        <w:r w:rsidRPr="00C36DB1">
          <w:rPr>
            <w:rStyle w:val="Hyperlink"/>
          </w:rPr>
          <w:t>https://doi.org/10.1007/s00787-024-02389-8.</w:t>
        </w:r>
      </w:hyperlink>
      <w:r>
        <w:t xml:space="preserve"> (Accessed: 13 Apr. 26).</w:t>
      </w:r>
    </w:p>
    <w:p w14:paraId="5BCEFF38" w14:textId="0F8EC1B0" w:rsidR="00F775E4" w:rsidRDefault="00F775E4" w:rsidP="00D63E0C">
      <w:r w:rsidRPr="00DA6AA3">
        <w:t xml:space="preserve">Arora Sandeepa, Longford, </w:t>
      </w:r>
      <w:r w:rsidR="00BB5AC4" w:rsidRPr="00DA6AA3">
        <w:t>N.,</w:t>
      </w:r>
      <w:r w:rsidRPr="00DA6AA3">
        <w:t xml:space="preserve"> and Hargreaves Dougal (2025) “8066</w:t>
      </w:r>
      <w:r w:rsidRPr="00DA6AA3">
        <w:rPr>
          <w:rFonts w:ascii="Arial" w:hAnsi="Arial" w:cs="Arial"/>
        </w:rPr>
        <w:t> </w:t>
      </w:r>
      <w:r w:rsidRPr="00DA6AA3">
        <w:t>Household size, deprivation, child health and social care outcomes: a population-level study using linked data from Northwest London,</w:t>
      </w:r>
      <w:r w:rsidRPr="00DA6AA3">
        <w:rPr>
          <w:rFonts w:ascii="Aptos" w:hAnsi="Aptos" w:cs="Aptos"/>
        </w:rPr>
        <w:t>” </w:t>
      </w:r>
      <w:r w:rsidRPr="00DA6AA3">
        <w:rPr>
          <w:i/>
          <w:iCs/>
        </w:rPr>
        <w:t>Archives of disease in childhood</w:t>
      </w:r>
      <w:r w:rsidRPr="00DA6AA3">
        <w:t xml:space="preserve">, 110(Suppl 1), pp. A353–A355. Available at: </w:t>
      </w:r>
      <w:hyperlink r:id="rId10" w:history="1">
        <w:r w:rsidRPr="00DA6AA3">
          <w:rPr>
            <w:rStyle w:val="Hyperlink"/>
          </w:rPr>
          <w:t>https://doi.org/10.1136/archdischild-2025-rcpch.477.</w:t>
        </w:r>
      </w:hyperlink>
      <w:r>
        <w:t xml:space="preserve"> (Accessed: 12 Apr.26).</w:t>
      </w:r>
    </w:p>
    <w:p w14:paraId="2F21FDA8" w14:textId="77777777" w:rsidR="00F775E4" w:rsidRDefault="00F775E4" w:rsidP="00DE17C2">
      <w:r w:rsidRPr="001113DC">
        <w:t>Breuer, A. </w:t>
      </w:r>
      <w:r w:rsidRPr="001113DC">
        <w:rPr>
          <w:i/>
          <w:iCs/>
        </w:rPr>
        <w:t>et al.</w:t>
      </w:r>
      <w:r w:rsidRPr="001113DC">
        <w:t> (2023) </w:t>
      </w:r>
      <w:r w:rsidRPr="001113DC">
        <w:rPr>
          <w:i/>
          <w:iCs/>
        </w:rPr>
        <w:t>Governing the Interlinkages between the SDGs: Approaches, Opportunities and Challenges</w:t>
      </w:r>
      <w:r w:rsidRPr="001113DC">
        <w:t xml:space="preserve">. 1st ed. Edited by D. Malerba et al. London: Taylor &amp; Francis. Available at: </w:t>
      </w:r>
      <w:hyperlink r:id="rId11" w:history="1">
        <w:r w:rsidRPr="001113DC">
          <w:rPr>
            <w:rStyle w:val="Hyperlink"/>
          </w:rPr>
          <w:t>https://doi.org/10.4324/9781003254683.</w:t>
        </w:r>
      </w:hyperlink>
      <w:r>
        <w:t xml:space="preserve"> (Accessed: 10 Apr.26).</w:t>
      </w:r>
    </w:p>
    <w:p w14:paraId="460CE89A" w14:textId="77777777" w:rsidR="00F775E4" w:rsidRDefault="00F775E4" w:rsidP="00DE17C2">
      <w:r w:rsidRPr="001113DC">
        <w:t>Cuevas García-Dorado, S. </w:t>
      </w:r>
      <w:r w:rsidRPr="001113DC">
        <w:rPr>
          <w:i/>
          <w:iCs/>
        </w:rPr>
        <w:t>et al.</w:t>
      </w:r>
      <w:r w:rsidRPr="001113DC">
        <w:t> (2019) “Economic globalization, nutrition and health: a review of quantitative evidence,” </w:t>
      </w:r>
      <w:r w:rsidRPr="001113DC">
        <w:rPr>
          <w:i/>
          <w:iCs/>
        </w:rPr>
        <w:t>Globalization and health</w:t>
      </w:r>
      <w:r w:rsidRPr="001113DC">
        <w:t xml:space="preserve">, 15(1). Available at: </w:t>
      </w:r>
      <w:hyperlink r:id="rId12" w:history="1">
        <w:r w:rsidRPr="001113DC">
          <w:rPr>
            <w:rStyle w:val="Hyperlink"/>
          </w:rPr>
          <w:t>https://doi.org/10.1186/s12992-019-0456-z.</w:t>
        </w:r>
      </w:hyperlink>
      <w:r>
        <w:t xml:space="preserve"> (Accessed: 12 Apr.26).</w:t>
      </w:r>
    </w:p>
    <w:p w14:paraId="78443C3A" w14:textId="4D38DCA8" w:rsidR="00F775E4" w:rsidRDefault="00F775E4" w:rsidP="00D63E0C">
      <w:r w:rsidRPr="00D63E0C">
        <w:t xml:space="preserve">Department for Education (2021) </w:t>
      </w:r>
      <w:r w:rsidRPr="00D63E0C">
        <w:rPr>
          <w:i/>
          <w:iCs/>
        </w:rPr>
        <w:t xml:space="preserve">Statutory framework for the Early Years Foundation Stage: Setting the standards for learning, </w:t>
      </w:r>
      <w:r w:rsidR="00BB5AC4" w:rsidRPr="00D63E0C">
        <w:rPr>
          <w:i/>
          <w:iCs/>
        </w:rPr>
        <w:t>development,</w:t>
      </w:r>
      <w:r w:rsidRPr="00D63E0C">
        <w:rPr>
          <w:i/>
          <w:iCs/>
        </w:rPr>
        <w:t xml:space="preserve"> and care for children from birth to five</w:t>
      </w:r>
      <w:r w:rsidRPr="00D63E0C">
        <w:t>. London: Department for Education.</w:t>
      </w:r>
      <w:r>
        <w:t xml:space="preserve"> Available at: </w:t>
      </w:r>
      <w:hyperlink r:id="rId13" w:history="1">
        <w:r w:rsidRPr="00D63E0C">
          <w:rPr>
            <w:rStyle w:val="Hyperlink"/>
          </w:rPr>
          <w:t>https://www.gov.uk/government/publications/early-years-foundation-stage-framework--2</w:t>
        </w:r>
      </w:hyperlink>
      <w:r>
        <w:t xml:space="preserve"> (Accessed: 11 Apr.26).</w:t>
      </w:r>
    </w:p>
    <w:p w14:paraId="6CC76691" w14:textId="77777777" w:rsidR="00F775E4" w:rsidRDefault="00F775E4" w:rsidP="00D63E0C">
      <w:r w:rsidRPr="00D63E0C">
        <w:t xml:space="preserve">Department of Health (2009) </w:t>
      </w:r>
      <w:r w:rsidRPr="00D63E0C">
        <w:rPr>
          <w:i/>
          <w:iCs/>
        </w:rPr>
        <w:t>Healthy Child Programme: Pregnancy and the first five years of life</w:t>
      </w:r>
      <w:r w:rsidRPr="00D63E0C">
        <w:t>. London: Department of Health.</w:t>
      </w:r>
      <w:r>
        <w:t xml:space="preserve"> Available at: </w:t>
      </w:r>
      <w:hyperlink r:id="rId14" w:history="1">
        <w:r w:rsidRPr="00D63E0C">
          <w:rPr>
            <w:rStyle w:val="Hyperlink"/>
          </w:rPr>
          <w:t>https://www.gov.uk/government/publications/healthy-child-programme-pregnancy-and-the-first-5-years-of-life</w:t>
        </w:r>
      </w:hyperlink>
      <w:r>
        <w:t xml:space="preserve"> (Accessed: 13 Apr.26).</w:t>
      </w:r>
    </w:p>
    <w:p w14:paraId="38B6BF4A" w14:textId="77777777" w:rsidR="00F775E4" w:rsidRDefault="00F775E4" w:rsidP="00DE17C2">
      <w:r w:rsidRPr="00366A5F">
        <w:t>El Zaatari, W. and Maalouf, I. (2022) “How the Bronfenbrenner Bio-ecological System Theory Explains the Development of Students’ Sense of Belonging to School?,” </w:t>
      </w:r>
      <w:r w:rsidRPr="00366A5F">
        <w:rPr>
          <w:i/>
          <w:iCs/>
        </w:rPr>
        <w:t>SAGE Open</w:t>
      </w:r>
      <w:r w:rsidRPr="00366A5F">
        <w:t xml:space="preserve">, 12(4). Available at: </w:t>
      </w:r>
      <w:hyperlink r:id="rId15" w:history="1">
        <w:r w:rsidRPr="00366A5F">
          <w:rPr>
            <w:rStyle w:val="Hyperlink"/>
          </w:rPr>
          <w:t>https://doi.org/10.1177/21582440221134089.</w:t>
        </w:r>
      </w:hyperlink>
      <w:r>
        <w:t xml:space="preserve"> (Accessed: 09 Apr.26).</w:t>
      </w:r>
    </w:p>
    <w:p w14:paraId="55D5420A" w14:textId="77777777" w:rsidR="00F775E4" w:rsidRDefault="00F775E4" w:rsidP="00D63E0C">
      <w:r w:rsidRPr="003F124D">
        <w:t>Girmay, M. (2024) “Digital Health Divide: Opportunities for Reducing Health Disparities and Promoting Equitable Care for Maternal and Child Health Populations,” </w:t>
      </w:r>
      <w:r w:rsidRPr="003F124D">
        <w:rPr>
          <w:i/>
          <w:iCs/>
        </w:rPr>
        <w:t>International journal of MCH and AIDS</w:t>
      </w:r>
      <w:r w:rsidRPr="003F124D">
        <w:t xml:space="preserve">, 13. Available at: </w:t>
      </w:r>
      <w:hyperlink r:id="rId16" w:history="1">
        <w:r w:rsidRPr="003F124D">
          <w:rPr>
            <w:rStyle w:val="Hyperlink"/>
          </w:rPr>
          <w:t>https://doi.org/10.25259/IJMA_41_2024.</w:t>
        </w:r>
      </w:hyperlink>
      <w:r>
        <w:t xml:space="preserve"> (Accessed: 13 Apr. 26).</w:t>
      </w:r>
    </w:p>
    <w:p w14:paraId="71535066" w14:textId="6511AC23" w:rsidR="00F775E4" w:rsidRDefault="00F775E4" w:rsidP="00D63E0C">
      <w:r w:rsidRPr="004F16AE">
        <w:t>Goldberg, L. </w:t>
      </w:r>
      <w:r w:rsidRPr="004F16AE">
        <w:rPr>
          <w:i/>
          <w:iCs/>
        </w:rPr>
        <w:t>et al.</w:t>
      </w:r>
      <w:r w:rsidRPr="004F16AE">
        <w:t xml:space="preserve"> (2023) “School Nurse Perspectives on Collaboration </w:t>
      </w:r>
      <w:r w:rsidR="00A21B2E" w:rsidRPr="004F16AE">
        <w:t>with</w:t>
      </w:r>
      <w:r w:rsidRPr="004F16AE">
        <w:t xml:space="preserve"> Primary Care Providers,” </w:t>
      </w:r>
      <w:r w:rsidRPr="004F16AE">
        <w:rPr>
          <w:i/>
          <w:iCs/>
        </w:rPr>
        <w:t>The Journal of school health</w:t>
      </w:r>
      <w:r w:rsidRPr="004F16AE">
        <w:t xml:space="preserve">, 93(8), pp. 717–725. Available at: </w:t>
      </w:r>
      <w:hyperlink r:id="rId17" w:history="1">
        <w:r w:rsidRPr="004F16AE">
          <w:rPr>
            <w:rStyle w:val="Hyperlink"/>
          </w:rPr>
          <w:t>https://doi.org/10.1111/josh.13325.</w:t>
        </w:r>
      </w:hyperlink>
      <w:r>
        <w:t xml:space="preserve"> (Accessed: 13 Apr. 26).</w:t>
      </w:r>
    </w:p>
    <w:p w14:paraId="24403FEF" w14:textId="77777777" w:rsidR="00F775E4" w:rsidRDefault="00F775E4" w:rsidP="00D63E0C">
      <w:r w:rsidRPr="00DC04B9">
        <w:lastRenderedPageBreak/>
        <w:t xml:space="preserve">HM Government (2016) </w:t>
      </w:r>
      <w:r w:rsidRPr="00DC04B9">
        <w:rPr>
          <w:i/>
          <w:iCs/>
        </w:rPr>
        <w:t>Childhood Obesity: A Plan for Action</w:t>
      </w:r>
      <w:r w:rsidRPr="00DC04B9">
        <w:t>. London: HM Government.</w:t>
      </w:r>
      <w:r>
        <w:t xml:space="preserve"> Available at: </w:t>
      </w:r>
      <w:hyperlink r:id="rId18" w:history="1">
        <w:r w:rsidRPr="00DC04B9">
          <w:rPr>
            <w:rStyle w:val="Hyperlink"/>
          </w:rPr>
          <w:t>https://www.gov.uk/government/publications/childhood-obesity-a-plan-for-action</w:t>
        </w:r>
      </w:hyperlink>
      <w:r>
        <w:t xml:space="preserve"> (Accessed: 12 Apr.26).</w:t>
      </w:r>
    </w:p>
    <w:p w14:paraId="4FE1766F" w14:textId="77777777" w:rsidR="00F775E4" w:rsidRDefault="00F775E4" w:rsidP="00DE17C2">
      <w:r w:rsidRPr="00DE17C2">
        <w:t>Holttum, S. (2021) “Research watch: exclusion and health inequality in England and what can be done to reverse it – discussing the Marmot review 10 years on,” </w:t>
      </w:r>
      <w:r w:rsidRPr="00DE17C2">
        <w:rPr>
          <w:i/>
          <w:iCs/>
        </w:rPr>
        <w:t>A life in the day</w:t>
      </w:r>
      <w:r w:rsidRPr="00DE17C2">
        <w:t xml:space="preserve">, 25(1), pp. 7–15. Available at: </w:t>
      </w:r>
      <w:hyperlink r:id="rId19" w:history="1">
        <w:r w:rsidRPr="00DE17C2">
          <w:rPr>
            <w:rStyle w:val="Hyperlink"/>
          </w:rPr>
          <w:t>https://doi.org/10.1108/MHSI-11-2020-0074.</w:t>
        </w:r>
      </w:hyperlink>
      <w:r>
        <w:t xml:space="preserve"> (Accessed: 12 Apr.26).</w:t>
      </w:r>
    </w:p>
    <w:p w14:paraId="17896C86" w14:textId="77777777" w:rsidR="00F775E4" w:rsidRPr="00D63E0C" w:rsidRDefault="00F775E4" w:rsidP="00D63E0C">
      <w:r w:rsidRPr="002B3594">
        <w:t>Horne, M. </w:t>
      </w:r>
      <w:r w:rsidRPr="002B3594">
        <w:rPr>
          <w:i/>
          <w:iCs/>
        </w:rPr>
        <w:t>et al.</w:t>
      </w:r>
      <w:r w:rsidRPr="002B3594">
        <w:t> (2024) “Development of an outcome indicator framework for a universal health visiting programme using routinely collected data,” </w:t>
      </w:r>
      <w:r w:rsidRPr="002B3594">
        <w:rPr>
          <w:i/>
          <w:iCs/>
        </w:rPr>
        <w:t>BMC health services research</w:t>
      </w:r>
      <w:r w:rsidRPr="002B3594">
        <w:t xml:space="preserve">, 24(1). Available at: </w:t>
      </w:r>
      <w:hyperlink r:id="rId20" w:history="1">
        <w:r w:rsidRPr="002B3594">
          <w:rPr>
            <w:rStyle w:val="Hyperlink"/>
          </w:rPr>
          <w:t>https://doi.org/10.1186/s12913-024-11178-7.</w:t>
        </w:r>
      </w:hyperlink>
      <w:r>
        <w:t xml:space="preserve"> (Accessed: 13 Apr. 26).</w:t>
      </w:r>
    </w:p>
    <w:p w14:paraId="0E150F40" w14:textId="77777777" w:rsidR="00F775E4" w:rsidRDefault="00F775E4" w:rsidP="00DE17C2">
      <w:r w:rsidRPr="00DE17C2">
        <w:t xml:space="preserve">Marmot, M. (2020) “Health equity in England: </w:t>
      </w:r>
      <w:r>
        <w:t>T</w:t>
      </w:r>
      <w:r w:rsidRPr="00DE17C2">
        <w:t>he Marmot review 10 years on,” </w:t>
      </w:r>
      <w:r w:rsidRPr="00DE17C2">
        <w:rPr>
          <w:i/>
          <w:iCs/>
        </w:rPr>
        <w:t>BMJ (Online)</w:t>
      </w:r>
      <w:r w:rsidRPr="00DE17C2">
        <w:t xml:space="preserve">, 368, pp. m693-4. Available at: </w:t>
      </w:r>
      <w:hyperlink r:id="rId21" w:history="1">
        <w:r w:rsidRPr="00DE17C2">
          <w:rPr>
            <w:rStyle w:val="Hyperlink"/>
          </w:rPr>
          <w:t>https://doi.org/10.1136/bmj.m693.</w:t>
        </w:r>
      </w:hyperlink>
      <w:r>
        <w:t xml:space="preserve"> (Accessed: 13 Apr. 26).</w:t>
      </w:r>
    </w:p>
    <w:p w14:paraId="2F0582FB" w14:textId="3330DF14" w:rsidR="00DA7E4F" w:rsidRDefault="00DA7E4F" w:rsidP="00DE17C2">
      <w:r w:rsidRPr="00DA7E4F">
        <w:t>Montez, J.K. and Bisesti, E.M. (2024) “Widening Educational Disparities in Health and Longevity,” </w:t>
      </w:r>
      <w:r w:rsidRPr="00DA7E4F">
        <w:rPr>
          <w:i/>
          <w:iCs/>
        </w:rPr>
        <w:t>Annual review of sociology</w:t>
      </w:r>
      <w:r w:rsidRPr="00DA7E4F">
        <w:t xml:space="preserve">, 50(1), pp. 547–564. Available at: </w:t>
      </w:r>
      <w:hyperlink r:id="rId22" w:history="1">
        <w:r w:rsidRPr="00DA7E4F">
          <w:rPr>
            <w:rStyle w:val="Hyperlink"/>
          </w:rPr>
          <w:t>https://doi.org/10.1146/annurev-soc-071723-080605.</w:t>
        </w:r>
      </w:hyperlink>
      <w:r>
        <w:t xml:space="preserve"> (Accessed: 11 Apr.26).</w:t>
      </w:r>
    </w:p>
    <w:p w14:paraId="58F6B110" w14:textId="60A9FD80" w:rsidR="00F775E4" w:rsidRDefault="00F775E4" w:rsidP="00DE17C2">
      <w:r w:rsidRPr="00CE5659">
        <w:t>Moga Rogoz, A.T. </w:t>
      </w:r>
      <w:r w:rsidRPr="00CE5659">
        <w:rPr>
          <w:i/>
          <w:iCs/>
        </w:rPr>
        <w:t>et al.</w:t>
      </w:r>
      <w:r w:rsidRPr="00CE5659">
        <w:t> </w:t>
      </w:r>
      <w:r w:rsidRPr="00E43799">
        <w:t xml:space="preserve">(2022) “Impact of Economic Freedom and Educational Attainment on Life Expectancy: Evidence </w:t>
      </w:r>
      <w:r w:rsidR="00A21B2E" w:rsidRPr="00E43799">
        <w:t>from</w:t>
      </w:r>
      <w:r w:rsidRPr="00E43799">
        <w:t xml:space="preserve"> the New EU Member States,” </w:t>
      </w:r>
      <w:r w:rsidRPr="00E43799">
        <w:rPr>
          <w:i/>
          <w:iCs/>
        </w:rPr>
        <w:t>Frontiers in public health</w:t>
      </w:r>
      <w:r w:rsidRPr="00E43799">
        <w:t xml:space="preserve">, 10, p. 907138. Available at: </w:t>
      </w:r>
      <w:hyperlink r:id="rId23" w:history="1">
        <w:r w:rsidRPr="00E43799">
          <w:rPr>
            <w:rStyle w:val="Hyperlink"/>
          </w:rPr>
          <w:t>https://doi.org/10.3389/fpubh.2022.907138.</w:t>
        </w:r>
      </w:hyperlink>
      <w:r>
        <w:t xml:space="preserve"> (Accessed: 10 Apr.26).</w:t>
      </w:r>
    </w:p>
    <w:p w14:paraId="0AF3901A" w14:textId="77777777" w:rsidR="00F775E4" w:rsidRDefault="00F775E4" w:rsidP="00D63E0C">
      <w:r w:rsidRPr="00C8088B">
        <w:t>Mooney, K.E. </w:t>
      </w:r>
      <w:r w:rsidRPr="00C8088B">
        <w:rPr>
          <w:i/>
          <w:iCs/>
        </w:rPr>
        <w:t>et al.</w:t>
      </w:r>
      <w:r w:rsidRPr="00C8088B">
        <w:t> </w:t>
      </w:r>
      <w:r w:rsidRPr="00F82AED">
        <w:t>(2025) “An assessment of the teacher completed ‘Early Years Foundation Stage Profile’ as a routine measure of child developmental health,” </w:t>
      </w:r>
      <w:r w:rsidRPr="00F82AED">
        <w:rPr>
          <w:i/>
          <w:iCs/>
        </w:rPr>
        <w:t>PloS one</w:t>
      </w:r>
      <w:r w:rsidRPr="00F82AED">
        <w:t xml:space="preserve">, 20(3), p. e0302771. Available at: </w:t>
      </w:r>
      <w:hyperlink r:id="rId24" w:history="1">
        <w:r w:rsidRPr="00F82AED">
          <w:rPr>
            <w:rStyle w:val="Hyperlink"/>
          </w:rPr>
          <w:t>https://doi.org/10.1371/journal.pone.0302771.</w:t>
        </w:r>
      </w:hyperlink>
      <w:r>
        <w:t xml:space="preserve"> (Accessed: 13 Apr. 26).</w:t>
      </w:r>
    </w:p>
    <w:p w14:paraId="3CEBEE64" w14:textId="77777777" w:rsidR="00F775E4" w:rsidRDefault="00F775E4" w:rsidP="00D63E0C">
      <w:r w:rsidRPr="00D63E0C">
        <w:t xml:space="preserve">NHS England (2019) </w:t>
      </w:r>
      <w:r w:rsidRPr="00D63E0C">
        <w:rPr>
          <w:i/>
          <w:iCs/>
        </w:rPr>
        <w:t>The NHS Long Term Plan</w:t>
      </w:r>
      <w:r w:rsidRPr="00D63E0C">
        <w:t xml:space="preserve">. London: NHS England. Available at: </w:t>
      </w:r>
      <w:hyperlink r:id="rId25" w:history="1">
        <w:r w:rsidRPr="00D63E0C">
          <w:rPr>
            <w:rStyle w:val="Hyperlink"/>
          </w:rPr>
          <w:t>https://www.england.nhs.uk/2019/01/long-term-plan/</w:t>
        </w:r>
      </w:hyperlink>
      <w:r>
        <w:t xml:space="preserve"> (Accessed: 12 Apr.26).</w:t>
      </w:r>
    </w:p>
    <w:p w14:paraId="42254DF7" w14:textId="77777777" w:rsidR="00F775E4" w:rsidRDefault="00F775E4" w:rsidP="00D63E0C">
      <w:r w:rsidRPr="00D63E0C">
        <w:t xml:space="preserve">Public Health England (2016) </w:t>
      </w:r>
      <w:r w:rsidRPr="00D63E0C">
        <w:rPr>
          <w:i/>
          <w:iCs/>
        </w:rPr>
        <w:t>Making Every Contact Count: Implementation guide</w:t>
      </w:r>
      <w:r w:rsidRPr="00D63E0C">
        <w:t>. London: Public Health England</w:t>
      </w:r>
      <w:r>
        <w:t xml:space="preserve">. Available at: </w:t>
      </w:r>
      <w:hyperlink r:id="rId26" w:history="1">
        <w:r w:rsidRPr="00D63E0C">
          <w:rPr>
            <w:rStyle w:val="Hyperlink"/>
          </w:rPr>
          <w:t>https://www.gov.uk/government/publications/making-every-contact-count-mecc-practical-resources</w:t>
        </w:r>
      </w:hyperlink>
      <w:r>
        <w:t xml:space="preserve"> (Accessed: 10 Apr.26).</w:t>
      </w:r>
    </w:p>
    <w:p w14:paraId="2C2CDC31" w14:textId="77777777" w:rsidR="00F775E4" w:rsidRDefault="00F775E4" w:rsidP="00DE17C2">
      <w:r w:rsidRPr="004246EC">
        <w:t xml:space="preserve">UNESCO (2023) </w:t>
      </w:r>
      <w:r w:rsidRPr="004246EC">
        <w:rPr>
          <w:i/>
          <w:iCs/>
        </w:rPr>
        <w:t>Global Education Monitoring Report</w:t>
      </w:r>
      <w:r w:rsidRPr="004246EC">
        <w:t>. Paris: UNESCO.</w:t>
      </w:r>
      <w:r>
        <w:t xml:space="preserve"> Available at: </w:t>
      </w:r>
      <w:hyperlink r:id="rId27" w:history="1">
        <w:r w:rsidRPr="004246EC">
          <w:rPr>
            <w:rStyle w:val="Hyperlink"/>
          </w:rPr>
          <w:t>https://gem-report-2023.unesco.org/</w:t>
        </w:r>
      </w:hyperlink>
      <w:r>
        <w:t xml:space="preserve"> (Accessed: 10 Apr.26).</w:t>
      </w:r>
    </w:p>
    <w:p w14:paraId="50080703" w14:textId="77777777" w:rsidR="00F775E4" w:rsidRDefault="00F775E4" w:rsidP="00DE17C2">
      <w:r w:rsidRPr="00DD42C5">
        <w:t>Whittaker, S.M. (2017) </w:t>
      </w:r>
      <w:r w:rsidRPr="00DD42C5">
        <w:rPr>
          <w:i/>
          <w:iCs/>
        </w:rPr>
        <w:t>Higher education students crossing internal UK borders: student and country differences and their contribution to higher education inequalities</w:t>
      </w:r>
      <w:r w:rsidRPr="00DD42C5">
        <w:t xml:space="preserve">. The </w:t>
      </w:r>
      <w:r w:rsidRPr="00DD42C5">
        <w:lastRenderedPageBreak/>
        <w:t>University of Edinburgh.</w:t>
      </w:r>
      <w:r>
        <w:t xml:space="preserve"> Available at: </w:t>
      </w:r>
      <w:hyperlink r:id="rId28" w:history="1">
        <w:r w:rsidRPr="00DD42C5">
          <w:rPr>
            <w:rStyle w:val="Hyperlink"/>
          </w:rPr>
          <w:t>https://era.ed.ac.uk/items/1d8a82fc-28d0-45ce-8734-19b35755faf4</w:t>
        </w:r>
      </w:hyperlink>
      <w:r>
        <w:t xml:space="preserve"> (Accessed: 13 Apr. 26).</w:t>
      </w:r>
    </w:p>
    <w:p w14:paraId="5F01D54E" w14:textId="77777777" w:rsidR="00F775E4" w:rsidRDefault="00F775E4" w:rsidP="00DE17C2">
      <w:r w:rsidRPr="004246EC">
        <w:t xml:space="preserve">World Health </w:t>
      </w:r>
      <w:r>
        <w:t>Organisation</w:t>
      </w:r>
      <w:r w:rsidRPr="004246EC">
        <w:t xml:space="preserve"> (2023) </w:t>
      </w:r>
      <w:r w:rsidRPr="004246EC">
        <w:rPr>
          <w:i/>
          <w:iCs/>
        </w:rPr>
        <w:t>World Health Statistics Report</w:t>
      </w:r>
      <w:r w:rsidRPr="004246EC">
        <w:t>. Geneva: WHO.</w:t>
      </w:r>
      <w:r>
        <w:t xml:space="preserve"> Available at: </w:t>
      </w:r>
      <w:hyperlink r:id="rId29" w:history="1">
        <w:r w:rsidRPr="004246EC">
          <w:rPr>
            <w:rStyle w:val="Hyperlink"/>
          </w:rPr>
          <w:t>https://www.who.int/publications/b/69040</w:t>
        </w:r>
      </w:hyperlink>
      <w:r>
        <w:t xml:space="preserve"> (Accessed: 11 Apr.26).</w:t>
      </w:r>
    </w:p>
    <w:p w14:paraId="1006E5C6" w14:textId="77777777" w:rsidR="00D63E0C" w:rsidRPr="00D63E0C" w:rsidRDefault="00D63E0C" w:rsidP="00D63E0C"/>
    <w:p w14:paraId="141E49A0" w14:textId="77777777" w:rsidR="00DC04B9" w:rsidRDefault="00DC04B9" w:rsidP="00DE17C2"/>
    <w:p w14:paraId="3E98662A" w14:textId="77777777" w:rsidR="004246EC" w:rsidRPr="00DE17C2" w:rsidRDefault="004246EC" w:rsidP="00DE17C2"/>
    <w:sectPr w:rsidR="004246EC" w:rsidRPr="00DE17C2" w:rsidSect="006A5FC7">
      <w:footerReference w:type="default" r:id="rId30"/>
      <w:pgSz w:w="11906" w:h="16838"/>
      <w:pgMar w:top="1440" w:right="1440" w:bottom="1440" w:left="1440" w:header="708" w:footer="708" w:gutter="0"/>
      <w:pgBorders w:offsetFrom="page">
        <w:top w:val="single" w:sz="4" w:space="24" w:color="0070C0"/>
        <w:left w:val="single" w:sz="4" w:space="24" w:color="0070C0"/>
        <w:bottom w:val="single" w:sz="4" w:space="24" w:color="0070C0"/>
        <w:right w:val="single" w:sz="4" w:space="24" w:color="0070C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5AA93" w14:textId="77777777" w:rsidR="00E052A6" w:rsidRDefault="00E052A6" w:rsidP="00422C66">
      <w:pPr>
        <w:spacing w:after="0" w:line="240" w:lineRule="auto"/>
      </w:pPr>
      <w:r>
        <w:separator/>
      </w:r>
    </w:p>
  </w:endnote>
  <w:endnote w:type="continuationSeparator" w:id="0">
    <w:p w14:paraId="29BF64BB" w14:textId="77777777" w:rsidR="00E052A6" w:rsidRDefault="00E052A6" w:rsidP="00422C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8947203"/>
      <w:docPartObj>
        <w:docPartGallery w:val="Page Numbers (Bottom of Page)"/>
        <w:docPartUnique/>
      </w:docPartObj>
    </w:sdtPr>
    <w:sdtEndPr>
      <w:rPr>
        <w:noProof/>
      </w:rPr>
    </w:sdtEndPr>
    <w:sdtContent>
      <w:p w14:paraId="3F9CC524" w14:textId="78BF6B5E" w:rsidR="00422C66" w:rsidRDefault="00422C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6516E3" w14:textId="77777777" w:rsidR="00422C66" w:rsidRDefault="00422C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1783AC" w14:textId="77777777" w:rsidR="00E052A6" w:rsidRDefault="00E052A6" w:rsidP="00422C66">
      <w:pPr>
        <w:spacing w:after="0" w:line="240" w:lineRule="auto"/>
      </w:pPr>
      <w:r>
        <w:separator/>
      </w:r>
    </w:p>
  </w:footnote>
  <w:footnote w:type="continuationSeparator" w:id="0">
    <w:p w14:paraId="67975D10" w14:textId="77777777" w:rsidR="00E052A6" w:rsidRDefault="00E052A6" w:rsidP="00422C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C3EE2"/>
    <w:multiLevelType w:val="multilevel"/>
    <w:tmpl w:val="55B8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7560D"/>
    <w:multiLevelType w:val="multilevel"/>
    <w:tmpl w:val="FB78D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272D0"/>
    <w:multiLevelType w:val="multilevel"/>
    <w:tmpl w:val="E7428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E37B1"/>
    <w:multiLevelType w:val="multilevel"/>
    <w:tmpl w:val="8A3EE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560549"/>
    <w:multiLevelType w:val="multilevel"/>
    <w:tmpl w:val="D212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AF3377"/>
    <w:multiLevelType w:val="multilevel"/>
    <w:tmpl w:val="3A7AD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FB7228"/>
    <w:multiLevelType w:val="multilevel"/>
    <w:tmpl w:val="69C88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934FF4"/>
    <w:multiLevelType w:val="multilevel"/>
    <w:tmpl w:val="315C0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7C645E"/>
    <w:multiLevelType w:val="multilevel"/>
    <w:tmpl w:val="77626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F1540C"/>
    <w:multiLevelType w:val="multilevel"/>
    <w:tmpl w:val="4E988B7A"/>
    <w:lvl w:ilvl="0">
      <w:start w:val="1"/>
      <w:numFmt w:val="decimal"/>
      <w:lvlText w:val="%1."/>
      <w:lvlJc w:val="left"/>
      <w:pPr>
        <w:ind w:left="740" w:hanging="380"/>
      </w:pPr>
      <w:rPr>
        <w:rFonts w:hint="default"/>
      </w:rPr>
    </w:lvl>
    <w:lvl w:ilvl="1">
      <w:start w:val="3"/>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D6E46DD"/>
    <w:multiLevelType w:val="multilevel"/>
    <w:tmpl w:val="8368A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E42E34"/>
    <w:multiLevelType w:val="multilevel"/>
    <w:tmpl w:val="9FA87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090315"/>
    <w:multiLevelType w:val="multilevel"/>
    <w:tmpl w:val="F650D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4D66AF"/>
    <w:multiLevelType w:val="multilevel"/>
    <w:tmpl w:val="3C12E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C532F92"/>
    <w:multiLevelType w:val="multilevel"/>
    <w:tmpl w:val="50788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2A0509"/>
    <w:multiLevelType w:val="multilevel"/>
    <w:tmpl w:val="D54C5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C769BE"/>
    <w:multiLevelType w:val="hybridMultilevel"/>
    <w:tmpl w:val="F160B3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EF27A5"/>
    <w:multiLevelType w:val="hybridMultilevel"/>
    <w:tmpl w:val="274C1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EBE3DE9"/>
    <w:multiLevelType w:val="multilevel"/>
    <w:tmpl w:val="BC2C8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A30890"/>
    <w:multiLevelType w:val="multilevel"/>
    <w:tmpl w:val="4320B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57851F3"/>
    <w:multiLevelType w:val="multilevel"/>
    <w:tmpl w:val="40BE38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5195832">
    <w:abstractNumId w:val="4"/>
  </w:num>
  <w:num w:numId="2" w16cid:durableId="1585794140">
    <w:abstractNumId w:val="0"/>
  </w:num>
  <w:num w:numId="3" w16cid:durableId="1953052441">
    <w:abstractNumId w:val="3"/>
  </w:num>
  <w:num w:numId="4" w16cid:durableId="1436049091">
    <w:abstractNumId w:val="20"/>
  </w:num>
  <w:num w:numId="5" w16cid:durableId="1636256237">
    <w:abstractNumId w:val="5"/>
  </w:num>
  <w:num w:numId="6" w16cid:durableId="4090024">
    <w:abstractNumId w:val="13"/>
  </w:num>
  <w:num w:numId="7" w16cid:durableId="1142236267">
    <w:abstractNumId w:val="12"/>
  </w:num>
  <w:num w:numId="8" w16cid:durableId="959916236">
    <w:abstractNumId w:val="15"/>
  </w:num>
  <w:num w:numId="9" w16cid:durableId="464396340">
    <w:abstractNumId w:val="11"/>
  </w:num>
  <w:num w:numId="10" w16cid:durableId="941572023">
    <w:abstractNumId w:val="2"/>
  </w:num>
  <w:num w:numId="11" w16cid:durableId="937640356">
    <w:abstractNumId w:val="1"/>
  </w:num>
  <w:num w:numId="12" w16cid:durableId="1138718238">
    <w:abstractNumId w:val="19"/>
  </w:num>
  <w:num w:numId="13" w16cid:durableId="1812550274">
    <w:abstractNumId w:val="9"/>
  </w:num>
  <w:num w:numId="14" w16cid:durableId="1594044890">
    <w:abstractNumId w:val="7"/>
  </w:num>
  <w:num w:numId="15" w16cid:durableId="56558636">
    <w:abstractNumId w:val="6"/>
  </w:num>
  <w:num w:numId="16" w16cid:durableId="1186410086">
    <w:abstractNumId w:val="14"/>
  </w:num>
  <w:num w:numId="17" w16cid:durableId="1665426134">
    <w:abstractNumId w:val="10"/>
  </w:num>
  <w:num w:numId="18" w16cid:durableId="2026012355">
    <w:abstractNumId w:val="18"/>
  </w:num>
  <w:num w:numId="19" w16cid:durableId="831606160">
    <w:abstractNumId w:val="8"/>
  </w:num>
  <w:num w:numId="20" w16cid:durableId="1281840396">
    <w:abstractNumId w:val="17"/>
  </w:num>
  <w:num w:numId="21" w16cid:durableId="67122108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A32"/>
    <w:rsid w:val="00026531"/>
    <w:rsid w:val="000332EF"/>
    <w:rsid w:val="000523E7"/>
    <w:rsid w:val="00091EF3"/>
    <w:rsid w:val="000A56FD"/>
    <w:rsid w:val="000B2BFD"/>
    <w:rsid w:val="000B2D7F"/>
    <w:rsid w:val="000E2D50"/>
    <w:rsid w:val="001113DC"/>
    <w:rsid w:val="00112C8F"/>
    <w:rsid w:val="00162790"/>
    <w:rsid w:val="00177A59"/>
    <w:rsid w:val="00185D96"/>
    <w:rsid w:val="00192513"/>
    <w:rsid w:val="001C5957"/>
    <w:rsid w:val="001C78F1"/>
    <w:rsid w:val="001D3F64"/>
    <w:rsid w:val="001F3CD0"/>
    <w:rsid w:val="00220521"/>
    <w:rsid w:val="00256766"/>
    <w:rsid w:val="002748B3"/>
    <w:rsid w:val="002B3594"/>
    <w:rsid w:val="00310432"/>
    <w:rsid w:val="00324A4F"/>
    <w:rsid w:val="00337E28"/>
    <w:rsid w:val="00342B7A"/>
    <w:rsid w:val="00352264"/>
    <w:rsid w:val="0035327B"/>
    <w:rsid w:val="00366A5F"/>
    <w:rsid w:val="003675B8"/>
    <w:rsid w:val="00394F7C"/>
    <w:rsid w:val="003F124D"/>
    <w:rsid w:val="004030C2"/>
    <w:rsid w:val="00422C66"/>
    <w:rsid w:val="004246EC"/>
    <w:rsid w:val="00436A32"/>
    <w:rsid w:val="00454E2A"/>
    <w:rsid w:val="004632F3"/>
    <w:rsid w:val="004F16AE"/>
    <w:rsid w:val="00622863"/>
    <w:rsid w:val="00642B20"/>
    <w:rsid w:val="00675173"/>
    <w:rsid w:val="006A5FC7"/>
    <w:rsid w:val="006C5FCB"/>
    <w:rsid w:val="00724456"/>
    <w:rsid w:val="00737AAA"/>
    <w:rsid w:val="00744C0B"/>
    <w:rsid w:val="007D1CC4"/>
    <w:rsid w:val="007D5780"/>
    <w:rsid w:val="007E12A5"/>
    <w:rsid w:val="008108B3"/>
    <w:rsid w:val="008237F2"/>
    <w:rsid w:val="00887897"/>
    <w:rsid w:val="008A4A73"/>
    <w:rsid w:val="008C26C6"/>
    <w:rsid w:val="008E6D3E"/>
    <w:rsid w:val="00924CB6"/>
    <w:rsid w:val="00947281"/>
    <w:rsid w:val="00973883"/>
    <w:rsid w:val="009853ED"/>
    <w:rsid w:val="0099633D"/>
    <w:rsid w:val="009E3E59"/>
    <w:rsid w:val="00A04AF1"/>
    <w:rsid w:val="00A079AD"/>
    <w:rsid w:val="00A21B2E"/>
    <w:rsid w:val="00A22FE4"/>
    <w:rsid w:val="00A65938"/>
    <w:rsid w:val="00AD6B05"/>
    <w:rsid w:val="00AE6E26"/>
    <w:rsid w:val="00AE7435"/>
    <w:rsid w:val="00B02BC9"/>
    <w:rsid w:val="00B0555A"/>
    <w:rsid w:val="00B11B51"/>
    <w:rsid w:val="00B357D7"/>
    <w:rsid w:val="00B56A16"/>
    <w:rsid w:val="00B7551D"/>
    <w:rsid w:val="00B9213B"/>
    <w:rsid w:val="00B9433F"/>
    <w:rsid w:val="00BB18CF"/>
    <w:rsid w:val="00BB5AC4"/>
    <w:rsid w:val="00BD1BE2"/>
    <w:rsid w:val="00C159FD"/>
    <w:rsid w:val="00C305D0"/>
    <w:rsid w:val="00C36DB1"/>
    <w:rsid w:val="00C379B5"/>
    <w:rsid w:val="00C41847"/>
    <w:rsid w:val="00C8088B"/>
    <w:rsid w:val="00C82EE2"/>
    <w:rsid w:val="00CB311E"/>
    <w:rsid w:val="00CD66AC"/>
    <w:rsid w:val="00CE5507"/>
    <w:rsid w:val="00CE5659"/>
    <w:rsid w:val="00D079BD"/>
    <w:rsid w:val="00D35B38"/>
    <w:rsid w:val="00D63E0C"/>
    <w:rsid w:val="00D96FC3"/>
    <w:rsid w:val="00DA6AA3"/>
    <w:rsid w:val="00DA7E4F"/>
    <w:rsid w:val="00DC04B9"/>
    <w:rsid w:val="00DD42C5"/>
    <w:rsid w:val="00DE17C2"/>
    <w:rsid w:val="00E052A6"/>
    <w:rsid w:val="00E33C6E"/>
    <w:rsid w:val="00E43799"/>
    <w:rsid w:val="00E53BC7"/>
    <w:rsid w:val="00E57CE4"/>
    <w:rsid w:val="00EB1504"/>
    <w:rsid w:val="00EC702B"/>
    <w:rsid w:val="00F12BB1"/>
    <w:rsid w:val="00F43EE8"/>
    <w:rsid w:val="00F55A89"/>
    <w:rsid w:val="00F63855"/>
    <w:rsid w:val="00F775E4"/>
    <w:rsid w:val="00F82AED"/>
    <w:rsid w:val="00FC2E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1C096"/>
  <w15:chartTrackingRefBased/>
  <w15:docId w15:val="{DAFE33A8-BB5D-4AFA-AD8B-77F786DEA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A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A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A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A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A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A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A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A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A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A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A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A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A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A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A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A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A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A32"/>
    <w:rPr>
      <w:rFonts w:eastAsiaTheme="majorEastAsia" w:cstheme="majorBidi"/>
      <w:color w:val="272727" w:themeColor="text1" w:themeTint="D8"/>
    </w:rPr>
  </w:style>
  <w:style w:type="paragraph" w:styleId="Title">
    <w:name w:val="Title"/>
    <w:basedOn w:val="Normal"/>
    <w:next w:val="Normal"/>
    <w:link w:val="TitleChar"/>
    <w:uiPriority w:val="10"/>
    <w:qFormat/>
    <w:rsid w:val="00436A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A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A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A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A32"/>
    <w:pPr>
      <w:spacing w:before="160"/>
      <w:jc w:val="center"/>
    </w:pPr>
    <w:rPr>
      <w:i/>
      <w:iCs/>
      <w:color w:val="404040" w:themeColor="text1" w:themeTint="BF"/>
    </w:rPr>
  </w:style>
  <w:style w:type="character" w:customStyle="1" w:styleId="QuoteChar">
    <w:name w:val="Quote Char"/>
    <w:basedOn w:val="DefaultParagraphFont"/>
    <w:link w:val="Quote"/>
    <w:uiPriority w:val="29"/>
    <w:rsid w:val="00436A32"/>
    <w:rPr>
      <w:i/>
      <w:iCs/>
      <w:color w:val="404040" w:themeColor="text1" w:themeTint="BF"/>
    </w:rPr>
  </w:style>
  <w:style w:type="paragraph" w:styleId="ListParagraph">
    <w:name w:val="List Paragraph"/>
    <w:basedOn w:val="Normal"/>
    <w:uiPriority w:val="34"/>
    <w:qFormat/>
    <w:rsid w:val="00436A32"/>
    <w:pPr>
      <w:ind w:left="720"/>
      <w:contextualSpacing/>
    </w:pPr>
  </w:style>
  <w:style w:type="character" w:styleId="IntenseEmphasis">
    <w:name w:val="Intense Emphasis"/>
    <w:basedOn w:val="DefaultParagraphFont"/>
    <w:uiPriority w:val="21"/>
    <w:qFormat/>
    <w:rsid w:val="00436A32"/>
    <w:rPr>
      <w:i/>
      <w:iCs/>
      <w:color w:val="0F4761" w:themeColor="accent1" w:themeShade="BF"/>
    </w:rPr>
  </w:style>
  <w:style w:type="paragraph" w:styleId="IntenseQuote">
    <w:name w:val="Intense Quote"/>
    <w:basedOn w:val="Normal"/>
    <w:next w:val="Normal"/>
    <w:link w:val="IntenseQuoteChar"/>
    <w:uiPriority w:val="30"/>
    <w:qFormat/>
    <w:rsid w:val="00436A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A32"/>
    <w:rPr>
      <w:i/>
      <w:iCs/>
      <w:color w:val="0F4761" w:themeColor="accent1" w:themeShade="BF"/>
    </w:rPr>
  </w:style>
  <w:style w:type="character" w:styleId="IntenseReference">
    <w:name w:val="Intense Reference"/>
    <w:basedOn w:val="DefaultParagraphFont"/>
    <w:uiPriority w:val="32"/>
    <w:qFormat/>
    <w:rsid w:val="00436A32"/>
    <w:rPr>
      <w:b/>
      <w:bCs/>
      <w:smallCaps/>
      <w:color w:val="0F4761" w:themeColor="accent1" w:themeShade="BF"/>
      <w:spacing w:val="5"/>
    </w:rPr>
  </w:style>
  <w:style w:type="paragraph" w:styleId="TOCHeading">
    <w:name w:val="TOC Heading"/>
    <w:basedOn w:val="Heading1"/>
    <w:next w:val="Normal"/>
    <w:uiPriority w:val="39"/>
    <w:unhideWhenUsed/>
    <w:qFormat/>
    <w:rsid w:val="00436A32"/>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422C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2C66"/>
  </w:style>
  <w:style w:type="paragraph" w:styleId="Footer">
    <w:name w:val="footer"/>
    <w:basedOn w:val="Normal"/>
    <w:link w:val="FooterChar"/>
    <w:uiPriority w:val="99"/>
    <w:unhideWhenUsed/>
    <w:rsid w:val="00422C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2C66"/>
  </w:style>
  <w:style w:type="paragraph" w:styleId="TOC1">
    <w:name w:val="toc 1"/>
    <w:basedOn w:val="Normal"/>
    <w:next w:val="Normal"/>
    <w:autoRedefine/>
    <w:uiPriority w:val="39"/>
    <w:unhideWhenUsed/>
    <w:rsid w:val="00422C66"/>
    <w:pPr>
      <w:spacing w:after="100"/>
    </w:pPr>
  </w:style>
  <w:style w:type="character" w:styleId="Hyperlink">
    <w:name w:val="Hyperlink"/>
    <w:basedOn w:val="DefaultParagraphFont"/>
    <w:uiPriority w:val="99"/>
    <w:unhideWhenUsed/>
    <w:rsid w:val="00422C66"/>
    <w:rPr>
      <w:color w:val="467886" w:themeColor="hyperlink"/>
      <w:u w:val="single"/>
    </w:rPr>
  </w:style>
  <w:style w:type="character" w:styleId="UnresolvedMention">
    <w:name w:val="Unresolved Mention"/>
    <w:basedOn w:val="DefaultParagraphFont"/>
    <w:uiPriority w:val="99"/>
    <w:semiHidden/>
    <w:unhideWhenUsed/>
    <w:rsid w:val="00DE17C2"/>
    <w:rPr>
      <w:color w:val="605E5C"/>
      <w:shd w:val="clear" w:color="auto" w:fill="E1DFDD"/>
    </w:rPr>
  </w:style>
  <w:style w:type="paragraph" w:styleId="NormalWeb">
    <w:name w:val="Normal (Web)"/>
    <w:basedOn w:val="Normal"/>
    <w:uiPriority w:val="99"/>
    <w:semiHidden/>
    <w:unhideWhenUsed/>
    <w:rsid w:val="00737AA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37A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gov.uk/government/publications/early-years-foundation-stage-framework--2" TargetMode="External"/><Relationship Id="rId18" Type="http://schemas.openxmlformats.org/officeDocument/2006/relationships/hyperlink" Target="https://www.gov.uk/government/publications/childhood-obesity-a-plan-for-action" TargetMode="External"/><Relationship Id="rId26" Type="http://schemas.openxmlformats.org/officeDocument/2006/relationships/hyperlink" Target="https://www.gov.uk/government/publications/making-every-contact-count-mecc-practical-resources" TargetMode="External"/><Relationship Id="rId3" Type="http://schemas.openxmlformats.org/officeDocument/2006/relationships/styles" Target="styles.xml"/><Relationship Id="rId21" Type="http://schemas.openxmlformats.org/officeDocument/2006/relationships/hyperlink" Target="https://doi.org/10.1136/bmj.m693." TargetMode="External"/><Relationship Id="rId7" Type="http://schemas.openxmlformats.org/officeDocument/2006/relationships/endnotes" Target="endnotes.xml"/><Relationship Id="rId12" Type="http://schemas.openxmlformats.org/officeDocument/2006/relationships/hyperlink" Target="https://doi.org/10.1186/s12992-019-0456-z." TargetMode="External"/><Relationship Id="rId17" Type="http://schemas.openxmlformats.org/officeDocument/2006/relationships/hyperlink" Target="https://doi.org/10.1111/josh.13325." TargetMode="External"/><Relationship Id="rId25" Type="http://schemas.openxmlformats.org/officeDocument/2006/relationships/hyperlink" Target="https://www.england.nhs.uk/2019/01/long-term-plan/" TargetMode="External"/><Relationship Id="rId2" Type="http://schemas.openxmlformats.org/officeDocument/2006/relationships/numbering" Target="numbering.xml"/><Relationship Id="rId16" Type="http://schemas.openxmlformats.org/officeDocument/2006/relationships/hyperlink" Target="https://doi.org/10.25259/IJMA_41_2024." TargetMode="External"/><Relationship Id="rId20" Type="http://schemas.openxmlformats.org/officeDocument/2006/relationships/hyperlink" Target="https://doi.org/10.1186/s12913-024-11178-7." TargetMode="External"/><Relationship Id="rId29" Type="http://schemas.openxmlformats.org/officeDocument/2006/relationships/hyperlink" Target="https://www.who.int/publications/b/690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324/9781003254683." TargetMode="External"/><Relationship Id="rId24" Type="http://schemas.openxmlformats.org/officeDocument/2006/relationships/hyperlink" Target="https://doi.org/10.1371/journal.pone.030277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21582440221134089." TargetMode="External"/><Relationship Id="rId23" Type="http://schemas.openxmlformats.org/officeDocument/2006/relationships/hyperlink" Target="https://doi.org/10.3389/fpubh.2022.907138." TargetMode="External"/><Relationship Id="rId28" Type="http://schemas.openxmlformats.org/officeDocument/2006/relationships/hyperlink" Target="https://era.ed.ac.uk/items/1d8a82fc-28d0-45ce-8734-19b35755faf4" TargetMode="External"/><Relationship Id="rId10" Type="http://schemas.openxmlformats.org/officeDocument/2006/relationships/hyperlink" Target="https://doi.org/10.1136/archdischild-2025-rcpch.477." TargetMode="External"/><Relationship Id="rId19" Type="http://schemas.openxmlformats.org/officeDocument/2006/relationships/hyperlink" Target="https://doi.org/10.1108/MHSI-11-2020-007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07/s00787-024-02389-8." TargetMode="External"/><Relationship Id="rId14" Type="http://schemas.openxmlformats.org/officeDocument/2006/relationships/hyperlink" Target="https://www.gov.uk/government/publications/healthy-child-programme-pregnancy-and-the-first-5-years-of-life" TargetMode="External"/><Relationship Id="rId22" Type="http://schemas.openxmlformats.org/officeDocument/2006/relationships/hyperlink" Target="https://doi.org/10.1146/annurev-soc-071723-080605." TargetMode="External"/><Relationship Id="rId27" Type="http://schemas.openxmlformats.org/officeDocument/2006/relationships/hyperlink" Target="https://gem-report-2023.unesco.or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636DAE-0251-41E7-943E-A5ED1F1FC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TotalTime>
  <Pages>12</Pages>
  <Words>2679</Words>
  <Characters>17807</Characters>
  <Application>Microsoft Office Word</Application>
  <DocSecurity>0</DocSecurity>
  <Lines>347</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Suba</dc:creator>
  <cp:keywords/>
  <dc:description/>
  <cp:lastModifiedBy>Monika Suba</cp:lastModifiedBy>
  <cp:revision>87</cp:revision>
  <dcterms:created xsi:type="dcterms:W3CDTF">2026-04-13T09:15:00Z</dcterms:created>
  <dcterms:modified xsi:type="dcterms:W3CDTF">2026-04-20T10:16:00Z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96caf2ee-d8a5-4d10-acac-a9d2261cfd01</vt:lpwstr>
  </property>
</Properties>
</file>