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Pr="00113125" w:rsidRDefault="00F769C5" w:rsidP="00F769C5">
      <w:pPr>
        <w:jc w:val="center"/>
        <w:rPr>
          <w:rFonts w:ascii="Arial Black" w:hAnsi="Arial Black"/>
          <w:sz w:val="36"/>
          <w:szCs w:val="36"/>
        </w:rPr>
      </w:pPr>
      <w:r w:rsidRPr="00113125">
        <w:rPr>
          <w:rFonts w:ascii="Arial Black" w:hAnsi="Arial Black"/>
          <w:sz w:val="36"/>
          <w:szCs w:val="36"/>
        </w:rPr>
        <w:t>PHYSIOLOGY BMHP 5003 BIRM</w:t>
      </w:r>
    </w:p>
    <w:p w:rsidR="00F769C5" w:rsidRPr="00113125" w:rsidRDefault="00F769C5" w:rsidP="00F769C5">
      <w:pPr>
        <w:jc w:val="center"/>
        <w:rPr>
          <w:rFonts w:ascii="Arial Black" w:hAnsi="Arial Black"/>
          <w:sz w:val="36"/>
          <w:szCs w:val="36"/>
        </w:rPr>
      </w:pPr>
      <w:r w:rsidRPr="00113125">
        <w:rPr>
          <w:rFonts w:ascii="Arial Black" w:hAnsi="Arial Black"/>
          <w:sz w:val="36"/>
          <w:szCs w:val="36"/>
        </w:rPr>
        <w:t xml:space="preserve">Lectures Name- </w:t>
      </w:r>
      <w:proofErr w:type="spellStart"/>
      <w:r w:rsidRPr="00113125">
        <w:rPr>
          <w:rFonts w:ascii="Arial Black" w:hAnsi="Arial Black"/>
          <w:sz w:val="36"/>
          <w:szCs w:val="36"/>
        </w:rPr>
        <w:t>Mumtaz</w:t>
      </w:r>
      <w:proofErr w:type="spellEnd"/>
      <w:r w:rsidRPr="00113125">
        <w:rPr>
          <w:rFonts w:ascii="Arial Black" w:hAnsi="Arial Black"/>
          <w:sz w:val="36"/>
          <w:szCs w:val="36"/>
        </w:rPr>
        <w:t xml:space="preserve"> </w:t>
      </w:r>
      <w:proofErr w:type="spellStart"/>
      <w:r w:rsidRPr="00113125">
        <w:rPr>
          <w:rFonts w:ascii="Arial Black" w:hAnsi="Arial Black"/>
          <w:sz w:val="36"/>
          <w:szCs w:val="36"/>
        </w:rPr>
        <w:t>Goolam</w:t>
      </w:r>
      <w:proofErr w:type="spellEnd"/>
    </w:p>
    <w:p w:rsidR="00F769C5" w:rsidRPr="00113125" w:rsidRDefault="00F769C5" w:rsidP="00F769C5">
      <w:pPr>
        <w:jc w:val="center"/>
        <w:rPr>
          <w:rFonts w:ascii="Arial Black" w:hAnsi="Arial Black"/>
          <w:sz w:val="36"/>
          <w:szCs w:val="36"/>
        </w:rPr>
      </w:pPr>
      <w:r w:rsidRPr="00113125">
        <w:rPr>
          <w:rFonts w:ascii="Arial Black" w:hAnsi="Arial Black"/>
          <w:sz w:val="36"/>
          <w:szCs w:val="36"/>
        </w:rPr>
        <w:t xml:space="preserve">Student Name- </w:t>
      </w:r>
      <w:proofErr w:type="spellStart"/>
      <w:r w:rsidRPr="00113125">
        <w:rPr>
          <w:rFonts w:ascii="Arial Black" w:hAnsi="Arial Black"/>
          <w:sz w:val="36"/>
          <w:szCs w:val="36"/>
        </w:rPr>
        <w:t>Samina</w:t>
      </w:r>
      <w:proofErr w:type="spellEnd"/>
      <w:r w:rsidRPr="00113125">
        <w:rPr>
          <w:rFonts w:ascii="Arial Black" w:hAnsi="Arial Black"/>
          <w:sz w:val="36"/>
          <w:szCs w:val="36"/>
        </w:rPr>
        <w:t xml:space="preserve"> </w:t>
      </w:r>
      <w:proofErr w:type="spellStart"/>
      <w:r w:rsidRPr="00113125">
        <w:rPr>
          <w:rFonts w:ascii="Arial Black" w:hAnsi="Arial Black"/>
          <w:sz w:val="36"/>
          <w:szCs w:val="36"/>
        </w:rPr>
        <w:t>Jhangeer</w:t>
      </w:r>
      <w:proofErr w:type="spellEnd"/>
    </w:p>
    <w:p w:rsidR="00F769C5" w:rsidRDefault="00F769C5" w:rsidP="00F769C5">
      <w:pPr>
        <w:jc w:val="center"/>
        <w:rPr>
          <w:rFonts w:ascii="Arial Black" w:hAnsi="Arial Black"/>
          <w:sz w:val="36"/>
          <w:szCs w:val="36"/>
        </w:rPr>
      </w:pPr>
      <w:r w:rsidRPr="00113125">
        <w:rPr>
          <w:rFonts w:ascii="Arial Black" w:hAnsi="Arial Black"/>
          <w:sz w:val="36"/>
          <w:szCs w:val="36"/>
        </w:rPr>
        <w:t>Student Number- 1810228</w:t>
      </w: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Pr="00F609F0" w:rsidRDefault="00F769C5" w:rsidP="00F769C5">
      <w:pPr>
        <w:spacing w:line="240" w:lineRule="auto"/>
        <w:rPr>
          <w:rFonts w:ascii="Arial" w:hAnsi="Arial" w:cs="Arial"/>
          <w:sz w:val="16"/>
          <w:szCs w:val="16"/>
        </w:rPr>
        <w:sectPr w:rsidR="00F769C5" w:rsidRPr="00F609F0" w:rsidSect="00F67567">
          <w:headerReference w:type="even" r:id="rId7"/>
          <w:headerReference w:type="default" r:id="rId8"/>
          <w:footerReference w:type="even" r:id="rId9"/>
          <w:footerReference w:type="default" r:id="rId10"/>
          <w:headerReference w:type="first" r:id="rId11"/>
          <w:footerReference w:type="first" r:id="rId12"/>
          <w:pgSz w:w="15840" w:h="12240" w:orient="landscape" w:code="1"/>
          <w:pgMar w:top="720" w:right="720" w:bottom="360" w:left="720" w:header="432" w:footer="432" w:gutter="0"/>
          <w:cols w:space="720"/>
          <w:docGrid w:linePitch="360"/>
        </w:sectPr>
      </w:pPr>
    </w:p>
    <w:p w:rsidR="00F769C5" w:rsidRPr="00F609F0" w:rsidRDefault="00F769C5" w:rsidP="00F769C5">
      <w:pPr>
        <w:pStyle w:val="Heading2"/>
        <w:spacing w:line="240" w:lineRule="auto"/>
        <w:rPr>
          <w:rFonts w:cs="Arial"/>
          <w:sz w:val="16"/>
          <w:szCs w:val="16"/>
          <w:lang w:val="en-GB"/>
        </w:rPr>
      </w:pPr>
      <w:r w:rsidRPr="00F609F0">
        <w:rPr>
          <w:rFonts w:cs="Arial"/>
          <w:caps w:val="0"/>
          <w:sz w:val="16"/>
          <w:szCs w:val="16"/>
          <w:lang w:val="en-GB"/>
        </w:rPr>
        <w:lastRenderedPageBreak/>
        <w:t xml:space="preserve">The Structure and Function of Human </w:t>
      </w:r>
    </w:p>
    <w:p w:rsidR="00F769C5" w:rsidRPr="00F609F0" w:rsidRDefault="00F769C5" w:rsidP="00F769C5">
      <w:pPr>
        <w:spacing w:line="240" w:lineRule="auto"/>
        <w:rPr>
          <w:rFonts w:ascii="Arial" w:hAnsi="Arial" w:cs="Arial"/>
          <w:sz w:val="16"/>
          <w:szCs w:val="16"/>
        </w:rPr>
      </w:pPr>
      <w:r w:rsidRPr="00F609F0">
        <w:rPr>
          <w:rFonts w:ascii="Arial" w:hAnsi="Arial" w:cs="Arial"/>
          <w:sz w:val="16"/>
          <w:szCs w:val="16"/>
        </w:rPr>
        <w:t xml:space="preserve">Human body is made up of complex structures and cell is the basic building blocks. Cells come together to make up tissues, from which specialised structures and organ systems are developed. Organ systems and tissues come together to perform a certain body function. Likewise, different organ systems are responsible for the various body functions (Patton and </w:t>
      </w:r>
      <w:proofErr w:type="spellStart"/>
      <w:r w:rsidRPr="00F609F0">
        <w:rPr>
          <w:rFonts w:ascii="Arial" w:hAnsi="Arial" w:cs="Arial"/>
          <w:sz w:val="16"/>
          <w:szCs w:val="16"/>
        </w:rPr>
        <w:t>Thibodeau</w:t>
      </w:r>
      <w:proofErr w:type="spellEnd"/>
      <w:r w:rsidRPr="00F609F0">
        <w:rPr>
          <w:rFonts w:ascii="Arial" w:hAnsi="Arial" w:cs="Arial"/>
          <w:sz w:val="16"/>
          <w:szCs w:val="16"/>
        </w:rPr>
        <w:t>, 2015, pp.5-13).</w:t>
      </w:r>
    </w:p>
    <w:p w:rsidR="00F769C5" w:rsidRPr="00F609F0" w:rsidRDefault="00F769C5" w:rsidP="00F769C5">
      <w:pPr>
        <w:pStyle w:val="ListParagraph"/>
        <w:numPr>
          <w:ilvl w:val="0"/>
          <w:numId w:val="1"/>
        </w:numPr>
        <w:spacing w:line="240" w:lineRule="auto"/>
        <w:rPr>
          <w:rFonts w:ascii="Arial" w:hAnsi="Arial" w:cs="Arial"/>
          <w:sz w:val="16"/>
          <w:szCs w:val="16"/>
          <w:lang w:val="en-GB"/>
        </w:rPr>
      </w:pPr>
      <w:r w:rsidRPr="00F609F0">
        <w:rPr>
          <w:rFonts w:ascii="Arial" w:hAnsi="Arial" w:cs="Arial"/>
          <w:sz w:val="16"/>
          <w:szCs w:val="16"/>
          <w:lang w:val="en-GB"/>
        </w:rPr>
        <w:t>Cells are considered to be simplest form of human body although they are far more complex. Cells consist specific genetic information. Basically a cell is responsible for the reproduction and life expectancy, sensitivity to stimulation, metabolism and the generation of energy.</w:t>
      </w:r>
    </w:p>
    <w:p w:rsidR="00F769C5" w:rsidRPr="00F609F0" w:rsidRDefault="00F769C5" w:rsidP="00F769C5">
      <w:pPr>
        <w:pStyle w:val="ListParagraph"/>
        <w:numPr>
          <w:ilvl w:val="0"/>
          <w:numId w:val="1"/>
        </w:numPr>
        <w:spacing w:line="240" w:lineRule="auto"/>
        <w:rPr>
          <w:rFonts w:ascii="Arial" w:hAnsi="Arial" w:cs="Arial"/>
          <w:sz w:val="16"/>
          <w:szCs w:val="16"/>
          <w:lang w:val="en-GB"/>
        </w:rPr>
      </w:pPr>
      <w:r w:rsidRPr="00F609F0">
        <w:rPr>
          <w:rFonts w:ascii="Arial" w:hAnsi="Arial" w:cs="Arial"/>
          <w:sz w:val="16"/>
          <w:szCs w:val="16"/>
          <w:lang w:val="en-GB"/>
        </w:rPr>
        <w:t>Tissues are the organisation of cells who come together to perform a common body function. Tissues are glued together by non-living intercellular substances.</w:t>
      </w:r>
    </w:p>
    <w:p w:rsidR="00F769C5" w:rsidRPr="00F609F0" w:rsidRDefault="00F769C5" w:rsidP="00F769C5">
      <w:pPr>
        <w:pStyle w:val="ListParagraph"/>
        <w:numPr>
          <w:ilvl w:val="0"/>
          <w:numId w:val="1"/>
        </w:numPr>
        <w:spacing w:line="240" w:lineRule="auto"/>
        <w:rPr>
          <w:rFonts w:ascii="Arial" w:hAnsi="Arial" w:cs="Arial"/>
          <w:sz w:val="16"/>
          <w:szCs w:val="16"/>
          <w:lang w:val="en-GB"/>
        </w:rPr>
      </w:pPr>
      <w:r w:rsidRPr="00F609F0">
        <w:rPr>
          <w:rFonts w:ascii="Arial" w:hAnsi="Arial" w:cs="Arial"/>
          <w:sz w:val="16"/>
          <w:szCs w:val="16"/>
          <w:lang w:val="en-GB"/>
        </w:rPr>
        <w:t>Organs are units of the human body which perform a special function and can be seen without a microscope.</w:t>
      </w:r>
    </w:p>
    <w:p w:rsidR="00F769C5" w:rsidRPr="00F609F0" w:rsidRDefault="00F769C5" w:rsidP="00F769C5">
      <w:pPr>
        <w:pStyle w:val="ListParagraph"/>
        <w:numPr>
          <w:ilvl w:val="0"/>
          <w:numId w:val="1"/>
        </w:numPr>
        <w:spacing w:line="240" w:lineRule="auto"/>
        <w:rPr>
          <w:rFonts w:ascii="Arial" w:hAnsi="Arial" w:cs="Arial"/>
          <w:sz w:val="16"/>
          <w:szCs w:val="16"/>
          <w:lang w:val="en-GB"/>
        </w:rPr>
      </w:pPr>
      <w:r w:rsidRPr="00F609F0">
        <w:rPr>
          <w:rFonts w:ascii="Arial" w:hAnsi="Arial" w:cs="Arial"/>
          <w:sz w:val="16"/>
          <w:szCs w:val="16"/>
          <w:lang w:val="en-GB"/>
        </w:rPr>
        <w:t>Systems are complex unites which work together to perform functions for the body, like all the parts of the digestive system working together to absorb nutrients and produce body waste.</w:t>
      </w:r>
    </w:p>
    <w:p w:rsidR="00F769C5" w:rsidRPr="00F609F0" w:rsidRDefault="00F769C5" w:rsidP="00F769C5">
      <w:pPr>
        <w:spacing w:line="240" w:lineRule="auto"/>
        <w:rPr>
          <w:rFonts w:ascii="Arial" w:hAnsi="Arial" w:cs="Arial"/>
          <w:sz w:val="16"/>
          <w:szCs w:val="16"/>
        </w:rPr>
      </w:pPr>
      <w:r w:rsidRPr="00F609F0">
        <w:rPr>
          <w:rFonts w:ascii="Arial" w:hAnsi="Arial" w:cs="Arial"/>
          <w:sz w:val="16"/>
          <w:szCs w:val="16"/>
        </w:rPr>
        <w:t xml:space="preserve">The core function of human body is to consume energy and convert it into fuel for the body movement and functioning. There are 11 basic human body functions including </w:t>
      </w:r>
      <w:proofErr w:type="spellStart"/>
      <w:r w:rsidRPr="00F609F0">
        <w:rPr>
          <w:rFonts w:ascii="Arial" w:hAnsi="Arial" w:cs="Arial"/>
          <w:sz w:val="16"/>
          <w:szCs w:val="16"/>
        </w:rPr>
        <w:t>integumentary</w:t>
      </w:r>
      <w:proofErr w:type="spellEnd"/>
      <w:r w:rsidRPr="00F609F0">
        <w:rPr>
          <w:rFonts w:ascii="Arial" w:hAnsi="Arial" w:cs="Arial"/>
          <w:sz w:val="16"/>
          <w:szCs w:val="16"/>
        </w:rPr>
        <w:t xml:space="preserve"> system, skeletal system, muscular system, nervous system, endocrine system, cardiovascular system, urinary system, respiratory system, lymphatic system, digestive system and reproductive systems (Waugh and Grant, 2014).</w:t>
      </w:r>
    </w:p>
    <w:p w:rsidR="00F769C5" w:rsidRPr="00F609F0" w:rsidRDefault="00F769C5" w:rsidP="00F769C5">
      <w:pPr>
        <w:pStyle w:val="Heading2"/>
        <w:spacing w:line="240" w:lineRule="auto"/>
        <w:rPr>
          <w:rFonts w:cs="Arial"/>
          <w:sz w:val="16"/>
          <w:szCs w:val="16"/>
          <w:lang w:val="en-GB"/>
        </w:rPr>
      </w:pPr>
      <w:r w:rsidRPr="00F609F0">
        <w:rPr>
          <w:rFonts w:cs="Arial"/>
          <w:caps w:val="0"/>
          <w:sz w:val="16"/>
          <w:szCs w:val="16"/>
          <w:lang w:val="en-GB"/>
        </w:rPr>
        <w:t>Human Body &amp; the Skeletal System</w:t>
      </w:r>
    </w:p>
    <w:p w:rsidR="00F769C5" w:rsidRPr="00F609F0" w:rsidRDefault="00F769C5" w:rsidP="00F769C5">
      <w:pPr>
        <w:spacing w:line="240" w:lineRule="auto"/>
        <w:rPr>
          <w:rFonts w:ascii="Arial" w:hAnsi="Arial" w:cs="Arial"/>
          <w:sz w:val="16"/>
          <w:szCs w:val="16"/>
        </w:rPr>
      </w:pPr>
      <w:r w:rsidRPr="00F609F0">
        <w:rPr>
          <w:rFonts w:ascii="Arial" w:hAnsi="Arial" w:cs="Arial"/>
          <w:sz w:val="16"/>
          <w:szCs w:val="16"/>
        </w:rPr>
        <w:t xml:space="preserve">Movement is a complex body function which involves bones, muscles and joints of our skeletons. 206 bones in human body help us move and carry our weight. Skeletal system is responsible to hold up the body and give it shape. Skeletal system is made up of bones, ligaments and cartilage. Ligaments are </w:t>
      </w:r>
      <w:proofErr w:type="spellStart"/>
      <w:r w:rsidRPr="00F609F0">
        <w:rPr>
          <w:rFonts w:ascii="Arial" w:hAnsi="Arial" w:cs="Arial"/>
          <w:sz w:val="16"/>
          <w:szCs w:val="16"/>
        </w:rPr>
        <w:t>they</w:t>
      </w:r>
      <w:proofErr w:type="spellEnd"/>
      <w:r w:rsidRPr="00F609F0">
        <w:rPr>
          <w:rFonts w:ascii="Arial" w:hAnsi="Arial" w:cs="Arial"/>
          <w:sz w:val="16"/>
          <w:szCs w:val="16"/>
        </w:rPr>
        <w:t xml:space="preserve"> key to functioning of bones, as they consist of dense and fibrous connective tissues. Cartilage is found between the vertebrae, end of bones, stiffer than muscle and helps give structure and shape to the larynx and nose. Some of the bones give shape to our body, while others protect internal. Overall skeletal parts enable human body to maintain upright posture, while protecting heart, lungs through rib cage and brain through skull. Some other key functions of skeletal system also includes production and release of cells, storage of minerals and fat.</w:t>
      </w:r>
    </w:p>
    <w:p w:rsidR="00F769C5" w:rsidRPr="00F609F0" w:rsidRDefault="00F769C5" w:rsidP="00F769C5">
      <w:pPr>
        <w:pStyle w:val="Heading2"/>
        <w:spacing w:line="240" w:lineRule="auto"/>
        <w:rPr>
          <w:rFonts w:cs="Arial"/>
          <w:sz w:val="16"/>
          <w:szCs w:val="16"/>
          <w:lang w:val="en-GB"/>
        </w:rPr>
      </w:pPr>
      <w:r w:rsidRPr="00F609F0">
        <w:rPr>
          <w:rFonts w:cs="Arial"/>
          <w:caps w:val="0"/>
          <w:sz w:val="16"/>
          <w:szCs w:val="16"/>
          <w:lang w:val="en-GB"/>
        </w:rPr>
        <w:t>Parts of Skeletal System</w:t>
      </w:r>
    </w:p>
    <w:p w:rsidR="00F769C5" w:rsidRPr="00F609F0" w:rsidRDefault="00F769C5" w:rsidP="00F769C5">
      <w:pPr>
        <w:spacing w:line="240" w:lineRule="auto"/>
        <w:rPr>
          <w:rFonts w:ascii="Arial" w:hAnsi="Arial" w:cs="Arial"/>
          <w:sz w:val="16"/>
          <w:szCs w:val="16"/>
        </w:rPr>
      </w:pPr>
      <w:r w:rsidRPr="00F609F0">
        <w:rPr>
          <w:rFonts w:ascii="Arial" w:hAnsi="Arial" w:cs="Arial"/>
          <w:sz w:val="16"/>
          <w:szCs w:val="16"/>
        </w:rPr>
        <w:t xml:space="preserve">Bones in human body are divided into two parts axial skeleton and the </w:t>
      </w:r>
      <w:proofErr w:type="spellStart"/>
      <w:r w:rsidRPr="00F609F0">
        <w:rPr>
          <w:rFonts w:ascii="Arial" w:hAnsi="Arial" w:cs="Arial"/>
          <w:sz w:val="16"/>
          <w:szCs w:val="16"/>
        </w:rPr>
        <w:t>appendicular</w:t>
      </w:r>
      <w:proofErr w:type="spellEnd"/>
      <w:r w:rsidRPr="00F609F0">
        <w:rPr>
          <w:rFonts w:ascii="Arial" w:hAnsi="Arial" w:cs="Arial"/>
          <w:sz w:val="16"/>
          <w:szCs w:val="16"/>
        </w:rPr>
        <w:t xml:space="preserve"> skeleton. The axial part is made of 80 bones including regions like skull, hyoid, auditory </w:t>
      </w:r>
      <w:proofErr w:type="spellStart"/>
      <w:r w:rsidRPr="00F609F0">
        <w:rPr>
          <w:rFonts w:ascii="Arial" w:hAnsi="Arial" w:cs="Arial"/>
          <w:sz w:val="16"/>
          <w:szCs w:val="16"/>
        </w:rPr>
        <w:t>ossicles</w:t>
      </w:r>
      <w:proofErr w:type="spellEnd"/>
      <w:r w:rsidRPr="00F609F0">
        <w:rPr>
          <w:rFonts w:ascii="Arial" w:hAnsi="Arial" w:cs="Arial"/>
          <w:sz w:val="16"/>
          <w:szCs w:val="16"/>
        </w:rPr>
        <w:t xml:space="preserve">, ribs, sternum and vertebral column. The </w:t>
      </w:r>
      <w:proofErr w:type="spellStart"/>
      <w:r w:rsidRPr="00F609F0">
        <w:rPr>
          <w:rFonts w:ascii="Arial" w:hAnsi="Arial" w:cs="Arial"/>
          <w:sz w:val="16"/>
          <w:szCs w:val="16"/>
        </w:rPr>
        <w:t>appendicular</w:t>
      </w:r>
      <w:proofErr w:type="spellEnd"/>
      <w:r w:rsidRPr="00F609F0">
        <w:rPr>
          <w:rFonts w:ascii="Arial" w:hAnsi="Arial" w:cs="Arial"/>
          <w:sz w:val="16"/>
          <w:szCs w:val="16"/>
        </w:rPr>
        <w:t xml:space="preserve"> part is made up of 126 bones including upper and lower lines, pelvic and pectoral girdle (Bennett, 2018).</w:t>
      </w:r>
    </w:p>
    <w:p w:rsidR="00F769C5" w:rsidRPr="00F609F0" w:rsidRDefault="00F769C5" w:rsidP="00F769C5">
      <w:pPr>
        <w:spacing w:line="240" w:lineRule="auto"/>
        <w:rPr>
          <w:rFonts w:ascii="Arial" w:hAnsi="Arial" w:cs="Arial"/>
          <w:sz w:val="16"/>
          <w:szCs w:val="16"/>
        </w:rPr>
      </w:pPr>
      <w:r w:rsidRPr="00F609F0">
        <w:rPr>
          <w:rFonts w:ascii="Arial" w:hAnsi="Arial" w:cs="Arial"/>
          <w:sz w:val="16"/>
          <w:szCs w:val="16"/>
        </w:rPr>
        <w:t xml:space="preserve">Skull protects the brain from damage and support the eyes, nose and mouth. Hyoid is a u-shaped bone which help the trachea to form tongue muscles. Auditory </w:t>
      </w:r>
      <w:proofErr w:type="spellStart"/>
      <w:r w:rsidRPr="00F609F0">
        <w:rPr>
          <w:rFonts w:ascii="Arial" w:hAnsi="Arial" w:cs="Arial"/>
          <w:sz w:val="16"/>
          <w:szCs w:val="16"/>
        </w:rPr>
        <w:t>ossicles</w:t>
      </w:r>
      <w:proofErr w:type="spellEnd"/>
      <w:r w:rsidRPr="00F609F0">
        <w:rPr>
          <w:rFonts w:ascii="Arial" w:hAnsi="Arial" w:cs="Arial"/>
          <w:sz w:val="16"/>
          <w:szCs w:val="16"/>
        </w:rPr>
        <w:t xml:space="preserve"> are smallest bones found in human body, which serve the sound transfer from eardrum to the inner ear. Ribs and sternum are thin bones which connect ribs to cartilage (Bennett, 2018). There are 26 Vertebrae in human body, 7 in neck, 12 in chest, 5 in lower back, 1 for sacrum and 1 in tailbone. Pectoral girdle is where arms are attached and are made up of collarbone and shoulder blade. Pelvic girdle is where legs are attached to hip bones. Upper and lower limbs consists of 30 bones each.</w:t>
      </w:r>
    </w:p>
    <w:p w:rsidR="00F769C5" w:rsidRPr="00F609F0" w:rsidRDefault="00F769C5" w:rsidP="00F769C5">
      <w:pPr>
        <w:spacing w:line="240" w:lineRule="auto"/>
        <w:rPr>
          <w:rFonts w:ascii="Arial" w:hAnsi="Arial" w:cs="Arial"/>
          <w:sz w:val="16"/>
          <w:szCs w:val="16"/>
        </w:rPr>
      </w:pPr>
      <w:r w:rsidRPr="00F609F0">
        <w:rPr>
          <w:rFonts w:ascii="Arial" w:hAnsi="Arial" w:cs="Arial"/>
          <w:sz w:val="16"/>
          <w:szCs w:val="16"/>
        </w:rPr>
        <w:t>Some of the common health conditions which affect the overall skeletal system include arthritis, fracture, osteoporosis and sprains (Su, et.AL, 2019, pp.776-787).</w:t>
      </w:r>
    </w:p>
    <w:p w:rsidR="00F769C5" w:rsidRPr="00F609F0" w:rsidRDefault="00F769C5" w:rsidP="00F769C5">
      <w:pPr>
        <w:spacing w:line="240" w:lineRule="auto"/>
        <w:jc w:val="center"/>
        <w:rPr>
          <w:rFonts w:ascii="Arial" w:hAnsi="Arial" w:cs="Arial"/>
          <w:sz w:val="16"/>
          <w:szCs w:val="16"/>
        </w:rPr>
      </w:pPr>
      <w:r w:rsidRPr="00F609F0">
        <w:rPr>
          <w:rFonts w:ascii="Arial" w:hAnsi="Arial" w:cs="Arial"/>
          <w:noProof/>
          <w:sz w:val="16"/>
          <w:szCs w:val="16"/>
          <w:lang w:eastAsia="en-GB"/>
        </w:rPr>
        <w:drawing>
          <wp:inline distT="0" distB="0" distL="0" distR="0">
            <wp:extent cx="1433258" cy="158089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22.jp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70948" cy="1622466"/>
                    </a:xfrm>
                    <a:prstGeom prst="rect">
                      <a:avLst/>
                    </a:prstGeom>
                  </pic:spPr>
                </pic:pic>
              </a:graphicData>
            </a:graphic>
          </wp:inline>
        </w:drawing>
      </w:r>
    </w:p>
    <w:p w:rsidR="00F769C5" w:rsidRPr="00F609F0" w:rsidRDefault="00F769C5" w:rsidP="00F769C5">
      <w:pPr>
        <w:spacing w:line="240" w:lineRule="auto"/>
        <w:jc w:val="center"/>
        <w:rPr>
          <w:rFonts w:ascii="Arial" w:hAnsi="Arial" w:cs="Arial"/>
          <w:sz w:val="16"/>
          <w:szCs w:val="16"/>
        </w:rPr>
      </w:pPr>
      <w:r w:rsidRPr="00F609F0">
        <w:rPr>
          <w:rFonts w:ascii="Arial" w:hAnsi="Arial" w:cs="Arial"/>
          <w:sz w:val="16"/>
          <w:szCs w:val="16"/>
        </w:rPr>
        <w:t xml:space="preserve">Figure 1.2 Axial and </w:t>
      </w:r>
      <w:proofErr w:type="spellStart"/>
      <w:r w:rsidRPr="00F609F0">
        <w:rPr>
          <w:rFonts w:ascii="Arial" w:hAnsi="Arial" w:cs="Arial"/>
          <w:sz w:val="16"/>
          <w:szCs w:val="16"/>
        </w:rPr>
        <w:t>Appendicular</w:t>
      </w:r>
      <w:proofErr w:type="spellEnd"/>
      <w:r w:rsidRPr="00F609F0">
        <w:rPr>
          <w:rFonts w:ascii="Arial" w:hAnsi="Arial" w:cs="Arial"/>
          <w:sz w:val="16"/>
          <w:szCs w:val="16"/>
        </w:rPr>
        <w:t xml:space="preserve"> Skeleton (Bennett, 2018)</w:t>
      </w:r>
    </w:p>
    <w:p w:rsidR="00F769C5" w:rsidRPr="00F609F0" w:rsidRDefault="00F769C5" w:rsidP="00F769C5">
      <w:pPr>
        <w:pStyle w:val="Heading2"/>
        <w:spacing w:line="240" w:lineRule="auto"/>
        <w:rPr>
          <w:rFonts w:cs="Arial"/>
          <w:caps w:val="0"/>
          <w:sz w:val="16"/>
          <w:szCs w:val="16"/>
          <w:lang w:val="en-GB"/>
        </w:rPr>
      </w:pPr>
      <w:r w:rsidRPr="00F609F0">
        <w:rPr>
          <w:rFonts w:cs="Arial"/>
          <w:caps w:val="0"/>
          <w:sz w:val="16"/>
          <w:szCs w:val="16"/>
          <w:lang w:val="en-GB"/>
        </w:rPr>
        <w:t>The Need for Timely Data Collection in Health &amp; Social Care</w:t>
      </w:r>
    </w:p>
    <w:p w:rsidR="00F769C5" w:rsidRPr="00F609F0" w:rsidRDefault="00F769C5" w:rsidP="00F769C5">
      <w:pPr>
        <w:spacing w:line="240" w:lineRule="auto"/>
        <w:rPr>
          <w:rFonts w:ascii="Arial" w:hAnsi="Arial" w:cs="Arial"/>
          <w:sz w:val="16"/>
          <w:szCs w:val="16"/>
        </w:rPr>
      </w:pPr>
      <w:r w:rsidRPr="00F609F0">
        <w:rPr>
          <w:rFonts w:ascii="Arial" w:hAnsi="Arial" w:cs="Arial"/>
          <w:sz w:val="16"/>
          <w:szCs w:val="16"/>
        </w:rPr>
        <w:t>Human body movement is an interplay between neurological, skeletal and muscular systems, however the skeletal system provides the basic framework. The advancement in technology gas enabled skeletal imaging and modelling to better understand the condition. According to a survey conducted by NHS, 1 in 4 adults are affected by musculoskeletal conditions and have huge impact on the quality of life they spend (NHS, 2020).</w:t>
      </w:r>
    </w:p>
    <w:p w:rsidR="00F769C5" w:rsidRPr="00F609F0" w:rsidRDefault="00F769C5" w:rsidP="00F769C5">
      <w:pPr>
        <w:spacing w:line="240" w:lineRule="auto"/>
        <w:rPr>
          <w:rFonts w:ascii="Arial" w:hAnsi="Arial" w:cs="Arial"/>
          <w:sz w:val="16"/>
          <w:szCs w:val="16"/>
        </w:rPr>
      </w:pPr>
      <w:r w:rsidRPr="00F609F0">
        <w:rPr>
          <w:rFonts w:ascii="Arial" w:hAnsi="Arial" w:cs="Arial"/>
          <w:sz w:val="16"/>
          <w:szCs w:val="16"/>
        </w:rPr>
        <w:t>The healthcare industry across the world is developing and advancing rapidly, therefore coupled with the big data and machine learning, healthcare professionals are setting new standards and trends. Therefore, the data collection in health and social care allows healthcare systems to better evolve and address issues through various healthcare entities, hospitals and clinics. The personal electronic health record systems and database will enable patients to access data anytime and at anywhere, without repeating the history to different doctors. The digital care systems can allow real-time data collection, essential for improving overall quality of social care (</w:t>
      </w:r>
      <w:proofErr w:type="spellStart"/>
      <w:r w:rsidRPr="00F609F0">
        <w:rPr>
          <w:rFonts w:ascii="Arial" w:hAnsi="Arial" w:cs="Arial"/>
          <w:sz w:val="16"/>
          <w:szCs w:val="16"/>
        </w:rPr>
        <w:t>Andrikopoulou</w:t>
      </w:r>
      <w:proofErr w:type="spellEnd"/>
      <w:r w:rsidRPr="00F609F0">
        <w:rPr>
          <w:rFonts w:ascii="Arial" w:hAnsi="Arial" w:cs="Arial"/>
          <w:sz w:val="16"/>
          <w:szCs w:val="16"/>
        </w:rPr>
        <w:t>, et.AL, 2019). The benefits of data collection include personalised individual care, understanding of the disease, patient history, treatment and prevention, future planning and patient safety.</w:t>
      </w:r>
    </w:p>
    <w:p w:rsidR="00F769C5" w:rsidRPr="00F609F0" w:rsidRDefault="00F769C5" w:rsidP="00F769C5">
      <w:pPr>
        <w:pStyle w:val="Heading2"/>
        <w:spacing w:line="240" w:lineRule="auto"/>
        <w:rPr>
          <w:rFonts w:cs="Arial"/>
          <w:caps w:val="0"/>
          <w:sz w:val="16"/>
          <w:szCs w:val="16"/>
          <w:lang w:val="en-GB"/>
        </w:rPr>
      </w:pPr>
      <w:r w:rsidRPr="00F609F0">
        <w:rPr>
          <w:rFonts w:cs="Arial"/>
          <w:caps w:val="0"/>
          <w:sz w:val="16"/>
          <w:szCs w:val="16"/>
          <w:lang w:val="en-GB"/>
        </w:rPr>
        <w:lastRenderedPageBreak/>
        <w:t>Planning of Care for Individuals through Routine Data</w:t>
      </w:r>
    </w:p>
    <w:p w:rsidR="00F769C5" w:rsidRPr="00F609F0" w:rsidRDefault="00F769C5" w:rsidP="00F769C5">
      <w:pPr>
        <w:spacing w:line="240" w:lineRule="auto"/>
        <w:rPr>
          <w:rFonts w:ascii="Arial" w:hAnsi="Arial" w:cs="Arial"/>
          <w:sz w:val="16"/>
          <w:szCs w:val="16"/>
        </w:rPr>
      </w:pPr>
      <w:r w:rsidRPr="00F609F0">
        <w:rPr>
          <w:rFonts w:ascii="Arial" w:hAnsi="Arial" w:cs="Arial"/>
          <w:sz w:val="16"/>
          <w:szCs w:val="16"/>
        </w:rPr>
        <w:t>Bones are essential parts of human body and can highly impact movement functions, if problems are not identified and treated on time. Routine data collection for individuals having skeletal health issues can be monitored through mobile applications, portable devices that can connect clinicians and patient to access data at a single source point. Within a health and social care setting, individual health data in context to the skeletal system will enable healthcare providers to research, plan and better deliver services in this regard. For issues related to skeletal system, individuals can undergo routine bone mineral density measurement test. It can have huge impact on bone health, by managing disease (if any) and optimising nutrition and exercise accordingly.</w:t>
      </w:r>
    </w:p>
    <w:p w:rsidR="00F769C5" w:rsidRPr="00F609F0" w:rsidRDefault="00F769C5" w:rsidP="00F769C5">
      <w:pPr>
        <w:spacing w:line="240" w:lineRule="auto"/>
        <w:rPr>
          <w:rFonts w:ascii="Arial" w:hAnsi="Arial" w:cs="Arial"/>
          <w:sz w:val="16"/>
          <w:szCs w:val="16"/>
        </w:rPr>
      </w:pPr>
      <w:r w:rsidRPr="00F609F0">
        <w:rPr>
          <w:rFonts w:ascii="Arial" w:hAnsi="Arial" w:cs="Arial"/>
          <w:sz w:val="16"/>
          <w:szCs w:val="16"/>
        </w:rPr>
        <w:t>Especially after the current COVID-19 pandemic, there have been a stronger active involvement of individuals in maintenance health records and data</w:t>
      </w:r>
      <w:r>
        <w:rPr>
          <w:rFonts w:ascii="Arial" w:hAnsi="Arial" w:cs="Arial"/>
          <w:sz w:val="16"/>
          <w:szCs w:val="16"/>
        </w:rPr>
        <w:t xml:space="preserve"> (</w:t>
      </w:r>
      <w:proofErr w:type="spellStart"/>
      <w:r>
        <w:rPr>
          <w:rFonts w:ascii="Arial" w:hAnsi="Arial" w:cs="Arial"/>
          <w:sz w:val="16"/>
          <w:szCs w:val="16"/>
        </w:rPr>
        <w:t>Lenert</w:t>
      </w:r>
      <w:proofErr w:type="spellEnd"/>
      <w:r>
        <w:rPr>
          <w:rFonts w:ascii="Arial" w:hAnsi="Arial" w:cs="Arial"/>
          <w:sz w:val="16"/>
          <w:szCs w:val="16"/>
        </w:rPr>
        <w:t xml:space="preserve"> and </w:t>
      </w:r>
      <w:proofErr w:type="spellStart"/>
      <w:r>
        <w:rPr>
          <w:rFonts w:ascii="Arial" w:hAnsi="Arial" w:cs="Arial"/>
          <w:sz w:val="16"/>
          <w:szCs w:val="16"/>
        </w:rPr>
        <w:t>McSwain</w:t>
      </w:r>
      <w:proofErr w:type="spellEnd"/>
      <w:r>
        <w:rPr>
          <w:rFonts w:ascii="Arial" w:hAnsi="Arial" w:cs="Arial"/>
          <w:sz w:val="16"/>
          <w:szCs w:val="16"/>
        </w:rPr>
        <w:t>, 2020, pp.936-966)</w:t>
      </w:r>
      <w:r w:rsidRPr="00F609F0">
        <w:rPr>
          <w:rFonts w:ascii="Arial" w:hAnsi="Arial" w:cs="Arial"/>
          <w:sz w:val="16"/>
          <w:szCs w:val="16"/>
        </w:rPr>
        <w:t>. Purposeful use of technology in this regard can help individuals in improving health status. Currently, the healthcare systems have also been challenged and are establishing new ways to enhance healthcare systems with technology and mobile integration.</w:t>
      </w: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F769C5" w:rsidRDefault="00F769C5" w:rsidP="00AC6AEA">
      <w:pPr>
        <w:jc w:val="center"/>
        <w:rPr>
          <w:rFonts w:ascii="Arial" w:hAnsi="Arial" w:cs="Arial"/>
        </w:rPr>
      </w:pPr>
    </w:p>
    <w:p w:rsidR="002C2BE7" w:rsidRPr="00625819" w:rsidRDefault="00F769C5" w:rsidP="00F769C5">
      <w:pPr>
        <w:rPr>
          <w:rFonts w:ascii="Arial" w:hAnsi="Arial" w:cs="Arial"/>
        </w:rPr>
      </w:pPr>
      <w:r>
        <w:rPr>
          <w:rFonts w:ascii="Arial" w:hAnsi="Arial" w:cs="Arial"/>
        </w:rPr>
        <w:t xml:space="preserve">                                                             </w:t>
      </w:r>
      <w:r w:rsidR="00AC6AEA" w:rsidRPr="00625819">
        <w:rPr>
          <w:rFonts w:ascii="Arial" w:hAnsi="Arial" w:cs="Arial"/>
        </w:rPr>
        <w:t>References</w:t>
      </w:r>
    </w:p>
    <w:p w:rsidR="00AC6AEA" w:rsidRPr="00F769C5" w:rsidRDefault="00AC6AEA" w:rsidP="00AC6AEA">
      <w:pPr>
        <w:jc w:val="center"/>
        <w:rPr>
          <w:rFonts w:ascii="Arial" w:hAnsi="Arial" w:cs="Arial"/>
          <w:sz w:val="16"/>
          <w:szCs w:val="16"/>
        </w:rPr>
      </w:pPr>
    </w:p>
    <w:p w:rsidR="00625819" w:rsidRPr="00F769C5" w:rsidRDefault="00625819" w:rsidP="00625819">
      <w:pPr>
        <w:ind w:left="720" w:hanging="720"/>
        <w:rPr>
          <w:rFonts w:ascii="Arial" w:hAnsi="Arial" w:cs="Arial"/>
          <w:sz w:val="16"/>
          <w:szCs w:val="16"/>
        </w:rPr>
      </w:pPr>
      <w:proofErr w:type="spellStart"/>
      <w:r w:rsidRPr="00F769C5">
        <w:rPr>
          <w:rFonts w:ascii="Arial" w:hAnsi="Arial" w:cs="Arial"/>
          <w:sz w:val="16"/>
          <w:szCs w:val="16"/>
        </w:rPr>
        <w:t>Andrikopoulou</w:t>
      </w:r>
      <w:proofErr w:type="spellEnd"/>
      <w:r w:rsidRPr="00F769C5">
        <w:rPr>
          <w:rFonts w:ascii="Arial" w:hAnsi="Arial" w:cs="Arial"/>
          <w:sz w:val="16"/>
          <w:szCs w:val="16"/>
        </w:rPr>
        <w:t>, E., Philips, S., Herrera, H., and Good, A. (2019) what are the important design features of personal health records to improve medication adherence for patients with long-term conditions? A systematic literature review, BMJ, data retrieved from https://bmjopen.bmj.com/content/9/9/e028628.citation-tools on 6</w:t>
      </w:r>
      <w:r w:rsidRPr="00F769C5">
        <w:rPr>
          <w:rFonts w:ascii="Arial" w:hAnsi="Arial" w:cs="Arial"/>
          <w:sz w:val="16"/>
          <w:szCs w:val="16"/>
          <w:vertAlign w:val="superscript"/>
        </w:rPr>
        <w:t>th</w:t>
      </w:r>
      <w:r w:rsidRPr="00F769C5">
        <w:rPr>
          <w:rFonts w:ascii="Arial" w:hAnsi="Arial" w:cs="Arial"/>
          <w:sz w:val="16"/>
          <w:szCs w:val="16"/>
        </w:rPr>
        <w:t xml:space="preserve"> November 2020</w:t>
      </w:r>
      <w:r w:rsidR="00D642E9">
        <w:rPr>
          <w:rFonts w:ascii="Arial" w:hAnsi="Arial" w:cs="Arial"/>
          <w:sz w:val="16"/>
          <w:szCs w:val="16"/>
        </w:rPr>
        <w:t>google</w:t>
      </w:r>
    </w:p>
    <w:p w:rsidR="00625819" w:rsidRPr="00F769C5" w:rsidRDefault="00625819" w:rsidP="00625819">
      <w:pPr>
        <w:ind w:left="720" w:hanging="720"/>
        <w:rPr>
          <w:rFonts w:ascii="Arial" w:hAnsi="Arial" w:cs="Arial"/>
          <w:sz w:val="16"/>
          <w:szCs w:val="16"/>
        </w:rPr>
      </w:pPr>
      <w:r w:rsidRPr="00F769C5">
        <w:rPr>
          <w:rFonts w:ascii="Arial" w:hAnsi="Arial" w:cs="Arial"/>
          <w:sz w:val="16"/>
          <w:szCs w:val="16"/>
        </w:rPr>
        <w:t xml:space="preserve">Bennett, M. B. (2018) Skeletal System, </w:t>
      </w:r>
      <w:r w:rsidR="00D642E9">
        <w:rPr>
          <w:rFonts w:ascii="Arial" w:hAnsi="Arial" w:cs="Arial"/>
          <w:sz w:val="16"/>
          <w:szCs w:val="16"/>
        </w:rPr>
        <w:t xml:space="preserve">Access </w:t>
      </w:r>
      <w:r w:rsidRPr="00F769C5">
        <w:rPr>
          <w:rFonts w:ascii="Arial" w:hAnsi="Arial" w:cs="Arial"/>
          <w:sz w:val="16"/>
          <w:szCs w:val="16"/>
        </w:rPr>
        <w:t>Science, McGraw-Hill Education, data retrieved from https://www.accessscience.com/content/skeletal-system/626700 on 6</w:t>
      </w:r>
      <w:r w:rsidRPr="00F769C5">
        <w:rPr>
          <w:rFonts w:ascii="Arial" w:hAnsi="Arial" w:cs="Arial"/>
          <w:sz w:val="16"/>
          <w:szCs w:val="16"/>
          <w:vertAlign w:val="superscript"/>
        </w:rPr>
        <w:t>th</w:t>
      </w:r>
      <w:r w:rsidRPr="00F769C5">
        <w:rPr>
          <w:rFonts w:ascii="Arial" w:hAnsi="Arial" w:cs="Arial"/>
          <w:sz w:val="16"/>
          <w:szCs w:val="16"/>
        </w:rPr>
        <w:t xml:space="preserve"> November 2020</w:t>
      </w:r>
    </w:p>
    <w:p w:rsidR="00625819" w:rsidRPr="00F769C5" w:rsidRDefault="00625819" w:rsidP="00625819">
      <w:pPr>
        <w:ind w:left="720" w:hanging="720"/>
        <w:rPr>
          <w:rFonts w:ascii="Arial" w:hAnsi="Arial" w:cs="Arial"/>
          <w:sz w:val="16"/>
          <w:szCs w:val="16"/>
        </w:rPr>
      </w:pPr>
      <w:proofErr w:type="spellStart"/>
      <w:r w:rsidRPr="00F769C5">
        <w:rPr>
          <w:rFonts w:ascii="Arial" w:hAnsi="Arial" w:cs="Arial"/>
          <w:sz w:val="16"/>
          <w:szCs w:val="16"/>
        </w:rPr>
        <w:t>Jacquillet</w:t>
      </w:r>
      <w:proofErr w:type="spellEnd"/>
      <w:r w:rsidRPr="00F769C5">
        <w:rPr>
          <w:rFonts w:ascii="Arial" w:hAnsi="Arial" w:cs="Arial"/>
          <w:sz w:val="16"/>
          <w:szCs w:val="16"/>
        </w:rPr>
        <w:t xml:space="preserve">, G., and </w:t>
      </w:r>
      <w:proofErr w:type="spellStart"/>
      <w:r w:rsidRPr="00F769C5">
        <w:rPr>
          <w:rFonts w:ascii="Arial" w:hAnsi="Arial" w:cs="Arial"/>
          <w:sz w:val="16"/>
          <w:szCs w:val="16"/>
        </w:rPr>
        <w:t>Unwin</w:t>
      </w:r>
      <w:proofErr w:type="spellEnd"/>
      <w:r w:rsidRPr="00F769C5">
        <w:rPr>
          <w:rFonts w:ascii="Arial" w:hAnsi="Arial" w:cs="Arial"/>
          <w:sz w:val="16"/>
          <w:szCs w:val="16"/>
        </w:rPr>
        <w:t>, J. R. (2019) Physiological regulation of phosphate by Vitamin D, parathyroid hormone and phosphate, European Journal of Physiology, Vol.47, Iss.1, pp.83-98, data retrieved from https://www.ncbi.nlm.nih.gov/pmc/articles/PMC6326012/ on 6</w:t>
      </w:r>
      <w:r w:rsidRPr="00F769C5">
        <w:rPr>
          <w:rFonts w:ascii="Arial" w:hAnsi="Arial" w:cs="Arial"/>
          <w:sz w:val="16"/>
          <w:szCs w:val="16"/>
          <w:vertAlign w:val="superscript"/>
        </w:rPr>
        <w:t>th</w:t>
      </w:r>
      <w:r w:rsidRPr="00F769C5">
        <w:rPr>
          <w:rFonts w:ascii="Arial" w:hAnsi="Arial" w:cs="Arial"/>
          <w:sz w:val="16"/>
          <w:szCs w:val="16"/>
        </w:rPr>
        <w:t xml:space="preserve"> November 2020</w:t>
      </w:r>
    </w:p>
    <w:p w:rsidR="00625819" w:rsidRPr="00F769C5" w:rsidRDefault="00625819" w:rsidP="00625819">
      <w:pPr>
        <w:ind w:left="720" w:hanging="720"/>
        <w:rPr>
          <w:rFonts w:ascii="Arial" w:hAnsi="Arial" w:cs="Arial"/>
          <w:sz w:val="16"/>
          <w:szCs w:val="16"/>
        </w:rPr>
      </w:pPr>
      <w:proofErr w:type="spellStart"/>
      <w:r w:rsidRPr="00F769C5">
        <w:rPr>
          <w:rFonts w:ascii="Arial" w:hAnsi="Arial" w:cs="Arial"/>
          <w:sz w:val="16"/>
          <w:szCs w:val="16"/>
        </w:rPr>
        <w:t>Lenert</w:t>
      </w:r>
      <w:proofErr w:type="spellEnd"/>
      <w:r w:rsidRPr="00F769C5">
        <w:rPr>
          <w:rFonts w:ascii="Arial" w:hAnsi="Arial" w:cs="Arial"/>
          <w:sz w:val="16"/>
          <w:szCs w:val="16"/>
        </w:rPr>
        <w:t xml:space="preserve">, L. and </w:t>
      </w:r>
      <w:proofErr w:type="spellStart"/>
      <w:r w:rsidRPr="00F769C5">
        <w:rPr>
          <w:rFonts w:ascii="Arial" w:hAnsi="Arial" w:cs="Arial"/>
          <w:sz w:val="16"/>
          <w:szCs w:val="16"/>
        </w:rPr>
        <w:t>McSwain</w:t>
      </w:r>
      <w:proofErr w:type="spellEnd"/>
      <w:r w:rsidRPr="00F769C5">
        <w:rPr>
          <w:rFonts w:ascii="Arial" w:hAnsi="Arial" w:cs="Arial"/>
          <w:sz w:val="16"/>
          <w:szCs w:val="16"/>
        </w:rPr>
        <w:t>, Y. B., (2020) Balancing health privacy, health information exchange and research in the context of the COVID-19 pandemic, Journal of the American Informatics Association, Vol.27, Iss.6, pp.936-966, data retrieved from https://academic.oup.com/jamia/article/27/6/963/5814212 on 6</w:t>
      </w:r>
      <w:r w:rsidRPr="00F769C5">
        <w:rPr>
          <w:rFonts w:ascii="Arial" w:hAnsi="Arial" w:cs="Arial"/>
          <w:sz w:val="16"/>
          <w:szCs w:val="16"/>
          <w:vertAlign w:val="superscript"/>
        </w:rPr>
        <w:t>th</w:t>
      </w:r>
      <w:r w:rsidRPr="00F769C5">
        <w:rPr>
          <w:rFonts w:ascii="Arial" w:hAnsi="Arial" w:cs="Arial"/>
          <w:sz w:val="16"/>
          <w:szCs w:val="16"/>
        </w:rPr>
        <w:t xml:space="preserve"> November 2020</w:t>
      </w:r>
    </w:p>
    <w:p w:rsidR="00625819" w:rsidRPr="00F769C5" w:rsidRDefault="00625819" w:rsidP="00625819">
      <w:pPr>
        <w:ind w:left="720" w:hanging="720"/>
        <w:rPr>
          <w:rFonts w:ascii="Arial" w:hAnsi="Arial" w:cs="Arial"/>
          <w:sz w:val="16"/>
          <w:szCs w:val="16"/>
        </w:rPr>
      </w:pPr>
      <w:r w:rsidRPr="00F769C5">
        <w:rPr>
          <w:rFonts w:ascii="Arial" w:hAnsi="Arial" w:cs="Arial"/>
          <w:sz w:val="16"/>
          <w:szCs w:val="16"/>
        </w:rPr>
        <w:t>NHS, (2020) Musculoskeletal Conditions, data retrieved from https://www.england.nhs.uk/ourwork/clinical-policy/ltc/our-work-on-long-term-conditions/musculoskeletal/ on 6</w:t>
      </w:r>
      <w:r w:rsidRPr="00F769C5">
        <w:rPr>
          <w:rFonts w:ascii="Arial" w:hAnsi="Arial" w:cs="Arial"/>
          <w:sz w:val="16"/>
          <w:szCs w:val="16"/>
          <w:vertAlign w:val="superscript"/>
        </w:rPr>
        <w:t>th</w:t>
      </w:r>
      <w:r w:rsidRPr="00F769C5">
        <w:rPr>
          <w:rFonts w:ascii="Arial" w:hAnsi="Arial" w:cs="Arial"/>
          <w:sz w:val="16"/>
          <w:szCs w:val="16"/>
        </w:rPr>
        <w:t xml:space="preserve"> November 2020</w:t>
      </w:r>
    </w:p>
    <w:p w:rsidR="00625819" w:rsidRPr="00F769C5" w:rsidRDefault="00625819" w:rsidP="00625819">
      <w:pPr>
        <w:ind w:left="720" w:hanging="720"/>
        <w:rPr>
          <w:rFonts w:ascii="Arial" w:hAnsi="Arial" w:cs="Arial"/>
          <w:sz w:val="16"/>
          <w:szCs w:val="16"/>
        </w:rPr>
      </w:pPr>
      <w:r w:rsidRPr="00F769C5">
        <w:rPr>
          <w:rFonts w:ascii="Arial" w:hAnsi="Arial" w:cs="Arial"/>
          <w:sz w:val="16"/>
          <w:szCs w:val="16"/>
        </w:rPr>
        <w:t xml:space="preserve">Patton, T. K., and </w:t>
      </w:r>
      <w:proofErr w:type="spellStart"/>
      <w:r w:rsidRPr="00F769C5">
        <w:rPr>
          <w:rFonts w:ascii="Arial" w:hAnsi="Arial" w:cs="Arial"/>
          <w:sz w:val="16"/>
          <w:szCs w:val="16"/>
        </w:rPr>
        <w:t>Thibodeau</w:t>
      </w:r>
      <w:proofErr w:type="spellEnd"/>
      <w:r w:rsidRPr="00F769C5">
        <w:rPr>
          <w:rFonts w:ascii="Arial" w:hAnsi="Arial" w:cs="Arial"/>
          <w:sz w:val="16"/>
          <w:szCs w:val="16"/>
        </w:rPr>
        <w:t xml:space="preserve">, A. G., (2015) Structure and Function of the Body – </w:t>
      </w:r>
      <w:proofErr w:type="spellStart"/>
      <w:r w:rsidRPr="00F769C5">
        <w:rPr>
          <w:rFonts w:ascii="Arial" w:hAnsi="Arial" w:cs="Arial"/>
          <w:sz w:val="16"/>
          <w:szCs w:val="16"/>
        </w:rPr>
        <w:t>Softcover</w:t>
      </w:r>
      <w:proofErr w:type="spellEnd"/>
      <w:r w:rsidRPr="00F769C5">
        <w:rPr>
          <w:rFonts w:ascii="Arial" w:hAnsi="Arial" w:cs="Arial"/>
          <w:sz w:val="16"/>
          <w:szCs w:val="16"/>
        </w:rPr>
        <w:t>, Elsevier Health Sciences, pp.5-13, data retrieved from https://books.google.co.uk/books?id=HqE_CwAAQBAJ&amp;dq=structure+and+function+of+human+body&amp;source=gbs_navlinks_s on 6</w:t>
      </w:r>
      <w:r w:rsidRPr="00F769C5">
        <w:rPr>
          <w:rFonts w:ascii="Arial" w:hAnsi="Arial" w:cs="Arial"/>
          <w:sz w:val="16"/>
          <w:szCs w:val="16"/>
          <w:vertAlign w:val="superscript"/>
        </w:rPr>
        <w:t>th</w:t>
      </w:r>
      <w:r w:rsidRPr="00F769C5">
        <w:rPr>
          <w:rFonts w:ascii="Arial" w:hAnsi="Arial" w:cs="Arial"/>
          <w:sz w:val="16"/>
          <w:szCs w:val="16"/>
        </w:rPr>
        <w:t xml:space="preserve"> November 2020 </w:t>
      </w:r>
    </w:p>
    <w:p w:rsidR="00625819" w:rsidRPr="00F769C5" w:rsidRDefault="00625819" w:rsidP="00625819">
      <w:pPr>
        <w:ind w:left="720" w:hanging="720"/>
        <w:rPr>
          <w:rFonts w:ascii="Arial" w:hAnsi="Arial" w:cs="Arial"/>
          <w:sz w:val="16"/>
          <w:szCs w:val="16"/>
        </w:rPr>
      </w:pPr>
      <w:r w:rsidRPr="00F769C5">
        <w:rPr>
          <w:rFonts w:ascii="Arial" w:hAnsi="Arial" w:cs="Arial"/>
          <w:sz w:val="16"/>
          <w:szCs w:val="16"/>
        </w:rPr>
        <w:t xml:space="preserve">Su, N., Yang, J., </w:t>
      </w:r>
      <w:proofErr w:type="spellStart"/>
      <w:r w:rsidRPr="00F769C5">
        <w:rPr>
          <w:rFonts w:ascii="Arial" w:hAnsi="Arial" w:cs="Arial"/>
          <w:sz w:val="16"/>
          <w:szCs w:val="16"/>
        </w:rPr>
        <w:t>Xie</w:t>
      </w:r>
      <w:proofErr w:type="spellEnd"/>
      <w:r w:rsidRPr="00F769C5">
        <w:rPr>
          <w:rFonts w:ascii="Arial" w:hAnsi="Arial" w:cs="Arial"/>
          <w:sz w:val="16"/>
          <w:szCs w:val="16"/>
        </w:rPr>
        <w:t>, Y., Du, X., Chen. H., Zhou, H. and Chen, L. (2019) Bone function, dysfunction and its role in diseases including critical illness, International Journal of Biological Sciences, Vo.15, Iss.4, pp.776-787, data retrieved from https://www.ncbi.nlm.nih.gov/pmc/articles/PMC6429025/ on 6</w:t>
      </w:r>
      <w:r w:rsidRPr="00F769C5">
        <w:rPr>
          <w:rFonts w:ascii="Arial" w:hAnsi="Arial" w:cs="Arial"/>
          <w:sz w:val="16"/>
          <w:szCs w:val="16"/>
          <w:vertAlign w:val="superscript"/>
        </w:rPr>
        <w:t>th</w:t>
      </w:r>
      <w:r w:rsidRPr="00F769C5">
        <w:rPr>
          <w:rFonts w:ascii="Arial" w:hAnsi="Arial" w:cs="Arial"/>
          <w:sz w:val="16"/>
          <w:szCs w:val="16"/>
        </w:rPr>
        <w:t xml:space="preserve"> November 2020</w:t>
      </w:r>
    </w:p>
    <w:p w:rsidR="00625819" w:rsidRPr="00F769C5" w:rsidRDefault="00625819" w:rsidP="00625819">
      <w:pPr>
        <w:ind w:left="720" w:hanging="720"/>
        <w:rPr>
          <w:rFonts w:ascii="Arial" w:hAnsi="Arial" w:cs="Arial"/>
          <w:sz w:val="16"/>
          <w:szCs w:val="16"/>
        </w:rPr>
      </w:pPr>
      <w:r w:rsidRPr="00F769C5">
        <w:rPr>
          <w:rFonts w:ascii="Arial" w:hAnsi="Arial" w:cs="Arial"/>
          <w:sz w:val="16"/>
          <w:szCs w:val="16"/>
        </w:rPr>
        <w:t>Waugh, A. and Grant, A. (2014) Ross &amp; Wilson Anatomy and Physiology in Health and Illness, Elsevier Health Sciences, data retrieved from https://books.google.co.uk/books?id=fMeUAwAAQBAJ&amp;dq=ross+and+wilson+anatomy+and+physiology&amp;hl=en&amp;sa=X&amp;ved=2ahUKEwi1iYDDxeHsAhUNdBQKHRi5BdsQ6AEwAXoECAYQAg on 6</w:t>
      </w:r>
      <w:r w:rsidRPr="00F769C5">
        <w:rPr>
          <w:rFonts w:ascii="Arial" w:hAnsi="Arial" w:cs="Arial"/>
          <w:sz w:val="16"/>
          <w:szCs w:val="16"/>
          <w:vertAlign w:val="superscript"/>
        </w:rPr>
        <w:t>th</w:t>
      </w:r>
      <w:r w:rsidRPr="00F769C5">
        <w:rPr>
          <w:rFonts w:ascii="Arial" w:hAnsi="Arial" w:cs="Arial"/>
          <w:sz w:val="16"/>
          <w:szCs w:val="16"/>
        </w:rPr>
        <w:t xml:space="preserve"> November 2020</w:t>
      </w:r>
    </w:p>
    <w:sectPr w:rsidR="00625819" w:rsidRPr="00F769C5" w:rsidSect="00602EC1">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73E" w:rsidRDefault="00E0073E" w:rsidP="00602EC1">
      <w:pPr>
        <w:spacing w:after="0" w:line="240" w:lineRule="auto"/>
      </w:pPr>
      <w:r>
        <w:separator/>
      </w:r>
    </w:p>
  </w:endnote>
  <w:endnote w:type="continuationSeparator" w:id="0">
    <w:p w:rsidR="00E0073E" w:rsidRDefault="00E0073E" w:rsidP="00602E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6DA" w:rsidRDefault="00E0073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6DA" w:rsidRDefault="00E007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6DA" w:rsidRDefault="00E007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73E" w:rsidRDefault="00E0073E" w:rsidP="00602EC1">
      <w:pPr>
        <w:spacing w:after="0" w:line="240" w:lineRule="auto"/>
      </w:pPr>
      <w:r>
        <w:separator/>
      </w:r>
    </w:p>
  </w:footnote>
  <w:footnote w:type="continuationSeparator" w:id="0">
    <w:p w:rsidR="00E0073E" w:rsidRDefault="00E0073E" w:rsidP="00602EC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6DA" w:rsidRDefault="00602EC1">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04704" o:spid="_x0000_s2050" type="#_x0000_t75" style="position:absolute;margin-left:0;margin-top:0;width:10in;height:405pt;z-index:-251659776;mso-position-horizontal:center;mso-position-horizontal-relative:margin;mso-position-vertical:center;mso-position-vertical-relative:margin" o:allowincell="f">
          <v:imagedata r:id="rId1" o:title="111"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6DA" w:rsidRDefault="00602EC1">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04705" o:spid="_x0000_s2051" type="#_x0000_t75" style="position:absolute;margin-left:0;margin-top:0;width:10in;height:405pt;z-index:-251658752;mso-position-horizontal:center;mso-position-horizontal-relative:margin;mso-position-vertical:center;mso-position-vertical-relative:margin" o:allowincell="f">
          <v:imagedata r:id="rId1" o:title="111"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6DA" w:rsidRDefault="00602EC1">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04703" o:spid="_x0000_s2049" type="#_x0000_t75" style="position:absolute;margin-left:0;margin-top:0;width:10in;height:405pt;z-index:-251657728;mso-position-horizontal:center;mso-position-horizontal-relative:margin;mso-position-vertical:center;mso-position-vertical-relative:margin" o:allowincell="f">
          <v:imagedata r:id="rId1" o:title="111"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B3B19"/>
    <w:multiLevelType w:val="hybridMultilevel"/>
    <w:tmpl w:val="CD26D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AC6AEA"/>
    <w:rsid w:val="00075BE6"/>
    <w:rsid w:val="002550E2"/>
    <w:rsid w:val="002C2BE7"/>
    <w:rsid w:val="00602EC1"/>
    <w:rsid w:val="00625819"/>
    <w:rsid w:val="00701F9D"/>
    <w:rsid w:val="00AC6AEA"/>
    <w:rsid w:val="00B24F62"/>
    <w:rsid w:val="00C9356D"/>
    <w:rsid w:val="00C94DD1"/>
    <w:rsid w:val="00D516E4"/>
    <w:rsid w:val="00D642E9"/>
    <w:rsid w:val="00DD0B4F"/>
    <w:rsid w:val="00E0073E"/>
    <w:rsid w:val="00E46433"/>
    <w:rsid w:val="00F647D4"/>
    <w:rsid w:val="00F769C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EC1"/>
  </w:style>
  <w:style w:type="paragraph" w:styleId="Heading1">
    <w:name w:val="heading 1"/>
    <w:basedOn w:val="Normal"/>
    <w:next w:val="Normal"/>
    <w:link w:val="Heading1Char"/>
    <w:uiPriority w:val="9"/>
    <w:qFormat/>
    <w:rsid w:val="00F769C5"/>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100" w:after="0" w:line="276" w:lineRule="auto"/>
      <w:outlineLvl w:val="0"/>
    </w:pPr>
    <w:rPr>
      <w:rFonts w:eastAsiaTheme="minorEastAsia"/>
      <w:caps/>
      <w:color w:val="FFFFFF" w:themeColor="background1"/>
      <w:spacing w:val="15"/>
      <w:lang w:val="en-US" w:eastAsia="ja-JP"/>
    </w:rPr>
  </w:style>
  <w:style w:type="paragraph" w:styleId="Heading2">
    <w:name w:val="heading 2"/>
    <w:basedOn w:val="Normal"/>
    <w:next w:val="Normal"/>
    <w:link w:val="Heading2Char"/>
    <w:uiPriority w:val="9"/>
    <w:unhideWhenUsed/>
    <w:qFormat/>
    <w:rsid w:val="00F769C5"/>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before="100" w:after="0" w:line="276" w:lineRule="auto"/>
      <w:outlineLvl w:val="1"/>
    </w:pPr>
    <w:rPr>
      <w:rFonts w:ascii="Arial" w:eastAsiaTheme="minorEastAsia" w:hAnsi="Arial"/>
      <w:caps/>
      <w:spacing w:val="15"/>
      <w:sz w:val="18"/>
      <w:szCs w:val="2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6AEA"/>
    <w:rPr>
      <w:color w:val="0563C1" w:themeColor="hyperlink"/>
      <w:u w:val="single"/>
    </w:rPr>
  </w:style>
  <w:style w:type="character" w:customStyle="1" w:styleId="Heading1Char">
    <w:name w:val="Heading 1 Char"/>
    <w:basedOn w:val="DefaultParagraphFont"/>
    <w:link w:val="Heading1"/>
    <w:uiPriority w:val="9"/>
    <w:rsid w:val="00F769C5"/>
    <w:rPr>
      <w:rFonts w:eastAsiaTheme="minorEastAsia"/>
      <w:caps/>
      <w:color w:val="FFFFFF" w:themeColor="background1"/>
      <w:spacing w:val="15"/>
      <w:shd w:val="clear" w:color="auto" w:fill="5B9BD5" w:themeFill="accent1"/>
      <w:lang w:val="en-US" w:eastAsia="ja-JP"/>
    </w:rPr>
  </w:style>
  <w:style w:type="character" w:customStyle="1" w:styleId="Heading2Char">
    <w:name w:val="Heading 2 Char"/>
    <w:basedOn w:val="DefaultParagraphFont"/>
    <w:link w:val="Heading2"/>
    <w:uiPriority w:val="9"/>
    <w:rsid w:val="00F769C5"/>
    <w:rPr>
      <w:rFonts w:ascii="Arial" w:eastAsiaTheme="minorEastAsia" w:hAnsi="Arial"/>
      <w:caps/>
      <w:spacing w:val="15"/>
      <w:sz w:val="18"/>
      <w:szCs w:val="20"/>
      <w:shd w:val="clear" w:color="auto" w:fill="DEEAF6" w:themeFill="accent1" w:themeFillTint="33"/>
      <w:lang w:val="en-US" w:eastAsia="ja-JP"/>
    </w:rPr>
  </w:style>
  <w:style w:type="paragraph" w:styleId="Header">
    <w:name w:val="header"/>
    <w:basedOn w:val="Normal"/>
    <w:link w:val="HeaderChar"/>
    <w:uiPriority w:val="99"/>
    <w:unhideWhenUsed/>
    <w:rsid w:val="00F769C5"/>
    <w:pPr>
      <w:spacing w:before="100" w:after="200" w:line="240" w:lineRule="auto"/>
    </w:pPr>
    <w:rPr>
      <w:rFonts w:eastAsiaTheme="minorEastAsia"/>
      <w:sz w:val="20"/>
      <w:szCs w:val="20"/>
      <w:lang w:val="en-US" w:eastAsia="ja-JP"/>
    </w:rPr>
  </w:style>
  <w:style w:type="character" w:customStyle="1" w:styleId="HeaderChar">
    <w:name w:val="Header Char"/>
    <w:basedOn w:val="DefaultParagraphFont"/>
    <w:link w:val="Header"/>
    <w:uiPriority w:val="99"/>
    <w:rsid w:val="00F769C5"/>
    <w:rPr>
      <w:rFonts w:eastAsiaTheme="minorEastAsia"/>
      <w:sz w:val="20"/>
      <w:szCs w:val="20"/>
      <w:lang w:val="en-US" w:eastAsia="ja-JP"/>
    </w:rPr>
  </w:style>
  <w:style w:type="paragraph" w:styleId="Footer">
    <w:name w:val="footer"/>
    <w:basedOn w:val="Normal"/>
    <w:link w:val="FooterChar"/>
    <w:uiPriority w:val="99"/>
    <w:unhideWhenUsed/>
    <w:rsid w:val="00F769C5"/>
    <w:pPr>
      <w:spacing w:before="100" w:after="200" w:line="240" w:lineRule="auto"/>
    </w:pPr>
    <w:rPr>
      <w:rFonts w:eastAsiaTheme="minorEastAsia"/>
      <w:sz w:val="20"/>
      <w:szCs w:val="20"/>
      <w:lang w:val="en-US" w:eastAsia="ja-JP"/>
    </w:rPr>
  </w:style>
  <w:style w:type="character" w:customStyle="1" w:styleId="FooterChar">
    <w:name w:val="Footer Char"/>
    <w:basedOn w:val="DefaultParagraphFont"/>
    <w:link w:val="Footer"/>
    <w:uiPriority w:val="99"/>
    <w:rsid w:val="00F769C5"/>
    <w:rPr>
      <w:rFonts w:eastAsiaTheme="minorEastAsia"/>
      <w:sz w:val="20"/>
      <w:szCs w:val="20"/>
      <w:lang w:val="en-US" w:eastAsia="ja-JP"/>
    </w:rPr>
  </w:style>
  <w:style w:type="paragraph" w:styleId="ListParagraph">
    <w:name w:val="List Paragraph"/>
    <w:basedOn w:val="Normal"/>
    <w:uiPriority w:val="34"/>
    <w:qFormat/>
    <w:rsid w:val="00F769C5"/>
    <w:pPr>
      <w:spacing w:before="100" w:after="200" w:line="276" w:lineRule="auto"/>
      <w:ind w:left="720"/>
      <w:contextualSpacing/>
    </w:pPr>
    <w:rPr>
      <w:rFonts w:eastAsiaTheme="minorEastAsia"/>
      <w:sz w:val="20"/>
      <w:szCs w:val="20"/>
      <w:lang w:val="en-US" w:eastAsia="ja-JP"/>
    </w:rPr>
  </w:style>
  <w:style w:type="paragraph" w:styleId="BalloonText">
    <w:name w:val="Balloon Text"/>
    <w:basedOn w:val="Normal"/>
    <w:link w:val="BalloonTextChar"/>
    <w:uiPriority w:val="99"/>
    <w:semiHidden/>
    <w:unhideWhenUsed/>
    <w:rsid w:val="00075B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B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1308</Words>
  <Characters>7460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Jay</cp:lastModifiedBy>
  <cp:revision>2</cp:revision>
  <dcterms:created xsi:type="dcterms:W3CDTF">2020-11-06T11:13:00Z</dcterms:created>
  <dcterms:modified xsi:type="dcterms:W3CDTF">2020-11-06T11:13:00Z</dcterms:modified>
</cp:coreProperties>
</file>