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71EB5" w14:textId="3243EC09" w:rsidR="00CC0E9E" w:rsidRPr="00CC0E9E" w:rsidRDefault="00CC0E9E" w:rsidP="007F7005">
      <w:pPr>
        <w:pStyle w:val="Heading1"/>
      </w:pPr>
      <w:r w:rsidRPr="00CC0E9E">
        <w:t>AC 1.1</w:t>
      </w:r>
    </w:p>
    <w:p w14:paraId="094FACD3" w14:textId="6635F724" w:rsidR="003B540C" w:rsidRPr="00251567" w:rsidRDefault="003B540C" w:rsidP="007F7005">
      <w:r w:rsidRPr="00251567">
        <w:t>Labour market competition within the parcel delivery sector has intensified due to the emergence of new entrants particularly gig</w:t>
      </w:r>
      <w:r w:rsidR="00484B4D" w:rsidRPr="00251567">
        <w:t xml:space="preserve"> </w:t>
      </w:r>
      <w:r w:rsidRPr="00251567">
        <w:t>economy platforms</w:t>
      </w:r>
      <w:r w:rsidR="000A3D3D" w:rsidRPr="00251567">
        <w:t>,</w:t>
      </w:r>
      <w:r w:rsidRPr="00251567">
        <w:t xml:space="preserve"> which offer work arrangements </w:t>
      </w:r>
      <w:r w:rsidR="000A3D3D" w:rsidRPr="00251567">
        <w:t>that workers value due to the flexibility and greater autonomy</w:t>
      </w:r>
      <w:r w:rsidR="00484B4D" w:rsidRPr="00251567">
        <w:t xml:space="preserve"> (</w:t>
      </w:r>
      <w:r w:rsidR="000A3D3D" w:rsidRPr="00251567">
        <w:t xml:space="preserve">Cockett &amp; </w:t>
      </w:r>
      <w:r w:rsidR="00AF68EC" w:rsidRPr="00251567">
        <w:t>Willmott</w:t>
      </w:r>
      <w:r w:rsidR="000A3D3D" w:rsidRPr="00251567">
        <w:t>, 2023)</w:t>
      </w:r>
      <w:r w:rsidRPr="00251567">
        <w:t xml:space="preserve">. To strategically position itself in this environment, ParcelCare must adopt a more </w:t>
      </w:r>
      <w:r w:rsidR="00921805" w:rsidRPr="00251567">
        <w:t>intentional</w:t>
      </w:r>
      <w:r w:rsidRPr="00251567">
        <w:t xml:space="preserve"> and </w:t>
      </w:r>
      <w:r w:rsidR="00B3110B" w:rsidRPr="00251567">
        <w:t>evidence-based</w:t>
      </w:r>
      <w:r w:rsidRPr="00251567">
        <w:t xml:space="preserve"> approach to workforce planning, employer branding, and employment practice.</w:t>
      </w:r>
    </w:p>
    <w:p w14:paraId="03D05A71" w14:textId="2E985A54" w:rsidR="003B540C" w:rsidRPr="00251567" w:rsidRDefault="003B540C" w:rsidP="007F7005">
      <w:r w:rsidRPr="00251567">
        <w:t>A central requirement is the development of a strong and distinctive</w:t>
      </w:r>
      <w:r w:rsidR="00921805" w:rsidRPr="00251567">
        <w:t xml:space="preserve"> Employer Value Proposition (EVP)</w:t>
      </w:r>
      <w:r w:rsidRPr="00251567">
        <w:t xml:space="preserve">. According to Armstrong and Taylor (2023), an effective EVP clarifies the organisation’s unique offer to employees and supports talent attraction by aligning organisational values with workforce expectations. ParcelCare can </w:t>
      </w:r>
      <w:r w:rsidR="00566D83" w:rsidRPr="00251567">
        <w:t>distinguish</w:t>
      </w:r>
      <w:r w:rsidRPr="00251567">
        <w:t xml:space="preserve"> itself by emphasising employment stability, structured training, and career progression</w:t>
      </w:r>
      <w:r w:rsidR="00921805" w:rsidRPr="00251567">
        <w:t xml:space="preserve"> </w:t>
      </w:r>
      <w:r w:rsidRPr="00251567">
        <w:t>elements generally absent from gig</w:t>
      </w:r>
      <w:r w:rsidR="00921805" w:rsidRPr="00251567">
        <w:t xml:space="preserve"> </w:t>
      </w:r>
      <w:r w:rsidRPr="00251567">
        <w:t xml:space="preserve">economy roles. By </w:t>
      </w:r>
      <w:r w:rsidR="00921805" w:rsidRPr="00251567">
        <w:t>outlining</w:t>
      </w:r>
      <w:r w:rsidRPr="00251567">
        <w:t xml:space="preserve"> these advantages through targeted employer branding, the organisation can increase its visibility and competitiveness in external labour markets (CIPD, </w:t>
      </w:r>
      <w:r w:rsidR="00566D83" w:rsidRPr="00251567">
        <w:t>2024</w:t>
      </w:r>
      <w:r w:rsidRPr="00251567">
        <w:t>).</w:t>
      </w:r>
    </w:p>
    <w:p w14:paraId="4EF5F6DA" w14:textId="222D97D1" w:rsidR="00AF68EC" w:rsidRPr="00251567" w:rsidRDefault="00AF68EC" w:rsidP="007F7005">
      <w:r w:rsidRPr="00251567">
        <w:t xml:space="preserve">In addition to developing a strong EVP, competitive reward strategies and flexible working practices are essential for standing out in increasingly competitive labour markets. Armstrong and Taylor (2023) emphasise the importance of benchmarking pay and benefits to ensure that organisations remain aligned with sector norms and employee expectations. Furthermore, flexible working has become a critical aspect of candidate attraction, offering individuals greater autonomy and </w:t>
      </w:r>
      <w:r w:rsidR="00286C98" w:rsidRPr="00251567">
        <w:t>work life</w:t>
      </w:r>
      <w:r w:rsidRPr="00251567">
        <w:t xml:space="preserve"> balance (Cockett and Willmott, 2023; McCartney, 2025). To strengthen its position, ParcelCare could introduce regionally adjusted pay, targeted retention incentives, and enhanced benefits such as paid leave and pension contributions. These measures not only respond to economic pressures but also meet legal obligations to provide fair and lawful terms and conditions of employment (Daniels, 2024). Alongside this, adopting hybrid flexibility such as varied shift patterns or shift-bidding systems would allow ParcelCare to offer choice and autonomy while maintaining the rights and security associated with employee status. This approach creates a competitive middle ground that appeals to workers who value both independence and stability.</w:t>
      </w:r>
    </w:p>
    <w:p w14:paraId="3FE697B9" w14:textId="4FA7C969" w:rsidR="003B540C" w:rsidRPr="00251567" w:rsidRDefault="003B540C" w:rsidP="007F7005">
      <w:r w:rsidRPr="00251567">
        <w:t>Improving working conditions, utilising technology, and promoting wellbeing are additional strategic mechanisms. Enhanced equipment, efficient route-planning technology, and supportive leadership practices are associated with higher engagement and lower turnover (</w:t>
      </w:r>
      <w:r w:rsidR="00251567" w:rsidRPr="00251567">
        <w:t>Hogarth &amp; McCartney,</w:t>
      </w:r>
      <w:r w:rsidRPr="00251567">
        <w:t xml:space="preserve"> 2023). Creating psychologically safe and inclusive workplaces also strengthens the organisation’s position in competitive labour markets.</w:t>
      </w:r>
    </w:p>
    <w:p w14:paraId="18E3716A" w14:textId="0B8878E1" w:rsidR="003B540C" w:rsidRDefault="003B540C" w:rsidP="007F7005">
      <w:r w:rsidRPr="00251567">
        <w:t>Overall, by integrating strategic reward, flexible working, employer branding, and robust people management practices, ParcelCare can position itself more effectively within increasingly competitive labour markets and address ongoing challenges in attracting and retaining a skilled workforce.</w:t>
      </w:r>
    </w:p>
    <w:p w14:paraId="74348830" w14:textId="2C1F2DFC" w:rsidR="00CC0E9E" w:rsidRDefault="00CC0E9E" w:rsidP="007F7005">
      <w:pPr>
        <w:pStyle w:val="Heading1"/>
      </w:pPr>
      <w:bookmarkStart w:id="0" w:name="_Ref215220364"/>
      <w:r>
        <w:t>AC 1.2</w:t>
      </w:r>
      <w:bookmarkEnd w:id="0"/>
    </w:p>
    <w:p w14:paraId="60F280DA" w14:textId="27AFBE88" w:rsidR="00ED37A2" w:rsidRDefault="00F3725E" w:rsidP="007F7005">
      <w:r>
        <w:t xml:space="preserve">As outlined by </w:t>
      </w:r>
      <w:r w:rsidR="00547404">
        <w:t xml:space="preserve">Cockett (2025) </w:t>
      </w:r>
      <w:r w:rsidR="000F0A86">
        <w:t xml:space="preserve">the </w:t>
      </w:r>
      <w:r w:rsidR="00036A16">
        <w:t>c</w:t>
      </w:r>
      <w:r w:rsidR="00ED37A2">
        <w:t>urrent labour market</w:t>
      </w:r>
      <w:r w:rsidR="00036A16">
        <w:t xml:space="preserve"> is tight</w:t>
      </w:r>
      <w:r w:rsidR="000F0A86">
        <w:t>,</w:t>
      </w:r>
      <w:r w:rsidR="00036A16">
        <w:t xml:space="preserve"> with </w:t>
      </w:r>
      <w:r w:rsidR="00865842">
        <w:t xml:space="preserve">expectation that </w:t>
      </w:r>
      <w:r w:rsidR="00ED37A2">
        <w:t xml:space="preserve">conditions </w:t>
      </w:r>
      <w:r w:rsidR="00865842">
        <w:t>will loosen in coming months</w:t>
      </w:r>
      <w:r w:rsidR="000F0A86">
        <w:t xml:space="preserve">, </w:t>
      </w:r>
      <w:r w:rsidR="006A4EA1">
        <w:t>subject to</w:t>
      </w:r>
      <w:r w:rsidR="000F0A86">
        <w:t xml:space="preserve"> predicted budget announcements. </w:t>
      </w:r>
      <w:r w:rsidR="00A65C34">
        <w:t xml:space="preserve">These </w:t>
      </w:r>
      <w:r w:rsidR="00A65C34">
        <w:lastRenderedPageBreak/>
        <w:t>current l</w:t>
      </w:r>
      <w:r w:rsidR="000F0A86">
        <w:t xml:space="preserve">abour </w:t>
      </w:r>
      <w:r w:rsidR="00DF51D4">
        <w:t>market</w:t>
      </w:r>
      <w:r w:rsidR="000F0A86">
        <w:t xml:space="preserve"> conditions </w:t>
      </w:r>
      <w:r w:rsidR="00ED37A2">
        <w:t xml:space="preserve">are having a clear impact on how ParcelCare attracts, </w:t>
      </w:r>
      <w:r w:rsidR="00697C8C">
        <w:t>recruits,</w:t>
      </w:r>
      <w:r w:rsidR="00ED37A2">
        <w:t xml:space="preserve"> and retains staff. As a national delivery business operating in a competitive sector, these external shifts directly influence the resourcing decisions the </w:t>
      </w:r>
      <w:r w:rsidR="00697C8C">
        <w:t>p</w:t>
      </w:r>
      <w:r w:rsidR="00ED37A2">
        <w:t>eople function must make.</w:t>
      </w:r>
    </w:p>
    <w:p w14:paraId="484566FB" w14:textId="28B4BB27" w:rsidR="00AE22AD" w:rsidRDefault="00AE22AD" w:rsidP="007F7005">
      <w:r>
        <w:t xml:space="preserve">With the current tight labour market, competition for labour is particularly intense across the logistics sector. The rise in online shopping and increasing customer expectations for fast delivery have sharply increased demand for drivers, warehouse </w:t>
      </w:r>
      <w:r w:rsidR="00866BF0">
        <w:t>operatives,</w:t>
      </w:r>
      <w:r>
        <w:t xml:space="preserve"> and customer service staff (Logistics UK, 2025). As a result, many organisations are offering higher wages or additional incentives to attract talent. To stay competitive in this environment, ParcelCare may need to strengthen its employer brand, review its pay and benefits, and streamline its recruitment processes. Improving wellbeing initiatives and offering more </w:t>
      </w:r>
      <w:r w:rsidR="00B44356">
        <w:t>flexible</w:t>
      </w:r>
      <w:r>
        <w:t xml:space="preserve"> working patterns may also help the organisation stand out to potential applicants (Armstrong &amp; Taylor, 2023; Cockett, 2025).</w:t>
      </w:r>
    </w:p>
    <w:p w14:paraId="3CE588CA" w14:textId="2B707D45" w:rsidR="00AE22AD" w:rsidRDefault="00AE22AD" w:rsidP="007F7005">
      <w:r>
        <w:t xml:space="preserve">At the same time, wider labour shortages across the UK mean some of ParcelCare’s key roles are becoming harder to fill. In </w:t>
      </w:r>
      <w:r w:rsidR="00742D80">
        <w:t>the current</w:t>
      </w:r>
      <w:r>
        <w:t xml:space="preserve"> tight labour market, the organisation cannot rely solely on traditional recruitment methods. Instead, it needs to broaden its talent pool by targeting new candidate groups, exploring alternative recruitment channels, and investing more heavily in internal development</w:t>
      </w:r>
      <w:r w:rsidR="00E3600D">
        <w:t xml:space="preserve"> </w:t>
      </w:r>
      <w:r>
        <w:t>(Vulpen, 2025).</w:t>
      </w:r>
    </w:p>
    <w:p w14:paraId="33609DF5" w14:textId="5061E3FD" w:rsidR="00DA30C2" w:rsidRPr="00DA30C2" w:rsidRDefault="007F26D8" w:rsidP="007F7005">
      <w:r>
        <w:t xml:space="preserve">However, </w:t>
      </w:r>
      <w:r w:rsidR="00DA30C2" w:rsidRPr="00DA30C2">
        <w:t xml:space="preserve">Recent ONS data shows a rising unemployment-to-vacancy ratio, clearly indicating that the UK labour market is loosening (ONS, 2025a). In such a market, pay pressures typically ease because employers face less competition for workers. With a larger pool of candidates and fewer alternative opportunities, organisations have greater control </w:t>
      </w:r>
      <w:r w:rsidR="009D6640" w:rsidRPr="00DA30C2">
        <w:t>over</w:t>
      </w:r>
      <w:r w:rsidR="009B1100">
        <w:t xml:space="preserve"> </w:t>
      </w:r>
      <w:r w:rsidR="009D6640">
        <w:t>pay</w:t>
      </w:r>
      <w:r w:rsidR="00DA30C2" w:rsidRPr="00DA30C2">
        <w:t xml:space="preserve"> and do not need to rely on premium salaries or additional incentives to attract staff (Armstrong &amp; Taylor, 2023).</w:t>
      </w:r>
      <w:r w:rsidR="00DA30C2">
        <w:t xml:space="preserve"> </w:t>
      </w:r>
      <w:r w:rsidR="00DA30C2" w:rsidRPr="00DA30C2">
        <w:t>For ParcelCare, a looser labour market provides more scope to take a strategic approach to resourcing. There is less pressure to recruit immediately, more choice among candidates, and greater opportunities to develop internal capacity. Instead of reacting to every vacancy, the organisation can focus on selective hiring, improving efficiency, investing in talent development, and maintaining cost control (Boxall &amp; Purcell, 2022).</w:t>
      </w:r>
    </w:p>
    <w:p w14:paraId="40070E84" w14:textId="645584FA" w:rsidR="00AF3309" w:rsidRDefault="00ED37A2" w:rsidP="007F7005">
      <w:r>
        <w:t xml:space="preserve">Overall, tight labour market conditions require ParcelCare to focus on attraction, retention, pay competitiveness, </w:t>
      </w:r>
      <w:r w:rsidR="00AD0C62">
        <w:t>flexibility,</w:t>
      </w:r>
      <w:r>
        <w:t xml:space="preserve"> and employer branding, while a loose labour market allows the organisation to adopt a more selective, cost</w:t>
      </w:r>
      <w:r w:rsidR="007A256A">
        <w:t xml:space="preserve"> </w:t>
      </w:r>
      <w:r>
        <w:t xml:space="preserve">effective and </w:t>
      </w:r>
      <w:r w:rsidR="007A256A">
        <w:t>long-term</w:t>
      </w:r>
      <w:r>
        <w:t xml:space="preserve"> approach to resourcing.</w:t>
      </w:r>
    </w:p>
    <w:p w14:paraId="6969E155" w14:textId="03044972" w:rsidR="009D4AE7" w:rsidRDefault="009D4AE7" w:rsidP="007F7005">
      <w:pPr>
        <w:pStyle w:val="Heading1"/>
      </w:pPr>
      <w:bookmarkStart w:id="1" w:name="_Ref215487363"/>
      <w:r>
        <w:t xml:space="preserve">AC </w:t>
      </w:r>
      <w:r w:rsidR="006145CD">
        <w:t>2.1</w:t>
      </w:r>
      <w:bookmarkEnd w:id="1"/>
    </w:p>
    <w:p w14:paraId="4AEA7BB1" w14:textId="47AA6A24" w:rsidR="0090093E" w:rsidRPr="0090093E" w:rsidRDefault="005C41D5" w:rsidP="007F7005">
      <w:r>
        <w:t xml:space="preserve">As outlined in </w:t>
      </w:r>
      <w:r w:rsidR="001B40C8">
        <w:fldChar w:fldCharType="begin"/>
      </w:r>
      <w:r w:rsidR="001B40C8">
        <w:instrText xml:space="preserve"> REF _Ref215220364 \h </w:instrText>
      </w:r>
      <w:r w:rsidR="001B40C8">
        <w:fldChar w:fldCharType="separate"/>
      </w:r>
      <w:r w:rsidR="001B40C8">
        <w:t>AC 1.2</w:t>
      </w:r>
      <w:r w:rsidR="001B40C8">
        <w:fldChar w:fldCharType="end"/>
      </w:r>
      <w:r w:rsidR="002C546C">
        <w:t xml:space="preserve">, </w:t>
      </w:r>
      <w:r w:rsidR="00C8012D">
        <w:t xml:space="preserve">recent </w:t>
      </w:r>
      <w:r w:rsidR="004A0C89">
        <w:t>statistical</w:t>
      </w:r>
      <w:r w:rsidR="006619A3">
        <w:t xml:space="preserve"> </w:t>
      </w:r>
      <w:r w:rsidR="00C8012D">
        <w:t>data identifies that there is likely to be a shift in the labour market in the coming months</w:t>
      </w:r>
      <w:r w:rsidR="00187946">
        <w:t>.</w:t>
      </w:r>
      <w:r w:rsidR="0016543F">
        <w:t xml:space="preserve"> </w:t>
      </w:r>
      <w:r w:rsidR="00E03A77">
        <w:t>Therefore</w:t>
      </w:r>
      <w:r w:rsidR="004F34FF">
        <w:t xml:space="preserve">, this could be an optimal time for </w:t>
      </w:r>
      <w:r w:rsidR="00E03A77">
        <w:t>Parce</w:t>
      </w:r>
      <w:r w:rsidR="00C929E6">
        <w:t>lCare to implement a</w:t>
      </w:r>
      <w:r w:rsidR="00404957">
        <w:t xml:space="preserve"> </w:t>
      </w:r>
      <w:r w:rsidR="00FD4C91">
        <w:t>w</w:t>
      </w:r>
      <w:r w:rsidR="001D2D4C" w:rsidRPr="001D2D4C">
        <w:t xml:space="preserve">orkforce planning </w:t>
      </w:r>
      <w:r w:rsidR="00FD4C91">
        <w:t xml:space="preserve">strategy. </w:t>
      </w:r>
      <w:r w:rsidR="0090093E" w:rsidRPr="0090093E">
        <w:t>Workforce planning is a human resource management process designed to ensure that an organisation has the right number of employees, with the appropriate skills, in the right roles, at the right time to achieve its objectives (CIPD, 2025). It functions as both a short-term and long-term planning tool, bridging the gap between business strategy and human capital requirements. The process involves analysing the current workforce, forecasting future staffing needs, identifying gaps in skills or capacity, and implementing targeted actions such as recruitment, training, and succession planning (Armstrong &amp; Taylor, 2023).</w:t>
      </w:r>
    </w:p>
    <w:p w14:paraId="20980C38" w14:textId="2B3B0B6C" w:rsidR="0090093E" w:rsidRPr="0090093E" w:rsidRDefault="0090093E" w:rsidP="007F7005">
      <w:r w:rsidRPr="0090093E">
        <w:lastRenderedPageBreak/>
        <w:t>Effective workforce planning could offer a range of benefits to ParcelCare. Firstly, given that ParcelCare is currently struggling to attract sufficient staff due to high demand and competitive labour markets (Logistics UK, 2025), workforce planning would support accurate forecasting of staffing requirements. Through the use of sector-specific modelling systems, the organisation could better align recruitment activity with seasonal fluctuations and strategic growth objectives. This proactive approach would help reduce labour shortages during peak periods, maintaining service quality and customer satisfaction. More accurate forecasting would also allow for more efficient allocation of resources, reducing costs and minimising reliance on temporary labour. Secondly, workforce planning would enable ParcelCare to identify critical skill gaps and implement targeted training and development initiatives. By investing in upskilling, the organisation could strengthen employee engagement, motivation, and retention (CIPD, 2025), while also building a more adaptable and resilient workforce capable of supporting continuing operational change. Finally, strategic workforce planning can underpin succession planning and leadership development, ensuring ParcelCare maintains a strong internal pipeline of talent prepared to step into key roles. This is particularly important for a long-established organisation operating in an increasingly competitive labour market (Armstrong &amp; Taylor, 2023).</w:t>
      </w:r>
    </w:p>
    <w:p w14:paraId="04198ECC" w14:textId="77777777" w:rsidR="0090093E" w:rsidRDefault="0090093E" w:rsidP="007F7005">
      <w:r w:rsidRPr="0090093E">
        <w:t>In summary, workforce planning is a vital strategic tool that supports organisations in managing their human capital effectively. It extends beyond basic recruitment and scheduling, incorporating forecasting, gap analysis, and the development of proactive strategies to ensure the workforce remains skilled, engaged, and aligned with organisational objectives. For ParcelCare, workforce planning is essential in addressing ongoing recruitment and retention challenges, maintaining service standards, improving employee experience, and ensuring long-term organisational sustainability.</w:t>
      </w:r>
    </w:p>
    <w:p w14:paraId="4D44585C" w14:textId="496A960D" w:rsidR="00F4513A" w:rsidRPr="0090093E" w:rsidRDefault="00F94457" w:rsidP="007F7005">
      <w:pPr>
        <w:pStyle w:val="Heading1"/>
      </w:pPr>
      <w:r>
        <w:t>AC</w:t>
      </w:r>
      <w:r w:rsidR="00151018">
        <w:t xml:space="preserve"> 2.2</w:t>
      </w:r>
    </w:p>
    <w:p w14:paraId="1B6C6AB9" w14:textId="6FB6BA3F" w:rsidR="007D27A2" w:rsidRPr="00B10E5D" w:rsidRDefault="007D27A2" w:rsidP="00B10E5D">
      <w:r w:rsidRPr="00B10E5D">
        <w:t xml:space="preserve">While external, sector-specific modelling platforms are available, as noted in </w:t>
      </w:r>
      <w:r w:rsidRPr="00B10E5D">
        <w:fldChar w:fldCharType="begin"/>
      </w:r>
      <w:r w:rsidRPr="00B10E5D">
        <w:instrText xml:space="preserve"> REF _Ref215487363 \h </w:instrText>
      </w:r>
      <w:r w:rsidR="001B40C8" w:rsidRPr="00B10E5D">
        <w:instrText xml:space="preserve"> \* MERGEFORMAT </w:instrText>
      </w:r>
      <w:r w:rsidRPr="00B10E5D">
        <w:fldChar w:fldCharType="separate"/>
      </w:r>
      <w:r w:rsidRPr="00B10E5D">
        <w:t>AC 2.1</w:t>
      </w:r>
      <w:r w:rsidRPr="00B10E5D">
        <w:fldChar w:fldCharType="end"/>
      </w:r>
      <w:r w:rsidRPr="00B10E5D">
        <w:t>, ParcelCare can also utilise its own data and adopt a range of tools and techniques to develop a comprehensive strategic workforce plan. According to CIPD (2025a), achieving a balanced workforce approach, where the seven ‘rights’ of workforce planning are integrated and understood, can be supported through the Six-Stage workforce planning methodology (see Figure 1).</w:t>
      </w:r>
    </w:p>
    <w:p w14:paraId="0545D117" w14:textId="472CC41D" w:rsidR="00151018" w:rsidRPr="006A620B" w:rsidRDefault="00151018" w:rsidP="007F7005">
      <w:pPr>
        <w:pStyle w:val="Heading2"/>
      </w:pPr>
      <w:r w:rsidRPr="006A620B">
        <w:t xml:space="preserve">Figure 1. The six stages of workforce planning </w:t>
      </w:r>
    </w:p>
    <w:p w14:paraId="62730352" w14:textId="65FDAC03" w:rsidR="00151018" w:rsidRDefault="00151018" w:rsidP="007F7005">
      <w:r>
        <w:t xml:space="preserve"> </w:t>
      </w:r>
      <w:r w:rsidR="00D35E7B" w:rsidRPr="00286F7E">
        <w:rPr>
          <w:noProof/>
        </w:rPr>
        <w:drawing>
          <wp:inline distT="0" distB="0" distL="0" distR="0" wp14:anchorId="3C69F11B" wp14:editId="72769961">
            <wp:extent cx="2400300" cy="1802751"/>
            <wp:effectExtent l="0" t="0" r="0" b="7620"/>
            <wp:docPr id="927660649" name="Picture 1" descr="A diagram of a diagram of a diagram of a diagram of a diagram of a diagram of a diagram of a diagram of a diagram of a diagram of a diagram of a diagram of a diagram 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660649" name="Picture 1" descr="A diagram of a diagram of a diagram of a diagram of a diagram of a diagram of a diagram of a diagram of a diagram of a diagram of a diagram of a diagram of a diagram of&#10;&#10;AI-generated content may be incorrect."/>
                    <pic:cNvPicPr/>
                  </pic:nvPicPr>
                  <pic:blipFill>
                    <a:blip r:embed="rId7"/>
                    <a:stretch>
                      <a:fillRect/>
                    </a:stretch>
                  </pic:blipFill>
                  <pic:spPr>
                    <a:xfrm>
                      <a:off x="0" y="0"/>
                      <a:ext cx="2414606" cy="1813496"/>
                    </a:xfrm>
                    <a:prstGeom prst="rect">
                      <a:avLst/>
                    </a:prstGeom>
                  </pic:spPr>
                </pic:pic>
              </a:graphicData>
            </a:graphic>
          </wp:inline>
        </w:drawing>
      </w:r>
      <w:r w:rsidR="00D35E7B">
        <w:t xml:space="preserve"> </w:t>
      </w:r>
      <w:r>
        <w:t>(CIPD, 2025a)</w:t>
      </w:r>
    </w:p>
    <w:p w14:paraId="39C34596" w14:textId="77777777" w:rsidR="00463CF6" w:rsidRDefault="007F3F43" w:rsidP="007F7005">
      <w:r w:rsidRPr="007F3F43">
        <w:lastRenderedPageBreak/>
        <w:t>Techniques such as data-driven, strategic, forward-looking, financial, and analytical approaches can support each stage</w:t>
      </w:r>
      <w:r w:rsidR="00167604" w:rsidRPr="00167604">
        <w:t>. Two practical examples for ParcelCare are</w:t>
      </w:r>
      <w:r w:rsidR="001672EF">
        <w:t xml:space="preserve">, </w:t>
      </w:r>
      <w:r w:rsidR="00463CF6">
        <w:t>i</w:t>
      </w:r>
      <w:r w:rsidR="001672EF" w:rsidRPr="001672EF">
        <w:t>n stage one, organisations consider factors likely to impact the workforce. ParcelCare could conduct a PESTLE analysis, categorising macroeconomic influences into six areas:</w:t>
      </w:r>
    </w:p>
    <w:p w14:paraId="26A433B7" w14:textId="7CC20192" w:rsidR="00004C46" w:rsidRPr="00004C46" w:rsidRDefault="00004C46" w:rsidP="007F7005">
      <w:r w:rsidRPr="00004C46">
        <w:rPr>
          <w:b/>
          <w:bCs/>
        </w:rPr>
        <w:t>P</w:t>
      </w:r>
      <w:r w:rsidRPr="00004C46">
        <w:t>olitical </w:t>
      </w:r>
      <w:r w:rsidRPr="00004C46">
        <w:tab/>
      </w:r>
      <w:r w:rsidRPr="00004C46">
        <w:tab/>
        <w:t>– </w:t>
      </w:r>
      <w:r w:rsidRPr="00004C46">
        <w:tab/>
        <w:t>Government Changes, Industry Regulation </w:t>
      </w:r>
    </w:p>
    <w:p w14:paraId="0460AEE7" w14:textId="776BDD74" w:rsidR="00004C46" w:rsidRPr="00004C46" w:rsidRDefault="00004C46" w:rsidP="007F7005">
      <w:r w:rsidRPr="00004C46">
        <w:rPr>
          <w:b/>
          <w:bCs/>
        </w:rPr>
        <w:t>E</w:t>
      </w:r>
      <w:r w:rsidRPr="00004C46">
        <w:t>conomic </w:t>
      </w:r>
      <w:r w:rsidRPr="00004C46">
        <w:tab/>
      </w:r>
      <w:r w:rsidRPr="00004C46">
        <w:tab/>
        <w:t>– </w:t>
      </w:r>
      <w:r w:rsidRPr="00004C46">
        <w:tab/>
        <w:t xml:space="preserve">Inflation, </w:t>
      </w:r>
      <w:r w:rsidR="003B232B">
        <w:t>Fuel costs</w:t>
      </w:r>
      <w:r w:rsidRPr="00004C46">
        <w:t> </w:t>
      </w:r>
    </w:p>
    <w:p w14:paraId="0C2288F8" w14:textId="1931ED95" w:rsidR="00004C46" w:rsidRPr="00004C46" w:rsidRDefault="00004C46" w:rsidP="007F7005">
      <w:r w:rsidRPr="00004C46">
        <w:rPr>
          <w:b/>
          <w:bCs/>
        </w:rPr>
        <w:t>S</w:t>
      </w:r>
      <w:r w:rsidRPr="00004C46">
        <w:t>ocial </w:t>
      </w:r>
      <w:r w:rsidRPr="00004C46">
        <w:tab/>
      </w:r>
      <w:r w:rsidRPr="00004C46">
        <w:tab/>
      </w:r>
      <w:r>
        <w:tab/>
      </w:r>
      <w:r w:rsidRPr="00004C46">
        <w:t>– </w:t>
      </w:r>
      <w:r w:rsidRPr="00004C46">
        <w:tab/>
        <w:t>Hybrid Working, Employee Demographic </w:t>
      </w:r>
    </w:p>
    <w:p w14:paraId="23ED5CA6" w14:textId="73BFD7DA" w:rsidR="00004C46" w:rsidRPr="00004C46" w:rsidRDefault="00004C46" w:rsidP="007F7005">
      <w:r w:rsidRPr="00004C46">
        <w:rPr>
          <w:b/>
          <w:bCs/>
        </w:rPr>
        <w:t>T</w:t>
      </w:r>
      <w:r w:rsidRPr="00004C46">
        <w:t>echnology </w:t>
      </w:r>
      <w:r w:rsidRPr="00004C46">
        <w:tab/>
      </w:r>
      <w:r w:rsidRPr="00004C46">
        <w:tab/>
        <w:t>– </w:t>
      </w:r>
      <w:r w:rsidRPr="00004C46">
        <w:tab/>
      </w:r>
      <w:r w:rsidR="00200177">
        <w:t>Auto</w:t>
      </w:r>
      <w:r w:rsidR="001B5429">
        <w:t>mation</w:t>
      </w:r>
      <w:r w:rsidRPr="00004C46">
        <w:t>, Working Practices </w:t>
      </w:r>
    </w:p>
    <w:p w14:paraId="64081BE0" w14:textId="77777777" w:rsidR="00004C46" w:rsidRPr="00004C46" w:rsidRDefault="00004C46" w:rsidP="007F7005">
      <w:r w:rsidRPr="00004C46">
        <w:rPr>
          <w:b/>
          <w:bCs/>
        </w:rPr>
        <w:t>L</w:t>
      </w:r>
      <w:r w:rsidRPr="00004C46">
        <w:t>egal </w:t>
      </w:r>
      <w:r w:rsidRPr="00004C46">
        <w:tab/>
      </w:r>
      <w:r w:rsidRPr="00004C46">
        <w:tab/>
      </w:r>
      <w:r w:rsidRPr="00004C46">
        <w:tab/>
        <w:t>– </w:t>
      </w:r>
      <w:r w:rsidRPr="00004C46">
        <w:tab/>
        <w:t>Labour Laws, Working Practices </w:t>
      </w:r>
    </w:p>
    <w:p w14:paraId="26225CD5" w14:textId="2770C212" w:rsidR="00004C46" w:rsidRDefault="00004C46" w:rsidP="007F7005">
      <w:r w:rsidRPr="00004C46">
        <w:rPr>
          <w:b/>
          <w:bCs/>
        </w:rPr>
        <w:t>E</w:t>
      </w:r>
      <w:r w:rsidRPr="00004C46">
        <w:t>nvironmental </w:t>
      </w:r>
      <w:r w:rsidRPr="00004C46">
        <w:tab/>
        <w:t>– </w:t>
      </w:r>
      <w:r w:rsidRPr="00004C46">
        <w:tab/>
        <w:t>Environmental Values</w:t>
      </w:r>
    </w:p>
    <w:p w14:paraId="4C66EFA7" w14:textId="490F8E41" w:rsidR="00CD00E8" w:rsidRDefault="00821C3B" w:rsidP="007F7005">
      <w:r w:rsidRPr="00821C3B">
        <w:t>While PESTLE provides a straightforward overview of macro-environmental factors, it has limitations. Rapid developments, particularly in technology, can quickly render the analysis outdated, so it requires regular review (Taylor and Woodhams, 2022). Marmol and Feys (2015) also note that PESTLE is most effective when combined with microenvironmental tools, such as Porter’s Five Forces or SWOT analysis, to provide a more comprehensive understanding of both internal and external influences.</w:t>
      </w:r>
    </w:p>
    <w:p w14:paraId="522869A8" w14:textId="4491B406" w:rsidR="004F0660" w:rsidRDefault="00F53641" w:rsidP="007F7005">
      <w:r>
        <w:t>Within the stage f</w:t>
      </w:r>
      <w:r w:rsidR="001261A3">
        <w:t xml:space="preserve">our, </w:t>
      </w:r>
      <w:r w:rsidR="002D4E58">
        <w:t>a data driven g</w:t>
      </w:r>
      <w:r w:rsidR="004F0660">
        <w:t xml:space="preserve">ap analysis </w:t>
      </w:r>
      <w:r w:rsidR="00B813B0">
        <w:t>will</w:t>
      </w:r>
      <w:r w:rsidR="004F0660">
        <w:t xml:space="preserve"> compare the current workforce with future requirements to identify skill or role shortages and surpluses (CIPD, 2025a). For ParcelCare, operating in a fast-moving logistics environment with fluctuating demand</w:t>
      </w:r>
      <w:r w:rsidR="00F365CE">
        <w:t xml:space="preserve"> and </w:t>
      </w:r>
      <w:r w:rsidR="004F0660">
        <w:t>driver shortages, it provides a structured way to prioritise workforce interventions. The main strength of gap analysis is its ability to highlight critical shortages, such as drivers and warehouse operatives during peak periods, allowing targeted recruitment, training, and retention strategies (Taylor, 2020).</w:t>
      </w:r>
    </w:p>
    <w:p w14:paraId="54E35C8A" w14:textId="1E163513" w:rsidR="00732C33" w:rsidRDefault="004F0660" w:rsidP="007F7005">
      <w:r>
        <w:t>Beyond immediate staffing needs, gap analysis supports strategic planning by forecasting future workforce requirements driven by growth, automation, and operational changes. This helps ParcelCare prepare for emerging skills, such as route optimisation, automated sorting systems, and digital tracking (CIPD, 202</w:t>
      </w:r>
      <w:r w:rsidR="00B56265">
        <w:t>5</w:t>
      </w:r>
      <w:r>
        <w:t>). However, the tool relies on accurate, up-to-date data; in a rapidly changing logistics sector, gaps can quickly become outdated (Armstrong and Taylor, 202</w:t>
      </w:r>
      <w:r w:rsidR="00B56265">
        <w:t>3</w:t>
      </w:r>
      <w:r>
        <w:t xml:space="preserve">). </w:t>
      </w:r>
    </w:p>
    <w:p w14:paraId="505221CC" w14:textId="74B40A28" w:rsidR="00850C91" w:rsidRDefault="00850C91" w:rsidP="007F7005">
      <w:r w:rsidRPr="00850C91">
        <w:t>By combining PESTLE analysis and data-driven gap analysis within the Six-Stage workforce planning methodology, ParcelCare can take a structured and proactive approach to workforce management. These tools help the organisation anticipate challenges, address critical skills shortages, and align workforce strategies with both operational and strategic objectives, ensuring agility and resilience in a competitive logistics environment.</w:t>
      </w:r>
    </w:p>
    <w:p w14:paraId="60180A3D" w14:textId="49FE4964" w:rsidR="00204D59" w:rsidRDefault="003165FD" w:rsidP="007F7005">
      <w:pPr>
        <w:pStyle w:val="Heading1"/>
      </w:pPr>
      <w:r>
        <w:t>AC</w:t>
      </w:r>
      <w:r w:rsidR="001B40C8">
        <w:t xml:space="preserve"> 2.3</w:t>
      </w:r>
    </w:p>
    <w:p w14:paraId="32C0EF24" w14:textId="77777777" w:rsidR="0000377E" w:rsidRPr="0000377E" w:rsidRDefault="0000377E" w:rsidP="007F7005">
      <w:r w:rsidRPr="0000377E">
        <w:t>Recruitment and selection are vital for ParcelCare, as the business depends on reliable delivery drivers and warehouse operatives. While current methods meet ParcelCare’s needs, there are additional approaches that could be implemented to improve efficiency and quality. One relevant recruitment method is the use of job boards, such as Indeed or Reed. Job boards allow ParcelCare to reach a large pool of applicants quickly, which is particularly useful during peak periods when staffing demands increase (Armstrong &amp; Taylor, 2023). They are also cost-effective compared to outsourcing recruitment, making them suitable for high-volume operational roles. However, a key limitation is the high number of unsuitable applicants, with limited information about the role or organisation, which can increase HR workload (Marchington et al., 2025). Additionally, competition from other logistics companies advertising similar roles may make it harder for ParcelCare to attract top candidates.</w:t>
      </w:r>
    </w:p>
    <w:p w14:paraId="2EA31344" w14:textId="77777777" w:rsidR="0000377E" w:rsidRPr="0000377E" w:rsidRDefault="0000377E" w:rsidP="007F7005">
      <w:r w:rsidRPr="0000377E">
        <w:t>A second recruitment method is employee referral schemes. These are effective for roles that require trust and reliability, such as delivery drivers and warehouse staff. Referred candidates often have a clearer understanding of job expectations through current employees, which can improve fit and retention (Hogarth &amp; McCartney, 2024). Referral schemes also reduce recruitment costs, which is beneficial for labour-intensive operations. However, they can limit diversity if employees refer people with similar backgrounds and may introduce bias or favouritism, affecting fairness in the hiring process (Marchington et al., 2025).</w:t>
      </w:r>
    </w:p>
    <w:p w14:paraId="4126F3B7" w14:textId="77777777" w:rsidR="0000377E" w:rsidRPr="0000377E" w:rsidRDefault="0000377E" w:rsidP="007F7005">
      <w:r w:rsidRPr="0000377E">
        <w:t>In terms of selection, skill-based tests are highly relevant. Practical assessments, such as timed parcel-sorting tasks or route-navigation exercises, allow candidates to demonstrate job-specific abilities and help predict performance accurately (Hogarth, 2021). They also allow candidates to withdraw if they feel the role is unsuitable. The main drawback is that these tests require resources, supervision, and equipment, which can slow recruitment during busy periods.</w:t>
      </w:r>
    </w:p>
    <w:p w14:paraId="0E608F6C" w14:textId="6DD6FE99" w:rsidR="0000377E" w:rsidRDefault="0000377E" w:rsidP="007F7005">
      <w:r w:rsidRPr="0000377E">
        <w:t xml:space="preserve">Assessment centres are another suitable selection method. They enable ParcelCare to assess warehouse operatives’ practical and teamwork skills through simulations, including parcel sorting, equipment handling, and team-based problem-solving, improving reliability and fairness (Armstrong &amp; Taylor, </w:t>
      </w:r>
      <w:r w:rsidR="00015330">
        <w:t>2023</w:t>
      </w:r>
      <w:r w:rsidRPr="0000377E">
        <w:t>). However, assessment centres are costly, time-consuming, and may be impractical for high-volume recruitment. Additionally, confident individuals may dominate group tasks, which could overshadow other capable candidates.</w:t>
      </w:r>
    </w:p>
    <w:p w14:paraId="439786A3" w14:textId="000A09AF" w:rsidR="004D018A" w:rsidRDefault="004D018A" w:rsidP="007F7005">
      <w:r w:rsidRPr="004D018A">
        <w:t>In summary, ParcelCare can enhance recruitment and selection by combining job boards and employee referrals with skill-based tests and assessment centres. This approach balances efficiency, fairness, and reliability, helping to attract and select candidates who are capable, trustworthy, and suited to warehouse and delivery roles while maintaining operational standards.</w:t>
      </w:r>
    </w:p>
    <w:p w14:paraId="5AB46C83" w14:textId="311EF6DE" w:rsidR="0080147A" w:rsidRDefault="00645DB1" w:rsidP="007F7005">
      <w:pPr>
        <w:pStyle w:val="Heading1"/>
      </w:pPr>
      <w:r>
        <w:t>AC 3.1</w:t>
      </w:r>
    </w:p>
    <w:p w14:paraId="7C52EBEF" w14:textId="77777777" w:rsidR="00775AA2" w:rsidRPr="00775AA2" w:rsidRDefault="00775AA2" w:rsidP="00B10E5D">
      <w:r w:rsidRPr="00775AA2">
        <w:t>Employee turnover is a significant concern for organisations like ParcelCare, which rely on a stable workforce to ensure efficient logistics operations. Turnover can be broadly categorised into avoidable and unavoidable types and is influenced by both push and pull factors (Armstrong &amp; Taylor, 2023).</w:t>
      </w:r>
    </w:p>
    <w:p w14:paraId="642FD0E0" w14:textId="77777777" w:rsidR="00775AA2" w:rsidRPr="00775AA2" w:rsidRDefault="00775AA2" w:rsidP="00B10E5D">
      <w:r w:rsidRPr="00775AA2">
        <w:t>Avoidable turnover refers to departures that the organisation could prevent through effective HR management, engagement strategies, and workplace improvements. For ParcelCare, this might include drivers or warehouse staff leaving due to dissatisfaction with working conditions, limited career progression, or uncompetitive pay. Mitigating avoidable turnover involves targeted retention strategies, performance management, and enhanced employee engagement (Boxall &amp; Purcell, 2022). Organisations with strong employer brands and structured workforce planning are better positioned to retain key staff and reduce recruitment and training costs (CIPD, 2025). Initiatives such as flexible working arrangements and employee recognition programs can help minimise avoidable departures (McCartney, 2025).</w:t>
      </w:r>
    </w:p>
    <w:p w14:paraId="06C2C993" w14:textId="5F286492" w:rsidR="00775AA2" w:rsidRPr="00775AA2" w:rsidRDefault="00775AA2" w:rsidP="00B10E5D">
      <w:r w:rsidRPr="00775AA2">
        <w:t xml:space="preserve">Unavoidable turnover occurs for reasons beyond the employer’s control, including retirements, relocations, health issues, or personal circumstances (Armstrong, 2020). </w:t>
      </w:r>
      <w:r w:rsidR="0008378D">
        <w:rPr>
          <w:b/>
          <w:bCs/>
        </w:rPr>
        <w:t>For</w:t>
      </w:r>
      <w:r w:rsidRPr="00775AA2">
        <w:t xml:space="preserve"> ParcelCare, this may involve long-serving drivers retiring or employees relocating. Strategic workforce planning ensures continuity by forecasting staffing needs and maintaining a talent pipeline (Taylor, 2020).</w:t>
      </w:r>
    </w:p>
    <w:p w14:paraId="623088D5" w14:textId="77777777" w:rsidR="003659EB" w:rsidRPr="003659EB" w:rsidRDefault="003659EB" w:rsidP="00B10E5D">
      <w:r w:rsidRPr="003659EB">
        <w:t>Turnover is also shaped by push and pull factors. Push factors are internal elements that drive employees to leave, such as low job satisfaction, poor working conditions, excessive workload, or limited career progression (Hogarth, 2021). For ParcelCare, drivers experiencing chronic scheduling pressures or insufficient recognition may seek alternative employment. Addressing push factors requires interventions such as performance management improvements, employee engagement programs, and effective communication (McCartney, 2025).</w:t>
      </w:r>
    </w:p>
    <w:p w14:paraId="0672AE24" w14:textId="51DF4671" w:rsidR="0072097C" w:rsidRPr="0072097C" w:rsidRDefault="003659EB" w:rsidP="00B10E5D">
      <w:r w:rsidRPr="003659EB">
        <w:t xml:space="preserve">Pull factors are external attractions that draw employees to other opportunities, including higher salaries, better benefits, flexible working arrangements, or prospects for career advancement (Cockett </w:t>
      </w:r>
      <w:r w:rsidR="00382CEA">
        <w:rPr>
          <w:b/>
          <w:bCs/>
        </w:rPr>
        <w:t>&amp;</w:t>
      </w:r>
      <w:r w:rsidRPr="003659EB">
        <w:t xml:space="preserve"> Willmott, 2023). Competitors offering improved pay or hybrid working options may entice ParcelCare staff. While pull factors are largely beyond the organisation’s control, strategies such as employer branding and strategic workforce planning can help mitigate their impact (CIPD, 2024).</w:t>
      </w:r>
    </w:p>
    <w:p w14:paraId="2229300C" w14:textId="4C4D5161" w:rsidR="00775AA2" w:rsidRPr="00B10E5D" w:rsidRDefault="00775AA2" w:rsidP="00B10E5D">
      <w:r w:rsidRPr="00B10E5D">
        <w:t xml:space="preserve">Overall, understanding the </w:t>
      </w:r>
      <w:r w:rsidR="002A1E33" w:rsidRPr="00B10E5D">
        <w:t>relationship</w:t>
      </w:r>
      <w:r w:rsidRPr="00B10E5D">
        <w:t xml:space="preserve"> between avoidable</w:t>
      </w:r>
      <w:r w:rsidR="002A1E33" w:rsidRPr="00B10E5D">
        <w:t xml:space="preserve"> and </w:t>
      </w:r>
      <w:r w:rsidRPr="00B10E5D">
        <w:t xml:space="preserve">unavoidable turnover </w:t>
      </w:r>
      <w:r w:rsidR="002A1E33" w:rsidRPr="00B10E5D">
        <w:t>in addition to</w:t>
      </w:r>
      <w:r w:rsidRPr="00B10E5D">
        <w:t xml:space="preserve"> push</w:t>
      </w:r>
      <w:r w:rsidR="002A1E33" w:rsidRPr="00B10E5D">
        <w:t xml:space="preserve"> and </w:t>
      </w:r>
      <w:r w:rsidRPr="00B10E5D">
        <w:t>pull factors allows ParcelCare to implement targeted HR strategies. By addressing preventable exits and planning for inevitable ones, the company can maintain operational efficiency, retain key staff, and remain competitive in the logistics sector.</w:t>
      </w:r>
    </w:p>
    <w:p w14:paraId="3519F702" w14:textId="4AD256BB" w:rsidR="00382CEA" w:rsidRPr="00382CEA" w:rsidRDefault="000702E9" w:rsidP="007F7005">
      <w:pPr>
        <w:pStyle w:val="Heading1"/>
      </w:pPr>
      <w:r>
        <w:t>AC 3.2</w:t>
      </w:r>
    </w:p>
    <w:p w14:paraId="621A9494" w14:textId="58A78840" w:rsidR="00084EEF" w:rsidRDefault="009A7628" w:rsidP="007F7005">
      <w:r>
        <w:t>As ParcelCare</w:t>
      </w:r>
      <w:r w:rsidR="00084EEF">
        <w:t xml:space="preserve"> is currently experiencing difficulties in retaining warehouse staff due to strong competition in the labour market. </w:t>
      </w:r>
      <w:r>
        <w:t>I</w:t>
      </w:r>
      <w:r w:rsidR="00084EEF">
        <w:t>t is essential to identify strategies specifically aimed at improving retention in the warehouse workforce, while also evaluating the associated cost, resource requirements, and likely effectiveness of each approach.</w:t>
      </w:r>
    </w:p>
    <w:p w14:paraId="3F0388B6" w14:textId="77777777" w:rsidR="00084EEF" w:rsidRDefault="00084EEF" w:rsidP="007F7005">
      <w:r>
        <w:t>One approach to addressing retention is the use of Realistic Job Previews (RJPs). RJPs provide potential warehouse employees with a clear view of the role, including both challenges such as shift patterns and physical demands, and positive aspects like career development opportunities (Armstrong and Taylor, 2023). This transparency helps manage expectations and reduces early turnover. The cost of RJPs is moderate, requiring investment in videos, shadowing programmes, or written materials, while resource requirements include HR time to develop and deliver the previews. Overall, the approach is effective in improving early-stage retention (Boxall and Purcell, 2022).</w:t>
      </w:r>
    </w:p>
    <w:p w14:paraId="77CC535C" w14:textId="10E11E4C" w:rsidR="00084EEF" w:rsidRDefault="00084EEF" w:rsidP="007F7005">
      <w:r>
        <w:t xml:space="preserve">Induction is another key strategy. A structured onboarding programme introduces new warehouse staff to ParcelCare’s processes, health and safety requirements, and organisational culture (Armstrong, 2020). Induction helps employees feel supported and reduces </w:t>
      </w:r>
      <w:r w:rsidR="00DC75FF">
        <w:t>turnover of employees in the first year</w:t>
      </w:r>
      <w:r>
        <w:t>. Resource implications include HR and line manager time, as well as training materials, but the approach is low-cost relative to the benefits of faster integration and higher engagement (CIPD, 2025).</w:t>
      </w:r>
    </w:p>
    <w:p w14:paraId="3F6D89B5" w14:textId="77777777" w:rsidR="00084EEF" w:rsidRDefault="00084EEF" w:rsidP="007F7005">
      <w:r>
        <w:t>Job enrichment can increase motivation and job satisfaction by enhancing autonomy, introducing task variety, and providing opportunities for skill development within warehouse roles (Marchington et al., 2025). While the resource requirement is higher due to training and management oversight, the long-term effectiveness in reducing voluntary turnover is significant, particularly for employees seeking meaningful work beyond routine tasks.</w:t>
      </w:r>
    </w:p>
    <w:p w14:paraId="4A7C969D" w14:textId="77777777" w:rsidR="00084EEF" w:rsidRDefault="00084EEF" w:rsidP="007F7005">
      <w:r>
        <w:t>Finally, reward strategies including competitive pay, attendance bonuses, recognition programmes, and career progression pathways can reinforce loyalty (CIPD, 2024). Financial rewards have direct costs, while non-financial rewards require ongoing management input. When combined with induction and job enrichment, reward strategies are highly effective in retaining warehouse staff, although they are less impactful if working conditions remain challenging.</w:t>
      </w:r>
    </w:p>
    <w:p w14:paraId="537EB0E1" w14:textId="77777777" w:rsidR="009921F3" w:rsidRDefault="00325D6C" w:rsidP="007F7005">
      <w:r>
        <w:t>I</w:t>
      </w:r>
      <w:r w:rsidRPr="00325D6C">
        <w:t>n summary, a combination of RJPs, induction, job enrichment, and reward strategies provides a comprehensive approach to addressing warehouse staff retention at ParcelCare. Realistic Job Previews (RJPs) are most effective when implemented during recruitment, helping to set accurate expectations before employees join. Induction should take place immediately upon starting employment to ensure rapid integration and engagement. Job enrichment is best applied once employees are settled in their roles, allowing for skill development and increased responsibility over time. Reward strategies should be ongoing, with regular reviews to maintain motivation and reinforce loyalty. Each approach varies in cost and resource requirements, but together they offer the most sustainable solution for maintaining a committed and stable workforce (Hogarth &amp; McCartney, 2024).</w:t>
      </w:r>
    </w:p>
    <w:p w14:paraId="260D93A7" w14:textId="77777777" w:rsidR="009921F3" w:rsidRDefault="009921F3" w:rsidP="007F7005">
      <w:pPr>
        <w:pStyle w:val="Heading1"/>
      </w:pPr>
      <w:r>
        <w:t>AC 3.3</w:t>
      </w:r>
    </w:p>
    <w:p w14:paraId="5433D935" w14:textId="6A4F6E0D" w:rsidR="003B155A" w:rsidRDefault="003B155A" w:rsidP="007F7005">
      <w:r>
        <w:t>Employee turnover is a natural and expected aspect of organisational life, reflecting changes in individual circumstances, career progression, or broader labour market trends. However, dysfunctional employee turnover</w:t>
      </w:r>
      <w:r w:rsidR="00646E98">
        <w:t xml:space="preserve"> </w:t>
      </w:r>
      <w:r>
        <w:t>where high-performing or strategically critical employees leave</w:t>
      </w:r>
      <w:r w:rsidR="00646E98">
        <w:t xml:space="preserve"> </w:t>
      </w:r>
      <w:r>
        <w:t>presents significant challenges for organisations such as Parcel</w:t>
      </w:r>
      <w:r w:rsidR="00A3624E">
        <w:t>C</w:t>
      </w:r>
      <w:r>
        <w:t xml:space="preserve">are. This type of turnover is not merely a human resources concern but a strategic issue with consequences that can impact operational efficiency, financial performance, and organisational reputation (Boxall </w:t>
      </w:r>
      <w:r w:rsidR="00A65E68">
        <w:t>&amp;</w:t>
      </w:r>
      <w:r>
        <w:t xml:space="preserve"> Purcell, 2022).</w:t>
      </w:r>
    </w:p>
    <w:p w14:paraId="5342E389" w14:textId="52018D1A" w:rsidR="003B155A" w:rsidRDefault="003B155A" w:rsidP="007F7005">
      <w:r>
        <w:t>The loss of experienced employees can cause substantial operational disruption within Parcel</w:t>
      </w:r>
      <w:r w:rsidR="00A3624E">
        <w:t>C</w:t>
      </w:r>
      <w:r>
        <w:t>are. When staff with specialised knowledge leave, the organisation loses valuable institutional expertise in areas such as logistics planning, route optimisation, and client relationship management. These competencies are essential for ensuring that deliveries are timely, accurate, and meet customer expectations. As Alqatawna et al. (2023) highlight, accurate forecasting of staffing needs is critical in the logistics sector to maintain service levels and operational stability. Dysfunctional turnover undermines this capacity, increases the likelihood of operational errors, reduces efficiency, and can disrupt the smooth functioning of day-to-day operations.</w:t>
      </w:r>
    </w:p>
    <w:p w14:paraId="0A77B6D2" w14:textId="4016F226" w:rsidR="003B155A" w:rsidRDefault="003B155A" w:rsidP="007F7005">
      <w:r>
        <w:t xml:space="preserve">In addition to operational challenges, dysfunctional turnover has significant financial implications. Recruiting, onboarding, and training replacement staff is resource-intensive and can cost between 50–150% of the departing employee’s annual salary (CIPD, 2025). These costs are compounded by the managerial time and attention required to manage transitions, which could otherwise be directed towards strategic initiatives and business development (Armstrong </w:t>
      </w:r>
      <w:r w:rsidR="00A65E68">
        <w:t>&amp;</w:t>
      </w:r>
      <w:r>
        <w:t xml:space="preserve"> Taylor, 2023).</w:t>
      </w:r>
    </w:p>
    <w:p w14:paraId="6A9DA543" w14:textId="29984605" w:rsidR="003B155A" w:rsidRDefault="003B155A" w:rsidP="007F7005">
      <w:r>
        <w:t>Dysfunctional turnover also affects employee engagement and morale. Remaining employees may face increased workloads, stress, and uncertainty regarding job security, all of which reduce motivation and engagement and may ultimately result in further attrition (Marchington et al., 2025). Parcel</w:t>
      </w:r>
      <w:r w:rsidR="00A3624E">
        <w:t>C</w:t>
      </w:r>
      <w:r>
        <w:t>are relies on an engaged and committed workforce to maintain operational excellence, and the loss of key personnel can therefore have a compounding effect on workforce stability and organisational performance.</w:t>
      </w:r>
    </w:p>
    <w:p w14:paraId="1043844D" w14:textId="77777777" w:rsidR="003B155A" w:rsidRDefault="003B155A" w:rsidP="007F7005">
      <w:r>
        <w:t>Finally, dysfunctional turnover carries strategic risks. Losing skilled employees diminishes organisational capability, slows process improvement, and can threaten customer trust and satisfaction. In the competitive logistics sector, retaining expertise is essential to respond effectively to changing customer demands and to maintain a strong market position (Taylor, 2020; Logistics UK, 2025).</w:t>
      </w:r>
    </w:p>
    <w:p w14:paraId="65A945BF" w14:textId="7BD66BCE" w:rsidR="00C85360" w:rsidRDefault="003B155A" w:rsidP="007F7005">
      <w:r>
        <w:t>In summary, addressing dysfunctional turnover is critical for Parcel</w:t>
      </w:r>
      <w:r w:rsidR="009D6640">
        <w:t>C</w:t>
      </w:r>
      <w:r>
        <w:t xml:space="preserve">are to maintain operational continuity, control costs, and protect workforce engagement. Implementing strategic retention initiatives, such as workforce planning, professional development, and employee engagement measures, is essential to mitigate these risks and safeguard long-term organisational </w:t>
      </w:r>
      <w:r w:rsidRPr="007F7005">
        <w:t>performance (CIPD, 2025a; Armstrong, 2020).</w:t>
      </w:r>
    </w:p>
    <w:p w14:paraId="227D4228" w14:textId="5455790A" w:rsidR="007F7005" w:rsidRDefault="007F7005" w:rsidP="007F7005">
      <w:pPr>
        <w:pStyle w:val="Heading1"/>
      </w:pPr>
      <w:r>
        <w:t>AC 4.1</w:t>
      </w:r>
    </w:p>
    <w:p w14:paraId="4E565F1C" w14:textId="77777777" w:rsidR="00685FDA" w:rsidRPr="00685FDA" w:rsidRDefault="00685FDA" w:rsidP="00685FDA">
      <w:r w:rsidRPr="00685FDA">
        <w:t>Employment contracts are an important consideration for ParcelCare, particularly as the business relies on reliable delivery drivers and warehouse operatives. While permanent full-time contracts are commonly used, other types of contracts could be considered to balance flexibility, cost, and workforce stability.</w:t>
      </w:r>
    </w:p>
    <w:p w14:paraId="628BA2F1" w14:textId="1DA4D04B" w:rsidR="00685FDA" w:rsidRPr="00685FDA" w:rsidRDefault="00685FDA" w:rsidP="00685FDA">
      <w:r w:rsidRPr="00685FDA">
        <w:t>Permanent full-time contracts are highly suitable for ParcelCare’s core delivery drivers. They provide job security and stability, which encourages loyalty and engagement, reducing turnover and ensuring consistent service levels (Armstrong &amp; Taylor, 2023). These contracts also promote commitment to company policies and procedures</w:t>
      </w:r>
      <w:r w:rsidR="00965CDE">
        <w:t xml:space="preserve"> </w:t>
      </w:r>
      <w:r w:rsidRPr="00685FDA">
        <w:t>and ensure employees are more likely to complete proper training, supporting operational efficiency. Additionally, permanent contracts can improve job satisfaction, contributing to a positive workplace culture</w:t>
      </w:r>
      <w:r w:rsidR="00C34C3C">
        <w:t xml:space="preserve"> (Bratton et al, 20</w:t>
      </w:r>
      <w:r w:rsidR="00D86BA3">
        <w:t>22)</w:t>
      </w:r>
      <w:r w:rsidRPr="00685FDA">
        <w:t xml:space="preserve">. However, the disadvantages include higher long-term costs due to salaries, benefits, and holiday pay. They also reduce flexibility during periods of fluctuating demand, making it harder for ParcelCare to adjust staffing levels quickly. </w:t>
      </w:r>
    </w:p>
    <w:p w14:paraId="21F6D55D" w14:textId="525DE273" w:rsidR="00685FDA" w:rsidRPr="00685FDA" w:rsidRDefault="00685FDA" w:rsidP="00685FDA">
      <w:r w:rsidRPr="00685FDA">
        <w:t>Fixed-term contracts are useful for peak periods, such as holidays, when additional drivers or warehouse staff are needed temporarily. These contracts provide flexibility, lower long-term financial commitments, and allow rapid scaling of the workforce (Bratton et al., 2022). Fixed-term employees can fill urgent staffing gaps without the obligation of long-term employment, which helps control costs. However, the disadvantages include lower employee motivation and loyalty due to limited job security. Skilled staff may leave after the contract ends, and investment in training may not yield long-term benefits</w:t>
      </w:r>
      <w:r w:rsidR="00D84F84">
        <w:t xml:space="preserve"> (Marchington et al, 2025)</w:t>
      </w:r>
      <w:r w:rsidRPr="00685FDA">
        <w:t>. Fixed-term staff may also be less familiar with company systems and processes, which can temporarily affect efficiency.</w:t>
      </w:r>
    </w:p>
    <w:p w14:paraId="15641426" w14:textId="0820EF91" w:rsidR="00685FDA" w:rsidRPr="00685FDA" w:rsidRDefault="00685FDA" w:rsidP="00685FDA">
      <w:r w:rsidRPr="00685FDA">
        <w:t>Part-time contracts are suitable for roles that do not require full-time hours, such as weekend or evening delivery shifts. They allow ParcelCare to reduce payroll costs while ensuring reliable coverage (Marchington et al., 2025). Part-time contracts also broaden the candidate pool, attracting students, parents, or individuals seeking flexible work</w:t>
      </w:r>
      <w:r w:rsidR="002E045A">
        <w:t xml:space="preserve"> (Dale, 2024)</w:t>
      </w:r>
      <w:r w:rsidRPr="00685FDA">
        <w:t>. However, these contracts require careful scheduling to maintain consistent operational coverage. Part-time employees may feel less engaged with the company culture, and operational challenges may arise if staff availability is limited. There is also a risk that part-time staff may have less familiarity with procedures, potentially affecting service quality.</w:t>
      </w:r>
    </w:p>
    <w:p w14:paraId="3B65B498" w14:textId="77777777" w:rsidR="00685FDA" w:rsidRDefault="00685FDA" w:rsidP="00685FDA">
      <w:r w:rsidRPr="00685FDA">
        <w:t>In conclusion, permanent full-time contracts are most suitable for core delivery drivers, providing stability, engagement, and reliability. Fixed-term contracts are effective for managing seasonal peaks, while part-time contracts offer flexibility and cost savings with moderate stability. ParcelCare can benefit from using a combination of these contracts to balance cost, flexibility, and operational efficiency while maintaining a reliable and motivated workforce.</w:t>
      </w:r>
    </w:p>
    <w:p w14:paraId="24B14809" w14:textId="369489FA" w:rsidR="002E0DB9" w:rsidRDefault="00C768FC" w:rsidP="00C768FC">
      <w:pPr>
        <w:pStyle w:val="Heading1"/>
      </w:pPr>
      <w:r>
        <w:t>AC 4.2</w:t>
      </w:r>
    </w:p>
    <w:p w14:paraId="3B21CD92" w14:textId="77777777" w:rsidR="00F27F16" w:rsidRPr="00F27F16" w:rsidRDefault="00F27F16" w:rsidP="00F27F16">
      <w:r w:rsidRPr="00F27F16">
        <w:t>Effective onboarding is a critical process for organisations such as ParcelCare, as it ensures that new employees integrate quickly, understand their roles, and contribute efficiently to organisational objectives. Structured onboarding provides clear guidance on processes, systems, and expectations, enabling employees to perform their duties with confidence and accuracy. In operational roles such as parcel sorting, warehouse management, and delivery, this reduces errors, improves productivity, and helps maintain consistent service quality, which is essential for meeting customer expectations (Armstrong &amp; Taylor, 2023).</w:t>
      </w:r>
    </w:p>
    <w:p w14:paraId="1AD83514" w14:textId="77777777" w:rsidR="00F27F16" w:rsidRPr="00F27F16" w:rsidRDefault="00F27F16" w:rsidP="00F27F16">
      <w:r w:rsidRPr="00F27F16">
        <w:t>Another significant advantage of onboarding is the enhancement of employee engagement and motivation. When the onboarding process communicates the organisation’s values, culture, and opportunities for career progression, employees are more likely to feel valued, supported, and connected to the company. This sense of belonging fosters engagement, which is strongly linked to higher performance, increased commitment, and lower absenteeism. In sectors like logistics, where turnover rates are high and competition for skilled workers is strong, creating an engaging onboarding experience can significantly improve retention and productivity (Logistics UK, 2025; Boxall &amp; Purcell, 2022).</w:t>
      </w:r>
    </w:p>
    <w:p w14:paraId="73790E57" w14:textId="77777777" w:rsidR="00F27F16" w:rsidRPr="00F27F16" w:rsidRDefault="00F27F16" w:rsidP="00F27F16">
      <w:r w:rsidRPr="00F27F16">
        <w:t>Structured onboarding also contributes directly to reducing staff turnover. Employees who experience a well-organised and supportive onboarding programme are more likely to remain with the organisation over the long term, reducing recruitment and training costs while sustaining operational efficiency (CIPD, 2024). For ParcelCare, retaining skilled delivery drivers, warehouse operatives, and operational staff is crucial to ensuring consistent service delivery and maintaining competitive advantage in a fast-paced market.</w:t>
      </w:r>
    </w:p>
    <w:p w14:paraId="062803CA" w14:textId="77777777" w:rsidR="00F27F16" w:rsidRPr="00F27F16" w:rsidRDefault="00F27F16" w:rsidP="00F27F16">
      <w:r w:rsidRPr="00F27F16">
        <w:t>In addition, onboarding plays a key role in promoting compliance and workplace safety. Delivering comprehensive health and safety training from the outset ensures that employees understand safe working practices, helping to prevent accidents and injuries. This not only protects employees but also mitigates potential legal and financial risks for the organisation (CIPD, 2025).</w:t>
      </w:r>
    </w:p>
    <w:p w14:paraId="48260A50" w14:textId="77777777" w:rsidR="00F27F16" w:rsidRPr="00F27F16" w:rsidRDefault="00F27F16" w:rsidP="00F27F16">
      <w:r w:rsidRPr="00F27F16">
        <w:t>Finally, onboarding supports team integration and collaboration. Introducing new employees to colleagues, clarifying team roles and responsibilities, and fostering open communication helps build positive working relationships, encourages cooperation, and enhances overall operational efficiency. Employees who understand how their role contributes to team objectives are better able to collaborate and support each other, creating a more cohesive and effective workforce (Marchington et al., 2025).</w:t>
      </w:r>
    </w:p>
    <w:p w14:paraId="16862CF0" w14:textId="2514B9E5" w:rsidR="00667DC1" w:rsidRDefault="00F27F16" w:rsidP="00667DC1">
      <w:r w:rsidRPr="00F27F16">
        <w:t>In summary, investing in structured onboarding delivers multiple benefits for ParcelCare, including improved performance, engagement, retention, safety, and team cohesion. By ensuring that new employees are well-prepared and supported from the outset, ParcelCare can strengthen operational efficiency, reduce turnover-related costs, and cultivate a competent, motivated, and adaptable workforce capable of meeting both current and future organisational demands.</w:t>
      </w:r>
    </w:p>
    <w:p w14:paraId="57A227FD" w14:textId="77777777" w:rsidR="00FA7082" w:rsidRPr="007F7005" w:rsidRDefault="00FA7082" w:rsidP="00667DC1"/>
    <w:p w14:paraId="066F058C" w14:textId="0249D627" w:rsidR="00382CEA" w:rsidRDefault="00382CEA" w:rsidP="007F7005">
      <w:r>
        <w:br w:type="page"/>
      </w:r>
    </w:p>
    <w:p w14:paraId="69486DC7" w14:textId="38E3638E" w:rsidR="003B540C" w:rsidRDefault="003B540C" w:rsidP="007F7005">
      <w:pPr>
        <w:pStyle w:val="Heading1"/>
      </w:pPr>
      <w:r>
        <w:t>Bibliography</w:t>
      </w:r>
    </w:p>
    <w:p w14:paraId="224A4309" w14:textId="3D33980A" w:rsidR="00F14FCE" w:rsidRDefault="00F14FCE" w:rsidP="00F14FCE">
      <w:pPr>
        <w:pStyle w:val="BIB"/>
      </w:pPr>
      <w:r>
        <w:t>Acas (202</w:t>
      </w:r>
      <w:r w:rsidR="00AB7AF5">
        <w:t>5</w:t>
      </w:r>
      <w:r>
        <w:t xml:space="preserve">) </w:t>
      </w:r>
      <w:r w:rsidR="00B35407">
        <w:t>Employment Status</w:t>
      </w:r>
      <w:r w:rsidRPr="00884150">
        <w:rPr>
          <w:i/>
          <w:iCs/>
        </w:rPr>
        <w:t xml:space="preserve">- </w:t>
      </w:r>
      <w:r w:rsidR="00B35407">
        <w:rPr>
          <w:i/>
          <w:iCs/>
        </w:rPr>
        <w:t>Types of employment status</w:t>
      </w:r>
      <w:r>
        <w:t xml:space="preserve">. Available at: </w:t>
      </w:r>
      <w:r w:rsidR="00B35407" w:rsidRPr="00B35407">
        <w:t>https://www.acas.org.uk/employment-status</w:t>
      </w:r>
      <w:r>
        <w:t xml:space="preserve">. (Accessed: </w:t>
      </w:r>
      <w:r w:rsidR="00AB7AF5">
        <w:t>30 November</w:t>
      </w:r>
      <w:r>
        <w:t xml:space="preserve"> 2025)</w:t>
      </w:r>
    </w:p>
    <w:p w14:paraId="60F6EF02" w14:textId="2F49E886" w:rsidR="00D52416" w:rsidRPr="00D52416" w:rsidRDefault="00D52416" w:rsidP="007F7005">
      <w:pPr>
        <w:pStyle w:val="BIB"/>
      </w:pPr>
      <w:r w:rsidRPr="00D52416">
        <w:t xml:space="preserve">Alqatawna, A. </w:t>
      </w:r>
      <w:r w:rsidRPr="00D52416">
        <w:rPr>
          <w:i/>
          <w:iCs/>
        </w:rPr>
        <w:t>et al.</w:t>
      </w:r>
      <w:r w:rsidRPr="00D52416">
        <w:t xml:space="preserve"> (2023) ‘Incorporating Time-Series Forecasting Techniques to Predict Logistics Companies’ Staffing Needs and Order Volume’, </w:t>
      </w:r>
      <w:r w:rsidRPr="00D52416">
        <w:rPr>
          <w:i/>
          <w:iCs/>
        </w:rPr>
        <w:t>Computation</w:t>
      </w:r>
      <w:r w:rsidRPr="00D52416">
        <w:t>, 11(7), p. 141. Available at: https://doi.org/10.3390/computation11070141.</w:t>
      </w:r>
    </w:p>
    <w:p w14:paraId="1835BC3B" w14:textId="006304C2" w:rsidR="00BE42DC" w:rsidRPr="00BE42DC" w:rsidRDefault="00BE42DC" w:rsidP="007F7005">
      <w:pPr>
        <w:pStyle w:val="BIB"/>
      </w:pPr>
      <w:r w:rsidRPr="00BE42DC">
        <w:t>Armstrong, M. (2020) Armstrong’s handbook of strategic human resource management: improve business performance through strategic people management. Seventh edition. London: KoganPage.</w:t>
      </w:r>
    </w:p>
    <w:p w14:paraId="0BA8622F" w14:textId="143A8C6B" w:rsidR="003B540C" w:rsidRDefault="003B540C" w:rsidP="007F7005">
      <w:pPr>
        <w:pStyle w:val="BIB"/>
      </w:pPr>
      <w:r w:rsidRPr="00BE42DC">
        <w:t>Armstrong</w:t>
      </w:r>
      <w:r w:rsidRPr="003B540C">
        <w:t>, M.</w:t>
      </w:r>
      <w:r w:rsidR="00AD0C62">
        <w:t xml:space="preserve">, </w:t>
      </w:r>
      <w:r w:rsidRPr="003B540C">
        <w:t xml:space="preserve">Taylor, S. (2023) </w:t>
      </w:r>
      <w:r w:rsidRPr="009E5694">
        <w:t>Armstrong’s handbook of human resource management practice: a guide to the theory and practice of people management</w:t>
      </w:r>
      <w:r w:rsidRPr="003B540C">
        <w:t>. 16th edn. London: Kogan Page.</w:t>
      </w:r>
    </w:p>
    <w:p w14:paraId="275EB23E" w14:textId="77777777" w:rsidR="00957696" w:rsidRPr="00957696" w:rsidRDefault="00957696" w:rsidP="007F7005">
      <w:pPr>
        <w:pStyle w:val="BIB"/>
      </w:pPr>
      <w:r w:rsidRPr="00957696">
        <w:t xml:space="preserve">Boxall, P.F. and Purcell, J. (2022) </w:t>
      </w:r>
      <w:r w:rsidRPr="00957696">
        <w:rPr>
          <w:i/>
          <w:iCs/>
        </w:rPr>
        <w:t>Strategy and human resource management</w:t>
      </w:r>
      <w:r w:rsidRPr="00957696">
        <w:t>. 5th edition. London: Bloomsbury Academic.</w:t>
      </w:r>
    </w:p>
    <w:p w14:paraId="4F4EAAAD" w14:textId="6F90837C" w:rsidR="00C63159" w:rsidRPr="00C63159" w:rsidRDefault="00C63159" w:rsidP="00C63159">
      <w:pPr>
        <w:pStyle w:val="BIB"/>
      </w:pPr>
      <w:r w:rsidRPr="00C63159">
        <w:t>Bratton, J.</w:t>
      </w:r>
      <w:r w:rsidR="00473F25">
        <w:t xml:space="preserve">, Gold, J., </w:t>
      </w:r>
      <w:r w:rsidR="00343299">
        <w:t xml:space="preserve">Bratton, A., Steele, L. </w:t>
      </w:r>
      <w:r w:rsidRPr="00C63159">
        <w:t xml:space="preserve">(2022) </w:t>
      </w:r>
      <w:r w:rsidRPr="00C63159">
        <w:rPr>
          <w:i/>
          <w:iCs/>
        </w:rPr>
        <w:t xml:space="preserve">Human resource </w:t>
      </w:r>
      <w:r w:rsidR="009D6640" w:rsidRPr="00C63159">
        <w:rPr>
          <w:i/>
          <w:iCs/>
        </w:rPr>
        <w:t>management:</w:t>
      </w:r>
      <w:r w:rsidRPr="00C63159">
        <w:rPr>
          <w:i/>
          <w:iCs/>
        </w:rPr>
        <w:t xml:space="preserve"> a critical approach</w:t>
      </w:r>
      <w:r w:rsidRPr="00C63159">
        <w:t>. Seventh edition. London: Bloomsbury Academic.</w:t>
      </w:r>
    </w:p>
    <w:p w14:paraId="7BCA5317" w14:textId="6981D97A" w:rsidR="00EE6429" w:rsidRDefault="00EE6429" w:rsidP="007F7005">
      <w:pPr>
        <w:pStyle w:val="BIB"/>
      </w:pPr>
      <w:r>
        <w:t xml:space="preserve">CIPD (2024) </w:t>
      </w:r>
      <w:r w:rsidR="00DB517B" w:rsidRPr="009E5694">
        <w:rPr>
          <w:i/>
          <w:iCs/>
        </w:rPr>
        <w:t>Employer Brand</w:t>
      </w:r>
      <w:r w:rsidR="00DB517B">
        <w:t>. Available at: (Accessed: 28 October 2025)</w:t>
      </w:r>
      <w:hyperlink r:id="rId8" w:history="1">
        <w:r w:rsidR="00DB517B" w:rsidRPr="006D75D9">
          <w:rPr>
            <w:rStyle w:val="Hyperlink"/>
          </w:rPr>
          <w:t>https://www.cipd.org/en/knowledge/factsheets/recruitment-brand-factsheet/</w:t>
        </w:r>
      </w:hyperlink>
      <w:r w:rsidR="00DB517B">
        <w:t xml:space="preserve">. </w:t>
      </w:r>
    </w:p>
    <w:p w14:paraId="6A92AF59" w14:textId="301DA186" w:rsidR="00073BE8" w:rsidRDefault="00073BE8" w:rsidP="007F7005">
      <w:pPr>
        <w:pStyle w:val="BIB"/>
      </w:pPr>
      <w:r>
        <w:t xml:space="preserve">CIPD (2025) </w:t>
      </w:r>
      <w:r w:rsidRPr="00073BE8">
        <w:rPr>
          <w:i/>
          <w:iCs/>
        </w:rPr>
        <w:t>Workforce Planning</w:t>
      </w:r>
      <w:r>
        <w:t xml:space="preserve">. Available at: </w:t>
      </w:r>
      <w:hyperlink r:id="rId9" w:history="1">
        <w:r w:rsidRPr="006D75D9">
          <w:rPr>
            <w:rStyle w:val="Hyperlink"/>
          </w:rPr>
          <w:t>https://www.cipd.org/uk/knowledge/factsheets/workforce-planning-factsheet/</w:t>
        </w:r>
      </w:hyperlink>
      <w:r>
        <w:t>. (Accessed: 28 October 2025)</w:t>
      </w:r>
    </w:p>
    <w:p w14:paraId="493F30D1" w14:textId="77777777" w:rsidR="00073BE8" w:rsidRDefault="00073BE8" w:rsidP="007F7005">
      <w:pPr>
        <w:pStyle w:val="BIB"/>
      </w:pPr>
      <w:r w:rsidRPr="00073BE8">
        <w:t>CIPD (2025</w:t>
      </w:r>
      <w:r>
        <w:t>a</w:t>
      </w:r>
      <w:r w:rsidRPr="00073BE8">
        <w:t xml:space="preserve">) </w:t>
      </w:r>
      <w:r w:rsidRPr="00073BE8">
        <w:rPr>
          <w:i/>
          <w:iCs/>
        </w:rPr>
        <w:t>Strategic workforce planning: Guide for people professionals</w:t>
      </w:r>
      <w:r>
        <w:t>.</w:t>
      </w:r>
      <w:r w:rsidRPr="00073BE8">
        <w:t xml:space="preserve"> Available at: </w:t>
      </w:r>
      <w:hyperlink r:id="rId10" w:history="1">
        <w:r w:rsidRPr="006D75D9">
          <w:rPr>
            <w:rStyle w:val="Hyperlink"/>
          </w:rPr>
          <w:t>https://www.cipd.org/uk/knowledge/guides/strategic-workforce-planning/</w:t>
        </w:r>
      </w:hyperlink>
      <w:r>
        <w:t>. (Accessed: 28 October 2025)</w:t>
      </w:r>
    </w:p>
    <w:p w14:paraId="63AC2F0B" w14:textId="30BFA7B6" w:rsidR="00A33C51" w:rsidRDefault="00A33C51" w:rsidP="007F7005">
      <w:pPr>
        <w:pStyle w:val="BIB"/>
      </w:pPr>
      <w:r>
        <w:t xml:space="preserve">Cockett, J. (2025) </w:t>
      </w:r>
      <w:r w:rsidRPr="009E5694">
        <w:rPr>
          <w:i/>
          <w:iCs/>
        </w:rPr>
        <w:t>Labour Market Outlook – autumn 2025</w:t>
      </w:r>
      <w:r>
        <w:t xml:space="preserve">. London: Chartered </w:t>
      </w:r>
      <w:r w:rsidR="009A772E">
        <w:t>Institute of</w:t>
      </w:r>
      <w:r>
        <w:t xml:space="preserve"> Personnel and Development.</w:t>
      </w:r>
    </w:p>
    <w:p w14:paraId="0BC65529" w14:textId="59A9D70F" w:rsidR="00D621B9" w:rsidRDefault="00D621B9" w:rsidP="007F7005">
      <w:pPr>
        <w:pStyle w:val="BIB"/>
      </w:pPr>
      <w:r w:rsidRPr="00D621B9">
        <w:t xml:space="preserve">Cockett, J. and Willmott, B. (2023) </w:t>
      </w:r>
      <w:r w:rsidRPr="009E5694">
        <w:rPr>
          <w:i/>
          <w:iCs/>
        </w:rPr>
        <w:t>The gig economy: What does it really look like</w:t>
      </w:r>
      <w:r w:rsidRPr="00D621B9">
        <w:t>? London: Chartered Institute of Personnel and Development.</w:t>
      </w:r>
    </w:p>
    <w:p w14:paraId="001C0C54" w14:textId="77777777" w:rsidR="00CC12BB" w:rsidRPr="00CC12BB" w:rsidRDefault="00CC12BB" w:rsidP="007F7005">
      <w:pPr>
        <w:pStyle w:val="BIB"/>
      </w:pPr>
      <w:r w:rsidRPr="00CC12BB">
        <w:t>Connolly, M. (2015) ‘</w:t>
      </w:r>
      <w:r w:rsidRPr="00CC12BB">
        <w:rPr>
          <w:i/>
          <w:iCs/>
        </w:rPr>
        <w:t>Employee-referral schemes and discrimination law’</w:t>
      </w:r>
      <w:r w:rsidRPr="00CC12BB">
        <w:t xml:space="preserve">, </w:t>
      </w:r>
      <w:r w:rsidRPr="00CC12BB">
        <w:rPr>
          <w:i/>
          <w:iCs/>
        </w:rPr>
        <w:t>International journal of discrimination and the law</w:t>
      </w:r>
      <w:r w:rsidRPr="00CC12BB">
        <w:t>, 15(3), pp. 148–177. Available at: https://doi.org/10.1177/1358229115579571.</w:t>
      </w:r>
    </w:p>
    <w:p w14:paraId="7E0D7272" w14:textId="24922210" w:rsidR="003B540C" w:rsidRDefault="003B540C" w:rsidP="007F7005">
      <w:pPr>
        <w:pStyle w:val="BIB"/>
      </w:pPr>
      <w:r w:rsidRPr="003B540C">
        <w:t xml:space="preserve">Daniels, K. (2024) </w:t>
      </w:r>
      <w:r w:rsidRPr="009E5694">
        <w:t>Introduction to employment law: fundamentals for HR and business students</w:t>
      </w:r>
      <w:r w:rsidRPr="003B540C">
        <w:t>. 7th edn. London: Kogan Page.</w:t>
      </w:r>
    </w:p>
    <w:p w14:paraId="19DDCE12" w14:textId="40B800C9" w:rsidR="00CF6D55" w:rsidRDefault="00CF6D55" w:rsidP="007F7005">
      <w:pPr>
        <w:pStyle w:val="BIB"/>
      </w:pPr>
      <w:r>
        <w:t>Dale, G. (2024)</w:t>
      </w:r>
      <w:r w:rsidR="0087085B">
        <w:t xml:space="preserve"> </w:t>
      </w:r>
      <w:r w:rsidR="0087085B" w:rsidRPr="0087085B">
        <w:rPr>
          <w:i/>
          <w:iCs/>
        </w:rPr>
        <w:t>Flexible working</w:t>
      </w:r>
      <w:r w:rsidR="0087085B" w:rsidRPr="0087085B">
        <w:t xml:space="preserve">. London: Chartered Institute of Personnel and Development. Available at: </w:t>
      </w:r>
      <w:hyperlink r:id="rId11" w:tgtFrame="_new" w:history="1">
        <w:r w:rsidR="0087085B" w:rsidRPr="0087085B">
          <w:rPr>
            <w:rStyle w:val="Hyperlink"/>
          </w:rPr>
          <w:t>https://www.cipd.org/uk/knowledge/guides/flexible-working/?utm_source=chatgpt.com</w:t>
        </w:r>
      </w:hyperlink>
      <w:r w:rsidR="0087085B" w:rsidRPr="0087085B">
        <w:t xml:space="preserve"> (Accessed: </w:t>
      </w:r>
      <w:r w:rsidR="0087085B">
        <w:t>30 November</w:t>
      </w:r>
      <w:r w:rsidR="0087085B" w:rsidRPr="0087085B">
        <w:t xml:space="preserve"> 2025).</w:t>
      </w:r>
    </w:p>
    <w:p w14:paraId="2AF3344B" w14:textId="277B7E2A" w:rsidR="009E5694" w:rsidRDefault="009E5694" w:rsidP="007F7005">
      <w:pPr>
        <w:pStyle w:val="BIB"/>
      </w:pPr>
      <w:r w:rsidRPr="009E5694">
        <w:t>Francis-Devine, B.</w:t>
      </w:r>
      <w:r w:rsidR="00AD0C62">
        <w:t xml:space="preserve">, </w:t>
      </w:r>
      <w:r w:rsidRPr="009E5694">
        <w:t xml:space="preserve">Powell, A. (2025) </w:t>
      </w:r>
      <w:r w:rsidRPr="009E5694">
        <w:rPr>
          <w:i/>
          <w:iCs/>
        </w:rPr>
        <w:t>UK labour market statistics</w:t>
      </w:r>
      <w:r w:rsidRPr="009E5694">
        <w:t xml:space="preserve"> [Research Briefing]. Date: 11 November 2025.</w:t>
      </w:r>
    </w:p>
    <w:p w14:paraId="35DE9EB4" w14:textId="6A017690" w:rsidR="00266CD6" w:rsidRPr="00812E29" w:rsidRDefault="00266CD6" w:rsidP="007F7005">
      <w:pPr>
        <w:pStyle w:val="BIB"/>
      </w:pPr>
      <w:r>
        <w:t>Gifford, J. (2016)</w:t>
      </w:r>
      <w:r w:rsidR="008902AF">
        <w:t xml:space="preserve"> </w:t>
      </w:r>
      <w:r w:rsidR="008902AF" w:rsidRPr="00812E29">
        <w:rPr>
          <w:i/>
          <w:iCs/>
        </w:rPr>
        <w:t>Could do better? Assessing what works</w:t>
      </w:r>
      <w:r w:rsidR="00812E29" w:rsidRPr="00812E29">
        <w:rPr>
          <w:i/>
          <w:iCs/>
        </w:rPr>
        <w:t xml:space="preserve"> </w:t>
      </w:r>
      <w:r w:rsidR="008902AF" w:rsidRPr="00812E29">
        <w:rPr>
          <w:i/>
          <w:iCs/>
        </w:rPr>
        <w:t>in performance management</w:t>
      </w:r>
      <w:r w:rsidR="00812E29">
        <w:rPr>
          <w:i/>
          <w:iCs/>
        </w:rPr>
        <w:t xml:space="preserve">. </w:t>
      </w:r>
      <w:r w:rsidR="00812E29" w:rsidRPr="00812E29">
        <w:t>London: Chartered Institute of Personnel and Development.</w:t>
      </w:r>
    </w:p>
    <w:p w14:paraId="41B492C2" w14:textId="03437B7F" w:rsidR="00584C82" w:rsidRDefault="003E4FEB" w:rsidP="007F7005">
      <w:pPr>
        <w:pStyle w:val="BIB"/>
      </w:pPr>
      <w:r>
        <w:t xml:space="preserve">Hayden, D. (2025) </w:t>
      </w:r>
      <w:r w:rsidR="00B1525E" w:rsidRPr="00B1525E">
        <w:rPr>
          <w:i/>
          <w:iCs/>
        </w:rPr>
        <w:t>PESTLE Analysis</w:t>
      </w:r>
      <w:r w:rsidR="00B1525E">
        <w:t xml:space="preserve">. </w:t>
      </w:r>
      <w:r w:rsidR="00556E43">
        <w:t xml:space="preserve">Available at: </w:t>
      </w:r>
      <w:hyperlink r:id="rId12" w:history="1">
        <w:r w:rsidR="00556E43" w:rsidRPr="00204607">
          <w:rPr>
            <w:rStyle w:val="Hyperlink"/>
          </w:rPr>
          <w:t>https://www.cipd.org/uk/knowledge/factsheets/pestle-analysis-factsheet</w:t>
        </w:r>
      </w:hyperlink>
      <w:r w:rsidR="00556E43">
        <w:t>. (Accessed: 01 November</w:t>
      </w:r>
      <w:r w:rsidR="00A25E4E">
        <w:t xml:space="preserve"> 2025)</w:t>
      </w:r>
    </w:p>
    <w:p w14:paraId="0ADBF3E6" w14:textId="77777777" w:rsidR="00F078F1" w:rsidRPr="00F078F1" w:rsidRDefault="00F078F1" w:rsidP="007F7005">
      <w:pPr>
        <w:pStyle w:val="BIB"/>
      </w:pPr>
      <w:r w:rsidRPr="00F078F1">
        <w:t>Hoffman, M. and Tadelis, S. (2021) ‘</w:t>
      </w:r>
      <w:r w:rsidRPr="00F078F1">
        <w:rPr>
          <w:i/>
          <w:iCs/>
        </w:rPr>
        <w:t>People Management Skills, Employee Attrition, and Manager Rewards: An Empirical Analysis’,</w:t>
      </w:r>
      <w:r w:rsidRPr="00F078F1">
        <w:t xml:space="preserve"> The Journal of political economy, 129(1), pp. 243–285. Available at: https://doi.org/10.1086/711409.</w:t>
      </w:r>
    </w:p>
    <w:p w14:paraId="3043B2E9" w14:textId="35719859" w:rsidR="00264E58" w:rsidRDefault="00264E58" w:rsidP="007F7005">
      <w:pPr>
        <w:pStyle w:val="BIB"/>
      </w:pPr>
      <w:r w:rsidRPr="00264E58">
        <w:t xml:space="preserve">Hogarth, A. (2021) </w:t>
      </w:r>
      <w:r w:rsidRPr="00264E58">
        <w:rPr>
          <w:i/>
          <w:iCs/>
        </w:rPr>
        <w:t>Resourcing and talent planning 2021: case studies</w:t>
      </w:r>
      <w:r w:rsidRPr="00264E58">
        <w:t>. London: Chartered Institute of Personnel and Development</w:t>
      </w:r>
    </w:p>
    <w:p w14:paraId="6B1F3AAC" w14:textId="3627CF2D" w:rsidR="003B540C" w:rsidRDefault="003B540C" w:rsidP="007F7005">
      <w:pPr>
        <w:pStyle w:val="BIB"/>
      </w:pPr>
      <w:r w:rsidRPr="003B540C">
        <w:t xml:space="preserve">Hogarth, A. and McCartney, C. (2024) </w:t>
      </w:r>
      <w:r w:rsidRPr="009E5694">
        <w:rPr>
          <w:i/>
          <w:iCs/>
        </w:rPr>
        <w:t>Resourcing and talent planning report 2024</w:t>
      </w:r>
      <w:r w:rsidRPr="003B540C">
        <w:t>. London: Chartered Institute of Personnel and Development.</w:t>
      </w:r>
    </w:p>
    <w:p w14:paraId="3D008CB0" w14:textId="78F05FA6" w:rsidR="003E6276" w:rsidRDefault="003E6276" w:rsidP="007F7005">
      <w:pPr>
        <w:pStyle w:val="BIB"/>
      </w:pPr>
      <w:r w:rsidRPr="003E6276">
        <w:t xml:space="preserve">KPMG &amp; REC (2025) </w:t>
      </w:r>
      <w:r w:rsidRPr="003E6276">
        <w:rPr>
          <w:i/>
          <w:iCs/>
        </w:rPr>
        <w:t>UK Report on Jobs – July 2025</w:t>
      </w:r>
      <w:r w:rsidRPr="003E6276">
        <w:t>. KPMG and the Recruitment &amp; Employment Confederation.</w:t>
      </w:r>
    </w:p>
    <w:p w14:paraId="3E8CCDB1" w14:textId="14BE345D" w:rsidR="00DB3254" w:rsidRDefault="00DB3254" w:rsidP="007F7005">
      <w:pPr>
        <w:pStyle w:val="BIB"/>
      </w:pPr>
      <w:r>
        <w:t xml:space="preserve">Logistics UK (2025) </w:t>
      </w:r>
      <w:r w:rsidR="004A0260" w:rsidRPr="00DC42A1">
        <w:rPr>
          <w:i/>
          <w:iCs/>
        </w:rPr>
        <w:t xml:space="preserve">Skills and Employment Update: </w:t>
      </w:r>
      <w:r w:rsidR="00DC42A1" w:rsidRPr="00DC42A1">
        <w:rPr>
          <w:i/>
          <w:iCs/>
        </w:rPr>
        <w:t>Q1 2025</w:t>
      </w:r>
      <w:r w:rsidR="00DC42A1">
        <w:t xml:space="preserve">. Available at: </w:t>
      </w:r>
      <w:hyperlink r:id="rId13" w:history="1">
        <w:r w:rsidR="00921ED1" w:rsidRPr="006D75D9">
          <w:rPr>
            <w:rStyle w:val="Hyperlink"/>
          </w:rPr>
          <w:t>https://logistics.org.uk/CMSPages/GetFile.aspx?guid=356af992-edaf-4f88-9bf0-5aed830918c4&amp;lang=en-GB</w:t>
        </w:r>
      </w:hyperlink>
      <w:r w:rsidR="00921ED1">
        <w:t>. (Accessed: 28 October 2025)</w:t>
      </w:r>
    </w:p>
    <w:p w14:paraId="58416AE1" w14:textId="1E78B022" w:rsidR="00736228" w:rsidRDefault="00736228" w:rsidP="007F7005">
      <w:pPr>
        <w:pStyle w:val="BIB"/>
      </w:pPr>
      <w:r w:rsidRPr="00736228">
        <w:t xml:space="preserve">Manning, A. (2021) </w:t>
      </w:r>
      <w:r w:rsidRPr="00736228">
        <w:rPr>
          <w:i/>
          <w:iCs/>
        </w:rPr>
        <w:t>Monopsony in Labour Markets: A Modern Approach</w:t>
      </w:r>
      <w:r w:rsidRPr="00736228">
        <w:t>. Princeton: Princeton University Press.</w:t>
      </w:r>
    </w:p>
    <w:p w14:paraId="4A681743" w14:textId="3DA60B01" w:rsidR="006E0382" w:rsidRPr="006E0382" w:rsidRDefault="00656910" w:rsidP="007F7005">
      <w:pPr>
        <w:pStyle w:val="BIB"/>
      </w:pPr>
      <w:r w:rsidRPr="00656910">
        <w:t>Marchington, M.</w:t>
      </w:r>
      <w:r w:rsidR="00856D8D">
        <w:t>,</w:t>
      </w:r>
      <w:r w:rsidRPr="00656910">
        <w:t xml:space="preserve"> </w:t>
      </w:r>
      <w:r w:rsidR="00856D8D" w:rsidRPr="00656910">
        <w:t>Wilkinson</w:t>
      </w:r>
      <w:r w:rsidR="00856D8D">
        <w:t xml:space="preserve">, A., </w:t>
      </w:r>
      <w:r w:rsidR="00856D8D" w:rsidRPr="00656910">
        <w:t>Donnelly</w:t>
      </w:r>
      <w:r w:rsidR="00856D8D">
        <w:t xml:space="preserve">, R., </w:t>
      </w:r>
      <w:r w:rsidR="005044D8" w:rsidRPr="00656910">
        <w:t>Kynighou</w:t>
      </w:r>
      <w:r w:rsidR="005044D8">
        <w:t xml:space="preserve">, </w:t>
      </w:r>
      <w:r w:rsidR="006E0382">
        <w:t xml:space="preserve">A. </w:t>
      </w:r>
      <w:r w:rsidR="006E0382" w:rsidRPr="006E0382">
        <w:t xml:space="preserve">(2025) </w:t>
      </w:r>
      <w:r w:rsidR="006E0382" w:rsidRPr="006E0382">
        <w:rPr>
          <w:i/>
          <w:iCs/>
        </w:rPr>
        <w:t>Human resource management at work: the definitive guide</w:t>
      </w:r>
      <w:r w:rsidR="006E0382" w:rsidRPr="006E0382">
        <w:t>. Eighth edition. London: Kogan Page, Limited.</w:t>
      </w:r>
    </w:p>
    <w:p w14:paraId="02E45FAC" w14:textId="16513FB5" w:rsidR="003B540C" w:rsidRDefault="003B540C" w:rsidP="007F7005">
      <w:pPr>
        <w:pStyle w:val="BIB"/>
      </w:pPr>
      <w:r w:rsidRPr="003B540C">
        <w:t xml:space="preserve">McCartney, C. (2025) </w:t>
      </w:r>
      <w:r w:rsidRPr="009E5694">
        <w:rPr>
          <w:i/>
          <w:iCs/>
        </w:rPr>
        <w:t>Flexible and hybrid working practices in 2025</w:t>
      </w:r>
      <w:r w:rsidRPr="003B540C">
        <w:t>. London: Chartered Institute of Personnel and Development.</w:t>
      </w:r>
    </w:p>
    <w:p w14:paraId="6CA515AC" w14:textId="3106424D" w:rsidR="00165246" w:rsidRDefault="00165246" w:rsidP="007F7005">
      <w:pPr>
        <w:pStyle w:val="BIB"/>
      </w:pPr>
      <w:r w:rsidRPr="00165246">
        <w:t>ONS (202</w:t>
      </w:r>
      <w:r>
        <w:t>5</w:t>
      </w:r>
      <w:r w:rsidRPr="00165246">
        <w:t xml:space="preserve">) </w:t>
      </w:r>
      <w:r w:rsidR="001B18C7" w:rsidRPr="001B18C7">
        <w:rPr>
          <w:i/>
          <w:iCs/>
        </w:rPr>
        <w:t>Labour market overview, UK: June 2025</w:t>
      </w:r>
      <w:r w:rsidRPr="00165246">
        <w:t>. Office for National Statistics.</w:t>
      </w:r>
    </w:p>
    <w:p w14:paraId="18F67AEA" w14:textId="77777777" w:rsidR="00AF1687" w:rsidRPr="00AF1687" w:rsidRDefault="00AF1687" w:rsidP="007F7005">
      <w:pPr>
        <w:pStyle w:val="BIB"/>
      </w:pPr>
      <w:r w:rsidRPr="00AF1687">
        <w:t xml:space="preserve">ONS (2025a) </w:t>
      </w:r>
      <w:r w:rsidRPr="00AF1687">
        <w:rPr>
          <w:i/>
          <w:iCs/>
        </w:rPr>
        <w:t>Jobs and Vacancies in the UK: October 2025</w:t>
      </w:r>
      <w:r w:rsidRPr="00AF1687">
        <w:t>. Office for National Statistics.</w:t>
      </w:r>
    </w:p>
    <w:p w14:paraId="42D61908" w14:textId="77777777" w:rsidR="00AF1687" w:rsidRPr="00AF1687" w:rsidRDefault="00AF1687" w:rsidP="007F7005">
      <w:pPr>
        <w:pStyle w:val="BIB"/>
      </w:pPr>
      <w:r w:rsidRPr="00AF1687">
        <w:t xml:space="preserve">ONS (2025b) </w:t>
      </w:r>
      <w:r w:rsidRPr="00AF1687">
        <w:rPr>
          <w:i/>
          <w:iCs/>
        </w:rPr>
        <w:t>Labour Market Overview: UK, September 2025</w:t>
      </w:r>
      <w:r w:rsidRPr="00AF1687">
        <w:t>. Office for National Statistics.</w:t>
      </w:r>
    </w:p>
    <w:p w14:paraId="21D06F78" w14:textId="5ED98AAF" w:rsidR="005F48D6" w:rsidRDefault="005F48D6" w:rsidP="007F7005">
      <w:pPr>
        <w:pStyle w:val="BIB"/>
      </w:pPr>
      <w:r w:rsidRPr="005F48D6">
        <w:t>Robert Walters (2023</w:t>
      </w:r>
      <w:r w:rsidRPr="005F48D6">
        <w:rPr>
          <w:i/>
          <w:iCs/>
        </w:rPr>
        <w:t>) Engineering New Talent Pools to Combat Skills Shortages</w:t>
      </w:r>
      <w:r w:rsidRPr="005F48D6">
        <w:t xml:space="preserve">. Available at: </w:t>
      </w:r>
      <w:hyperlink r:id="rId14" w:history="1">
        <w:r w:rsidRPr="006D75D9">
          <w:rPr>
            <w:rStyle w:val="Hyperlink"/>
          </w:rPr>
          <w:t>https://www.robertwalters.co.uk/content/dam/robert-walters/country/united-kingdom/files/whitepapers/RW%20Engineering%20New%20Talent%20Whitepaper_WEB.pdf</w:t>
        </w:r>
      </w:hyperlink>
      <w:r>
        <w:t xml:space="preserve">. </w:t>
      </w:r>
      <w:r w:rsidRPr="005F48D6">
        <w:t xml:space="preserve">(Accessed: 28 </w:t>
      </w:r>
      <w:r>
        <w:t>October</w:t>
      </w:r>
      <w:r w:rsidRPr="005F48D6">
        <w:t xml:space="preserve"> 2025).</w:t>
      </w:r>
    </w:p>
    <w:p w14:paraId="60640456" w14:textId="6E360FCA" w:rsidR="00484B4D" w:rsidRDefault="00484B4D" w:rsidP="007F7005">
      <w:pPr>
        <w:pStyle w:val="BIB"/>
      </w:pPr>
      <w:r w:rsidRPr="00484B4D">
        <w:t>Taylor, M., Marsh, G., Nicol, D.</w:t>
      </w:r>
      <w:r w:rsidR="00AD0C62">
        <w:t xml:space="preserve">, </w:t>
      </w:r>
      <w:r w:rsidRPr="00484B4D">
        <w:t xml:space="preserve">Broadbent, P. (2017) </w:t>
      </w:r>
      <w:r w:rsidRPr="009E5694">
        <w:rPr>
          <w:i/>
          <w:iCs/>
        </w:rPr>
        <w:t>Good Work: The Taylor Review of Modern Working Practices</w:t>
      </w:r>
      <w:r w:rsidRPr="00484B4D">
        <w:t>. London: Great Britain, Department for Business, Energy &amp; Industrial Strategy.</w:t>
      </w:r>
    </w:p>
    <w:p w14:paraId="64EC75E0" w14:textId="0AA00BA9" w:rsidR="003B540C" w:rsidRDefault="003B540C" w:rsidP="007F7005">
      <w:pPr>
        <w:pStyle w:val="BIB"/>
      </w:pPr>
      <w:r w:rsidRPr="003B540C">
        <w:t>Taylor, S.</w:t>
      </w:r>
      <w:r w:rsidR="00AD0C62">
        <w:t xml:space="preserve">, </w:t>
      </w:r>
      <w:r w:rsidRPr="003B540C">
        <w:t xml:space="preserve">Emir, A. (2019) </w:t>
      </w:r>
      <w:r w:rsidRPr="003B540C">
        <w:rPr>
          <w:i/>
          <w:iCs/>
        </w:rPr>
        <w:t>Employment law: an introduction</w:t>
      </w:r>
      <w:r w:rsidRPr="003B540C">
        <w:t>. 5th edn. Oxford: Oxford University Press.</w:t>
      </w:r>
    </w:p>
    <w:p w14:paraId="3410C754" w14:textId="033F72E5" w:rsidR="00E13893" w:rsidRDefault="00E13893" w:rsidP="007F7005">
      <w:pPr>
        <w:pStyle w:val="BIB"/>
      </w:pPr>
      <w:r w:rsidRPr="00E13893">
        <w:t xml:space="preserve">Taylor, S., 2020. </w:t>
      </w:r>
      <w:r w:rsidRPr="00E13893">
        <w:rPr>
          <w:i/>
          <w:iCs/>
        </w:rPr>
        <w:t>Strategic Workforce Planning in Logistics</w:t>
      </w:r>
      <w:r w:rsidRPr="00E13893">
        <w:t>. Journal of Human Resource Management, 18(4), pp.22–34.</w:t>
      </w:r>
    </w:p>
    <w:p w14:paraId="53F5A4AC" w14:textId="5788122A" w:rsidR="001678CB" w:rsidRDefault="001678CB" w:rsidP="007F7005">
      <w:pPr>
        <w:pStyle w:val="BIB"/>
      </w:pPr>
      <w:r w:rsidRPr="00543B47">
        <w:t>Taylor, S., Woodman, C. Ed. (2022). </w:t>
      </w:r>
      <w:r w:rsidRPr="00543B47">
        <w:rPr>
          <w:i/>
          <w:iCs/>
        </w:rPr>
        <w:t>Human Resource Management: People and Organisations</w:t>
      </w:r>
      <w:r w:rsidRPr="00543B47">
        <w:t> (3rd ed.). London. Kogan Page</w:t>
      </w:r>
      <w:r>
        <w:t>.</w:t>
      </w:r>
    </w:p>
    <w:p w14:paraId="0ED5EA45" w14:textId="690FABD4" w:rsidR="00543B47" w:rsidRPr="00543B47" w:rsidRDefault="00543B47" w:rsidP="007F7005">
      <w:pPr>
        <w:pStyle w:val="BIB"/>
      </w:pPr>
      <w:r w:rsidRPr="00543B47">
        <w:t>Taylor, S., Woodman, C. (2022</w:t>
      </w:r>
      <w:r w:rsidR="001678CB">
        <w:t>a</w:t>
      </w:r>
      <w:r w:rsidRPr="00543B47">
        <w:t>). Studying Human Resource Management: A Guide to the Study, Context and Practice of HR (3rd ed.). London. Kogan Page. </w:t>
      </w:r>
    </w:p>
    <w:p w14:paraId="54D586F2" w14:textId="46B829B9" w:rsidR="008E5364" w:rsidRPr="003B540C" w:rsidRDefault="005D3DDD" w:rsidP="007F7005">
      <w:pPr>
        <w:pStyle w:val="BIB"/>
      </w:pPr>
      <w:r>
        <w:t>Vul</w:t>
      </w:r>
      <w:r w:rsidR="00527240">
        <w:t>p</w:t>
      </w:r>
      <w:r>
        <w:t>en, Erik. V. (</w:t>
      </w:r>
      <w:r w:rsidR="00086734">
        <w:t xml:space="preserve">2025) </w:t>
      </w:r>
      <w:r w:rsidR="00086734" w:rsidRPr="00086734">
        <w:rPr>
          <w:i/>
          <w:iCs/>
        </w:rPr>
        <w:t>Internal vs. External Recruitment: Benefits, Costs &amp; Best Practices</w:t>
      </w:r>
      <w:r w:rsidR="00086734">
        <w:t xml:space="preserve">. Available at: </w:t>
      </w:r>
      <w:hyperlink r:id="rId15" w:history="1">
        <w:r w:rsidR="00527240" w:rsidRPr="006D75D9">
          <w:rPr>
            <w:rStyle w:val="Hyperlink"/>
          </w:rPr>
          <w:t>https://www.aihr.com/blog/internal-vs-external-recruitment/</w:t>
        </w:r>
      </w:hyperlink>
      <w:r w:rsidR="00527240">
        <w:t>. (Accessed 28 October 2025)</w:t>
      </w:r>
    </w:p>
    <w:p w14:paraId="13AF4AAE" w14:textId="1BDEADD8" w:rsidR="00B73F64" w:rsidRDefault="00B73F64" w:rsidP="007F7005">
      <w:pPr>
        <w:pStyle w:val="BIB"/>
      </w:pPr>
    </w:p>
    <w:sectPr w:rsidR="00B73F64" w:rsidSect="00C31636">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75BCE" w14:textId="77777777" w:rsidR="007518E2" w:rsidRDefault="007518E2" w:rsidP="007518E2">
      <w:pPr>
        <w:spacing w:before="0" w:after="0" w:line="240" w:lineRule="auto"/>
      </w:pPr>
      <w:r>
        <w:separator/>
      </w:r>
    </w:p>
  </w:endnote>
  <w:endnote w:type="continuationSeparator" w:id="0">
    <w:p w14:paraId="65C7EF23" w14:textId="77777777" w:rsidR="007518E2" w:rsidRDefault="007518E2" w:rsidP="007518E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Borders>
        <w:top w:val="single" w:sz="4" w:space="0" w:color="auto"/>
      </w:tblBorders>
      <w:tblLayout w:type="fixed"/>
      <w:tblLook w:val="06A0" w:firstRow="1" w:lastRow="0" w:firstColumn="1" w:lastColumn="0" w:noHBand="1" w:noVBand="1"/>
    </w:tblPr>
    <w:tblGrid>
      <w:gridCol w:w="3600"/>
      <w:gridCol w:w="3600"/>
      <w:gridCol w:w="3600"/>
    </w:tblGrid>
    <w:tr w:rsidR="007518E2" w:rsidRPr="00E6177D" w14:paraId="0D14DF4C" w14:textId="77777777" w:rsidTr="001544C2">
      <w:trPr>
        <w:trHeight w:val="300"/>
      </w:trPr>
      <w:tc>
        <w:tcPr>
          <w:tcW w:w="3600" w:type="dxa"/>
        </w:tcPr>
        <w:p w14:paraId="2A221119" w14:textId="241D62C8" w:rsidR="007518E2" w:rsidRPr="00E6177D" w:rsidRDefault="0090601C" w:rsidP="007518E2">
          <w:pPr>
            <w:pStyle w:val="Header"/>
            <w:ind w:left="-115"/>
            <w:rPr>
              <w:sz w:val="20"/>
              <w:szCs w:val="20"/>
            </w:rPr>
          </w:pPr>
          <w:r>
            <w:rPr>
              <w:sz w:val="20"/>
              <w:szCs w:val="20"/>
            </w:rPr>
            <w:t>5HR02 – Talent Management &amp; Workforce Planning</w:t>
          </w:r>
        </w:p>
      </w:tc>
      <w:tc>
        <w:tcPr>
          <w:tcW w:w="3600" w:type="dxa"/>
        </w:tcPr>
        <w:p w14:paraId="77F6C82A" w14:textId="77777777" w:rsidR="007518E2" w:rsidRPr="00E6177D" w:rsidRDefault="007518E2" w:rsidP="007518E2">
          <w:pPr>
            <w:pStyle w:val="Header"/>
            <w:jc w:val="center"/>
            <w:rPr>
              <w:sz w:val="20"/>
              <w:szCs w:val="20"/>
            </w:rPr>
          </w:pPr>
          <w:r w:rsidRPr="00E6177D">
            <w:rPr>
              <w:sz w:val="20"/>
              <w:szCs w:val="20"/>
            </w:rPr>
            <w:fldChar w:fldCharType="begin"/>
          </w:r>
          <w:r w:rsidRPr="00E6177D">
            <w:rPr>
              <w:sz w:val="20"/>
              <w:szCs w:val="20"/>
            </w:rPr>
            <w:instrText>PAGE</w:instrText>
          </w:r>
          <w:r w:rsidRPr="00E6177D">
            <w:rPr>
              <w:sz w:val="20"/>
              <w:szCs w:val="20"/>
            </w:rPr>
            <w:fldChar w:fldCharType="separate"/>
          </w:r>
          <w:r w:rsidRPr="00E6177D">
            <w:rPr>
              <w:noProof/>
              <w:sz w:val="20"/>
              <w:szCs w:val="20"/>
            </w:rPr>
            <w:t>1</w:t>
          </w:r>
          <w:r w:rsidRPr="00E6177D">
            <w:rPr>
              <w:sz w:val="20"/>
              <w:szCs w:val="20"/>
            </w:rPr>
            <w:fldChar w:fldCharType="end"/>
          </w:r>
          <w:r w:rsidRPr="00E6177D">
            <w:rPr>
              <w:sz w:val="20"/>
              <w:szCs w:val="20"/>
            </w:rPr>
            <w:t xml:space="preserve"> of </w:t>
          </w:r>
          <w:r w:rsidRPr="00E6177D">
            <w:rPr>
              <w:sz w:val="20"/>
              <w:szCs w:val="20"/>
            </w:rPr>
            <w:fldChar w:fldCharType="begin"/>
          </w:r>
          <w:r w:rsidRPr="00E6177D">
            <w:rPr>
              <w:sz w:val="20"/>
              <w:szCs w:val="20"/>
            </w:rPr>
            <w:instrText>NUMPAGES</w:instrText>
          </w:r>
          <w:r w:rsidRPr="00E6177D">
            <w:rPr>
              <w:sz w:val="20"/>
              <w:szCs w:val="20"/>
            </w:rPr>
            <w:fldChar w:fldCharType="separate"/>
          </w:r>
          <w:r w:rsidRPr="00E6177D">
            <w:rPr>
              <w:noProof/>
              <w:sz w:val="20"/>
              <w:szCs w:val="20"/>
            </w:rPr>
            <w:t>2</w:t>
          </w:r>
          <w:r w:rsidRPr="00E6177D">
            <w:rPr>
              <w:sz w:val="20"/>
              <w:szCs w:val="20"/>
            </w:rPr>
            <w:fldChar w:fldCharType="end"/>
          </w:r>
        </w:p>
      </w:tc>
      <w:tc>
        <w:tcPr>
          <w:tcW w:w="3600" w:type="dxa"/>
        </w:tcPr>
        <w:p w14:paraId="5169FC87" w14:textId="77777777" w:rsidR="007518E2" w:rsidRPr="00E6177D" w:rsidRDefault="007518E2" w:rsidP="007518E2">
          <w:pPr>
            <w:pStyle w:val="Header"/>
            <w:ind w:right="-115"/>
            <w:jc w:val="right"/>
            <w:rPr>
              <w:sz w:val="20"/>
              <w:szCs w:val="20"/>
            </w:rPr>
          </w:pPr>
          <w:r w:rsidRPr="00E6177D">
            <w:rPr>
              <w:sz w:val="20"/>
              <w:szCs w:val="20"/>
            </w:rPr>
            <w:t>Claire Smith</w:t>
          </w:r>
        </w:p>
        <w:p w14:paraId="6A0997E3" w14:textId="77777777" w:rsidR="007518E2" w:rsidRPr="00E6177D" w:rsidRDefault="007518E2" w:rsidP="007518E2">
          <w:pPr>
            <w:pStyle w:val="Header"/>
            <w:ind w:right="-115"/>
            <w:jc w:val="center"/>
            <w:rPr>
              <w:sz w:val="20"/>
              <w:szCs w:val="20"/>
            </w:rPr>
          </w:pPr>
          <w:r w:rsidRPr="00E6177D">
            <w:rPr>
              <w:sz w:val="20"/>
              <w:szCs w:val="20"/>
            </w:rPr>
            <w:t>CIPD Membership Number: 88340471</w:t>
          </w:r>
        </w:p>
      </w:tc>
    </w:tr>
  </w:tbl>
  <w:p w14:paraId="42C83F96" w14:textId="77777777" w:rsidR="007518E2" w:rsidRDefault="00751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3FCBF" w14:textId="77777777" w:rsidR="007518E2" w:rsidRDefault="007518E2" w:rsidP="007518E2">
      <w:pPr>
        <w:spacing w:before="0" w:after="0" w:line="240" w:lineRule="auto"/>
      </w:pPr>
      <w:r>
        <w:separator/>
      </w:r>
    </w:p>
  </w:footnote>
  <w:footnote w:type="continuationSeparator" w:id="0">
    <w:p w14:paraId="3786D8F6" w14:textId="77777777" w:rsidR="007518E2" w:rsidRDefault="007518E2" w:rsidP="007518E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40C"/>
    <w:rsid w:val="0000377E"/>
    <w:rsid w:val="00004C46"/>
    <w:rsid w:val="00015330"/>
    <w:rsid w:val="000305EC"/>
    <w:rsid w:val="00036A16"/>
    <w:rsid w:val="00060339"/>
    <w:rsid w:val="000613B8"/>
    <w:rsid w:val="000702E9"/>
    <w:rsid w:val="00073BE8"/>
    <w:rsid w:val="000740C1"/>
    <w:rsid w:val="0008378D"/>
    <w:rsid w:val="00084EEF"/>
    <w:rsid w:val="00086734"/>
    <w:rsid w:val="000A3D3D"/>
    <w:rsid w:val="000B6BA1"/>
    <w:rsid w:val="000B7E6F"/>
    <w:rsid w:val="000D70FD"/>
    <w:rsid w:val="000F0A86"/>
    <w:rsid w:val="000F558D"/>
    <w:rsid w:val="001010A8"/>
    <w:rsid w:val="00116A06"/>
    <w:rsid w:val="00122601"/>
    <w:rsid w:val="00123A47"/>
    <w:rsid w:val="00125A0E"/>
    <w:rsid w:val="001261A3"/>
    <w:rsid w:val="00151018"/>
    <w:rsid w:val="001544C2"/>
    <w:rsid w:val="00165246"/>
    <w:rsid w:val="0016543F"/>
    <w:rsid w:val="001672A8"/>
    <w:rsid w:val="001672EF"/>
    <w:rsid w:val="00167604"/>
    <w:rsid w:val="001678CB"/>
    <w:rsid w:val="00187946"/>
    <w:rsid w:val="00187F02"/>
    <w:rsid w:val="001B18C7"/>
    <w:rsid w:val="001B40C8"/>
    <w:rsid w:val="001B5429"/>
    <w:rsid w:val="001C67F6"/>
    <w:rsid w:val="001C7D11"/>
    <w:rsid w:val="001D2D4C"/>
    <w:rsid w:val="001E0A3B"/>
    <w:rsid w:val="001E20B6"/>
    <w:rsid w:val="001F4587"/>
    <w:rsid w:val="00200177"/>
    <w:rsid w:val="00204D59"/>
    <w:rsid w:val="00206DE8"/>
    <w:rsid w:val="00231954"/>
    <w:rsid w:val="00251567"/>
    <w:rsid w:val="00264E58"/>
    <w:rsid w:val="00266CD6"/>
    <w:rsid w:val="00275081"/>
    <w:rsid w:val="002753A4"/>
    <w:rsid w:val="0028002E"/>
    <w:rsid w:val="00286C98"/>
    <w:rsid w:val="002A1E33"/>
    <w:rsid w:val="002C546C"/>
    <w:rsid w:val="002C7CFC"/>
    <w:rsid w:val="002D4E58"/>
    <w:rsid w:val="002E045A"/>
    <w:rsid w:val="002E0DB9"/>
    <w:rsid w:val="002E19C1"/>
    <w:rsid w:val="002F1F68"/>
    <w:rsid w:val="002F4A05"/>
    <w:rsid w:val="00302B4D"/>
    <w:rsid w:val="003165FD"/>
    <w:rsid w:val="00325D6C"/>
    <w:rsid w:val="00326CC7"/>
    <w:rsid w:val="00332DF3"/>
    <w:rsid w:val="00343299"/>
    <w:rsid w:val="00343790"/>
    <w:rsid w:val="003659EB"/>
    <w:rsid w:val="00376E7F"/>
    <w:rsid w:val="00382CEA"/>
    <w:rsid w:val="003B155A"/>
    <w:rsid w:val="003B232B"/>
    <w:rsid w:val="003B540C"/>
    <w:rsid w:val="003D3ED5"/>
    <w:rsid w:val="003E4286"/>
    <w:rsid w:val="003E4FEB"/>
    <w:rsid w:val="003E6276"/>
    <w:rsid w:val="003F2ECF"/>
    <w:rsid w:val="00404698"/>
    <w:rsid w:val="00404957"/>
    <w:rsid w:val="00415308"/>
    <w:rsid w:val="00432E01"/>
    <w:rsid w:val="00434E39"/>
    <w:rsid w:val="00456E2F"/>
    <w:rsid w:val="00463CF6"/>
    <w:rsid w:val="00472FF0"/>
    <w:rsid w:val="00473F25"/>
    <w:rsid w:val="004846E2"/>
    <w:rsid w:val="00484B4D"/>
    <w:rsid w:val="00487F7D"/>
    <w:rsid w:val="00491533"/>
    <w:rsid w:val="00494AAD"/>
    <w:rsid w:val="004A0260"/>
    <w:rsid w:val="004A0C89"/>
    <w:rsid w:val="004D018A"/>
    <w:rsid w:val="004E6B0B"/>
    <w:rsid w:val="004F0660"/>
    <w:rsid w:val="004F34FF"/>
    <w:rsid w:val="005044D8"/>
    <w:rsid w:val="00511FF6"/>
    <w:rsid w:val="00513A56"/>
    <w:rsid w:val="00524F90"/>
    <w:rsid w:val="005261F7"/>
    <w:rsid w:val="00527240"/>
    <w:rsid w:val="00530444"/>
    <w:rsid w:val="00533631"/>
    <w:rsid w:val="00534439"/>
    <w:rsid w:val="00542F86"/>
    <w:rsid w:val="00543B47"/>
    <w:rsid w:val="005459C9"/>
    <w:rsid w:val="00547404"/>
    <w:rsid w:val="00556E43"/>
    <w:rsid w:val="00566D83"/>
    <w:rsid w:val="00584C82"/>
    <w:rsid w:val="005860D8"/>
    <w:rsid w:val="005A53F3"/>
    <w:rsid w:val="005B4230"/>
    <w:rsid w:val="005B451A"/>
    <w:rsid w:val="005C41D5"/>
    <w:rsid w:val="005D3DDD"/>
    <w:rsid w:val="005D652B"/>
    <w:rsid w:val="005F48D6"/>
    <w:rsid w:val="005F7D1A"/>
    <w:rsid w:val="006068DB"/>
    <w:rsid w:val="006145CD"/>
    <w:rsid w:val="0063654D"/>
    <w:rsid w:val="006373E3"/>
    <w:rsid w:val="00645DB1"/>
    <w:rsid w:val="00646E98"/>
    <w:rsid w:val="00656910"/>
    <w:rsid w:val="00661012"/>
    <w:rsid w:val="006619A3"/>
    <w:rsid w:val="00667DC1"/>
    <w:rsid w:val="00685AE6"/>
    <w:rsid w:val="00685FDA"/>
    <w:rsid w:val="00697C8C"/>
    <w:rsid w:val="006A4EA1"/>
    <w:rsid w:val="006A5A0A"/>
    <w:rsid w:val="006A620B"/>
    <w:rsid w:val="006B2936"/>
    <w:rsid w:val="006D6314"/>
    <w:rsid w:val="006E0049"/>
    <w:rsid w:val="006E0382"/>
    <w:rsid w:val="006E7870"/>
    <w:rsid w:val="006E7D55"/>
    <w:rsid w:val="006F5DF7"/>
    <w:rsid w:val="007020C8"/>
    <w:rsid w:val="00706D5E"/>
    <w:rsid w:val="0072097C"/>
    <w:rsid w:val="00732C33"/>
    <w:rsid w:val="00736228"/>
    <w:rsid w:val="0073725A"/>
    <w:rsid w:val="00742809"/>
    <w:rsid w:val="00742D80"/>
    <w:rsid w:val="007518E2"/>
    <w:rsid w:val="0077190F"/>
    <w:rsid w:val="00775AA2"/>
    <w:rsid w:val="00790B8D"/>
    <w:rsid w:val="00791A06"/>
    <w:rsid w:val="007A256A"/>
    <w:rsid w:val="007B7E2B"/>
    <w:rsid w:val="007D20E2"/>
    <w:rsid w:val="007D27A2"/>
    <w:rsid w:val="007F26D8"/>
    <w:rsid w:val="007F3F43"/>
    <w:rsid w:val="007F7005"/>
    <w:rsid w:val="0080147A"/>
    <w:rsid w:val="00802258"/>
    <w:rsid w:val="008036B7"/>
    <w:rsid w:val="00804FD7"/>
    <w:rsid w:val="00810847"/>
    <w:rsid w:val="00812E29"/>
    <w:rsid w:val="00821C3B"/>
    <w:rsid w:val="008322E5"/>
    <w:rsid w:val="00850C91"/>
    <w:rsid w:val="00853033"/>
    <w:rsid w:val="00856D8D"/>
    <w:rsid w:val="00865842"/>
    <w:rsid w:val="00866BF0"/>
    <w:rsid w:val="0087085B"/>
    <w:rsid w:val="008841E6"/>
    <w:rsid w:val="008902AF"/>
    <w:rsid w:val="008961CC"/>
    <w:rsid w:val="008A23D4"/>
    <w:rsid w:val="008D5FA7"/>
    <w:rsid w:val="008E02AE"/>
    <w:rsid w:val="008E5364"/>
    <w:rsid w:val="008F0CF0"/>
    <w:rsid w:val="0090093E"/>
    <w:rsid w:val="0090601C"/>
    <w:rsid w:val="009139F5"/>
    <w:rsid w:val="00921805"/>
    <w:rsid w:val="00921ED1"/>
    <w:rsid w:val="00922ECC"/>
    <w:rsid w:val="00932C4F"/>
    <w:rsid w:val="00957696"/>
    <w:rsid w:val="0096064D"/>
    <w:rsid w:val="00965CDE"/>
    <w:rsid w:val="009723A6"/>
    <w:rsid w:val="009727D4"/>
    <w:rsid w:val="0097585B"/>
    <w:rsid w:val="009813FD"/>
    <w:rsid w:val="00981BBE"/>
    <w:rsid w:val="009921F3"/>
    <w:rsid w:val="009A7628"/>
    <w:rsid w:val="009A772E"/>
    <w:rsid w:val="009A7F1F"/>
    <w:rsid w:val="009B1100"/>
    <w:rsid w:val="009C1DE6"/>
    <w:rsid w:val="009C4343"/>
    <w:rsid w:val="009C43A6"/>
    <w:rsid w:val="009D0707"/>
    <w:rsid w:val="009D4AE7"/>
    <w:rsid w:val="009D6640"/>
    <w:rsid w:val="009E5694"/>
    <w:rsid w:val="009F45EB"/>
    <w:rsid w:val="009F6869"/>
    <w:rsid w:val="00A25E4E"/>
    <w:rsid w:val="00A33C51"/>
    <w:rsid w:val="00A3624E"/>
    <w:rsid w:val="00A463D0"/>
    <w:rsid w:val="00A60D70"/>
    <w:rsid w:val="00A65C34"/>
    <w:rsid w:val="00A65E68"/>
    <w:rsid w:val="00A843FB"/>
    <w:rsid w:val="00AA63A3"/>
    <w:rsid w:val="00AB7AF5"/>
    <w:rsid w:val="00AC1579"/>
    <w:rsid w:val="00AD0C62"/>
    <w:rsid w:val="00AD5886"/>
    <w:rsid w:val="00AE22AD"/>
    <w:rsid w:val="00AF0A66"/>
    <w:rsid w:val="00AF1687"/>
    <w:rsid w:val="00AF3309"/>
    <w:rsid w:val="00AF68EC"/>
    <w:rsid w:val="00AF70F5"/>
    <w:rsid w:val="00B0015B"/>
    <w:rsid w:val="00B1083B"/>
    <w:rsid w:val="00B10E5D"/>
    <w:rsid w:val="00B1525E"/>
    <w:rsid w:val="00B1777C"/>
    <w:rsid w:val="00B3110B"/>
    <w:rsid w:val="00B35407"/>
    <w:rsid w:val="00B44356"/>
    <w:rsid w:val="00B55048"/>
    <w:rsid w:val="00B56265"/>
    <w:rsid w:val="00B73F64"/>
    <w:rsid w:val="00B813B0"/>
    <w:rsid w:val="00B872E0"/>
    <w:rsid w:val="00BB27E3"/>
    <w:rsid w:val="00BE42DC"/>
    <w:rsid w:val="00BE784F"/>
    <w:rsid w:val="00C010EE"/>
    <w:rsid w:val="00C27E49"/>
    <w:rsid w:val="00C31636"/>
    <w:rsid w:val="00C34C3C"/>
    <w:rsid w:val="00C567CF"/>
    <w:rsid w:val="00C61AE6"/>
    <w:rsid w:val="00C63159"/>
    <w:rsid w:val="00C768FC"/>
    <w:rsid w:val="00C8012D"/>
    <w:rsid w:val="00C85360"/>
    <w:rsid w:val="00C876C5"/>
    <w:rsid w:val="00C929E6"/>
    <w:rsid w:val="00C97791"/>
    <w:rsid w:val="00CB4314"/>
    <w:rsid w:val="00CC0E9E"/>
    <w:rsid w:val="00CC12BB"/>
    <w:rsid w:val="00CD00E8"/>
    <w:rsid w:val="00CF1B97"/>
    <w:rsid w:val="00CF6D55"/>
    <w:rsid w:val="00D328BA"/>
    <w:rsid w:val="00D35E7B"/>
    <w:rsid w:val="00D52416"/>
    <w:rsid w:val="00D53BF5"/>
    <w:rsid w:val="00D5402D"/>
    <w:rsid w:val="00D621B9"/>
    <w:rsid w:val="00D66300"/>
    <w:rsid w:val="00D773D8"/>
    <w:rsid w:val="00D84F84"/>
    <w:rsid w:val="00D86BA3"/>
    <w:rsid w:val="00D92681"/>
    <w:rsid w:val="00D95BA8"/>
    <w:rsid w:val="00DA30C2"/>
    <w:rsid w:val="00DA3E3E"/>
    <w:rsid w:val="00DB3254"/>
    <w:rsid w:val="00DB517B"/>
    <w:rsid w:val="00DB6C08"/>
    <w:rsid w:val="00DC42A1"/>
    <w:rsid w:val="00DC75FF"/>
    <w:rsid w:val="00DD6200"/>
    <w:rsid w:val="00DE0B93"/>
    <w:rsid w:val="00DF51D4"/>
    <w:rsid w:val="00E03A77"/>
    <w:rsid w:val="00E03DE3"/>
    <w:rsid w:val="00E06AE9"/>
    <w:rsid w:val="00E13893"/>
    <w:rsid w:val="00E2599D"/>
    <w:rsid w:val="00E3600D"/>
    <w:rsid w:val="00E37035"/>
    <w:rsid w:val="00E71BF1"/>
    <w:rsid w:val="00EA4ED2"/>
    <w:rsid w:val="00ED1D2F"/>
    <w:rsid w:val="00ED37A2"/>
    <w:rsid w:val="00ED62CC"/>
    <w:rsid w:val="00EE6429"/>
    <w:rsid w:val="00F078F1"/>
    <w:rsid w:val="00F11394"/>
    <w:rsid w:val="00F14FCE"/>
    <w:rsid w:val="00F165FA"/>
    <w:rsid w:val="00F26913"/>
    <w:rsid w:val="00F27F16"/>
    <w:rsid w:val="00F34013"/>
    <w:rsid w:val="00F34099"/>
    <w:rsid w:val="00F365CE"/>
    <w:rsid w:val="00F3725E"/>
    <w:rsid w:val="00F403C8"/>
    <w:rsid w:val="00F4513A"/>
    <w:rsid w:val="00F53641"/>
    <w:rsid w:val="00F55673"/>
    <w:rsid w:val="00F577A4"/>
    <w:rsid w:val="00F6144E"/>
    <w:rsid w:val="00F700F6"/>
    <w:rsid w:val="00F9340C"/>
    <w:rsid w:val="00F94457"/>
    <w:rsid w:val="00FA7082"/>
    <w:rsid w:val="00FA78C0"/>
    <w:rsid w:val="00FB40B9"/>
    <w:rsid w:val="00FB68B6"/>
    <w:rsid w:val="00FB7551"/>
    <w:rsid w:val="00FC0701"/>
    <w:rsid w:val="00FD3D0D"/>
    <w:rsid w:val="00FD4C91"/>
    <w:rsid w:val="00FD5BF3"/>
    <w:rsid w:val="00FE1C31"/>
    <w:rsid w:val="00FF7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6CF479"/>
  <w15:chartTrackingRefBased/>
  <w15:docId w15:val="{AA39F546-8CD1-4F71-B29B-283E58823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005"/>
    <w:pPr>
      <w:spacing w:before="240" w:after="240" w:line="276" w:lineRule="auto"/>
      <w:jc w:val="both"/>
    </w:pPr>
    <w:rPr>
      <w:rFonts w:ascii="Arial" w:hAnsi="Arial" w:cs="Arial"/>
    </w:rPr>
  </w:style>
  <w:style w:type="paragraph" w:styleId="Heading1">
    <w:name w:val="heading 1"/>
    <w:basedOn w:val="Normal"/>
    <w:next w:val="Normal"/>
    <w:link w:val="Heading1Char"/>
    <w:uiPriority w:val="9"/>
    <w:qFormat/>
    <w:rsid w:val="00CC0E9E"/>
    <w:pPr>
      <w:outlineLvl w:val="0"/>
    </w:pPr>
    <w:rPr>
      <w:b/>
      <w:bCs/>
      <w:sz w:val="24"/>
      <w:szCs w:val="24"/>
    </w:rPr>
  </w:style>
  <w:style w:type="paragraph" w:styleId="Heading2">
    <w:name w:val="heading 2"/>
    <w:basedOn w:val="Normal"/>
    <w:next w:val="Normal"/>
    <w:link w:val="Heading2Char"/>
    <w:uiPriority w:val="9"/>
    <w:unhideWhenUsed/>
    <w:qFormat/>
    <w:rsid w:val="006A620B"/>
    <w:pPr>
      <w:keepNext/>
      <w:keepLines/>
      <w:spacing w:before="160" w:after="80"/>
      <w:outlineLvl w:val="1"/>
    </w:pPr>
    <w:rPr>
      <w:rFonts w:eastAsiaTheme="majorEastAsia"/>
      <w:b/>
      <w:bCs/>
    </w:rPr>
  </w:style>
  <w:style w:type="paragraph" w:styleId="Heading3">
    <w:name w:val="heading 3"/>
    <w:basedOn w:val="Normal"/>
    <w:next w:val="Normal"/>
    <w:link w:val="Heading3Char"/>
    <w:uiPriority w:val="9"/>
    <w:semiHidden/>
    <w:unhideWhenUsed/>
    <w:qFormat/>
    <w:rsid w:val="003B54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4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4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4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4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4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4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autoRedefine/>
    <w:uiPriority w:val="11"/>
    <w:qFormat/>
    <w:rsid w:val="00FB40B9"/>
    <w:pPr>
      <w:numPr>
        <w:ilvl w:val="1"/>
      </w:numPr>
    </w:pPr>
    <w:rPr>
      <w:rFonts w:eastAsiaTheme="majorEastAsia" w:cstheme="majorBidi"/>
      <w:b/>
      <w:spacing w:val="15"/>
      <w:sz w:val="26"/>
      <w:szCs w:val="26"/>
    </w:rPr>
  </w:style>
  <w:style w:type="character" w:customStyle="1" w:styleId="SubtitleChar">
    <w:name w:val="Subtitle Char"/>
    <w:basedOn w:val="DefaultParagraphFont"/>
    <w:link w:val="Subtitle"/>
    <w:uiPriority w:val="11"/>
    <w:rsid w:val="00FB40B9"/>
    <w:rPr>
      <w:rFonts w:ascii="Arial" w:eastAsiaTheme="majorEastAsia" w:hAnsi="Arial" w:cstheme="majorBidi"/>
      <w:b/>
      <w:spacing w:val="15"/>
      <w:sz w:val="26"/>
      <w:szCs w:val="26"/>
    </w:rPr>
  </w:style>
  <w:style w:type="paragraph" w:customStyle="1" w:styleId="BIB">
    <w:name w:val="BIB"/>
    <w:basedOn w:val="Normal"/>
    <w:link w:val="BIBChar"/>
    <w:autoRedefine/>
    <w:qFormat/>
    <w:rsid w:val="00F403C8"/>
    <w:pPr>
      <w:jc w:val="left"/>
    </w:pPr>
    <w:rPr>
      <w:szCs w:val="24"/>
    </w:rPr>
  </w:style>
  <w:style w:type="character" w:customStyle="1" w:styleId="BIBChar">
    <w:name w:val="BIB Char"/>
    <w:basedOn w:val="DefaultParagraphFont"/>
    <w:link w:val="BIB"/>
    <w:rsid w:val="00F403C8"/>
    <w:rPr>
      <w:rFonts w:ascii="Arial" w:hAnsi="Arial" w:cs="Arial"/>
      <w:szCs w:val="24"/>
    </w:rPr>
  </w:style>
  <w:style w:type="character" w:customStyle="1" w:styleId="Heading1Char">
    <w:name w:val="Heading 1 Char"/>
    <w:basedOn w:val="DefaultParagraphFont"/>
    <w:link w:val="Heading1"/>
    <w:uiPriority w:val="9"/>
    <w:rsid w:val="00CC0E9E"/>
    <w:rPr>
      <w:rFonts w:ascii="Arial" w:hAnsi="Arial" w:cs="Arial"/>
      <w:b/>
      <w:bCs/>
      <w:sz w:val="24"/>
      <w:szCs w:val="24"/>
    </w:rPr>
  </w:style>
  <w:style w:type="character" w:customStyle="1" w:styleId="Heading2Char">
    <w:name w:val="Heading 2 Char"/>
    <w:basedOn w:val="DefaultParagraphFont"/>
    <w:link w:val="Heading2"/>
    <w:uiPriority w:val="9"/>
    <w:rsid w:val="006A620B"/>
    <w:rPr>
      <w:rFonts w:ascii="Arial" w:eastAsiaTheme="majorEastAsia" w:hAnsi="Arial" w:cs="Arial"/>
      <w:b/>
      <w:bCs/>
    </w:rPr>
  </w:style>
  <w:style w:type="character" w:customStyle="1" w:styleId="Heading3Char">
    <w:name w:val="Heading 3 Char"/>
    <w:basedOn w:val="DefaultParagraphFont"/>
    <w:link w:val="Heading3"/>
    <w:uiPriority w:val="9"/>
    <w:semiHidden/>
    <w:rsid w:val="003B54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4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4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4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4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4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40C"/>
    <w:rPr>
      <w:rFonts w:eastAsiaTheme="majorEastAsia" w:cstheme="majorBidi"/>
      <w:color w:val="272727" w:themeColor="text1" w:themeTint="D8"/>
    </w:rPr>
  </w:style>
  <w:style w:type="paragraph" w:styleId="Title">
    <w:name w:val="Title"/>
    <w:basedOn w:val="Normal"/>
    <w:next w:val="Normal"/>
    <w:link w:val="TitleChar"/>
    <w:uiPriority w:val="10"/>
    <w:qFormat/>
    <w:rsid w:val="003B54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40C"/>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3B540C"/>
    <w:pPr>
      <w:spacing w:before="160"/>
      <w:jc w:val="center"/>
    </w:pPr>
    <w:rPr>
      <w:i/>
      <w:iCs/>
      <w:color w:val="404040" w:themeColor="text1" w:themeTint="BF"/>
    </w:rPr>
  </w:style>
  <w:style w:type="character" w:customStyle="1" w:styleId="QuoteChar">
    <w:name w:val="Quote Char"/>
    <w:basedOn w:val="DefaultParagraphFont"/>
    <w:link w:val="Quote"/>
    <w:uiPriority w:val="29"/>
    <w:rsid w:val="003B540C"/>
    <w:rPr>
      <w:i/>
      <w:iCs/>
      <w:color w:val="404040" w:themeColor="text1" w:themeTint="BF"/>
    </w:rPr>
  </w:style>
  <w:style w:type="paragraph" w:styleId="ListParagraph">
    <w:name w:val="List Paragraph"/>
    <w:basedOn w:val="Normal"/>
    <w:uiPriority w:val="34"/>
    <w:qFormat/>
    <w:rsid w:val="003B540C"/>
    <w:pPr>
      <w:ind w:left="720"/>
      <w:contextualSpacing/>
    </w:pPr>
  </w:style>
  <w:style w:type="character" w:styleId="IntenseEmphasis">
    <w:name w:val="Intense Emphasis"/>
    <w:basedOn w:val="DefaultParagraphFont"/>
    <w:uiPriority w:val="21"/>
    <w:qFormat/>
    <w:rsid w:val="003B540C"/>
    <w:rPr>
      <w:i/>
      <w:iCs/>
      <w:color w:val="0F4761" w:themeColor="accent1" w:themeShade="BF"/>
    </w:rPr>
  </w:style>
  <w:style w:type="paragraph" w:styleId="IntenseQuote">
    <w:name w:val="Intense Quote"/>
    <w:basedOn w:val="Normal"/>
    <w:next w:val="Normal"/>
    <w:link w:val="IntenseQuoteChar"/>
    <w:uiPriority w:val="30"/>
    <w:qFormat/>
    <w:rsid w:val="003B54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40C"/>
    <w:rPr>
      <w:i/>
      <w:iCs/>
      <w:color w:val="0F4761" w:themeColor="accent1" w:themeShade="BF"/>
    </w:rPr>
  </w:style>
  <w:style w:type="character" w:styleId="IntenseReference">
    <w:name w:val="Intense Reference"/>
    <w:basedOn w:val="DefaultParagraphFont"/>
    <w:uiPriority w:val="32"/>
    <w:qFormat/>
    <w:rsid w:val="003B540C"/>
    <w:rPr>
      <w:b/>
      <w:bCs/>
      <w:smallCaps/>
      <w:color w:val="0F4761" w:themeColor="accent1" w:themeShade="BF"/>
      <w:spacing w:val="5"/>
    </w:rPr>
  </w:style>
  <w:style w:type="character" w:styleId="Hyperlink">
    <w:name w:val="Hyperlink"/>
    <w:basedOn w:val="DefaultParagraphFont"/>
    <w:uiPriority w:val="99"/>
    <w:unhideWhenUsed/>
    <w:rsid w:val="00073BE8"/>
    <w:rPr>
      <w:color w:val="467886" w:themeColor="hyperlink"/>
      <w:u w:val="single"/>
    </w:rPr>
  </w:style>
  <w:style w:type="character" w:styleId="UnresolvedMention">
    <w:name w:val="Unresolved Mention"/>
    <w:basedOn w:val="DefaultParagraphFont"/>
    <w:uiPriority w:val="99"/>
    <w:semiHidden/>
    <w:unhideWhenUsed/>
    <w:rsid w:val="00073BE8"/>
    <w:rPr>
      <w:color w:val="605E5C"/>
      <w:shd w:val="clear" w:color="auto" w:fill="E1DFDD"/>
    </w:rPr>
  </w:style>
  <w:style w:type="paragraph" w:styleId="NormalWeb">
    <w:name w:val="Normal (Web)"/>
    <w:basedOn w:val="Normal"/>
    <w:uiPriority w:val="99"/>
    <w:semiHidden/>
    <w:unhideWhenUsed/>
    <w:rsid w:val="00DA30C2"/>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C41D5"/>
    <w:rPr>
      <w:color w:val="96607D" w:themeColor="followedHyperlink"/>
      <w:u w:val="single"/>
    </w:rPr>
  </w:style>
  <w:style w:type="paragraph" w:styleId="Header">
    <w:name w:val="header"/>
    <w:basedOn w:val="Normal"/>
    <w:link w:val="HeaderChar"/>
    <w:uiPriority w:val="99"/>
    <w:unhideWhenUsed/>
    <w:rsid w:val="007518E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518E2"/>
    <w:rPr>
      <w:rFonts w:ascii="Arial" w:hAnsi="Arial" w:cs="Arial"/>
    </w:rPr>
  </w:style>
  <w:style w:type="paragraph" w:styleId="Footer">
    <w:name w:val="footer"/>
    <w:basedOn w:val="Normal"/>
    <w:link w:val="FooterChar"/>
    <w:uiPriority w:val="99"/>
    <w:unhideWhenUsed/>
    <w:rsid w:val="007518E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518E2"/>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knowledge/factsheets/recruitment-brand-factsheet/" TargetMode="External"/><Relationship Id="rId13" Type="http://schemas.openxmlformats.org/officeDocument/2006/relationships/hyperlink" Target="https://logistics.org.uk/CMSPages/GetFile.aspx?guid=356af992-edaf-4f88-9bf0-5aed830918c4&amp;lang=en-GB"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org/uk/knowledge/factsheets/pestle-analysis-factshee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pd.org/uk/knowledge/guides/flexible-working/?utm_source=chatgpt.com" TargetMode="External"/><Relationship Id="rId5" Type="http://schemas.openxmlformats.org/officeDocument/2006/relationships/footnotes" Target="footnotes.xml"/><Relationship Id="rId15" Type="http://schemas.openxmlformats.org/officeDocument/2006/relationships/hyperlink" Target="https://www.aihr.com/blog/internal-vs-external-recruitment/" TargetMode="External"/><Relationship Id="rId10" Type="http://schemas.openxmlformats.org/officeDocument/2006/relationships/hyperlink" Target="https://www.cipd.org/uk/knowledge/guides/strategic-workforce-planning/" TargetMode="External"/><Relationship Id="rId4" Type="http://schemas.openxmlformats.org/officeDocument/2006/relationships/webSettings" Target="webSettings.xml"/><Relationship Id="rId9" Type="http://schemas.openxmlformats.org/officeDocument/2006/relationships/hyperlink" Target="https://www.cipd.org/uk/knowledge/factsheets/workforce-planning-factsheet/" TargetMode="External"/><Relationship Id="rId14" Type="http://schemas.openxmlformats.org/officeDocument/2006/relationships/hyperlink" Target="https://www.robertwalters.co.uk/content/dam/robert-walters/country/united-kingdom/files/whitepapers/RW%20Engineering%20New%20Talent%20Whitepaper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0D08F-D57F-4387-98A6-6110432BD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5243</Words>
  <Characters>31459</Characters>
  <Application>Microsoft Office Word</Application>
  <DocSecurity>0</DocSecurity>
  <Lines>436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smith</dc:creator>
  <cp:keywords/>
  <dc:description/>
  <cp:lastModifiedBy>claire smith</cp:lastModifiedBy>
  <cp:revision>2</cp:revision>
  <dcterms:created xsi:type="dcterms:W3CDTF">2025-12-01T18:25:00Z</dcterms:created>
  <dcterms:modified xsi:type="dcterms:W3CDTF">2025-12-01T18:25:00Z</dcterms:modified>
</cp:coreProperties>
</file>