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C13333" w14:textId="77777777" w:rsidR="007E2521" w:rsidRPr="006164D9" w:rsidRDefault="007E2521" w:rsidP="0035495B">
      <w:pPr>
        <w:tabs>
          <w:tab w:val="center" w:pos="4513"/>
          <w:tab w:val="right" w:pos="9026"/>
        </w:tabs>
        <w:spacing w:after="0"/>
        <w:jc w:val="both"/>
        <w:rPr>
          <w:rFonts w:cs="Calibri"/>
          <w:b/>
          <w:bCs/>
          <w:color w:val="000000" w:themeColor="text1"/>
        </w:rPr>
      </w:pPr>
      <w:r w:rsidRPr="0035495B">
        <w:rPr>
          <w:rFonts w:cs="Calibri"/>
          <w:b/>
          <w:bCs/>
        </w:rPr>
        <w:t>Sara Mason (</w:t>
      </w:r>
      <w:r w:rsidRPr="006164D9">
        <w:rPr>
          <w:rFonts w:cs="Calibri"/>
          <w:b/>
          <w:bCs/>
          <w:color w:val="000000" w:themeColor="text1"/>
        </w:rPr>
        <w:t>2318063)</w:t>
      </w:r>
    </w:p>
    <w:p w14:paraId="52D5DF3A" w14:textId="77777777" w:rsidR="007E2521" w:rsidRPr="006164D9" w:rsidRDefault="007E2521" w:rsidP="0035495B">
      <w:pPr>
        <w:tabs>
          <w:tab w:val="center" w:pos="4513"/>
          <w:tab w:val="right" w:pos="9026"/>
        </w:tabs>
        <w:spacing w:after="0"/>
        <w:jc w:val="both"/>
        <w:rPr>
          <w:rFonts w:cs="Calibri"/>
          <w:color w:val="000000" w:themeColor="text1"/>
        </w:rPr>
      </w:pPr>
      <w:r w:rsidRPr="006164D9">
        <w:rPr>
          <w:rFonts w:cs="Calibri"/>
          <w:color w:val="000000" w:themeColor="text1"/>
        </w:rPr>
        <w:t>Programme: Professional Graduate Certificate in Education &amp; Training (in-service)</w:t>
      </w:r>
    </w:p>
    <w:p w14:paraId="71E19AA5" w14:textId="77777777" w:rsidR="007E2521" w:rsidRPr="006164D9" w:rsidRDefault="007E2521" w:rsidP="0035495B">
      <w:pPr>
        <w:tabs>
          <w:tab w:val="center" w:pos="4513"/>
          <w:tab w:val="right" w:pos="9026"/>
        </w:tabs>
        <w:spacing w:after="0"/>
        <w:jc w:val="both"/>
        <w:rPr>
          <w:rFonts w:cs="Calibri"/>
          <w:color w:val="000000" w:themeColor="text1"/>
        </w:rPr>
      </w:pPr>
      <w:r w:rsidRPr="006164D9">
        <w:rPr>
          <w:rFonts w:cs="Calibri"/>
          <w:color w:val="000000" w:themeColor="text1"/>
        </w:rPr>
        <w:t>Module: Supporting and Developing Learners within Post Compulsory Education</w:t>
      </w:r>
    </w:p>
    <w:p w14:paraId="76F69F54" w14:textId="77777777" w:rsidR="007E2521" w:rsidRPr="006164D9" w:rsidRDefault="007E2521" w:rsidP="0035495B">
      <w:pPr>
        <w:tabs>
          <w:tab w:val="center" w:pos="4513"/>
          <w:tab w:val="right" w:pos="9026"/>
        </w:tabs>
        <w:spacing w:after="0"/>
        <w:jc w:val="both"/>
        <w:rPr>
          <w:rFonts w:cs="Calibri"/>
          <w:color w:val="000000" w:themeColor="text1"/>
        </w:rPr>
      </w:pPr>
      <w:r w:rsidRPr="006164D9">
        <w:rPr>
          <w:rFonts w:cs="Calibri"/>
          <w:color w:val="000000" w:themeColor="text1"/>
        </w:rPr>
        <w:t>Module Code: ECPT6012</w:t>
      </w:r>
    </w:p>
    <w:p w14:paraId="6E4B4F3A" w14:textId="77777777" w:rsidR="007E2521" w:rsidRPr="006164D9" w:rsidRDefault="007E2521" w:rsidP="0035495B">
      <w:pPr>
        <w:tabs>
          <w:tab w:val="center" w:pos="4513"/>
          <w:tab w:val="right" w:pos="9026"/>
        </w:tabs>
        <w:spacing w:after="0"/>
        <w:jc w:val="both"/>
        <w:rPr>
          <w:rFonts w:cs="Calibri"/>
          <w:color w:val="000000" w:themeColor="text1"/>
        </w:rPr>
      </w:pPr>
    </w:p>
    <w:p w14:paraId="5A2B4BB2" w14:textId="04EF8AF1" w:rsidR="007E2521" w:rsidRPr="006164D9" w:rsidRDefault="007E2521" w:rsidP="0035495B">
      <w:pPr>
        <w:tabs>
          <w:tab w:val="center" w:pos="4513"/>
          <w:tab w:val="right" w:pos="9026"/>
        </w:tabs>
        <w:spacing w:after="0"/>
        <w:jc w:val="both"/>
        <w:rPr>
          <w:rFonts w:cs="Calibri"/>
          <w:b/>
          <w:bCs/>
          <w:color w:val="000000" w:themeColor="text1"/>
          <w:sz w:val="28"/>
          <w:szCs w:val="28"/>
          <w:u w:val="single"/>
        </w:rPr>
      </w:pPr>
      <w:r w:rsidRPr="006164D9">
        <w:rPr>
          <w:rFonts w:cs="Calibri"/>
          <w:b/>
          <w:bCs/>
          <w:color w:val="000000" w:themeColor="text1"/>
          <w:sz w:val="28"/>
          <w:szCs w:val="28"/>
          <w:u w:val="single"/>
        </w:rPr>
        <w:t>Assignment 1: Written Report</w:t>
      </w:r>
    </w:p>
    <w:p w14:paraId="2CD10FBE" w14:textId="77777777" w:rsidR="007E2521" w:rsidRPr="006164D9" w:rsidRDefault="007E2521" w:rsidP="0035495B">
      <w:pPr>
        <w:jc w:val="both"/>
        <w:rPr>
          <w:rFonts w:cs="Calibri"/>
          <w:color w:val="000000" w:themeColor="text1"/>
        </w:rPr>
      </w:pPr>
    </w:p>
    <w:p w14:paraId="7A5B7171" w14:textId="77777777" w:rsidR="00C5201D" w:rsidRPr="00C5201D" w:rsidRDefault="00C5201D" w:rsidP="0035495B">
      <w:pPr>
        <w:jc w:val="both"/>
        <w:rPr>
          <w:rFonts w:cs="Calibri"/>
          <w:color w:val="000000" w:themeColor="text1"/>
        </w:rPr>
      </w:pPr>
      <w:r w:rsidRPr="00C5201D">
        <w:rPr>
          <w:rFonts w:cs="Calibri"/>
          <w:color w:val="000000" w:themeColor="text1"/>
        </w:rPr>
        <w:t>Differentiation in education has evolved over time, with new factors to take into consideration such as more in-depth diagnosis of mental and physical conditions, changing technology, and economical pressures. More adults are turning to post compulsory education to improve their quality of life and employment, so teachers face a more diverse group of students with higher expectations of learning.</w:t>
      </w:r>
    </w:p>
    <w:p w14:paraId="211BF882" w14:textId="77777777" w:rsidR="00C5201D" w:rsidRPr="00C5201D" w:rsidRDefault="00C5201D" w:rsidP="0035495B">
      <w:pPr>
        <w:jc w:val="both"/>
        <w:rPr>
          <w:rFonts w:cs="Calibri"/>
          <w:color w:val="000000" w:themeColor="text1"/>
        </w:rPr>
      </w:pPr>
      <w:r w:rsidRPr="00C5201D">
        <w:rPr>
          <w:rFonts w:cs="Calibri"/>
          <w:color w:val="000000" w:themeColor="text1"/>
        </w:rPr>
        <w:t>All aspects of learning require a range of processes that allow the student to become comfortable with their own learning style. One model I follow is VARK (Fleming and Mills 1992): Visual (pictures, illustrations, flowcharts), Auditory (sounds, music, voice), Read/write (words, books, e-learning), and Kinaesthetic (simulations, reality videos, practical skills), as  according to Race and Pickford (2007, p11) “</w:t>
      </w:r>
      <w:r w:rsidRPr="00C5201D">
        <w:rPr>
          <w:rFonts w:cs="Calibri"/>
          <w:i/>
          <w:iCs/>
          <w:color w:val="000000" w:themeColor="text1"/>
        </w:rPr>
        <w:t>These four dimensions of learning can be regarded as channels of communication between learners and the whole of the learning environment surrounding them, including teachers</w:t>
      </w:r>
      <w:r w:rsidRPr="00C5201D">
        <w:rPr>
          <w:rFonts w:cs="Calibri"/>
          <w:color w:val="000000" w:themeColor="text1"/>
        </w:rPr>
        <w:t>”. Anything that can promote good communication between a teacher and their students should be explored, especially with any additional need whether diagnosed or not. You cannot ask someone directly if they have any conditions, I have to rely on students disclosing their condition on application for the course, directly to me in conversation, or via a form that indicates if any reasonable adjustments need to be made to the teaching and materials.</w:t>
      </w:r>
    </w:p>
    <w:p w14:paraId="491961D3" w14:textId="3AAAC0A8" w:rsidR="00C5201D" w:rsidRPr="00C5201D" w:rsidRDefault="00C5201D" w:rsidP="0035495B">
      <w:pPr>
        <w:jc w:val="both"/>
        <w:rPr>
          <w:rFonts w:cs="Calibri"/>
          <w:color w:val="000000" w:themeColor="text1"/>
        </w:rPr>
      </w:pPr>
      <w:r w:rsidRPr="00C5201D">
        <w:rPr>
          <w:rFonts w:cs="Calibri"/>
          <w:color w:val="000000" w:themeColor="text1"/>
        </w:rPr>
        <w:t xml:space="preserve">I am going to </w:t>
      </w:r>
      <w:r w:rsidR="00DA4226">
        <w:rPr>
          <w:rFonts w:cs="Calibri"/>
          <w:color w:val="000000" w:themeColor="text1"/>
        </w:rPr>
        <w:t>explain</w:t>
      </w:r>
      <w:r w:rsidRPr="00C5201D">
        <w:rPr>
          <w:rFonts w:cs="Calibri"/>
          <w:color w:val="000000" w:themeColor="text1"/>
        </w:rPr>
        <w:t xml:space="preserve"> three different forms of additional learning needs, Dyslexia, Anxiety and Visual Impairment (VI), and how I would support these range of capabilities in a post compulsory setting. </w:t>
      </w:r>
    </w:p>
    <w:p w14:paraId="6DCACA3E" w14:textId="78EA7643" w:rsidR="00C5201D" w:rsidRPr="00C5201D" w:rsidRDefault="00C5201D" w:rsidP="0035495B">
      <w:pPr>
        <w:jc w:val="both"/>
        <w:rPr>
          <w:rFonts w:cs="Calibri"/>
          <w:color w:val="000000" w:themeColor="text1"/>
        </w:rPr>
      </w:pPr>
      <w:r w:rsidRPr="00C5201D">
        <w:rPr>
          <w:rFonts w:cs="Calibri"/>
          <w:b/>
          <w:bCs/>
          <w:color w:val="000000" w:themeColor="text1"/>
        </w:rPr>
        <w:t>With all of these additional needs</w:t>
      </w:r>
      <w:r w:rsidRPr="00C5201D">
        <w:rPr>
          <w:rFonts w:cs="Calibri"/>
          <w:color w:val="000000" w:themeColor="text1"/>
        </w:rPr>
        <w:t>, to prepare for a lesson and ensure that they have the maximum opportunity to learn, I would firstly speak to the students to see what they want to get from their learning experience. This would include designing an individual learning plan, identifying regular one-to-one meetings to discuss their development and wellbeing, and providing them with an overview of the course (including pre-reads) so they can make their own preparations, and get organised</w:t>
      </w:r>
      <w:r w:rsidR="00E52B8E" w:rsidRPr="006164D9">
        <w:rPr>
          <w:rFonts w:cs="Calibri"/>
          <w:color w:val="000000" w:themeColor="text1"/>
        </w:rPr>
        <w:t xml:space="preserve">. </w:t>
      </w:r>
      <w:r w:rsidRPr="00C5201D">
        <w:rPr>
          <w:rFonts w:cs="Calibri"/>
          <w:color w:val="000000" w:themeColor="text1"/>
        </w:rPr>
        <w:t>This would give us a chance to build a rapport, and give them an opportunity to ask as many questions that they need to ease any fears. The environment in which you teach also needs to be managed well so that it is comfortable and accessible for your students. I would ask the student where in the classroom they want to be positioned although I would recommend that they are sat near to me so that they can hear me clearly, ask questions or request assistance without worrying that they may be disturbing the rest of the class. I would try to create a positive and supportive culture to make the student feel included by promoting peer collaboration and encouraging open communication. As a Neurodiversity Champion for Gwent Police,  I have already implemented this into my training practi</w:t>
      </w:r>
      <w:r w:rsidR="00DA4226">
        <w:rPr>
          <w:rFonts w:cs="Calibri"/>
          <w:color w:val="000000" w:themeColor="text1"/>
        </w:rPr>
        <w:t>c</w:t>
      </w:r>
      <w:r w:rsidRPr="00C5201D">
        <w:rPr>
          <w:rFonts w:cs="Calibri"/>
          <w:color w:val="000000" w:themeColor="text1"/>
        </w:rPr>
        <w:t>e by talking about neurodiversity during my introduction, and encouraging anyone to come forward if they need to speak to me about receiving further assistance and wellbeing support, this helps to reduce stigma and promote inclusivity.</w:t>
      </w:r>
    </w:p>
    <w:p w14:paraId="17BDB0A0" w14:textId="3AFA7F65" w:rsidR="00C5201D" w:rsidRDefault="00C5201D" w:rsidP="0035495B">
      <w:pPr>
        <w:jc w:val="both"/>
        <w:rPr>
          <w:rFonts w:cs="Calibri"/>
          <w:color w:val="000000" w:themeColor="text1"/>
        </w:rPr>
      </w:pPr>
      <w:r w:rsidRPr="00C5201D">
        <w:rPr>
          <w:rFonts w:cs="Calibri"/>
          <w:color w:val="000000" w:themeColor="text1"/>
        </w:rPr>
        <w:t>Following a course,  I make sure all students have access to all resources I have used</w:t>
      </w:r>
      <w:r w:rsidR="00DA4226">
        <w:rPr>
          <w:rFonts w:cs="Calibri"/>
          <w:color w:val="000000" w:themeColor="text1"/>
        </w:rPr>
        <w:t xml:space="preserve">, </w:t>
      </w:r>
      <w:r w:rsidRPr="00C5201D">
        <w:rPr>
          <w:rFonts w:cs="Calibri"/>
          <w:color w:val="000000" w:themeColor="text1"/>
        </w:rPr>
        <w:t>and adapted</w:t>
      </w:r>
      <w:r w:rsidR="00DA4226">
        <w:rPr>
          <w:rFonts w:cs="Calibri"/>
          <w:color w:val="000000" w:themeColor="text1"/>
        </w:rPr>
        <w:t>,</w:t>
      </w:r>
      <w:r w:rsidRPr="00C5201D">
        <w:rPr>
          <w:rFonts w:cs="Calibri"/>
          <w:color w:val="000000" w:themeColor="text1"/>
        </w:rPr>
        <w:t xml:space="preserve"> so that they can revise and process them. During one-to-one sessions, I provide feedback and have them reflect on what they have learned, and </w:t>
      </w:r>
      <w:r w:rsidR="00B14A74" w:rsidRPr="006164D9">
        <w:rPr>
          <w:rFonts w:cs="Calibri"/>
          <w:color w:val="000000" w:themeColor="text1"/>
        </w:rPr>
        <w:t>on what they can improve</w:t>
      </w:r>
      <w:r w:rsidRPr="00C5201D">
        <w:rPr>
          <w:rFonts w:cs="Calibri"/>
          <w:color w:val="000000" w:themeColor="text1"/>
        </w:rPr>
        <w:t xml:space="preserve">. This also gives students the opportunity to provide feedback for myself, because if they can see that I start to implement changes in the classroom, this can give them a small sense of control as they know that they are being listened to, which in turn can make them more engaged and motivated. </w:t>
      </w:r>
    </w:p>
    <w:p w14:paraId="327A1A15" w14:textId="77777777" w:rsidR="007125E7" w:rsidRPr="00C5201D" w:rsidRDefault="007125E7" w:rsidP="0035495B">
      <w:pPr>
        <w:jc w:val="both"/>
        <w:rPr>
          <w:rFonts w:cs="Calibri"/>
          <w:color w:val="000000" w:themeColor="text1"/>
        </w:rPr>
      </w:pPr>
    </w:p>
    <w:p w14:paraId="632DA697" w14:textId="7AD13CDB" w:rsidR="00C5201D" w:rsidRPr="00C5201D" w:rsidRDefault="00C5201D" w:rsidP="0035495B">
      <w:pPr>
        <w:jc w:val="both"/>
        <w:rPr>
          <w:rFonts w:cs="Calibri"/>
          <w:color w:val="000000" w:themeColor="text1"/>
        </w:rPr>
      </w:pPr>
      <w:bookmarkStart w:id="0" w:name="_Hlk180670473"/>
      <w:r w:rsidRPr="00C5201D">
        <w:rPr>
          <w:rFonts w:cs="Calibri"/>
          <w:b/>
          <w:bCs/>
          <w:color w:val="000000" w:themeColor="text1"/>
        </w:rPr>
        <w:lastRenderedPageBreak/>
        <w:t>Dyslexia</w:t>
      </w:r>
      <w:r w:rsidRPr="00C5201D">
        <w:rPr>
          <w:rFonts w:cs="Calibri"/>
          <w:color w:val="000000" w:themeColor="text1"/>
        </w:rPr>
        <w:t xml:space="preserve"> is a learning difficulty that mainly affects reading, writing, spelling, organisation, and planning skills (</w:t>
      </w:r>
      <w:r w:rsidRPr="00C5201D">
        <w:rPr>
          <w:rFonts w:cs="Calibri"/>
          <w:i/>
          <w:iCs/>
          <w:color w:val="000000" w:themeColor="text1"/>
        </w:rPr>
        <w:t>NHS 2022</w:t>
      </w:r>
      <w:r w:rsidRPr="00C5201D">
        <w:rPr>
          <w:rFonts w:cs="Calibri"/>
          <w:color w:val="000000" w:themeColor="text1"/>
        </w:rPr>
        <w:t>). This would have a massive impact on a student’s ability and confidence to learn, but there are also some advantages to having the condition. Braintrust tutors state that dyslexics are “</w:t>
      </w:r>
      <w:r w:rsidRPr="00C5201D">
        <w:rPr>
          <w:rFonts w:cs="Calibri"/>
          <w:i/>
          <w:iCs/>
          <w:color w:val="000000" w:themeColor="text1"/>
        </w:rPr>
        <w:t>out the box thinkers</w:t>
      </w:r>
      <w:r w:rsidR="00E52B8E" w:rsidRPr="006164D9">
        <w:rPr>
          <w:rFonts w:cs="Calibri"/>
          <w:color w:val="000000" w:themeColor="text1"/>
        </w:rPr>
        <w:t>,”</w:t>
      </w:r>
      <w:r w:rsidRPr="00C5201D">
        <w:rPr>
          <w:rFonts w:cs="Calibri"/>
          <w:color w:val="000000" w:themeColor="text1"/>
        </w:rPr>
        <w:t xml:space="preserve"> they “</w:t>
      </w:r>
      <w:r w:rsidRPr="00C5201D">
        <w:rPr>
          <w:rFonts w:cs="Calibri"/>
          <w:i/>
          <w:iCs/>
          <w:color w:val="000000" w:themeColor="text1"/>
        </w:rPr>
        <w:t>see the bigger picture, figuratively and literally</w:t>
      </w:r>
      <w:r w:rsidR="00D57979" w:rsidRPr="006164D9">
        <w:rPr>
          <w:rFonts w:cs="Calibri"/>
          <w:color w:val="000000" w:themeColor="text1"/>
        </w:rPr>
        <w:t>,”</w:t>
      </w:r>
      <w:r w:rsidRPr="00C5201D">
        <w:rPr>
          <w:rFonts w:cs="Calibri"/>
          <w:color w:val="000000" w:themeColor="text1"/>
        </w:rPr>
        <w:t xml:space="preserve"> are “</w:t>
      </w:r>
      <w:r w:rsidRPr="00C5201D">
        <w:rPr>
          <w:rFonts w:cs="Calibri"/>
          <w:i/>
          <w:iCs/>
          <w:color w:val="000000" w:themeColor="text1"/>
        </w:rPr>
        <w:t>highly creative</w:t>
      </w:r>
      <w:r w:rsidR="00D57979" w:rsidRPr="006164D9">
        <w:rPr>
          <w:rFonts w:cs="Calibri"/>
          <w:color w:val="000000" w:themeColor="text1"/>
        </w:rPr>
        <w:t>,”</w:t>
      </w:r>
      <w:r w:rsidRPr="00C5201D">
        <w:rPr>
          <w:rFonts w:cs="Calibri"/>
          <w:color w:val="000000" w:themeColor="text1"/>
        </w:rPr>
        <w:t xml:space="preserve"> are “</w:t>
      </w:r>
      <w:r w:rsidRPr="00C5201D">
        <w:rPr>
          <w:rFonts w:cs="Calibri"/>
          <w:i/>
          <w:iCs/>
          <w:color w:val="000000" w:themeColor="text1"/>
        </w:rPr>
        <w:t>excellent problem solvers</w:t>
      </w:r>
      <w:r w:rsidR="005A6798" w:rsidRPr="00C5201D">
        <w:rPr>
          <w:rFonts w:cs="Calibri"/>
          <w:color w:val="000000" w:themeColor="text1"/>
        </w:rPr>
        <w:t>,”</w:t>
      </w:r>
      <w:r w:rsidRPr="00C5201D">
        <w:rPr>
          <w:rFonts w:cs="Calibri"/>
          <w:color w:val="000000" w:themeColor="text1"/>
        </w:rPr>
        <w:t xml:space="preserve"> and “</w:t>
      </w:r>
      <w:r w:rsidRPr="00C5201D">
        <w:rPr>
          <w:rFonts w:cs="Calibri"/>
          <w:i/>
          <w:iCs/>
          <w:color w:val="000000" w:themeColor="text1"/>
        </w:rPr>
        <w:t>high emotional intelligence</w:t>
      </w:r>
      <w:r w:rsidRPr="00C5201D">
        <w:rPr>
          <w:rFonts w:cs="Calibri"/>
          <w:color w:val="000000" w:themeColor="text1"/>
        </w:rPr>
        <w:t xml:space="preserve">” so planning is a fundamental aspect in preparing for a lesson to factor in this range of traits. </w:t>
      </w:r>
    </w:p>
    <w:p w14:paraId="695CDF19" w14:textId="7C0E28A1" w:rsidR="00C5201D" w:rsidRPr="00C5201D" w:rsidRDefault="00C5201D" w:rsidP="0035495B">
      <w:pPr>
        <w:jc w:val="both"/>
        <w:rPr>
          <w:rFonts w:cs="Calibri"/>
          <w:color w:val="000000" w:themeColor="text1"/>
        </w:rPr>
      </w:pPr>
      <w:r w:rsidRPr="00C5201D">
        <w:rPr>
          <w:rFonts w:cs="Calibri"/>
          <w:color w:val="000000" w:themeColor="text1"/>
        </w:rPr>
        <w:t xml:space="preserve">I would find out what they use to make learning easier for themselves, such as Tint and Track software, coloured screen overlays, PowerPoints and handouts in a particular font or colour. I would also consider making visual recordings of the session so the student can rewatch it in their own time and at their own pace. As organisation can be frustrating for a person with Dyslexia it is paramount that you assist this to ease any burden. Colour-coding is a great way to separate subjects or </w:t>
      </w:r>
      <w:r w:rsidR="00DA4226">
        <w:rPr>
          <w:rFonts w:cs="Calibri"/>
          <w:color w:val="000000" w:themeColor="text1"/>
        </w:rPr>
        <w:t>modules</w:t>
      </w:r>
      <w:r w:rsidRPr="00C5201D">
        <w:rPr>
          <w:rFonts w:cs="Calibri"/>
          <w:color w:val="000000" w:themeColor="text1"/>
        </w:rPr>
        <w:t xml:space="preserve"> so the student can concentrate on one thing rather than be overwhelmed with reams of documents. I would also use a planner and insert subjects, assessment dates, and deadlines in it so the student can see at a glance what is coming up, which will help them to organise their time effectively and not become over-stimulated. </w:t>
      </w:r>
    </w:p>
    <w:p w14:paraId="2AE79FAB" w14:textId="08BA5EC6" w:rsidR="00C5201D" w:rsidRPr="00C5201D" w:rsidRDefault="00C5201D" w:rsidP="0035495B">
      <w:pPr>
        <w:jc w:val="both"/>
        <w:rPr>
          <w:rFonts w:cs="Calibri"/>
          <w:color w:val="000000" w:themeColor="text1"/>
        </w:rPr>
      </w:pPr>
      <w:bookmarkStart w:id="1" w:name="_Hlk180659257"/>
      <w:r w:rsidRPr="00C5201D">
        <w:rPr>
          <w:rFonts w:cs="Calibri"/>
          <w:color w:val="000000" w:themeColor="text1"/>
        </w:rPr>
        <w:t>Delivery and reflection of the lesson is just as important as the planning, as this is where the student would start to develop their understanding of the subject, and be able to reflect on their learning experience to see what is helping them and where improvements can be made</w:t>
      </w:r>
      <w:r w:rsidR="00E52B8E" w:rsidRPr="006164D9">
        <w:rPr>
          <w:rFonts w:cs="Calibri"/>
          <w:color w:val="000000" w:themeColor="text1"/>
        </w:rPr>
        <w:t xml:space="preserve">. </w:t>
      </w:r>
      <w:r w:rsidRPr="00C5201D">
        <w:rPr>
          <w:rFonts w:cs="Calibri"/>
          <w:color w:val="000000" w:themeColor="text1"/>
        </w:rPr>
        <w:t xml:space="preserve">Bryan McCormick (2022) talks about various ways of teaching adults with dyslexia by using a multi-sensory approach; using visual directions to go along with verbal directions, speaking slowly and repeating complex steps, giving students access to written directions, and checking for understanding. This is a sensible approach as it includes aspects of VARK and allows students to embrace your teaching and resources, and adapt it in their own way </w:t>
      </w:r>
      <w:r w:rsidR="00B14A74" w:rsidRPr="006164D9">
        <w:rPr>
          <w:rFonts w:cs="Calibri"/>
          <w:color w:val="000000" w:themeColor="text1"/>
        </w:rPr>
        <w:t>with which they are comfortable</w:t>
      </w:r>
      <w:r w:rsidRPr="00C5201D">
        <w:rPr>
          <w:rFonts w:cs="Calibri"/>
          <w:color w:val="000000" w:themeColor="text1"/>
        </w:rPr>
        <w:t xml:space="preserve">. This process can also be used for feedback and reflection, as you can provide personalised feedback that can focus on their ideas and contributions, rather than any errors in spelling and grammar. </w:t>
      </w:r>
      <w:bookmarkEnd w:id="0"/>
    </w:p>
    <w:p w14:paraId="7E9FE3B3" w14:textId="73020F16" w:rsidR="00C5201D" w:rsidRPr="00C5201D" w:rsidRDefault="00C5201D" w:rsidP="0035495B">
      <w:pPr>
        <w:jc w:val="both"/>
        <w:rPr>
          <w:rFonts w:cs="Calibri"/>
          <w:color w:val="000000" w:themeColor="text1"/>
        </w:rPr>
      </w:pPr>
      <w:bookmarkStart w:id="2" w:name="_Hlk180670549"/>
      <w:bookmarkEnd w:id="1"/>
      <w:r w:rsidRPr="00C5201D">
        <w:rPr>
          <w:rFonts w:cs="Calibri"/>
          <w:b/>
          <w:bCs/>
          <w:color w:val="000000" w:themeColor="text1"/>
        </w:rPr>
        <w:t>Anxiety</w:t>
      </w:r>
      <w:r w:rsidRPr="00C5201D">
        <w:rPr>
          <w:rFonts w:cs="Calibri"/>
          <w:color w:val="000000" w:themeColor="text1"/>
        </w:rPr>
        <w:t xml:space="preserve"> is a physiological and psychological response to stressful and dangerous situations; it is a  debilitating condition which can make a person feel continuous discomfort and worry and leave them feeling fearful and hopeless in most situations.</w:t>
      </w:r>
      <w:r w:rsidR="00DA4226">
        <w:rPr>
          <w:rFonts w:cs="Calibri"/>
          <w:color w:val="000000" w:themeColor="text1"/>
        </w:rPr>
        <w:t xml:space="preserve"> </w:t>
      </w:r>
    </w:p>
    <w:p w14:paraId="56EF5159" w14:textId="6DA5C79E" w:rsidR="00C5201D" w:rsidRPr="00C5201D" w:rsidRDefault="00C5201D" w:rsidP="0035495B">
      <w:pPr>
        <w:jc w:val="both"/>
        <w:rPr>
          <w:rFonts w:cs="Calibri"/>
          <w:color w:val="000000" w:themeColor="text1"/>
        </w:rPr>
      </w:pPr>
      <w:r w:rsidRPr="00C5201D">
        <w:rPr>
          <w:rFonts w:cs="Calibri"/>
          <w:color w:val="000000" w:themeColor="text1"/>
        </w:rPr>
        <w:t>During my initial discussion with the student,  I would talk about any coping strategies they have and how we can use them in the classroom. Jill Eulberg (2018) talks about creating a ‘Coping Toolbox’, which states that during the meeting the teacher and student should work together to create this, and that it should consist of strategies the student may use in class if they experience anxiety symptoms. She states, “</w:t>
      </w:r>
      <w:r w:rsidRPr="00C5201D">
        <w:rPr>
          <w:rFonts w:cs="Calibri"/>
          <w:i/>
          <w:iCs/>
          <w:color w:val="000000" w:themeColor="text1"/>
        </w:rPr>
        <w:t xml:space="preserve">When anxiety ramps up, teachers can remind students to access their "toolbox" and implement the strategy they need.” </w:t>
      </w:r>
      <w:r w:rsidRPr="00C5201D">
        <w:rPr>
          <w:rFonts w:cs="Calibri"/>
          <w:color w:val="000000" w:themeColor="text1"/>
        </w:rPr>
        <w:t>If the student is anxious about the course, I will provide them with a timetable and sit down with them to discuss the course content and requirements</w:t>
      </w:r>
      <w:r w:rsidR="00E52B8E" w:rsidRPr="006164D9">
        <w:rPr>
          <w:rFonts w:cs="Calibri"/>
          <w:color w:val="000000" w:themeColor="text1"/>
        </w:rPr>
        <w:t xml:space="preserve">. </w:t>
      </w:r>
      <w:r w:rsidRPr="00C5201D">
        <w:rPr>
          <w:rFonts w:cs="Calibri"/>
          <w:color w:val="000000" w:themeColor="text1"/>
        </w:rPr>
        <w:t>When in emotional distress, students need to be able to remove themselves from the classroom quickly, so providing them with an allocated safe space can enable them to calm down and re-adjust before continuing with their learning. Anxiety can cause a student to lose focus, so keeping them engaged during a session and when providing feedback is important to make sure they regain their concentration and move forward. During the lesson I quietly check in often with a student I know is experiencing anxiety. I never expect them to contribute loudly to class discussions unless they feel comfortable to do so.</w:t>
      </w:r>
      <w:r w:rsidR="008E4A25">
        <w:rPr>
          <w:rFonts w:cs="Calibri"/>
          <w:color w:val="000000" w:themeColor="text1"/>
        </w:rPr>
        <w:t xml:space="preserve"> Providing reassurance </w:t>
      </w:r>
      <w:r w:rsidR="000F6ABE">
        <w:rPr>
          <w:rFonts w:cs="Calibri"/>
          <w:color w:val="000000" w:themeColor="text1"/>
        </w:rPr>
        <w:t xml:space="preserve">is an important factor in managing a person with Anxiety, so keeping them updated with </w:t>
      </w:r>
      <w:r w:rsidR="00EC16A8">
        <w:rPr>
          <w:rFonts w:cs="Calibri"/>
          <w:color w:val="000000" w:themeColor="text1"/>
        </w:rPr>
        <w:t>any</w:t>
      </w:r>
      <w:r w:rsidR="000F6ABE">
        <w:rPr>
          <w:rFonts w:cs="Calibri"/>
          <w:color w:val="000000" w:themeColor="text1"/>
        </w:rPr>
        <w:t xml:space="preserve"> actions that affect them is </w:t>
      </w:r>
      <w:r w:rsidR="00903574">
        <w:rPr>
          <w:rFonts w:cs="Calibri"/>
          <w:color w:val="000000" w:themeColor="text1"/>
        </w:rPr>
        <w:t>crucial, so not to enable e</w:t>
      </w:r>
      <w:r w:rsidR="00EC16A8">
        <w:rPr>
          <w:rFonts w:cs="Calibri"/>
          <w:color w:val="000000" w:themeColor="text1"/>
        </w:rPr>
        <w:t xml:space="preserve">xcessive worrying. </w:t>
      </w:r>
    </w:p>
    <w:p w14:paraId="36109EF8" w14:textId="7B8568BB" w:rsidR="00C5201D" w:rsidRPr="00C5201D" w:rsidRDefault="00C5201D" w:rsidP="0035495B">
      <w:pPr>
        <w:jc w:val="both"/>
        <w:rPr>
          <w:rFonts w:cs="Calibri"/>
          <w:color w:val="000000" w:themeColor="text1"/>
        </w:rPr>
      </w:pPr>
      <w:r w:rsidRPr="00C5201D">
        <w:rPr>
          <w:rFonts w:cs="Calibri"/>
          <w:color w:val="000000" w:themeColor="text1"/>
        </w:rPr>
        <w:t>Hewitt (2017, p216) talks about how the classroom setting can provide stressful situations, “</w:t>
      </w:r>
      <w:r w:rsidRPr="00C5201D">
        <w:rPr>
          <w:rFonts w:cs="Calibri"/>
          <w:i/>
          <w:iCs/>
          <w:color w:val="000000" w:themeColor="text1"/>
        </w:rPr>
        <w:t>Learning new things, being assessed, and working in a room with others can all produce stress. A learner experiencing anxiety issues may fear being judged or not fitting in</w:t>
      </w:r>
      <w:r w:rsidRPr="00C5201D">
        <w:rPr>
          <w:rFonts w:cs="Calibri"/>
          <w:color w:val="000000" w:themeColor="text1"/>
        </w:rPr>
        <w:t xml:space="preserve">” This can be a critical factor in a person’s development if this is not addressed from day one. A teacher needs to establish ground rules </w:t>
      </w:r>
      <w:r w:rsidRPr="00C5201D">
        <w:rPr>
          <w:rFonts w:cs="Calibri"/>
          <w:color w:val="000000" w:themeColor="text1"/>
        </w:rPr>
        <w:lastRenderedPageBreak/>
        <w:t>and promote mental wellbeing to all students, so an understanding is established amongst everyone, and potential stress is diminished. Hewitt goes on to advise a range of learning strategies to help a student with anxiety, such as giving them shorter tasks earlier in the day so the student can feel success, greeting them individually on every entry and exit of the classroom, and to check in frequently to monitor progress and provide encouragement</w:t>
      </w:r>
      <w:r w:rsidR="00E52B8E" w:rsidRPr="006164D9">
        <w:rPr>
          <w:rFonts w:cs="Calibri"/>
          <w:color w:val="000000" w:themeColor="text1"/>
        </w:rPr>
        <w:t xml:space="preserve">. </w:t>
      </w:r>
      <w:r w:rsidRPr="00C5201D">
        <w:rPr>
          <w:rFonts w:cs="Calibri"/>
          <w:color w:val="000000" w:themeColor="text1"/>
        </w:rPr>
        <w:t xml:space="preserve">Another practice that I would encourage with all students is mindfulness. Edutopia talks about four mindfulness techniques that can be applied in the classroom, 1. Controlled breathing techniques, 2. Meditation (full verbal body scan), 3. Countdown to calm (five things you can see, touch, hear, smell and taste) and 4. Daily gratitude (say what everyone is thankful for). I believe that this should be practised in classrooms regularly, regardless of student needs, as it can keep students grounded and connected, which will not only help their mental health, and also promote further self-reflection in their learning and development due to a more positive outlook. </w:t>
      </w:r>
      <w:bookmarkEnd w:id="2"/>
    </w:p>
    <w:p w14:paraId="0CC39C22" w14:textId="77777777" w:rsidR="00DA4226" w:rsidRDefault="00C5201D" w:rsidP="0035495B">
      <w:pPr>
        <w:jc w:val="both"/>
        <w:rPr>
          <w:rFonts w:cs="Calibri"/>
          <w:color w:val="000000" w:themeColor="text1"/>
        </w:rPr>
      </w:pPr>
      <w:r w:rsidRPr="00C5201D">
        <w:rPr>
          <w:rFonts w:cs="Calibri"/>
          <w:color w:val="000000" w:themeColor="text1"/>
        </w:rPr>
        <w:t xml:space="preserve">Students who are </w:t>
      </w:r>
      <w:r w:rsidRPr="00C5201D">
        <w:rPr>
          <w:rFonts w:cs="Calibri"/>
          <w:b/>
          <w:bCs/>
          <w:color w:val="000000" w:themeColor="text1"/>
        </w:rPr>
        <w:t>partially sighted</w:t>
      </w:r>
      <w:r w:rsidRPr="00C5201D">
        <w:rPr>
          <w:rFonts w:cs="Calibri"/>
          <w:color w:val="000000" w:themeColor="text1"/>
        </w:rPr>
        <w:t xml:space="preserve"> may require further planning and resources to meet individual needs. The Royal National College for the Blind (RNC) has produced an informative video. They state that “vision is a dominant sense, and it is hard for us (including VI people) not to over rely on it, as students are experts in their own vision, it is not useful to ask what and how much they can see”, this is important to consider during your planning and delivery of lessons, and any conversations you may have with students before you commence a course. They also go on to advise different software programmes and tools to use to assist with delivery of the lesson and the production of work, two examples being JAWS (Job Access With Speech) a screen reader for Microsoft Windows that allows students to navigate the internet and their work using keyboard commands, and a TactiPad that enables the student to fix a ruler or shape to a board that is locked so they can produce drawings and diagrams. </w:t>
      </w:r>
    </w:p>
    <w:p w14:paraId="03575DCD" w14:textId="0781771F" w:rsidR="00C5201D" w:rsidRPr="00C5201D" w:rsidRDefault="00C5201D" w:rsidP="0035495B">
      <w:pPr>
        <w:jc w:val="both"/>
        <w:rPr>
          <w:rFonts w:cs="Calibri"/>
          <w:color w:val="000000" w:themeColor="text1"/>
        </w:rPr>
      </w:pPr>
      <w:r w:rsidRPr="00C5201D">
        <w:rPr>
          <w:rFonts w:cs="Calibri"/>
          <w:color w:val="000000" w:themeColor="text1"/>
        </w:rPr>
        <w:t>For someone with a visual impairment, I would find out if they have a laptop and if they use any software packages (such as JAWS, or Microsoft Read Aloud). I would see if they required Braille or large print, and adapt any lesson materials to suit, including PowerPoint presentations and handouts. Ideally you should not use glossy or laminated documents (to avoid glare), and ensure that documents are stored and displayed at a suitable height, so they can be located</w:t>
      </w:r>
      <w:r w:rsidR="00E52B8E" w:rsidRPr="006164D9">
        <w:rPr>
          <w:rFonts w:cs="Calibri"/>
          <w:color w:val="000000" w:themeColor="text1"/>
        </w:rPr>
        <w:t xml:space="preserve">. </w:t>
      </w:r>
      <w:r w:rsidRPr="00C5201D">
        <w:rPr>
          <w:rFonts w:cs="Calibri"/>
          <w:color w:val="000000" w:themeColor="text1"/>
        </w:rPr>
        <w:t xml:space="preserve">The environment plays an important factor in aiding a student to learn, such as having brighter lighting which may help students to see better, not changing the layout of the classroom and ensuring that any hazards are not going to cause the student to trip or get injured.                                                                                                                                                                                                                                                                                                                                                                                                                                                                                                                                                                                                                                                                                                                                                                                                                                                                                                                     </w:t>
      </w:r>
    </w:p>
    <w:p w14:paraId="6DB58479" w14:textId="688192DE" w:rsidR="00C5201D" w:rsidRDefault="00C5201D" w:rsidP="0035495B">
      <w:pPr>
        <w:jc w:val="both"/>
        <w:rPr>
          <w:rFonts w:cs="Calibri"/>
          <w:color w:val="000000" w:themeColor="text1"/>
        </w:rPr>
      </w:pPr>
      <w:r w:rsidRPr="00C5201D">
        <w:rPr>
          <w:rFonts w:cs="Calibri"/>
          <w:color w:val="000000" w:themeColor="text1"/>
        </w:rPr>
        <w:t>Interaction may be limited, ADCET (2024) states “</w:t>
      </w:r>
      <w:r w:rsidRPr="00C5201D">
        <w:rPr>
          <w:rFonts w:cs="Calibri"/>
          <w:i/>
          <w:iCs/>
          <w:color w:val="000000" w:themeColor="text1"/>
        </w:rPr>
        <w:t>it is difficult for students who cannot see the body language and interactions of others to feel comfortable about participating. Judging when it is appropriate to interrupt or to take a turn in discussion is particularly difficult</w:t>
      </w:r>
      <w:r w:rsidR="00E52B8E" w:rsidRPr="006164D9">
        <w:rPr>
          <w:rFonts w:cs="Calibri"/>
          <w:color w:val="000000" w:themeColor="text1"/>
        </w:rPr>
        <w:t>,”</w:t>
      </w:r>
      <w:r w:rsidRPr="00C5201D">
        <w:rPr>
          <w:rFonts w:cs="Calibri"/>
          <w:color w:val="000000" w:themeColor="text1"/>
        </w:rPr>
        <w:t xml:space="preserve"> this lack of participation could cause the student to feel left out and isolated, and in turn have an effect on behaviour in general. This may also cause an issue with assessment, as time allowances would need to be made to ensure that the visually impaired student has the right tools and extended time to be able to complete any task. This should be considered in any feedback and reflective practice with the student. </w:t>
      </w:r>
    </w:p>
    <w:p w14:paraId="48958BEA" w14:textId="77777777" w:rsidR="007125E7" w:rsidRPr="00C5201D" w:rsidRDefault="007125E7" w:rsidP="0035495B">
      <w:pPr>
        <w:jc w:val="both"/>
        <w:rPr>
          <w:rFonts w:cs="Calibri"/>
          <w:color w:val="000000" w:themeColor="text1"/>
        </w:rPr>
      </w:pPr>
    </w:p>
    <w:p w14:paraId="67A80C7E" w14:textId="37CFB5AC" w:rsidR="00C5201D" w:rsidRDefault="00C5201D" w:rsidP="0035495B">
      <w:pPr>
        <w:jc w:val="both"/>
        <w:rPr>
          <w:rFonts w:eastAsia="Aptos" w:cs="Calibri"/>
          <w:color w:val="000000" w:themeColor="text1"/>
          <w:kern w:val="3"/>
        </w:rPr>
      </w:pPr>
      <w:bookmarkStart w:id="3" w:name="_Hlk180056940"/>
      <w:r w:rsidRPr="00C5201D">
        <w:rPr>
          <w:rFonts w:cs="Calibri"/>
          <w:color w:val="000000" w:themeColor="text1"/>
        </w:rPr>
        <w:t>A teacher having emotional intelligence (Salovey and Mayer 1990) helps individuals with additional learning needs by connecting with their emotions, motivating themselves, and handling relationships. Their mental or physical condition could prompt students to backlash against the trainer and other students as a way managing their feelings and expectations. An explanation of this in her book, (Bassot 2012, p69) explains Riches (2012) idea of ‘The Almond Effect and the closing of a trap door’. Bassot explains how the human brain responses to various situations with a ‘fight’ or ‘flight’ response, usually triggered by fear. She goes on to explain that there are two almond shaped parts in the brain called the amygdalae, and they are responsible for “</w:t>
      </w:r>
      <w:r w:rsidRPr="00C5201D">
        <w:rPr>
          <w:rFonts w:cs="Calibri"/>
          <w:i/>
          <w:iCs/>
          <w:color w:val="000000" w:themeColor="text1"/>
        </w:rPr>
        <w:t>stimulating and regulating our emotional reactions to people and situation, particularly in relation to fear</w:t>
      </w:r>
      <w:r w:rsidR="00D57979" w:rsidRPr="006164D9">
        <w:rPr>
          <w:rFonts w:cs="Calibri"/>
          <w:i/>
          <w:iCs/>
          <w:color w:val="000000" w:themeColor="text1"/>
        </w:rPr>
        <w:t>.”</w:t>
      </w:r>
      <w:r w:rsidRPr="00C5201D">
        <w:rPr>
          <w:rFonts w:cs="Calibri"/>
          <w:color w:val="000000" w:themeColor="text1"/>
        </w:rPr>
        <w:t xml:space="preserve"> Following this initial response to a situation, a </w:t>
      </w:r>
      <w:r w:rsidRPr="00C5201D">
        <w:rPr>
          <w:rFonts w:cs="Calibri"/>
          <w:color w:val="000000" w:themeColor="text1"/>
        </w:rPr>
        <w:lastRenderedPageBreak/>
        <w:t>range of strategies can be used to calm the person and help them rationalise their fear, such as breathing deeply and maintaining open body language, finally this leads to the ‘trapdoor’ closing and learning is resumed</w:t>
      </w:r>
      <w:r w:rsidR="00D57979" w:rsidRPr="006164D9">
        <w:rPr>
          <w:rFonts w:cs="Calibri"/>
          <w:color w:val="000000" w:themeColor="text1"/>
        </w:rPr>
        <w:t xml:space="preserve">. </w:t>
      </w:r>
      <w:r w:rsidRPr="00C5201D">
        <w:rPr>
          <w:rFonts w:cs="Calibri"/>
          <w:color w:val="000000" w:themeColor="text1"/>
        </w:rPr>
        <w:t>This should be recognised in the classroom setting, particularly when you have students who require additional needs, as the classroom can become an uncomfortable and fearful experience for them which can then affect their behaviour and progression. Having a strong range of emotions can contribute towards the students reflection process also. The students own angst and fear could contribute to them being too critical of themselves which can create a barrier for them and the teacher.</w:t>
      </w:r>
      <w:bookmarkEnd w:id="3"/>
      <w:r w:rsidRPr="00C5201D">
        <w:rPr>
          <w:rFonts w:cs="Calibri"/>
          <w:color w:val="000000" w:themeColor="text1"/>
        </w:rPr>
        <w:t xml:space="preserve"> A teacher having strong emotional intelligence can have an enormous influence on the student and direct their emotions and ability in the right direction. (</w:t>
      </w:r>
      <w:r w:rsidRPr="00C5201D">
        <w:rPr>
          <w:rFonts w:eastAsia="Aptos" w:cs="Calibri"/>
          <w:color w:val="000000" w:themeColor="text1"/>
          <w:kern w:val="3"/>
        </w:rPr>
        <w:t>Bolton and Delderfield 2018, p29) talk about values and principles of Reflective Practice and how critical reflective practice requires us to “</w:t>
      </w:r>
      <w:r w:rsidRPr="00C5201D">
        <w:rPr>
          <w:rFonts w:eastAsia="Aptos" w:cs="Calibri"/>
          <w:i/>
          <w:iCs/>
          <w:color w:val="000000" w:themeColor="text1"/>
          <w:kern w:val="3"/>
        </w:rPr>
        <w:t>communicate respectfully with ourselves, tackling inevitable fears, hesitations and the voice of destructive inner critics</w:t>
      </w:r>
      <w:r w:rsidRPr="00C5201D">
        <w:rPr>
          <w:rFonts w:eastAsia="Aptos" w:cs="Calibri"/>
          <w:color w:val="000000" w:themeColor="text1"/>
          <w:kern w:val="3"/>
        </w:rPr>
        <w:t>” and how “</w:t>
      </w:r>
      <w:r w:rsidRPr="00C5201D">
        <w:rPr>
          <w:rFonts w:eastAsia="Aptos" w:cs="Calibri"/>
          <w:i/>
          <w:iCs/>
          <w:color w:val="000000" w:themeColor="text1"/>
          <w:kern w:val="3"/>
        </w:rPr>
        <w:t>reflecting upon incidents involving clients is respectful, even if the experiences were negative</w:t>
      </w:r>
      <w:r w:rsidRPr="00C5201D">
        <w:rPr>
          <w:rFonts w:eastAsia="Aptos" w:cs="Calibri"/>
          <w:color w:val="000000" w:themeColor="text1"/>
          <w:kern w:val="3"/>
        </w:rPr>
        <w:t xml:space="preserve">” This is valuable advice to consider, especially to ensure clarity in providing constructive feedback whilst maintaining an equilibrium in students mental health. </w:t>
      </w:r>
    </w:p>
    <w:p w14:paraId="56FFDA45" w14:textId="730473D8" w:rsidR="00E408BB" w:rsidRPr="008F3FCB" w:rsidRDefault="00AA7019" w:rsidP="009023CC">
      <w:pPr>
        <w:jc w:val="both"/>
        <w:rPr>
          <w:rFonts w:eastAsia="Aptos" w:cs="Calibri"/>
          <w:kern w:val="3"/>
        </w:rPr>
      </w:pPr>
      <w:r w:rsidRPr="008F3FCB">
        <w:rPr>
          <w:rFonts w:eastAsia="Aptos" w:cs="Calibri"/>
          <w:kern w:val="3"/>
        </w:rPr>
        <w:t xml:space="preserve">For additional guidance, </w:t>
      </w:r>
      <w:r w:rsidR="00E408BB" w:rsidRPr="008F3FCB">
        <w:rPr>
          <w:rFonts w:eastAsia="Aptos" w:cs="Calibri"/>
          <w:kern w:val="3"/>
        </w:rPr>
        <w:t xml:space="preserve">The Welsh Government has produced ‘The Additional Learning Needs Code for Wales 2021’ which highlights statutory guidance for public authorities maintaining schools in relation to </w:t>
      </w:r>
      <w:r w:rsidR="009023CC" w:rsidRPr="008F3FCB">
        <w:rPr>
          <w:rFonts w:eastAsia="Aptos" w:cs="Calibri"/>
          <w:kern w:val="3"/>
        </w:rPr>
        <w:t>A</w:t>
      </w:r>
      <w:r w:rsidR="00E408BB" w:rsidRPr="008F3FCB">
        <w:rPr>
          <w:rFonts w:eastAsia="Aptos" w:cs="Calibri"/>
          <w:kern w:val="3"/>
        </w:rPr>
        <w:t xml:space="preserve">dditional </w:t>
      </w:r>
      <w:r w:rsidR="009023CC" w:rsidRPr="008F3FCB">
        <w:rPr>
          <w:rFonts w:eastAsia="Aptos" w:cs="Calibri"/>
          <w:kern w:val="3"/>
        </w:rPr>
        <w:t>Learning N</w:t>
      </w:r>
      <w:r w:rsidR="00E408BB" w:rsidRPr="008F3FCB">
        <w:rPr>
          <w:rFonts w:eastAsia="Aptos" w:cs="Calibri"/>
          <w:kern w:val="3"/>
        </w:rPr>
        <w:t>eeds</w:t>
      </w:r>
      <w:r w:rsidR="009023CC" w:rsidRPr="008F3FCB">
        <w:rPr>
          <w:rFonts w:eastAsia="Aptos" w:cs="Calibri"/>
          <w:kern w:val="3"/>
        </w:rPr>
        <w:t xml:space="preserve"> (ALN),</w:t>
      </w:r>
      <w:r w:rsidR="00AD6960" w:rsidRPr="008F3FCB">
        <w:rPr>
          <w:rFonts w:eastAsia="Aptos" w:cs="Calibri"/>
          <w:kern w:val="3"/>
        </w:rPr>
        <w:t xml:space="preserve"> </w:t>
      </w:r>
      <w:r w:rsidR="009023CC" w:rsidRPr="008F3FCB">
        <w:rPr>
          <w:rFonts w:eastAsia="Aptos" w:cs="Calibri"/>
          <w:kern w:val="3"/>
        </w:rPr>
        <w:t>which they state “</w:t>
      </w:r>
      <w:r w:rsidR="009023CC" w:rsidRPr="008F3FCB">
        <w:rPr>
          <w:rFonts w:eastAsia="Aptos" w:cs="Calibri"/>
          <w:i/>
          <w:iCs/>
          <w:kern w:val="3"/>
        </w:rPr>
        <w:t xml:space="preserve">A person has additional learning needs if he or she has a learning difficulty or disability (whether the learning difficulty or disability arises from a medical condition or otherwise) which calls for additional learning provision” (p28,  2021). </w:t>
      </w:r>
      <w:r w:rsidR="009023CC" w:rsidRPr="008F3FCB">
        <w:rPr>
          <w:rFonts w:eastAsia="Aptos" w:cs="Calibri"/>
          <w:kern w:val="3"/>
        </w:rPr>
        <w:t xml:space="preserve">They go on to explain that </w:t>
      </w:r>
      <w:r w:rsidR="008F3FCB" w:rsidRPr="008F3FCB">
        <w:rPr>
          <w:rFonts w:eastAsia="Aptos" w:cs="Calibri"/>
          <w:kern w:val="3"/>
        </w:rPr>
        <w:t>“</w:t>
      </w:r>
      <w:r w:rsidR="008F3FCB" w:rsidRPr="008F3FCB">
        <w:rPr>
          <w:rFonts w:eastAsia="Aptos" w:cs="Calibri"/>
          <w:i/>
          <w:iCs/>
          <w:kern w:val="3"/>
        </w:rPr>
        <w:t>All teaching practitioners will be involved in teaching and supporting learners with ALN. All teaching practitioners ought to undertake regular professional learning in relation to ALN, regardless of previous experience, qualifications or the education setting in which they are based</w:t>
      </w:r>
      <w:r w:rsidR="008F3FCB" w:rsidRPr="008F3FCB">
        <w:rPr>
          <w:rFonts w:eastAsia="Aptos" w:cs="Calibri"/>
          <w:kern w:val="3"/>
        </w:rPr>
        <w:t xml:space="preserve">” (p19, 2021) </w:t>
      </w:r>
      <w:r w:rsidR="00AD6960" w:rsidRPr="008F3FCB">
        <w:rPr>
          <w:rFonts w:eastAsia="Aptos" w:cs="Calibri"/>
          <w:kern w:val="3"/>
        </w:rPr>
        <w:t xml:space="preserve">. </w:t>
      </w:r>
      <w:r w:rsidR="00CE5D66" w:rsidRPr="008F3FCB">
        <w:rPr>
          <w:rFonts w:eastAsia="Aptos" w:cs="Calibri"/>
          <w:kern w:val="3"/>
        </w:rPr>
        <w:t>All further education establishments should have an ALN Co-Ordinator, which under Part 3 of The Additional Learning Needs Wales Regulations 2021 (p25) should “</w:t>
      </w:r>
      <w:r w:rsidR="00CE5D66" w:rsidRPr="008F3FCB">
        <w:rPr>
          <w:rFonts w:eastAsia="Aptos" w:cs="Calibri"/>
          <w:i/>
          <w:iCs/>
          <w:kern w:val="3"/>
        </w:rPr>
        <w:t>Identify a student’s additional learning needs and co-ordinate the making of additional learning provisions that meets the students needs</w:t>
      </w:r>
      <w:r w:rsidR="00CE5D66" w:rsidRPr="008F3FCB">
        <w:rPr>
          <w:rFonts w:eastAsia="Aptos" w:cs="Calibri"/>
          <w:kern w:val="3"/>
        </w:rPr>
        <w:t>”, “</w:t>
      </w:r>
      <w:r w:rsidR="00CE5D66" w:rsidRPr="008F3FCB">
        <w:rPr>
          <w:rFonts w:eastAsia="Aptos" w:cs="Calibri"/>
          <w:i/>
          <w:iCs/>
          <w:kern w:val="3"/>
        </w:rPr>
        <w:t>secure relevant services that will support a students additional learning provision</w:t>
      </w:r>
      <w:r w:rsidR="00CE5D66" w:rsidRPr="008F3FCB">
        <w:rPr>
          <w:rFonts w:eastAsia="Aptos" w:cs="Calibri"/>
          <w:kern w:val="3"/>
        </w:rPr>
        <w:t>”, and “</w:t>
      </w:r>
      <w:r w:rsidR="00CE5D66" w:rsidRPr="008F3FCB">
        <w:rPr>
          <w:rFonts w:eastAsia="Aptos" w:cs="Calibri"/>
          <w:i/>
          <w:iCs/>
          <w:kern w:val="3"/>
        </w:rPr>
        <w:t>keep records of decisions about additional learning needs and individual learning plans</w:t>
      </w:r>
      <w:r w:rsidR="00CE5D66" w:rsidRPr="008F3FCB">
        <w:rPr>
          <w:rFonts w:eastAsia="Aptos" w:cs="Calibri"/>
          <w:kern w:val="3"/>
        </w:rPr>
        <w:t xml:space="preserve">”, (p25) </w:t>
      </w:r>
    </w:p>
    <w:p w14:paraId="34F42566" w14:textId="7BA3EB67" w:rsidR="00C5201D" w:rsidRPr="00C5201D" w:rsidRDefault="00C5201D" w:rsidP="0035495B">
      <w:pPr>
        <w:jc w:val="both"/>
        <w:rPr>
          <w:rFonts w:cs="Calibri"/>
          <w:color w:val="000000" w:themeColor="text1"/>
        </w:rPr>
      </w:pPr>
      <w:r w:rsidRPr="00C5201D">
        <w:rPr>
          <w:rFonts w:eastAsia="Aptos" w:cs="Calibri"/>
          <w:color w:val="000000" w:themeColor="text1"/>
          <w:kern w:val="3"/>
        </w:rPr>
        <w:t xml:space="preserve">The Equality Act 2010 protects people against discrimination, </w:t>
      </w:r>
      <w:r w:rsidR="00D57979" w:rsidRPr="006164D9">
        <w:rPr>
          <w:rFonts w:eastAsia="Aptos" w:cs="Calibri"/>
          <w:color w:val="000000" w:themeColor="text1"/>
          <w:kern w:val="3"/>
        </w:rPr>
        <w:t>harassment,</w:t>
      </w:r>
      <w:r w:rsidRPr="00C5201D">
        <w:rPr>
          <w:rFonts w:eastAsia="Aptos" w:cs="Calibri"/>
          <w:color w:val="000000" w:themeColor="text1"/>
          <w:kern w:val="3"/>
        </w:rPr>
        <w:t xml:space="preserve"> and victimisation in relation to age, disability, gender reassignment, marriage and civil partnership, pregnancy and maternity, race, religion or belief, sex, and sexual orientation. Equality and diversity is a prominent factor to consider during the planning and teaching phase of any programme you deliver. According to (Gravells, 2012 p43) “ </w:t>
      </w:r>
      <w:r w:rsidRPr="00C5201D">
        <w:rPr>
          <w:rFonts w:eastAsia="Aptos" w:cs="Calibri"/>
          <w:i/>
          <w:iCs/>
          <w:color w:val="000000" w:themeColor="text1"/>
          <w:kern w:val="3"/>
        </w:rPr>
        <w:t>legislation requires organisations to examine their functions, frameworks, services, policies and procedures</w:t>
      </w:r>
      <w:r w:rsidRPr="00C5201D">
        <w:rPr>
          <w:rFonts w:eastAsia="Aptos" w:cs="Calibri"/>
          <w:color w:val="000000" w:themeColor="text1"/>
          <w:kern w:val="3"/>
        </w:rPr>
        <w:t>” and “</w:t>
      </w:r>
      <w:r w:rsidRPr="00C5201D">
        <w:rPr>
          <w:rFonts w:eastAsia="Aptos" w:cs="Calibri"/>
          <w:i/>
          <w:iCs/>
          <w:color w:val="000000" w:themeColor="text1"/>
          <w:kern w:val="3"/>
        </w:rPr>
        <w:t>assess if they have a negative impact on people from particular groups who may have been excluded or discriminated against</w:t>
      </w:r>
      <w:r w:rsidRPr="00C5201D">
        <w:rPr>
          <w:rFonts w:eastAsia="Aptos" w:cs="Calibri"/>
          <w:color w:val="000000" w:themeColor="text1"/>
          <w:kern w:val="3"/>
        </w:rPr>
        <w:t>”, she explains how resources should be adapted and accessible for all students in different formats, and the importance of sharing good practice internally as well as with external agencies and inspection bodies. Gravell also goes onto explain how “</w:t>
      </w:r>
      <w:r w:rsidRPr="00C5201D">
        <w:rPr>
          <w:rFonts w:eastAsia="Aptos" w:cs="Calibri"/>
          <w:i/>
          <w:iCs/>
          <w:color w:val="000000" w:themeColor="text1"/>
          <w:kern w:val="3"/>
        </w:rPr>
        <w:t xml:space="preserve">staff should understand how to reduce barriers to avoid harassment, victimisation and discrimination against people who have protected characteristics” </w:t>
      </w:r>
      <w:r w:rsidRPr="00C5201D">
        <w:rPr>
          <w:rFonts w:eastAsia="Aptos" w:cs="Calibri"/>
          <w:color w:val="000000" w:themeColor="text1"/>
          <w:kern w:val="3"/>
        </w:rPr>
        <w:t xml:space="preserve"> by participating in equality and diversity training. This is especially important in all aspects of learning and teaching as all students, no matter of their level of intelligence or background, everyone should have equal rights and opportunities to improve themselves through education. </w:t>
      </w:r>
    </w:p>
    <w:p w14:paraId="154B9BEA" w14:textId="245F1F4A" w:rsidR="00C5201D" w:rsidRPr="00C5201D" w:rsidRDefault="00C5201D" w:rsidP="0035495B">
      <w:pPr>
        <w:suppressAutoHyphens w:val="0"/>
        <w:spacing w:after="0"/>
        <w:jc w:val="both"/>
        <w:rPr>
          <w:rFonts w:eastAsia="Aptos" w:cs="Calibri"/>
          <w:color w:val="000000" w:themeColor="text1"/>
          <w:kern w:val="3"/>
        </w:rPr>
      </w:pPr>
      <w:r w:rsidRPr="00C5201D">
        <w:rPr>
          <w:rFonts w:eastAsia="Aptos" w:cs="Calibri"/>
          <w:color w:val="000000" w:themeColor="text1"/>
          <w:kern w:val="3"/>
        </w:rPr>
        <w:t>W</w:t>
      </w:r>
      <w:r w:rsidR="00E408BB">
        <w:rPr>
          <w:rFonts w:eastAsia="Aptos" w:cs="Calibri"/>
          <w:color w:val="000000" w:themeColor="text1"/>
          <w:kern w:val="3"/>
        </w:rPr>
        <w:t xml:space="preserve">ith </w:t>
      </w:r>
      <w:r w:rsidR="00634CD3">
        <w:rPr>
          <w:rFonts w:eastAsia="Aptos" w:cs="Calibri"/>
          <w:color w:val="000000" w:themeColor="text1"/>
          <w:kern w:val="3"/>
        </w:rPr>
        <w:t>Additional</w:t>
      </w:r>
      <w:r w:rsidRPr="00C5201D">
        <w:rPr>
          <w:rFonts w:eastAsia="Aptos" w:cs="Calibri"/>
          <w:color w:val="000000" w:themeColor="text1"/>
          <w:kern w:val="3"/>
        </w:rPr>
        <w:t xml:space="preserve"> Learning Needs every</w:t>
      </w:r>
      <w:r w:rsidR="008B0319">
        <w:rPr>
          <w:rFonts w:eastAsia="Aptos" w:cs="Calibri"/>
          <w:color w:val="000000" w:themeColor="text1"/>
          <w:kern w:val="3"/>
        </w:rPr>
        <w:t xml:space="preserve"> student</w:t>
      </w:r>
      <w:r w:rsidRPr="00C5201D">
        <w:rPr>
          <w:rFonts w:eastAsia="Aptos" w:cs="Calibri"/>
          <w:color w:val="000000" w:themeColor="text1"/>
          <w:kern w:val="3"/>
        </w:rPr>
        <w:t xml:space="preserve"> is different. Just because you may have taught one student with Dyslexia, </w:t>
      </w:r>
      <w:r w:rsidR="00D57979" w:rsidRPr="006164D9">
        <w:rPr>
          <w:rFonts w:eastAsia="Aptos" w:cs="Calibri"/>
          <w:color w:val="000000" w:themeColor="text1"/>
          <w:kern w:val="3"/>
        </w:rPr>
        <w:t>Anxiety,</w:t>
      </w:r>
      <w:r w:rsidRPr="00C5201D">
        <w:rPr>
          <w:rFonts w:eastAsia="Aptos" w:cs="Calibri"/>
          <w:color w:val="000000" w:themeColor="text1"/>
          <w:kern w:val="3"/>
        </w:rPr>
        <w:t xml:space="preserve"> or a Visual Impairment , it does not mean that you will have the same experiences or results every time. </w:t>
      </w:r>
      <w:r w:rsidR="004F456E">
        <w:rPr>
          <w:rFonts w:eastAsia="Aptos" w:cs="Calibri"/>
          <w:color w:val="000000" w:themeColor="text1"/>
          <w:kern w:val="3"/>
        </w:rPr>
        <w:t xml:space="preserve">A lot of preparation and support needs to be offered to ensure that </w:t>
      </w:r>
      <w:r w:rsidR="00D3300C">
        <w:rPr>
          <w:rFonts w:eastAsia="Aptos" w:cs="Calibri"/>
          <w:color w:val="000000" w:themeColor="text1"/>
          <w:kern w:val="3"/>
        </w:rPr>
        <w:t>all your students with Additional Learning Needs have an enhanced service</w:t>
      </w:r>
      <w:r w:rsidR="00252E69">
        <w:rPr>
          <w:rFonts w:eastAsia="Aptos" w:cs="Calibri"/>
          <w:color w:val="000000" w:themeColor="text1"/>
          <w:kern w:val="3"/>
        </w:rPr>
        <w:t xml:space="preserve">, and the maximum opportunity to learn and grow. </w:t>
      </w:r>
    </w:p>
    <w:p w14:paraId="4022884C" w14:textId="77777777" w:rsidR="002F5DA0" w:rsidRPr="006164D9" w:rsidRDefault="002F5DA0" w:rsidP="0035495B">
      <w:pPr>
        <w:suppressAutoHyphens w:val="0"/>
        <w:spacing w:line="276" w:lineRule="auto"/>
        <w:jc w:val="both"/>
        <w:rPr>
          <w:rFonts w:eastAsia="Aptos" w:cs="Calibri"/>
          <w:color w:val="000000" w:themeColor="text1"/>
          <w:kern w:val="3"/>
        </w:rPr>
      </w:pPr>
    </w:p>
    <w:p w14:paraId="68ABB57A" w14:textId="77777777" w:rsidR="00F53248" w:rsidRDefault="00616587" w:rsidP="0035495B">
      <w:pPr>
        <w:jc w:val="both"/>
        <w:rPr>
          <w:rFonts w:cs="Calibri"/>
          <w:i/>
          <w:iCs/>
          <w:color w:val="000000" w:themeColor="text1"/>
        </w:rPr>
      </w:pPr>
      <w:r w:rsidRPr="006164D9">
        <w:rPr>
          <w:rFonts w:cs="Calibri"/>
          <w:i/>
          <w:iCs/>
          <w:color w:val="000000" w:themeColor="text1"/>
        </w:rPr>
        <w:t>(</w:t>
      </w:r>
      <w:r w:rsidR="008F3FCB">
        <w:rPr>
          <w:rFonts w:cs="Calibri"/>
          <w:i/>
          <w:iCs/>
          <w:color w:val="000000" w:themeColor="text1"/>
        </w:rPr>
        <w:t>2</w:t>
      </w:r>
      <w:r w:rsidR="000C5B85">
        <w:rPr>
          <w:rFonts w:cs="Calibri"/>
          <w:i/>
          <w:iCs/>
          <w:color w:val="000000" w:themeColor="text1"/>
        </w:rPr>
        <w:t>72</w:t>
      </w:r>
      <w:r w:rsidR="00252E69">
        <w:rPr>
          <w:rFonts w:cs="Calibri"/>
          <w:i/>
          <w:iCs/>
          <w:color w:val="000000" w:themeColor="text1"/>
        </w:rPr>
        <w:t>5</w:t>
      </w:r>
      <w:r w:rsidR="008F3FCB">
        <w:rPr>
          <w:rFonts w:cs="Calibri"/>
          <w:i/>
          <w:iCs/>
          <w:color w:val="000000" w:themeColor="text1"/>
        </w:rPr>
        <w:t xml:space="preserve"> words</w:t>
      </w:r>
      <w:r w:rsidR="00F53248">
        <w:rPr>
          <w:rFonts w:cs="Calibri"/>
          <w:i/>
          <w:iCs/>
          <w:color w:val="000000" w:themeColor="text1"/>
        </w:rPr>
        <w:t>)</w:t>
      </w:r>
    </w:p>
    <w:p w14:paraId="062E61B2" w14:textId="23E02301" w:rsidR="002F5DA0" w:rsidRPr="00F53248" w:rsidRDefault="002F5DA0" w:rsidP="0035495B">
      <w:pPr>
        <w:jc w:val="both"/>
        <w:rPr>
          <w:rFonts w:cs="Calibri"/>
          <w:i/>
          <w:iCs/>
          <w:color w:val="000000" w:themeColor="text1"/>
        </w:rPr>
      </w:pPr>
      <w:r w:rsidRPr="00CB1A9E">
        <w:rPr>
          <w:rFonts w:cs="Calibri"/>
          <w:b/>
          <w:bCs/>
          <w:color w:val="000000" w:themeColor="text1"/>
          <w:sz w:val="28"/>
          <w:szCs w:val="28"/>
          <w:u w:val="single"/>
        </w:rPr>
        <w:lastRenderedPageBreak/>
        <w:t>Reference List:</w:t>
      </w:r>
    </w:p>
    <w:p w14:paraId="52871721" w14:textId="542AE0F3" w:rsidR="00B1455E" w:rsidRPr="006164D9" w:rsidRDefault="00B1455E" w:rsidP="0035495B">
      <w:pPr>
        <w:jc w:val="both"/>
        <w:rPr>
          <w:rFonts w:cs="Calibri"/>
          <w:color w:val="000000" w:themeColor="text1"/>
        </w:rPr>
      </w:pPr>
      <w:r w:rsidRPr="006164D9">
        <w:rPr>
          <w:rFonts w:cs="Calibri"/>
          <w:color w:val="000000" w:themeColor="text1"/>
        </w:rPr>
        <w:t xml:space="preserve">ADCET (2024) </w:t>
      </w:r>
      <w:r w:rsidRPr="006164D9">
        <w:rPr>
          <w:rFonts w:cs="Calibri"/>
          <w:i/>
          <w:iCs/>
          <w:color w:val="000000" w:themeColor="text1"/>
        </w:rPr>
        <w:t xml:space="preserve">Vision Impairment and Blindness. </w:t>
      </w:r>
      <w:r w:rsidRPr="006164D9">
        <w:rPr>
          <w:rFonts w:cs="Calibri"/>
          <w:color w:val="000000" w:themeColor="text1"/>
        </w:rPr>
        <w:t>Available at</w:t>
      </w:r>
      <w:r w:rsidRPr="006164D9">
        <w:rPr>
          <w:rFonts w:cs="Calibri"/>
          <w:i/>
          <w:iCs/>
          <w:color w:val="000000" w:themeColor="text1"/>
        </w:rPr>
        <w:t xml:space="preserve">: </w:t>
      </w:r>
      <w:r w:rsidRPr="006164D9">
        <w:rPr>
          <w:rFonts w:cs="Calibri"/>
          <w:color w:val="000000" w:themeColor="text1"/>
        </w:rPr>
        <w:t xml:space="preserve"> </w:t>
      </w:r>
      <w:hyperlink r:id="rId7" w:anchor=":~:text=Participation%20and%20interaction%20in%20tutorials,in%20discussion%20is%20particularly%20difficult" w:history="1">
        <w:r w:rsidRPr="006164D9">
          <w:rPr>
            <w:rFonts w:cs="Calibri"/>
            <w:color w:val="000000" w:themeColor="text1"/>
          </w:rPr>
          <w:t>https://www.adcet.edu.au/inclusive-teaching/specific-disabilities/blind-vision-impaired#:~:text=Participation%20and%20interaction%20in%20tutorials,in%20discussion%20is%20particularly%20difficult</w:t>
        </w:r>
      </w:hyperlink>
      <w:r w:rsidRPr="006164D9">
        <w:rPr>
          <w:rFonts w:cs="Calibri"/>
          <w:color w:val="000000" w:themeColor="text1"/>
        </w:rPr>
        <w:t xml:space="preserve"> (Accessed: 18</w:t>
      </w:r>
      <w:r w:rsidRPr="006164D9">
        <w:rPr>
          <w:rFonts w:cs="Calibri"/>
          <w:color w:val="000000" w:themeColor="text1"/>
          <w:vertAlign w:val="superscript"/>
        </w:rPr>
        <w:t>th</w:t>
      </w:r>
      <w:r w:rsidRPr="006164D9">
        <w:rPr>
          <w:rFonts w:cs="Calibri"/>
          <w:color w:val="000000" w:themeColor="text1"/>
        </w:rPr>
        <w:t xml:space="preserve"> November 2024) </w:t>
      </w:r>
    </w:p>
    <w:p w14:paraId="22439380" w14:textId="77777777" w:rsidR="00D23DA7" w:rsidRPr="006164D9" w:rsidRDefault="00D23DA7" w:rsidP="0035495B">
      <w:pPr>
        <w:jc w:val="both"/>
        <w:rPr>
          <w:rFonts w:cs="Calibri"/>
          <w:color w:val="000000" w:themeColor="text1"/>
        </w:rPr>
      </w:pPr>
      <w:r w:rsidRPr="006164D9">
        <w:rPr>
          <w:rFonts w:cs="Calibri"/>
          <w:color w:val="000000" w:themeColor="text1"/>
        </w:rPr>
        <w:t xml:space="preserve">Bassot, B. (2016) </w:t>
      </w:r>
      <w:r w:rsidRPr="006164D9">
        <w:rPr>
          <w:rFonts w:cs="Calibri"/>
          <w:i/>
          <w:iCs/>
          <w:color w:val="000000" w:themeColor="text1"/>
        </w:rPr>
        <w:t>The reflective practice guide: an interdisciplinary approach to critical reflection</w:t>
      </w:r>
      <w:r w:rsidRPr="006164D9">
        <w:rPr>
          <w:rFonts w:cs="Calibri"/>
          <w:color w:val="000000" w:themeColor="text1"/>
        </w:rPr>
        <w:t xml:space="preserve"> (1st edition) Routledge</w:t>
      </w:r>
    </w:p>
    <w:p w14:paraId="2832AE05" w14:textId="173D4572" w:rsidR="00D23DA7" w:rsidRPr="006164D9" w:rsidRDefault="00D23DA7" w:rsidP="0035495B">
      <w:pPr>
        <w:jc w:val="both"/>
        <w:rPr>
          <w:rFonts w:cs="Calibri"/>
          <w:color w:val="000000" w:themeColor="text1"/>
        </w:rPr>
      </w:pPr>
      <w:r w:rsidRPr="006164D9">
        <w:rPr>
          <w:rFonts w:cs="Calibri"/>
          <w:color w:val="000000" w:themeColor="text1"/>
        </w:rPr>
        <w:t>Bolton, G, Delderfield, R. (2018) Reflective Practice: Writing and Professional Development (5th edition). SAGE Publications Ltd.</w:t>
      </w:r>
    </w:p>
    <w:p w14:paraId="6C318B81" w14:textId="79FBECD9" w:rsidR="002F5DA0" w:rsidRPr="006164D9" w:rsidRDefault="002F5DA0" w:rsidP="0035495B">
      <w:pPr>
        <w:jc w:val="both"/>
        <w:rPr>
          <w:rFonts w:cs="Calibri"/>
          <w:color w:val="000000" w:themeColor="text1"/>
        </w:rPr>
      </w:pPr>
      <w:r w:rsidRPr="006164D9">
        <w:rPr>
          <w:rFonts w:cs="Calibri"/>
          <w:color w:val="000000" w:themeColor="text1"/>
        </w:rPr>
        <w:t xml:space="preserve">Braintrust Tutors. </w:t>
      </w:r>
      <w:r w:rsidRPr="006164D9">
        <w:rPr>
          <w:rFonts w:cs="Calibri"/>
          <w:i/>
          <w:iCs/>
          <w:color w:val="000000" w:themeColor="text1"/>
        </w:rPr>
        <w:t>6 strengths of Dyslexia</w:t>
      </w:r>
      <w:r w:rsidRPr="006164D9">
        <w:rPr>
          <w:rFonts w:cs="Calibri"/>
          <w:color w:val="000000" w:themeColor="text1"/>
        </w:rPr>
        <w:t xml:space="preserve">. Available at: </w:t>
      </w:r>
      <w:hyperlink r:id="rId8" w:history="1">
        <w:r w:rsidR="00D23DA7" w:rsidRPr="006164D9">
          <w:rPr>
            <w:rStyle w:val="Hyperlink"/>
            <w:rFonts w:cs="Calibri"/>
            <w:color w:val="000000" w:themeColor="text1"/>
            <w:u w:val="none"/>
          </w:rPr>
          <w:t>https://braintrusttutors.com/6-strengths-of-dyslexia/</w:t>
        </w:r>
      </w:hyperlink>
      <w:r w:rsidR="00D23DA7" w:rsidRPr="006164D9">
        <w:rPr>
          <w:rFonts w:cs="Calibri"/>
          <w:color w:val="000000" w:themeColor="text1"/>
        </w:rPr>
        <w:t xml:space="preserve"> </w:t>
      </w:r>
      <w:r w:rsidRPr="006164D9">
        <w:rPr>
          <w:rFonts w:cs="Calibri"/>
          <w:color w:val="000000" w:themeColor="text1"/>
        </w:rPr>
        <w:t>(Accessed: 24th October 2024)</w:t>
      </w:r>
    </w:p>
    <w:p w14:paraId="1116CE40" w14:textId="62C8C428" w:rsidR="00FE6900" w:rsidRPr="006164D9" w:rsidRDefault="00FE6900" w:rsidP="0035495B">
      <w:pPr>
        <w:jc w:val="both"/>
        <w:rPr>
          <w:rFonts w:cs="Calibri"/>
          <w:color w:val="000000" w:themeColor="text1"/>
        </w:rPr>
      </w:pPr>
      <w:r w:rsidRPr="006164D9">
        <w:rPr>
          <w:rFonts w:cs="Calibri"/>
          <w:color w:val="000000" w:themeColor="text1"/>
        </w:rPr>
        <w:t xml:space="preserve">British </w:t>
      </w:r>
      <w:r w:rsidRPr="000F1C8C">
        <w:rPr>
          <w:rFonts w:cs="Calibri"/>
          <w:color w:val="000000" w:themeColor="text1"/>
        </w:rPr>
        <w:t>Dyslexia Association</w:t>
      </w:r>
      <w:r w:rsidR="00D866BF" w:rsidRPr="000F1C8C">
        <w:rPr>
          <w:rFonts w:cs="Calibri"/>
          <w:color w:val="000000" w:themeColor="text1"/>
        </w:rPr>
        <w:t xml:space="preserve">. In Education/Adult Study Skills. Available at: </w:t>
      </w:r>
      <w:hyperlink r:id="rId9" w:history="1">
        <w:r w:rsidR="00D866BF" w:rsidRPr="000F1C8C">
          <w:rPr>
            <w:rStyle w:val="Hyperlink"/>
            <w:rFonts w:cs="Calibri"/>
            <w:color w:val="000000" w:themeColor="text1"/>
            <w:u w:val="none"/>
          </w:rPr>
          <w:t>https://www.bdadyslexia.org.uk/advice/adults/in-education/adult-study-skills</w:t>
        </w:r>
      </w:hyperlink>
      <w:r w:rsidR="00D866BF" w:rsidRPr="000F1C8C">
        <w:rPr>
          <w:rFonts w:cs="Calibri"/>
          <w:color w:val="000000" w:themeColor="text1"/>
        </w:rPr>
        <w:t>.</w:t>
      </w:r>
      <w:r w:rsidR="00D866BF" w:rsidRPr="006164D9">
        <w:rPr>
          <w:rFonts w:cs="Calibri"/>
          <w:color w:val="000000" w:themeColor="text1"/>
        </w:rPr>
        <w:t xml:space="preserve"> (Accessed: 19</w:t>
      </w:r>
      <w:r w:rsidR="00D866BF" w:rsidRPr="006164D9">
        <w:rPr>
          <w:rFonts w:cs="Calibri"/>
          <w:color w:val="000000" w:themeColor="text1"/>
          <w:vertAlign w:val="superscript"/>
        </w:rPr>
        <w:t>th</w:t>
      </w:r>
      <w:r w:rsidR="00D866BF" w:rsidRPr="006164D9">
        <w:rPr>
          <w:rFonts w:cs="Calibri"/>
          <w:color w:val="000000" w:themeColor="text1"/>
        </w:rPr>
        <w:t xml:space="preserve"> November 2024)</w:t>
      </w:r>
    </w:p>
    <w:p w14:paraId="2298FF10" w14:textId="77777777" w:rsidR="00B1455E" w:rsidRPr="006164D9" w:rsidRDefault="00B1455E" w:rsidP="0035495B">
      <w:pPr>
        <w:jc w:val="both"/>
        <w:rPr>
          <w:rFonts w:cs="Calibri"/>
          <w:color w:val="000000" w:themeColor="text1"/>
        </w:rPr>
      </w:pPr>
      <w:r w:rsidRPr="006164D9">
        <w:rPr>
          <w:rFonts w:cs="Calibri"/>
          <w:color w:val="000000" w:themeColor="text1"/>
        </w:rPr>
        <w:t xml:space="preserve">Edutopia (2022) </w:t>
      </w:r>
      <w:r w:rsidRPr="006164D9">
        <w:rPr>
          <w:rFonts w:cs="Calibri"/>
          <w:i/>
          <w:iCs/>
          <w:color w:val="000000" w:themeColor="text1"/>
        </w:rPr>
        <w:t>4 Ways to Cultivate Mindfulness in the Classroom</w:t>
      </w:r>
      <w:r w:rsidRPr="006164D9">
        <w:rPr>
          <w:rFonts w:cs="Calibri"/>
          <w:color w:val="000000" w:themeColor="text1"/>
        </w:rPr>
        <w:t xml:space="preserve"> (Available at: https://www.bing.com/videos/riverview/relatedvideo?q=mindful+ness+in+the+classroom+techniques&amp;mid=D8975C73CB500710C62BD8975C73CB500710C62B&amp;FORM=VIRE (Accessed 28th October 2024)</w:t>
      </w:r>
    </w:p>
    <w:p w14:paraId="627DC6B4" w14:textId="6AC2FA57" w:rsidR="00B1455E" w:rsidRPr="006164D9" w:rsidRDefault="00B1455E" w:rsidP="0035495B">
      <w:pPr>
        <w:jc w:val="both"/>
        <w:rPr>
          <w:rFonts w:cs="Calibri"/>
          <w:color w:val="000000" w:themeColor="text1"/>
        </w:rPr>
      </w:pPr>
      <w:r w:rsidRPr="006164D9">
        <w:rPr>
          <w:rFonts w:cs="Calibri"/>
          <w:color w:val="000000" w:themeColor="text1"/>
        </w:rPr>
        <w:t xml:space="preserve">ETF Learning Videos (RNC - 2021) </w:t>
      </w:r>
      <w:r w:rsidRPr="006164D9">
        <w:rPr>
          <w:rFonts w:cs="Calibri"/>
          <w:i/>
          <w:iCs/>
          <w:color w:val="000000" w:themeColor="text1"/>
        </w:rPr>
        <w:t>Teaching blind learners and learners with sight loss in the mainstream FE Sector</w:t>
      </w:r>
      <w:r w:rsidR="00D23DA7" w:rsidRPr="006164D9">
        <w:rPr>
          <w:rFonts w:cs="Calibri"/>
          <w:i/>
          <w:iCs/>
          <w:color w:val="000000" w:themeColor="text1"/>
        </w:rPr>
        <w:t xml:space="preserve">. </w:t>
      </w:r>
      <w:r w:rsidR="00D23DA7" w:rsidRPr="006164D9">
        <w:rPr>
          <w:rFonts w:cs="Calibri"/>
          <w:color w:val="000000" w:themeColor="text1"/>
        </w:rPr>
        <w:t>Available at:</w:t>
      </w:r>
      <w:r w:rsidRPr="006164D9">
        <w:rPr>
          <w:rFonts w:cs="Calibri"/>
          <w:color w:val="000000" w:themeColor="text1"/>
        </w:rPr>
        <w:t xml:space="preserve"> </w:t>
      </w:r>
      <w:hyperlink r:id="rId10" w:history="1">
        <w:r w:rsidRPr="006164D9">
          <w:rPr>
            <w:rFonts w:cs="Calibri"/>
            <w:color w:val="000000" w:themeColor="text1"/>
          </w:rPr>
          <w:t>https://www.youtube.com/watch?v=S6AopPN6JXI</w:t>
        </w:r>
      </w:hyperlink>
      <w:r w:rsidRPr="006164D9">
        <w:rPr>
          <w:rFonts w:cs="Calibri"/>
          <w:color w:val="000000" w:themeColor="text1"/>
        </w:rPr>
        <w:t xml:space="preserve"> </w:t>
      </w:r>
      <w:bookmarkStart w:id="4" w:name="_Hlk182831269"/>
      <w:r w:rsidRPr="006164D9">
        <w:rPr>
          <w:rFonts w:cs="Calibri"/>
          <w:color w:val="000000" w:themeColor="text1"/>
        </w:rPr>
        <w:t>(Accessed: 18th November 2024)</w:t>
      </w:r>
      <w:bookmarkEnd w:id="4"/>
    </w:p>
    <w:p w14:paraId="47E6AD40" w14:textId="77777777" w:rsidR="001A7285" w:rsidRPr="006164D9" w:rsidRDefault="001A7285" w:rsidP="0035495B">
      <w:pPr>
        <w:jc w:val="both"/>
        <w:rPr>
          <w:rFonts w:cs="Calibri"/>
          <w:color w:val="000000" w:themeColor="text1"/>
        </w:rPr>
      </w:pPr>
      <w:r w:rsidRPr="006164D9">
        <w:rPr>
          <w:rFonts w:cs="Calibri"/>
          <w:color w:val="000000" w:themeColor="text1"/>
        </w:rPr>
        <w:t xml:space="preserve">Eulberg, J. (2018) </w:t>
      </w:r>
      <w:r w:rsidRPr="006164D9">
        <w:rPr>
          <w:rFonts w:cs="Calibri"/>
          <w:i/>
          <w:iCs/>
          <w:color w:val="000000" w:themeColor="text1"/>
        </w:rPr>
        <w:t>Follow These Steps to Ease Student Anxiety in Your Classroom</w:t>
      </w:r>
      <w:r w:rsidRPr="006164D9">
        <w:rPr>
          <w:rFonts w:cs="Calibri"/>
          <w:color w:val="000000" w:themeColor="text1"/>
        </w:rPr>
        <w:t xml:space="preserve">. Available at: </w:t>
      </w:r>
      <w:hyperlink r:id="rId11" w:history="1">
        <w:r w:rsidRPr="006164D9">
          <w:rPr>
            <w:rFonts w:cs="Calibri"/>
            <w:color w:val="000000" w:themeColor="text1"/>
          </w:rPr>
          <w:t>https://www.wgu.edu/blog/follow-these-steps-ease-student-anxiety-your-classroom1809.html</w:t>
        </w:r>
      </w:hyperlink>
      <w:r w:rsidRPr="006164D9">
        <w:rPr>
          <w:rFonts w:cs="Calibri"/>
          <w:color w:val="000000" w:themeColor="text1"/>
        </w:rPr>
        <w:t xml:space="preserve"> (Accessed: 28th October 2024)</w:t>
      </w:r>
    </w:p>
    <w:p w14:paraId="442D1C9F" w14:textId="5EB156C6" w:rsidR="008C3B25" w:rsidRPr="006164D9" w:rsidRDefault="008C3B25" w:rsidP="0035495B">
      <w:pPr>
        <w:jc w:val="both"/>
        <w:rPr>
          <w:rFonts w:cs="Calibri"/>
          <w:color w:val="000000" w:themeColor="text1"/>
        </w:rPr>
      </w:pPr>
      <w:r w:rsidRPr="006164D9">
        <w:rPr>
          <w:rFonts w:eastAsia="Aptos" w:cs="Calibri"/>
          <w:color w:val="000000" w:themeColor="text1"/>
          <w:kern w:val="2"/>
          <w14:ligatures w14:val="standardContextual"/>
        </w:rPr>
        <w:t xml:space="preserve">Equality and Human Rights Commission (2021) </w:t>
      </w:r>
      <w:r w:rsidRPr="006164D9">
        <w:rPr>
          <w:rFonts w:cs="Calibri"/>
          <w:i/>
          <w:iCs/>
          <w:color w:val="000000" w:themeColor="text1"/>
        </w:rPr>
        <w:t>An introduction to the Equality Act 2010.</w:t>
      </w:r>
      <w:r w:rsidRPr="006164D9">
        <w:rPr>
          <w:rFonts w:cs="Calibri"/>
          <w:color w:val="000000" w:themeColor="text1"/>
        </w:rPr>
        <w:t xml:space="preserve"> Available at:</w:t>
      </w:r>
      <w:r w:rsidR="00D23DA7" w:rsidRPr="006164D9">
        <w:rPr>
          <w:rFonts w:cs="Calibri"/>
          <w:color w:val="000000" w:themeColor="text1"/>
        </w:rPr>
        <w:t xml:space="preserve"> </w:t>
      </w:r>
      <w:hyperlink r:id="rId12" w:history="1">
        <w:r w:rsidR="00D23DA7" w:rsidRPr="006164D9">
          <w:rPr>
            <w:rStyle w:val="Hyperlink"/>
            <w:rFonts w:cs="Calibri"/>
            <w:color w:val="000000" w:themeColor="text1"/>
            <w:u w:val="none"/>
          </w:rPr>
          <w:t>https://www.bing.com/videos/riverview/relatedvideo?q=equality+act+2010&amp;mid=3CE1EF8BF7E3E9552F3F3CE1EF8BF7E3E9552F3F&amp;FORM=VIRE</w:t>
        </w:r>
      </w:hyperlink>
      <w:r w:rsidR="00D23DA7" w:rsidRPr="006164D9">
        <w:rPr>
          <w:rFonts w:cs="Calibri"/>
          <w:color w:val="000000" w:themeColor="text1"/>
        </w:rPr>
        <w:t xml:space="preserve"> </w:t>
      </w:r>
      <w:r w:rsidRPr="006164D9">
        <w:rPr>
          <w:rFonts w:cs="Calibri"/>
          <w:color w:val="000000" w:themeColor="text1"/>
        </w:rPr>
        <w:t>(Accessed: 18th November 2024)</w:t>
      </w:r>
    </w:p>
    <w:p w14:paraId="378222AF" w14:textId="4CB7B3C3" w:rsidR="00D23DA7" w:rsidRPr="006164D9" w:rsidRDefault="00D23DA7" w:rsidP="0035495B">
      <w:pPr>
        <w:suppressAutoHyphens w:val="0"/>
        <w:spacing w:line="276" w:lineRule="auto"/>
        <w:jc w:val="both"/>
        <w:rPr>
          <w:rFonts w:cs="Calibri"/>
          <w:color w:val="000000" w:themeColor="text1"/>
        </w:rPr>
      </w:pPr>
      <w:r w:rsidRPr="006164D9">
        <w:rPr>
          <w:rFonts w:eastAsia="Aptos" w:cs="Calibri"/>
          <w:color w:val="000000" w:themeColor="text1"/>
          <w:kern w:val="3"/>
        </w:rPr>
        <w:t xml:space="preserve">Gravells, A. Simpson, S (2012) </w:t>
      </w:r>
      <w:r w:rsidRPr="00270DF0">
        <w:rPr>
          <w:rFonts w:eastAsia="Aptos" w:cs="Calibri"/>
          <w:i/>
          <w:iCs/>
          <w:color w:val="000000" w:themeColor="text1"/>
          <w:kern w:val="3"/>
        </w:rPr>
        <w:t>Equality and diversity</w:t>
      </w:r>
      <w:r w:rsidRPr="006164D9">
        <w:rPr>
          <w:rFonts w:eastAsia="Aptos" w:cs="Calibri"/>
          <w:i/>
          <w:iCs/>
          <w:color w:val="000000" w:themeColor="text1"/>
          <w:kern w:val="3"/>
        </w:rPr>
        <w:t xml:space="preserve"> in the lifelong learning sector</w:t>
      </w:r>
      <w:r w:rsidRPr="006164D9">
        <w:rPr>
          <w:rFonts w:eastAsia="Aptos" w:cs="Calibri"/>
          <w:color w:val="000000" w:themeColor="text1"/>
          <w:kern w:val="3"/>
        </w:rPr>
        <w:t xml:space="preserve"> (2</w:t>
      </w:r>
      <w:r w:rsidRPr="006164D9">
        <w:rPr>
          <w:rFonts w:eastAsia="Aptos" w:cs="Calibri"/>
          <w:color w:val="000000" w:themeColor="text1"/>
          <w:kern w:val="3"/>
          <w:vertAlign w:val="superscript"/>
        </w:rPr>
        <w:t>nd</w:t>
      </w:r>
      <w:r w:rsidRPr="006164D9">
        <w:rPr>
          <w:rFonts w:eastAsia="Aptos" w:cs="Calibri"/>
          <w:color w:val="000000" w:themeColor="text1"/>
          <w:kern w:val="3"/>
        </w:rPr>
        <w:t xml:space="preserve"> edition) Learning Matters, SAGE Publishing Ltd</w:t>
      </w:r>
    </w:p>
    <w:p w14:paraId="7C9B513C" w14:textId="77777777" w:rsidR="002F5DA0" w:rsidRPr="006164D9" w:rsidRDefault="002F5DA0" w:rsidP="0035495B">
      <w:pPr>
        <w:jc w:val="both"/>
        <w:rPr>
          <w:rFonts w:cs="Calibri"/>
          <w:color w:val="000000" w:themeColor="text1"/>
        </w:rPr>
      </w:pPr>
      <w:r w:rsidRPr="006164D9">
        <w:rPr>
          <w:rFonts w:cs="Calibri"/>
          <w:color w:val="000000" w:themeColor="text1"/>
        </w:rPr>
        <w:t xml:space="preserve">Hewitt, J. (2017) </w:t>
      </w:r>
      <w:r w:rsidRPr="006164D9">
        <w:rPr>
          <w:rFonts w:cs="Calibri"/>
          <w:i/>
          <w:iCs/>
          <w:color w:val="000000" w:themeColor="text1"/>
        </w:rPr>
        <w:t>Yes I Can: A Mental Health Guide for Adult Literacy Facilitators</w:t>
      </w:r>
      <w:r w:rsidRPr="006164D9">
        <w:rPr>
          <w:rFonts w:cs="Calibri"/>
          <w:color w:val="000000" w:themeColor="text1"/>
        </w:rPr>
        <w:t>. Available at: https://projectread.ca/pdf/MentalHealthGuide2017.pdf (Accessed: 28th October 2024)</w:t>
      </w:r>
    </w:p>
    <w:p w14:paraId="6D88623B" w14:textId="2C486B75" w:rsidR="002F5DA0" w:rsidRDefault="002F5DA0" w:rsidP="0035495B">
      <w:pPr>
        <w:jc w:val="both"/>
        <w:rPr>
          <w:rFonts w:cs="Calibri"/>
          <w:color w:val="000000" w:themeColor="text1"/>
        </w:rPr>
      </w:pPr>
      <w:r w:rsidRPr="006164D9">
        <w:rPr>
          <w:rFonts w:cs="Calibri"/>
          <w:color w:val="000000" w:themeColor="text1"/>
        </w:rPr>
        <w:t xml:space="preserve">McCormick, B. (2022) </w:t>
      </w:r>
      <w:r w:rsidRPr="00CB1A9E">
        <w:rPr>
          <w:rFonts w:cs="Calibri"/>
          <w:i/>
          <w:iCs/>
          <w:color w:val="000000" w:themeColor="text1"/>
        </w:rPr>
        <w:t>Teaching Adult Students with Dyslexia: The Why, Who, and How.</w:t>
      </w:r>
      <w:r w:rsidRPr="006164D9">
        <w:rPr>
          <w:rFonts w:cs="Calibri"/>
          <w:color w:val="000000" w:themeColor="text1"/>
        </w:rPr>
        <w:t xml:space="preserve"> Available at: </w:t>
      </w:r>
      <w:hyperlink r:id="rId13" w:anchor=":~:text=From%20WHO%20to%20HOW%201%201.%20Make%20sure,students%2C%20especially%20your%20adult%20students%20with%20dyslexia.%20" w:history="1">
        <w:r w:rsidR="00D23DA7" w:rsidRPr="006164D9">
          <w:rPr>
            <w:rStyle w:val="Hyperlink"/>
            <w:rFonts w:cs="Calibri"/>
            <w:color w:val="000000" w:themeColor="text1"/>
            <w:u w:val="none"/>
          </w:rPr>
          <w:t>https://firstliteracy.org/teaching-adult-students-with-dyslexia-the-why-who-and-how/#:~:text=From%20WHO%20to%20HOW%201%201.%20Make%20sure,students%2C%20especially%20your%20adult%20students%20with%20dyslexia.%20</w:t>
        </w:r>
      </w:hyperlink>
      <w:r w:rsidR="00D23DA7" w:rsidRPr="006164D9">
        <w:rPr>
          <w:rFonts w:cs="Calibri"/>
          <w:color w:val="000000" w:themeColor="text1"/>
        </w:rPr>
        <w:t xml:space="preserve"> </w:t>
      </w:r>
      <w:r w:rsidRPr="006164D9">
        <w:rPr>
          <w:rFonts w:cs="Calibri"/>
          <w:color w:val="000000" w:themeColor="text1"/>
        </w:rPr>
        <w:t xml:space="preserve">(Accessed: 24th October 2024) </w:t>
      </w:r>
    </w:p>
    <w:p w14:paraId="68FE9EA1" w14:textId="18C086E8" w:rsidR="00CB1A9E" w:rsidRPr="006164D9" w:rsidRDefault="00CB1A9E" w:rsidP="00CB1A9E">
      <w:pPr>
        <w:rPr>
          <w:rFonts w:cs="Calibri"/>
          <w:color w:val="000000" w:themeColor="text1"/>
        </w:rPr>
      </w:pPr>
      <w:r w:rsidRPr="00CB1A9E">
        <w:rPr>
          <w:rFonts w:cs="Calibri"/>
          <w:color w:val="000000" w:themeColor="text1"/>
        </w:rPr>
        <w:t xml:space="preserve">McLeod (2024). </w:t>
      </w:r>
      <w:r w:rsidRPr="00CB1A9E">
        <w:rPr>
          <w:rFonts w:cs="Calibri"/>
          <w:i/>
          <w:iCs/>
          <w:color w:val="000000" w:themeColor="text1"/>
        </w:rPr>
        <w:t>Emotional Intelligence</w:t>
      </w:r>
      <w:r w:rsidRPr="00CB1A9E">
        <w:rPr>
          <w:rFonts w:cs="Calibri"/>
          <w:color w:val="000000" w:themeColor="text1"/>
        </w:rPr>
        <w:t xml:space="preserve"> (EQ). Available at: https://www.simplypsychology.org/emotional-intelligence.html (Accessed: 19th November 2024)</w:t>
      </w:r>
    </w:p>
    <w:p w14:paraId="7BC6EA7B" w14:textId="0917DC8B" w:rsidR="002F5DA0" w:rsidRPr="006164D9" w:rsidRDefault="002F5DA0" w:rsidP="0035495B">
      <w:pPr>
        <w:jc w:val="both"/>
        <w:rPr>
          <w:rFonts w:cs="Calibri"/>
          <w:color w:val="000000" w:themeColor="text1"/>
        </w:rPr>
      </w:pPr>
      <w:r w:rsidRPr="006164D9">
        <w:rPr>
          <w:rFonts w:cs="Calibri"/>
          <w:color w:val="000000" w:themeColor="text1"/>
        </w:rPr>
        <w:t xml:space="preserve">NHS. 2022. </w:t>
      </w:r>
      <w:r w:rsidRPr="006164D9">
        <w:rPr>
          <w:rFonts w:cs="Calibri"/>
          <w:i/>
          <w:iCs/>
          <w:color w:val="000000" w:themeColor="text1"/>
        </w:rPr>
        <w:t>Dyslexia Overview</w:t>
      </w:r>
      <w:r w:rsidRPr="006164D9">
        <w:rPr>
          <w:rFonts w:cs="Calibri"/>
          <w:color w:val="000000" w:themeColor="text1"/>
        </w:rPr>
        <w:t xml:space="preserve">. Available at: </w:t>
      </w:r>
      <w:hyperlink r:id="rId14" w:history="1">
        <w:r w:rsidR="00D23DA7" w:rsidRPr="006164D9">
          <w:rPr>
            <w:rStyle w:val="Hyperlink"/>
            <w:rFonts w:cs="Calibri"/>
            <w:color w:val="000000" w:themeColor="text1"/>
            <w:u w:val="none"/>
          </w:rPr>
          <w:t>https://www.nhs.uk/conditions/dyslexia</w:t>
        </w:r>
        <w:r w:rsidR="00D23DA7" w:rsidRPr="006164D9">
          <w:rPr>
            <w:rStyle w:val="Hyperlink"/>
            <w:rFonts w:cs="Calibri"/>
            <w:i/>
            <w:iCs/>
            <w:color w:val="000000" w:themeColor="text1"/>
            <w:u w:val="none"/>
          </w:rPr>
          <w:t>/</w:t>
        </w:r>
      </w:hyperlink>
      <w:r w:rsidR="00D23DA7" w:rsidRPr="006164D9">
        <w:rPr>
          <w:rFonts w:cs="Calibri"/>
          <w:i/>
          <w:iCs/>
          <w:color w:val="000000" w:themeColor="text1"/>
        </w:rPr>
        <w:t xml:space="preserve"> </w:t>
      </w:r>
      <w:r w:rsidRPr="006164D9">
        <w:rPr>
          <w:rFonts w:cs="Calibri"/>
          <w:i/>
          <w:iCs/>
          <w:color w:val="000000" w:themeColor="text1"/>
        </w:rPr>
        <w:t>(</w:t>
      </w:r>
      <w:r w:rsidRPr="006164D9">
        <w:rPr>
          <w:rFonts w:cs="Calibri"/>
          <w:color w:val="000000" w:themeColor="text1"/>
        </w:rPr>
        <w:t>Accessed: 24th October 2024)</w:t>
      </w:r>
    </w:p>
    <w:p w14:paraId="55BE6385" w14:textId="5FE61500" w:rsidR="001503B3" w:rsidRPr="00CB1A9E" w:rsidRDefault="00D23DA7" w:rsidP="0035495B">
      <w:pPr>
        <w:jc w:val="both"/>
        <w:rPr>
          <w:rFonts w:cs="Calibri"/>
          <w:color w:val="000000" w:themeColor="text1"/>
        </w:rPr>
      </w:pPr>
      <w:bookmarkStart w:id="5" w:name="_Hlk180664869"/>
      <w:r w:rsidRPr="00CB1A9E">
        <w:rPr>
          <w:rFonts w:cs="Calibri"/>
          <w:color w:val="000000" w:themeColor="text1"/>
        </w:rPr>
        <w:t xml:space="preserve">Race, P. Pickford, R. (2007) </w:t>
      </w:r>
      <w:r w:rsidRPr="00CB1A9E">
        <w:rPr>
          <w:rFonts w:cs="Calibri"/>
          <w:i/>
          <w:iCs/>
          <w:color w:val="000000" w:themeColor="text1"/>
        </w:rPr>
        <w:t xml:space="preserve">Making Teaching Work </w:t>
      </w:r>
      <w:r w:rsidRPr="00CB1A9E">
        <w:rPr>
          <w:rFonts w:cs="Calibri"/>
          <w:color w:val="000000" w:themeColor="text1"/>
        </w:rPr>
        <w:t>(1</w:t>
      </w:r>
      <w:r w:rsidRPr="00CB1A9E">
        <w:rPr>
          <w:rFonts w:cs="Calibri"/>
          <w:color w:val="000000" w:themeColor="text1"/>
          <w:vertAlign w:val="superscript"/>
        </w:rPr>
        <w:t>st</w:t>
      </w:r>
      <w:r w:rsidRPr="00CB1A9E">
        <w:rPr>
          <w:rFonts w:cs="Calibri"/>
          <w:color w:val="000000" w:themeColor="text1"/>
        </w:rPr>
        <w:t xml:space="preserve"> edition). London: Sage Publications Ltd.</w:t>
      </w:r>
      <w:bookmarkEnd w:id="5"/>
    </w:p>
    <w:p w14:paraId="1B2F1C90" w14:textId="03FCCCA6" w:rsidR="00483502" w:rsidRPr="006164D9" w:rsidRDefault="00483502" w:rsidP="0035495B">
      <w:pPr>
        <w:jc w:val="both"/>
        <w:rPr>
          <w:rFonts w:cs="Calibri"/>
          <w:color w:val="000000" w:themeColor="text1"/>
        </w:rPr>
      </w:pPr>
      <w:r w:rsidRPr="006164D9">
        <w:rPr>
          <w:rFonts w:cs="Calibri"/>
          <w:color w:val="000000" w:themeColor="text1"/>
        </w:rPr>
        <w:lastRenderedPageBreak/>
        <w:t xml:space="preserve">RNIB (2024) </w:t>
      </w:r>
      <w:r w:rsidRPr="006164D9">
        <w:rPr>
          <w:rFonts w:cs="Calibri"/>
          <w:i/>
          <w:iCs/>
          <w:color w:val="000000" w:themeColor="text1"/>
        </w:rPr>
        <w:t>JAWS</w:t>
      </w:r>
      <w:r w:rsidRPr="006164D9">
        <w:rPr>
          <w:rFonts w:cs="Calibri"/>
          <w:color w:val="000000" w:themeColor="text1"/>
        </w:rPr>
        <w:t xml:space="preserve">. Available at: </w:t>
      </w:r>
      <w:hyperlink r:id="rId15" w:history="1">
        <w:r w:rsidRPr="006164D9">
          <w:rPr>
            <w:rFonts w:cs="Calibri"/>
            <w:color w:val="000000" w:themeColor="text1"/>
          </w:rPr>
          <w:t>https://shop.rnib.org.uk/jaws-screen-reading-software-home-edition</w:t>
        </w:r>
      </w:hyperlink>
      <w:r w:rsidRPr="006164D9">
        <w:rPr>
          <w:rFonts w:cs="Calibri"/>
          <w:color w:val="000000" w:themeColor="text1"/>
        </w:rPr>
        <w:t xml:space="preserve">. </w:t>
      </w:r>
      <w:bookmarkStart w:id="6" w:name="_Hlk182825287"/>
      <w:r w:rsidRPr="006164D9">
        <w:rPr>
          <w:rFonts w:cs="Calibri"/>
          <w:color w:val="000000" w:themeColor="text1"/>
        </w:rPr>
        <w:t>Accessed: 18</w:t>
      </w:r>
      <w:r w:rsidRPr="006164D9">
        <w:rPr>
          <w:rFonts w:cs="Calibri"/>
          <w:color w:val="000000" w:themeColor="text1"/>
          <w:vertAlign w:val="superscript"/>
        </w:rPr>
        <w:t>th</w:t>
      </w:r>
      <w:r w:rsidRPr="006164D9">
        <w:rPr>
          <w:rFonts w:cs="Calibri"/>
          <w:color w:val="000000" w:themeColor="text1"/>
        </w:rPr>
        <w:t xml:space="preserve"> November 2024)</w:t>
      </w:r>
      <w:bookmarkEnd w:id="6"/>
    </w:p>
    <w:p w14:paraId="3D1D45F9" w14:textId="77777777" w:rsidR="002F5DA0" w:rsidRPr="006164D9" w:rsidRDefault="002F5DA0" w:rsidP="0035495B">
      <w:pPr>
        <w:jc w:val="both"/>
        <w:rPr>
          <w:rFonts w:cs="Calibri"/>
          <w:color w:val="000000" w:themeColor="text1"/>
        </w:rPr>
      </w:pPr>
      <w:r w:rsidRPr="006164D9">
        <w:rPr>
          <w:rFonts w:cs="Calibri"/>
          <w:color w:val="000000" w:themeColor="text1"/>
        </w:rPr>
        <w:t xml:space="preserve">Thinkable </w:t>
      </w:r>
      <w:r w:rsidRPr="006164D9">
        <w:rPr>
          <w:rFonts w:cs="Calibri"/>
          <w:i/>
          <w:iCs/>
          <w:color w:val="000000" w:themeColor="text1"/>
        </w:rPr>
        <w:t>TactiPad Drawing Board</w:t>
      </w:r>
      <w:r w:rsidRPr="006164D9">
        <w:rPr>
          <w:rFonts w:cs="Calibri"/>
          <w:color w:val="000000" w:themeColor="text1"/>
        </w:rPr>
        <w:t xml:space="preserve">. Available at: </w:t>
      </w:r>
      <w:hyperlink r:id="rId16" w:history="1">
        <w:r w:rsidRPr="006164D9">
          <w:rPr>
            <w:rFonts w:cs="Calibri"/>
            <w:color w:val="000000" w:themeColor="text1"/>
          </w:rPr>
          <w:t>https://thinkable.nl/tactipad/</w:t>
        </w:r>
      </w:hyperlink>
      <w:r w:rsidRPr="006164D9">
        <w:rPr>
          <w:rFonts w:cs="Calibri"/>
          <w:color w:val="000000" w:themeColor="text1"/>
        </w:rPr>
        <w:t xml:space="preserve"> Accessed: 18</w:t>
      </w:r>
      <w:r w:rsidRPr="006164D9">
        <w:rPr>
          <w:rFonts w:cs="Calibri"/>
          <w:color w:val="000000" w:themeColor="text1"/>
          <w:vertAlign w:val="superscript"/>
        </w:rPr>
        <w:t>th</w:t>
      </w:r>
      <w:r w:rsidRPr="006164D9">
        <w:rPr>
          <w:rFonts w:cs="Calibri"/>
          <w:color w:val="000000" w:themeColor="text1"/>
        </w:rPr>
        <w:t xml:space="preserve"> November 2024) </w:t>
      </w:r>
    </w:p>
    <w:p w14:paraId="1D7F082C" w14:textId="70115530" w:rsidR="004E430A" w:rsidRPr="00CE5D66" w:rsidRDefault="004E430A" w:rsidP="0035495B">
      <w:pPr>
        <w:jc w:val="both"/>
        <w:rPr>
          <w:rFonts w:cs="Calibri"/>
          <w:color w:val="000000" w:themeColor="text1"/>
        </w:rPr>
      </w:pPr>
      <w:r w:rsidRPr="006164D9">
        <w:rPr>
          <w:rFonts w:cs="Calibri"/>
          <w:color w:val="000000" w:themeColor="text1"/>
        </w:rPr>
        <w:t xml:space="preserve">Vark Learn Ltd. (2024). </w:t>
      </w:r>
      <w:r w:rsidRPr="006164D9">
        <w:rPr>
          <w:rFonts w:cs="Calibri"/>
          <w:i/>
          <w:iCs/>
          <w:color w:val="000000" w:themeColor="text1"/>
        </w:rPr>
        <w:t>VARK® Modalities: What do Visual, Aural, Read/write &amp; Kinaesthetic really mean?</w:t>
      </w:r>
      <w:r w:rsidRPr="006164D9">
        <w:rPr>
          <w:rFonts w:cs="Calibri"/>
          <w:color w:val="000000" w:themeColor="text1"/>
        </w:rPr>
        <w:t xml:space="preserve"> Available at: </w:t>
      </w:r>
      <w:hyperlink r:id="rId17" w:history="1">
        <w:r w:rsidR="00D23DA7" w:rsidRPr="006164D9">
          <w:rPr>
            <w:rStyle w:val="Hyperlink"/>
            <w:rFonts w:cs="Calibri"/>
            <w:color w:val="000000" w:themeColor="text1"/>
            <w:u w:val="none"/>
          </w:rPr>
          <w:t>https://vark-learn.com/introduction-to-vark/the-vark-modalities/</w:t>
        </w:r>
      </w:hyperlink>
      <w:r w:rsidR="00D23DA7" w:rsidRPr="006164D9">
        <w:rPr>
          <w:rFonts w:cs="Calibri"/>
          <w:color w:val="000000" w:themeColor="text1"/>
        </w:rPr>
        <w:t xml:space="preserve"> </w:t>
      </w:r>
      <w:r w:rsidRPr="006164D9">
        <w:rPr>
          <w:rFonts w:cs="Calibri"/>
          <w:color w:val="000000" w:themeColor="text1"/>
        </w:rPr>
        <w:t xml:space="preserve">(Accessed: </w:t>
      </w:r>
      <w:r w:rsidRPr="000F1C8C">
        <w:rPr>
          <w:rFonts w:cs="Calibri"/>
        </w:rPr>
        <w:t xml:space="preserve">24th </w:t>
      </w:r>
      <w:r w:rsidRPr="00CE5D66">
        <w:rPr>
          <w:rFonts w:cs="Calibri"/>
          <w:color w:val="000000" w:themeColor="text1"/>
        </w:rPr>
        <w:t>October 2024)</w:t>
      </w:r>
    </w:p>
    <w:p w14:paraId="7FEFBB75" w14:textId="44F74F8D" w:rsidR="00F34F9E" w:rsidRPr="00CE5D66" w:rsidRDefault="00F34F9E" w:rsidP="00FB65DC">
      <w:pPr>
        <w:jc w:val="both"/>
        <w:rPr>
          <w:rFonts w:cs="Calibri"/>
          <w:color w:val="000000" w:themeColor="text1"/>
        </w:rPr>
      </w:pPr>
      <w:bookmarkStart w:id="7" w:name="_Hlk183776693"/>
      <w:r w:rsidRPr="00CE5D66">
        <w:rPr>
          <w:rFonts w:cs="Calibri"/>
          <w:color w:val="000000" w:themeColor="text1"/>
        </w:rPr>
        <w:t xml:space="preserve">Welsh Government (2021). </w:t>
      </w:r>
      <w:r w:rsidR="00FB65DC" w:rsidRPr="00CE5D66">
        <w:rPr>
          <w:rFonts w:cs="Calibri"/>
          <w:i/>
          <w:iCs/>
          <w:color w:val="000000" w:themeColor="text1"/>
        </w:rPr>
        <w:t>The Additional Learning Needs Code for Wales 2021</w:t>
      </w:r>
      <w:r w:rsidR="00FB65DC" w:rsidRPr="00CE5D66">
        <w:rPr>
          <w:rFonts w:cs="Calibri"/>
          <w:color w:val="000000" w:themeColor="text1"/>
        </w:rPr>
        <w:t xml:space="preserve">. </w:t>
      </w:r>
      <w:r w:rsidRPr="00CE5D66">
        <w:rPr>
          <w:rFonts w:cs="Calibri"/>
          <w:color w:val="000000" w:themeColor="text1"/>
        </w:rPr>
        <w:t xml:space="preserve">Available at: </w:t>
      </w:r>
      <w:bookmarkEnd w:id="7"/>
      <w:r w:rsidR="000F1C8C" w:rsidRPr="00CE5D66">
        <w:fldChar w:fldCharType="begin"/>
      </w:r>
      <w:r w:rsidR="000F1C8C" w:rsidRPr="00CE5D66">
        <w:rPr>
          <w:color w:val="000000" w:themeColor="text1"/>
        </w:rPr>
        <w:instrText>HYPERLINK "https://www.gov.wales/additional-learning-needs-code"</w:instrText>
      </w:r>
      <w:r w:rsidR="000F1C8C" w:rsidRPr="00CE5D66">
        <w:fldChar w:fldCharType="separate"/>
      </w:r>
      <w:r w:rsidR="000F1C8C" w:rsidRPr="00CE5D66">
        <w:rPr>
          <w:rStyle w:val="Hyperlink"/>
          <w:rFonts w:cs="Calibri"/>
          <w:color w:val="000000" w:themeColor="text1"/>
          <w:u w:val="none"/>
        </w:rPr>
        <w:t>https://www.gov.wales/additional-learning-needs-code</w:t>
      </w:r>
      <w:r w:rsidR="000F1C8C" w:rsidRPr="00CE5D66">
        <w:rPr>
          <w:rStyle w:val="Hyperlink"/>
          <w:rFonts w:cs="Calibri"/>
          <w:color w:val="000000" w:themeColor="text1"/>
          <w:u w:val="none"/>
        </w:rPr>
        <w:fldChar w:fldCharType="end"/>
      </w:r>
      <w:r w:rsidR="000F1C8C" w:rsidRPr="00CE5D66">
        <w:rPr>
          <w:rFonts w:cs="Calibri"/>
          <w:color w:val="000000" w:themeColor="text1"/>
        </w:rPr>
        <w:t xml:space="preserve"> (Accessed: 22</w:t>
      </w:r>
      <w:r w:rsidR="000F1C8C" w:rsidRPr="00CE5D66">
        <w:rPr>
          <w:rFonts w:cs="Calibri"/>
          <w:color w:val="000000" w:themeColor="text1"/>
          <w:vertAlign w:val="superscript"/>
        </w:rPr>
        <w:t>nd</w:t>
      </w:r>
      <w:r w:rsidR="000F1C8C" w:rsidRPr="00CE5D66">
        <w:rPr>
          <w:rFonts w:cs="Calibri"/>
          <w:color w:val="000000" w:themeColor="text1"/>
        </w:rPr>
        <w:t xml:space="preserve"> November 2024)</w:t>
      </w:r>
    </w:p>
    <w:p w14:paraId="7F162566" w14:textId="6DF812B3" w:rsidR="00CE5D66" w:rsidRPr="00CE5D66" w:rsidRDefault="00CE5D66" w:rsidP="00FB65DC">
      <w:pPr>
        <w:jc w:val="both"/>
        <w:rPr>
          <w:rFonts w:cs="Calibri"/>
          <w:color w:val="000000" w:themeColor="text1"/>
        </w:rPr>
      </w:pPr>
      <w:r w:rsidRPr="00CE5D66">
        <w:rPr>
          <w:rFonts w:cs="Calibri"/>
          <w:color w:val="000000" w:themeColor="text1"/>
        </w:rPr>
        <w:t xml:space="preserve">Welsh Government (2021). </w:t>
      </w:r>
      <w:r w:rsidRPr="00CE5D66">
        <w:rPr>
          <w:rFonts w:cs="Calibri"/>
          <w:i/>
          <w:iCs/>
          <w:color w:val="000000" w:themeColor="text1"/>
        </w:rPr>
        <w:t>The Additional Learning (Wales) Regulations 2021.</w:t>
      </w:r>
      <w:r w:rsidRPr="00CE5D66">
        <w:rPr>
          <w:rFonts w:cs="Calibri"/>
          <w:color w:val="000000" w:themeColor="text1"/>
        </w:rPr>
        <w:t xml:space="preserve"> Available at: https://www.gov.wales/sites/default/files/publications/2021-03/210329-the-additional-learning-needs-wales-regulations.pdf</w:t>
      </w:r>
      <w:r>
        <w:rPr>
          <w:rFonts w:cs="Calibri"/>
          <w:color w:val="000000" w:themeColor="text1"/>
        </w:rPr>
        <w:t xml:space="preserve"> </w:t>
      </w:r>
      <w:r w:rsidRPr="00CE5D66">
        <w:rPr>
          <w:rFonts w:cs="Calibri"/>
          <w:color w:val="000000" w:themeColor="text1"/>
        </w:rPr>
        <w:t>(Accessed: 29th November 2024)</w:t>
      </w:r>
    </w:p>
    <w:p w14:paraId="66245006" w14:textId="77777777" w:rsidR="002F5DA0" w:rsidRPr="00CE5D66" w:rsidRDefault="002F5DA0" w:rsidP="0035495B">
      <w:pPr>
        <w:jc w:val="both"/>
        <w:rPr>
          <w:rFonts w:cs="Calibri"/>
          <w:color w:val="000000" w:themeColor="text1"/>
        </w:rPr>
      </w:pPr>
    </w:p>
    <w:p w14:paraId="736256A2" w14:textId="77777777" w:rsidR="002F5DA0" w:rsidRPr="00CE5D66" w:rsidRDefault="002F5DA0" w:rsidP="002F5DA0">
      <w:pPr>
        <w:rPr>
          <w:color w:val="000000" w:themeColor="text1"/>
        </w:rPr>
      </w:pPr>
    </w:p>
    <w:p w14:paraId="5F310AEB" w14:textId="77777777" w:rsidR="002F5DA0" w:rsidRPr="0000078B" w:rsidRDefault="002F5DA0">
      <w:pPr>
        <w:suppressAutoHyphens w:val="0"/>
        <w:spacing w:line="276" w:lineRule="auto"/>
        <w:rPr>
          <w:rFonts w:eastAsia="Aptos" w:cs="Calibri"/>
          <w:kern w:val="3"/>
        </w:rPr>
      </w:pPr>
    </w:p>
    <w:sectPr w:rsidR="002F5DA0" w:rsidRPr="0000078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AB532" w14:textId="77777777" w:rsidR="00295F9D" w:rsidRDefault="00295F9D">
      <w:pPr>
        <w:spacing w:after="0"/>
      </w:pPr>
      <w:r>
        <w:separator/>
      </w:r>
    </w:p>
  </w:endnote>
  <w:endnote w:type="continuationSeparator" w:id="0">
    <w:p w14:paraId="436ACBA1" w14:textId="77777777" w:rsidR="00295F9D" w:rsidRDefault="00295F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C5A13" w14:textId="77777777" w:rsidR="00295F9D" w:rsidRDefault="00295F9D">
      <w:pPr>
        <w:spacing w:after="0"/>
      </w:pPr>
      <w:r>
        <w:rPr>
          <w:color w:val="000000"/>
        </w:rPr>
        <w:separator/>
      </w:r>
    </w:p>
  </w:footnote>
  <w:footnote w:type="continuationSeparator" w:id="0">
    <w:p w14:paraId="34B0BEE2" w14:textId="77777777" w:rsidR="00295F9D" w:rsidRDefault="00295F9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861C46"/>
    <w:multiLevelType w:val="multilevel"/>
    <w:tmpl w:val="DCEE168E"/>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68880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E5A"/>
    <w:rsid w:val="0000078B"/>
    <w:rsid w:val="00002EA3"/>
    <w:rsid w:val="00011599"/>
    <w:rsid w:val="00017DAE"/>
    <w:rsid w:val="00040F04"/>
    <w:rsid w:val="000414E8"/>
    <w:rsid w:val="00050DBF"/>
    <w:rsid w:val="000759AE"/>
    <w:rsid w:val="00083E8F"/>
    <w:rsid w:val="00087131"/>
    <w:rsid w:val="000B0354"/>
    <w:rsid w:val="000C54B4"/>
    <w:rsid w:val="000C5B85"/>
    <w:rsid w:val="000E2A66"/>
    <w:rsid w:val="000E596E"/>
    <w:rsid w:val="000F1C8C"/>
    <w:rsid w:val="000F2DD4"/>
    <w:rsid w:val="000F4BE5"/>
    <w:rsid w:val="000F6ABE"/>
    <w:rsid w:val="00112D1E"/>
    <w:rsid w:val="00114129"/>
    <w:rsid w:val="001257BF"/>
    <w:rsid w:val="001406AB"/>
    <w:rsid w:val="0014739C"/>
    <w:rsid w:val="001503B3"/>
    <w:rsid w:val="001537AE"/>
    <w:rsid w:val="0016034F"/>
    <w:rsid w:val="0017142A"/>
    <w:rsid w:val="00172CE3"/>
    <w:rsid w:val="001769FB"/>
    <w:rsid w:val="00181303"/>
    <w:rsid w:val="00187159"/>
    <w:rsid w:val="00192352"/>
    <w:rsid w:val="001A1E54"/>
    <w:rsid w:val="001A42C6"/>
    <w:rsid w:val="001A7285"/>
    <w:rsid w:val="001B5D40"/>
    <w:rsid w:val="001C3BDC"/>
    <w:rsid w:val="001D3099"/>
    <w:rsid w:val="001D4247"/>
    <w:rsid w:val="001E28E5"/>
    <w:rsid w:val="001E7573"/>
    <w:rsid w:val="001F754E"/>
    <w:rsid w:val="00212B5D"/>
    <w:rsid w:val="00212ECC"/>
    <w:rsid w:val="00220463"/>
    <w:rsid w:val="00220F36"/>
    <w:rsid w:val="002319FC"/>
    <w:rsid w:val="00231DBA"/>
    <w:rsid w:val="002348AC"/>
    <w:rsid w:val="0024214F"/>
    <w:rsid w:val="0024517A"/>
    <w:rsid w:val="0024723B"/>
    <w:rsid w:val="00252E69"/>
    <w:rsid w:val="00260E7F"/>
    <w:rsid w:val="002701F0"/>
    <w:rsid w:val="00270356"/>
    <w:rsid w:val="00270DF0"/>
    <w:rsid w:val="0027326F"/>
    <w:rsid w:val="00276827"/>
    <w:rsid w:val="00282DAF"/>
    <w:rsid w:val="00290A7D"/>
    <w:rsid w:val="00295972"/>
    <w:rsid w:val="00295F9D"/>
    <w:rsid w:val="002A199E"/>
    <w:rsid w:val="002A310A"/>
    <w:rsid w:val="002A5504"/>
    <w:rsid w:val="002A5CFC"/>
    <w:rsid w:val="002B1A93"/>
    <w:rsid w:val="002C7D19"/>
    <w:rsid w:val="002E7D27"/>
    <w:rsid w:val="002F323C"/>
    <w:rsid w:val="002F4F42"/>
    <w:rsid w:val="002F5DA0"/>
    <w:rsid w:val="0031375E"/>
    <w:rsid w:val="00320304"/>
    <w:rsid w:val="00332782"/>
    <w:rsid w:val="00334A14"/>
    <w:rsid w:val="00337660"/>
    <w:rsid w:val="0035416C"/>
    <w:rsid w:val="00354184"/>
    <w:rsid w:val="0035495B"/>
    <w:rsid w:val="00354A01"/>
    <w:rsid w:val="003625D0"/>
    <w:rsid w:val="00371CAA"/>
    <w:rsid w:val="00376436"/>
    <w:rsid w:val="00381A7A"/>
    <w:rsid w:val="00382813"/>
    <w:rsid w:val="00392415"/>
    <w:rsid w:val="003971E9"/>
    <w:rsid w:val="003B152A"/>
    <w:rsid w:val="003B376F"/>
    <w:rsid w:val="003B5DDA"/>
    <w:rsid w:val="003D0961"/>
    <w:rsid w:val="003E13FE"/>
    <w:rsid w:val="003E52DF"/>
    <w:rsid w:val="003F167C"/>
    <w:rsid w:val="0042106D"/>
    <w:rsid w:val="00423678"/>
    <w:rsid w:val="004271BC"/>
    <w:rsid w:val="0043699B"/>
    <w:rsid w:val="00440E9A"/>
    <w:rsid w:val="00447824"/>
    <w:rsid w:val="00451128"/>
    <w:rsid w:val="004524C2"/>
    <w:rsid w:val="00462B88"/>
    <w:rsid w:val="00463415"/>
    <w:rsid w:val="004648F9"/>
    <w:rsid w:val="004659F5"/>
    <w:rsid w:val="00470536"/>
    <w:rsid w:val="004709BA"/>
    <w:rsid w:val="00483502"/>
    <w:rsid w:val="00484B20"/>
    <w:rsid w:val="0049560B"/>
    <w:rsid w:val="004A7689"/>
    <w:rsid w:val="004A7F2B"/>
    <w:rsid w:val="004C0BF9"/>
    <w:rsid w:val="004C5AFF"/>
    <w:rsid w:val="004E430A"/>
    <w:rsid w:val="004E6E72"/>
    <w:rsid w:val="004F456E"/>
    <w:rsid w:val="00507AA1"/>
    <w:rsid w:val="0051063B"/>
    <w:rsid w:val="00515043"/>
    <w:rsid w:val="00522F0A"/>
    <w:rsid w:val="0052309C"/>
    <w:rsid w:val="005255F4"/>
    <w:rsid w:val="00527C12"/>
    <w:rsid w:val="005450FB"/>
    <w:rsid w:val="0054711F"/>
    <w:rsid w:val="005473D3"/>
    <w:rsid w:val="00551714"/>
    <w:rsid w:val="00553F42"/>
    <w:rsid w:val="005644B5"/>
    <w:rsid w:val="005652A9"/>
    <w:rsid w:val="0056624F"/>
    <w:rsid w:val="00566802"/>
    <w:rsid w:val="00571BE2"/>
    <w:rsid w:val="00580BE4"/>
    <w:rsid w:val="00584C0E"/>
    <w:rsid w:val="00591392"/>
    <w:rsid w:val="00595A41"/>
    <w:rsid w:val="005A0A31"/>
    <w:rsid w:val="005A6798"/>
    <w:rsid w:val="005E3DF9"/>
    <w:rsid w:val="005E712F"/>
    <w:rsid w:val="00603AFB"/>
    <w:rsid w:val="006164D9"/>
    <w:rsid w:val="00616587"/>
    <w:rsid w:val="006262AA"/>
    <w:rsid w:val="00631620"/>
    <w:rsid w:val="00634CD3"/>
    <w:rsid w:val="0063647D"/>
    <w:rsid w:val="00642092"/>
    <w:rsid w:val="0064333A"/>
    <w:rsid w:val="00657F3D"/>
    <w:rsid w:val="00661911"/>
    <w:rsid w:val="00683115"/>
    <w:rsid w:val="006859BA"/>
    <w:rsid w:val="006A090E"/>
    <w:rsid w:val="006A5EA6"/>
    <w:rsid w:val="006A67FD"/>
    <w:rsid w:val="006D3D25"/>
    <w:rsid w:val="006E4491"/>
    <w:rsid w:val="00705C20"/>
    <w:rsid w:val="00705DE5"/>
    <w:rsid w:val="007125E7"/>
    <w:rsid w:val="00713D0E"/>
    <w:rsid w:val="007329CB"/>
    <w:rsid w:val="00734231"/>
    <w:rsid w:val="00755BFC"/>
    <w:rsid w:val="007726DC"/>
    <w:rsid w:val="00772D7F"/>
    <w:rsid w:val="0077342C"/>
    <w:rsid w:val="0077431F"/>
    <w:rsid w:val="0079061C"/>
    <w:rsid w:val="007B0A6C"/>
    <w:rsid w:val="007D1B3B"/>
    <w:rsid w:val="007D6719"/>
    <w:rsid w:val="007E162B"/>
    <w:rsid w:val="007E2521"/>
    <w:rsid w:val="007F28F1"/>
    <w:rsid w:val="007F3E5A"/>
    <w:rsid w:val="007F594A"/>
    <w:rsid w:val="007F5C37"/>
    <w:rsid w:val="008128BE"/>
    <w:rsid w:val="00812CAB"/>
    <w:rsid w:val="0081303E"/>
    <w:rsid w:val="00817895"/>
    <w:rsid w:val="00821548"/>
    <w:rsid w:val="00822BA8"/>
    <w:rsid w:val="00826E72"/>
    <w:rsid w:val="008454FB"/>
    <w:rsid w:val="0084782B"/>
    <w:rsid w:val="00862586"/>
    <w:rsid w:val="00867BAD"/>
    <w:rsid w:val="00873618"/>
    <w:rsid w:val="008768A9"/>
    <w:rsid w:val="00886ED5"/>
    <w:rsid w:val="00894E1C"/>
    <w:rsid w:val="00895619"/>
    <w:rsid w:val="008A65F6"/>
    <w:rsid w:val="008A6FFE"/>
    <w:rsid w:val="008B0319"/>
    <w:rsid w:val="008B1995"/>
    <w:rsid w:val="008B3462"/>
    <w:rsid w:val="008B3787"/>
    <w:rsid w:val="008B68CF"/>
    <w:rsid w:val="008C3B25"/>
    <w:rsid w:val="008C5A8B"/>
    <w:rsid w:val="008C5AED"/>
    <w:rsid w:val="008C6E50"/>
    <w:rsid w:val="008C78E4"/>
    <w:rsid w:val="008E1FE0"/>
    <w:rsid w:val="008E35BD"/>
    <w:rsid w:val="008E3715"/>
    <w:rsid w:val="008E4A25"/>
    <w:rsid w:val="008E7744"/>
    <w:rsid w:val="008F3FCB"/>
    <w:rsid w:val="008F5C77"/>
    <w:rsid w:val="008F6DC7"/>
    <w:rsid w:val="009023CC"/>
    <w:rsid w:val="00903574"/>
    <w:rsid w:val="00907C78"/>
    <w:rsid w:val="00927928"/>
    <w:rsid w:val="00935200"/>
    <w:rsid w:val="00937484"/>
    <w:rsid w:val="00955E1F"/>
    <w:rsid w:val="00960AD1"/>
    <w:rsid w:val="00963823"/>
    <w:rsid w:val="00966D62"/>
    <w:rsid w:val="009675A9"/>
    <w:rsid w:val="00972104"/>
    <w:rsid w:val="00995684"/>
    <w:rsid w:val="009A24B8"/>
    <w:rsid w:val="009B1EDF"/>
    <w:rsid w:val="009C2472"/>
    <w:rsid w:val="009C35D3"/>
    <w:rsid w:val="009C367D"/>
    <w:rsid w:val="009C53C8"/>
    <w:rsid w:val="009C69BD"/>
    <w:rsid w:val="009C7E07"/>
    <w:rsid w:val="009D44DC"/>
    <w:rsid w:val="00A00942"/>
    <w:rsid w:val="00A07465"/>
    <w:rsid w:val="00A114F7"/>
    <w:rsid w:val="00A16367"/>
    <w:rsid w:val="00A2450A"/>
    <w:rsid w:val="00A24BC0"/>
    <w:rsid w:val="00A27C94"/>
    <w:rsid w:val="00A341CD"/>
    <w:rsid w:val="00A355DC"/>
    <w:rsid w:val="00A4336A"/>
    <w:rsid w:val="00A46241"/>
    <w:rsid w:val="00A50630"/>
    <w:rsid w:val="00A571BE"/>
    <w:rsid w:val="00A621EC"/>
    <w:rsid w:val="00A95518"/>
    <w:rsid w:val="00A95FC7"/>
    <w:rsid w:val="00AA7019"/>
    <w:rsid w:val="00AB7618"/>
    <w:rsid w:val="00AC632C"/>
    <w:rsid w:val="00AD6960"/>
    <w:rsid w:val="00AE4640"/>
    <w:rsid w:val="00AE79CC"/>
    <w:rsid w:val="00AF7299"/>
    <w:rsid w:val="00B0398F"/>
    <w:rsid w:val="00B1320C"/>
    <w:rsid w:val="00B1455E"/>
    <w:rsid w:val="00B14A74"/>
    <w:rsid w:val="00B202BD"/>
    <w:rsid w:val="00B224B4"/>
    <w:rsid w:val="00B23681"/>
    <w:rsid w:val="00B24C63"/>
    <w:rsid w:val="00B379CA"/>
    <w:rsid w:val="00B41F9E"/>
    <w:rsid w:val="00B45C49"/>
    <w:rsid w:val="00B46804"/>
    <w:rsid w:val="00B539FE"/>
    <w:rsid w:val="00B62E90"/>
    <w:rsid w:val="00B74431"/>
    <w:rsid w:val="00BA2FCA"/>
    <w:rsid w:val="00BA6F20"/>
    <w:rsid w:val="00BD1E79"/>
    <w:rsid w:val="00C02539"/>
    <w:rsid w:val="00C0298F"/>
    <w:rsid w:val="00C31574"/>
    <w:rsid w:val="00C33BEE"/>
    <w:rsid w:val="00C423EA"/>
    <w:rsid w:val="00C514E7"/>
    <w:rsid w:val="00C51C82"/>
    <w:rsid w:val="00C5201D"/>
    <w:rsid w:val="00C52ADD"/>
    <w:rsid w:val="00C6262A"/>
    <w:rsid w:val="00C644B2"/>
    <w:rsid w:val="00C64BAA"/>
    <w:rsid w:val="00C64E51"/>
    <w:rsid w:val="00C7408C"/>
    <w:rsid w:val="00C759C8"/>
    <w:rsid w:val="00C922D0"/>
    <w:rsid w:val="00CA0770"/>
    <w:rsid w:val="00CA130D"/>
    <w:rsid w:val="00CA6552"/>
    <w:rsid w:val="00CB0D7C"/>
    <w:rsid w:val="00CB0FD7"/>
    <w:rsid w:val="00CB1A9E"/>
    <w:rsid w:val="00CC3B7F"/>
    <w:rsid w:val="00CE43BB"/>
    <w:rsid w:val="00CE5D66"/>
    <w:rsid w:val="00CE5DFC"/>
    <w:rsid w:val="00D000B0"/>
    <w:rsid w:val="00D114D9"/>
    <w:rsid w:val="00D12323"/>
    <w:rsid w:val="00D1593D"/>
    <w:rsid w:val="00D22F07"/>
    <w:rsid w:val="00D23DA7"/>
    <w:rsid w:val="00D30786"/>
    <w:rsid w:val="00D3300C"/>
    <w:rsid w:val="00D43F2A"/>
    <w:rsid w:val="00D4545C"/>
    <w:rsid w:val="00D501FA"/>
    <w:rsid w:val="00D527DE"/>
    <w:rsid w:val="00D529B2"/>
    <w:rsid w:val="00D52DF4"/>
    <w:rsid w:val="00D5396E"/>
    <w:rsid w:val="00D57979"/>
    <w:rsid w:val="00D606A3"/>
    <w:rsid w:val="00D62CE7"/>
    <w:rsid w:val="00D66D7F"/>
    <w:rsid w:val="00D866BF"/>
    <w:rsid w:val="00D90405"/>
    <w:rsid w:val="00D93741"/>
    <w:rsid w:val="00DA3062"/>
    <w:rsid w:val="00DA4226"/>
    <w:rsid w:val="00DB03F5"/>
    <w:rsid w:val="00DB06BF"/>
    <w:rsid w:val="00DB3886"/>
    <w:rsid w:val="00DC34D3"/>
    <w:rsid w:val="00DC3A4B"/>
    <w:rsid w:val="00DC7C65"/>
    <w:rsid w:val="00DE0BC6"/>
    <w:rsid w:val="00E0395F"/>
    <w:rsid w:val="00E10002"/>
    <w:rsid w:val="00E1049B"/>
    <w:rsid w:val="00E2089B"/>
    <w:rsid w:val="00E219E0"/>
    <w:rsid w:val="00E30CC8"/>
    <w:rsid w:val="00E408BB"/>
    <w:rsid w:val="00E44E3F"/>
    <w:rsid w:val="00E52B8E"/>
    <w:rsid w:val="00E70E84"/>
    <w:rsid w:val="00E83D8E"/>
    <w:rsid w:val="00E849C0"/>
    <w:rsid w:val="00E85B73"/>
    <w:rsid w:val="00E874D1"/>
    <w:rsid w:val="00EA4BBC"/>
    <w:rsid w:val="00EB7A79"/>
    <w:rsid w:val="00EC07A6"/>
    <w:rsid w:val="00EC16A8"/>
    <w:rsid w:val="00EE66F4"/>
    <w:rsid w:val="00EF443B"/>
    <w:rsid w:val="00EF4B92"/>
    <w:rsid w:val="00EF6918"/>
    <w:rsid w:val="00F105FB"/>
    <w:rsid w:val="00F11ACE"/>
    <w:rsid w:val="00F34F9E"/>
    <w:rsid w:val="00F53248"/>
    <w:rsid w:val="00F53B95"/>
    <w:rsid w:val="00F5605C"/>
    <w:rsid w:val="00F64B73"/>
    <w:rsid w:val="00F66511"/>
    <w:rsid w:val="00F74C78"/>
    <w:rsid w:val="00F938C9"/>
    <w:rsid w:val="00F970F3"/>
    <w:rsid w:val="00FA1522"/>
    <w:rsid w:val="00FA155C"/>
    <w:rsid w:val="00FA2F2D"/>
    <w:rsid w:val="00FA732F"/>
    <w:rsid w:val="00FB22AA"/>
    <w:rsid w:val="00FB65DC"/>
    <w:rsid w:val="00FD6EC1"/>
    <w:rsid w:val="00FE6900"/>
    <w:rsid w:val="00FF0598"/>
    <w:rsid w:val="00FF5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DFCE5"/>
  <w15:docId w15:val="{7D441EE3-4A1B-4867-A38C-BB21E0381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ListParagraph">
    <w:name w:val="List Paragraph"/>
    <w:basedOn w:val="Normal"/>
    <w:pPr>
      <w:ind w:left="720"/>
      <w:contextualSpacing/>
    </w:pPr>
  </w:style>
  <w:style w:type="paragraph" w:styleId="NoSpacing">
    <w:name w:val="No Spacing"/>
    <w:pPr>
      <w:suppressAutoHyphens/>
      <w:spacing w:after="0"/>
    </w:p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EF44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braintrusttutors.com/6-strengths-of-dyslexia/" TargetMode="External"/><Relationship Id="rId13" Type="http://schemas.openxmlformats.org/officeDocument/2006/relationships/hyperlink" Target="https://firstliteracy.org/teaching-adult-students-with-dyslexia-the-why-who-and-how/"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dcet.edu.au/inclusive-teaching/specific-disabilities/blind-vision-impaired" TargetMode="External"/><Relationship Id="rId12" Type="http://schemas.openxmlformats.org/officeDocument/2006/relationships/hyperlink" Target="https://www.bing.com/videos/riverview/relatedvideo?q=equality+act+2010&amp;mid=3CE1EF8BF7E3E9552F3F3CE1EF8BF7E3E9552F3F&amp;FORM=VIRE" TargetMode="External"/><Relationship Id="rId17" Type="http://schemas.openxmlformats.org/officeDocument/2006/relationships/hyperlink" Target="https://vark-learn.com/introduction-to-vark/the-vark-modalities/" TargetMode="External"/><Relationship Id="rId2" Type="http://schemas.openxmlformats.org/officeDocument/2006/relationships/styles" Target="styles.xml"/><Relationship Id="rId16" Type="http://schemas.openxmlformats.org/officeDocument/2006/relationships/hyperlink" Target="https://thinkable.nl/tactipa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gu.edu/blog/follow-these-steps-ease-student-anxiety-your-classroom1809.html" TargetMode="External"/><Relationship Id="rId5" Type="http://schemas.openxmlformats.org/officeDocument/2006/relationships/footnotes" Target="footnotes.xml"/><Relationship Id="rId15" Type="http://schemas.openxmlformats.org/officeDocument/2006/relationships/hyperlink" Target="https://shop.rnib.org.uk/jaws-screen-reading-software-home-edition" TargetMode="External"/><Relationship Id="rId10" Type="http://schemas.openxmlformats.org/officeDocument/2006/relationships/hyperlink" Target="https://www.youtube.com/watch?v=S6AopPN6JXI"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dadyslexia.org.uk/advice/adults/in-education/adult-study-skills" TargetMode="External"/><Relationship Id="rId14" Type="http://schemas.openxmlformats.org/officeDocument/2006/relationships/hyperlink" Target="https://www.nhs.uk/conditions/dyslex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605</TotalTime>
  <Pages>6</Pages>
  <Words>3477</Words>
  <Characters>19825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Sara</dc:creator>
  <cp:keywords/>
  <dc:description/>
  <cp:lastModifiedBy>Mason, Sara</cp:lastModifiedBy>
  <cp:revision>357</cp:revision>
  <dcterms:created xsi:type="dcterms:W3CDTF">2024-10-28T11:04:00Z</dcterms:created>
  <dcterms:modified xsi:type="dcterms:W3CDTF">2024-12-06T11:04:00Z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2023-10-23T11:11:56Z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cf1177db-bf0e-4350-8260-89832273d404</vt:lpwstr>
  </property>
  <property fmtid="{D5CDD505-2E9C-101B-9397-08002B2CF9AE}" pid="8" name="MSIP_Label_f2acd28b-79a3-4a0f-b0ff-4b75658b1549_ContentBits">
    <vt:lpwstr>0</vt:lpwstr>
  </property>
</Properties>
</file>