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80F74E" w14:textId="0BAC78C8" w:rsidR="00416F5F" w:rsidRPr="00C272D1" w:rsidRDefault="00E564E5" w:rsidP="004664E2">
      <w:pPr>
        <w:ind w:right="-46"/>
        <w:jc w:val="center"/>
        <w:rPr>
          <w:rFonts w:ascii="Arial" w:hAnsi="Arial" w:cs="Arial"/>
        </w:rPr>
      </w:pPr>
      <w:r w:rsidRPr="00C272D1">
        <w:rPr>
          <w:rFonts w:ascii="Arial" w:hAnsi="Arial" w:cs="Arial"/>
        </w:rPr>
        <w:t>Contract Law</w:t>
      </w:r>
    </w:p>
    <w:p w14:paraId="7A74BDAE" w14:textId="72A23538" w:rsidR="00E564E5" w:rsidRPr="00C272D1" w:rsidRDefault="00E564E5" w:rsidP="004664E2">
      <w:pPr>
        <w:jc w:val="center"/>
        <w:rPr>
          <w:rFonts w:ascii="Arial" w:hAnsi="Arial" w:cs="Arial"/>
        </w:rPr>
      </w:pPr>
      <w:r w:rsidRPr="00C272D1">
        <w:rPr>
          <w:rFonts w:ascii="Arial" w:hAnsi="Arial" w:cs="Arial"/>
        </w:rPr>
        <w:t>Letter of advice on formation of contract</w:t>
      </w:r>
    </w:p>
    <w:p w14:paraId="0CB69BEB" w14:textId="77777777" w:rsidR="00E564E5" w:rsidRPr="00C272D1" w:rsidRDefault="00E564E5" w:rsidP="004664E2">
      <w:pPr>
        <w:jc w:val="both"/>
        <w:rPr>
          <w:rFonts w:ascii="Arial" w:hAnsi="Arial" w:cs="Arial"/>
        </w:rPr>
      </w:pPr>
    </w:p>
    <w:p w14:paraId="2FC06AE6" w14:textId="06B7E1C9" w:rsidR="008F225A" w:rsidRPr="00C272D1" w:rsidRDefault="008F225A" w:rsidP="004664E2">
      <w:pPr>
        <w:spacing w:before="100" w:beforeAutospacing="1" w:after="100" w:afterAutospacing="1"/>
        <w:jc w:val="both"/>
        <w:rPr>
          <w:rFonts w:ascii="Arial" w:hAnsi="Arial" w:cs="Arial"/>
          <w:color w:val="000000"/>
        </w:rPr>
      </w:pPr>
    </w:p>
    <w:p w14:paraId="182274E2" w14:textId="3587CA90" w:rsidR="008F225A" w:rsidRPr="00C272D1" w:rsidRDefault="008F225A" w:rsidP="004664E2">
      <w:pPr>
        <w:jc w:val="both"/>
        <w:rPr>
          <w:rFonts w:ascii="Arial" w:hAnsi="Arial" w:cs="Arial"/>
        </w:rPr>
      </w:pPr>
    </w:p>
    <w:p w14:paraId="0E2CF66D" w14:textId="74016CE3" w:rsidR="008F225A" w:rsidRPr="00C272D1" w:rsidRDefault="008F225A" w:rsidP="004664E2">
      <w:pPr>
        <w:jc w:val="both"/>
        <w:rPr>
          <w:rFonts w:ascii="Arial" w:hAnsi="Arial" w:cs="Arial"/>
        </w:rPr>
      </w:pPr>
      <w:r w:rsidRPr="00C272D1">
        <w:rPr>
          <w:rFonts w:ascii="Arial" w:hAnsi="Arial" w:cs="Arial"/>
        </w:rPr>
        <w:t>Dear Mr. Smith</w:t>
      </w:r>
    </w:p>
    <w:p w14:paraId="29DB06D2" w14:textId="77777777" w:rsidR="008F225A" w:rsidRPr="00C272D1" w:rsidRDefault="008F225A" w:rsidP="004664E2">
      <w:pPr>
        <w:jc w:val="both"/>
        <w:rPr>
          <w:rFonts w:ascii="Arial" w:hAnsi="Arial" w:cs="Arial"/>
        </w:rPr>
      </w:pPr>
    </w:p>
    <w:p w14:paraId="164A9FDB" w14:textId="5A84EEBD" w:rsidR="008F225A" w:rsidRPr="00C272D1" w:rsidRDefault="008F225A" w:rsidP="004664E2">
      <w:pPr>
        <w:jc w:val="both"/>
        <w:rPr>
          <w:rFonts w:ascii="Arial" w:hAnsi="Arial" w:cs="Arial"/>
        </w:rPr>
      </w:pPr>
      <w:r w:rsidRPr="00C272D1">
        <w:rPr>
          <w:rFonts w:ascii="Arial" w:hAnsi="Arial" w:cs="Arial"/>
        </w:rPr>
        <w:t>Re: Legal Advice Regarding Potential Contract for Rental of Flat</w:t>
      </w:r>
    </w:p>
    <w:p w14:paraId="451A7EC9" w14:textId="77777777" w:rsidR="00E908D7" w:rsidRPr="00C272D1" w:rsidRDefault="00E908D7" w:rsidP="004664E2">
      <w:pPr>
        <w:jc w:val="both"/>
        <w:rPr>
          <w:rFonts w:ascii="Arial" w:hAnsi="Arial" w:cs="Arial"/>
        </w:rPr>
      </w:pPr>
    </w:p>
    <w:p w14:paraId="2E9AA204" w14:textId="77777777" w:rsidR="00E908D7" w:rsidRPr="00C272D1" w:rsidRDefault="00E908D7" w:rsidP="004664E2">
      <w:pPr>
        <w:jc w:val="both"/>
        <w:rPr>
          <w:rFonts w:ascii="Arial" w:hAnsi="Arial" w:cs="Arial"/>
        </w:rPr>
      </w:pPr>
    </w:p>
    <w:p w14:paraId="13A088E3" w14:textId="09FAD924" w:rsidR="00965EEC" w:rsidRPr="00C272D1" w:rsidRDefault="00C707FF" w:rsidP="00C559F9">
      <w:pPr>
        <w:jc w:val="both"/>
        <w:rPr>
          <w:rFonts w:ascii="Arial" w:hAnsi="Arial" w:cs="Arial"/>
        </w:rPr>
      </w:pPr>
      <w:r w:rsidRPr="00C272D1">
        <w:rPr>
          <w:rFonts w:ascii="Arial" w:hAnsi="Arial" w:cs="Arial"/>
        </w:rPr>
        <w:t>I hope this letter finds you well. I am writing to you in relation to the recent developments regarding the rental of the flat</w:t>
      </w:r>
      <w:r w:rsidR="00843622" w:rsidRPr="00C272D1">
        <w:rPr>
          <w:rFonts w:ascii="Arial" w:hAnsi="Arial" w:cs="Arial"/>
        </w:rPr>
        <w:t xml:space="preserve"> </w:t>
      </w:r>
      <w:r w:rsidRPr="00C272D1">
        <w:rPr>
          <w:rFonts w:ascii="Arial" w:hAnsi="Arial" w:cs="Arial"/>
        </w:rPr>
        <w:t xml:space="preserve">we discussed for the 2025/2026 academic year. Specifically, I wish to address </w:t>
      </w:r>
      <w:r w:rsidR="00292122" w:rsidRPr="00C272D1">
        <w:rPr>
          <w:rFonts w:ascii="Arial" w:hAnsi="Arial" w:cs="Arial"/>
        </w:rPr>
        <w:t xml:space="preserve">the question of whether a legally binding contract has been formed between us and to analyse the implications of your recent decision to rent the flat to another party who offered a higher </w:t>
      </w:r>
      <w:r w:rsidR="0001710E" w:rsidRPr="00C272D1">
        <w:rPr>
          <w:rFonts w:ascii="Arial" w:hAnsi="Arial" w:cs="Arial"/>
        </w:rPr>
        <w:t>rent. As</w:t>
      </w:r>
      <w:r w:rsidR="00292122" w:rsidRPr="00C272D1">
        <w:rPr>
          <w:rFonts w:ascii="Arial" w:hAnsi="Arial" w:cs="Arial"/>
        </w:rPr>
        <w:t xml:space="preserve"> we both know, you initially offered to rent me the </w:t>
      </w:r>
      <w:r w:rsidR="00965EEC" w:rsidRPr="00C272D1">
        <w:rPr>
          <w:rFonts w:ascii="Arial" w:hAnsi="Arial" w:cs="Arial"/>
        </w:rPr>
        <w:t>flat at £500 per month starting from September 1</w:t>
      </w:r>
      <w:r w:rsidR="00965EEC" w:rsidRPr="00C272D1">
        <w:rPr>
          <w:rFonts w:ascii="Arial" w:hAnsi="Arial" w:cs="Arial"/>
          <w:vertAlign w:val="superscript"/>
        </w:rPr>
        <w:t>st</w:t>
      </w:r>
      <w:r w:rsidR="00965EEC" w:rsidRPr="00C272D1">
        <w:rPr>
          <w:rFonts w:ascii="Arial" w:hAnsi="Arial" w:cs="Arial"/>
        </w:rPr>
        <w:t>, 2025. Following</w:t>
      </w:r>
      <w:r w:rsidR="004664E2" w:rsidRPr="00C272D1">
        <w:rPr>
          <w:rFonts w:ascii="Arial" w:hAnsi="Arial" w:cs="Arial"/>
        </w:rPr>
        <w:t xml:space="preserve"> </w:t>
      </w:r>
      <w:r w:rsidR="00965EEC" w:rsidRPr="00C272D1">
        <w:rPr>
          <w:rFonts w:ascii="Arial" w:hAnsi="Arial" w:cs="Arial"/>
        </w:rPr>
        <w:t xml:space="preserve">our interactions and the subsequent communication, I made the necessary deposit payment, which I believed would </w:t>
      </w:r>
      <w:r w:rsidR="00C559F9" w:rsidRPr="00C272D1">
        <w:rPr>
          <w:rFonts w:ascii="Arial" w:hAnsi="Arial" w:cs="Arial"/>
        </w:rPr>
        <w:t xml:space="preserve">confirm </w:t>
      </w:r>
      <w:r w:rsidR="00965EEC" w:rsidRPr="00C272D1">
        <w:rPr>
          <w:rFonts w:ascii="Arial" w:hAnsi="Arial" w:cs="Arial"/>
        </w:rPr>
        <w:t xml:space="preserve">the agreement. However, I was surprised to receive an email from you </w:t>
      </w:r>
      <w:r w:rsidR="005D5432" w:rsidRPr="00C272D1">
        <w:rPr>
          <w:rFonts w:ascii="Arial" w:hAnsi="Arial" w:cs="Arial"/>
        </w:rPr>
        <w:t>stating that you had decided to rent the flat to someone else. Given this turn of events, I have looked for legal advice to understand whether a contract has been formed between us and what the legal implications of your decision might be.</w:t>
      </w:r>
    </w:p>
    <w:p w14:paraId="5B76071C" w14:textId="77777777" w:rsidR="005D5432" w:rsidRPr="00C272D1" w:rsidRDefault="005D5432" w:rsidP="004664E2">
      <w:pPr>
        <w:jc w:val="both"/>
        <w:rPr>
          <w:rFonts w:ascii="Arial" w:hAnsi="Arial" w:cs="Arial"/>
        </w:rPr>
      </w:pPr>
    </w:p>
    <w:p w14:paraId="51401FC0" w14:textId="77777777" w:rsidR="00C26EC6" w:rsidRPr="00C272D1" w:rsidRDefault="00C26EC6" w:rsidP="004664E2">
      <w:pPr>
        <w:jc w:val="both"/>
        <w:rPr>
          <w:rFonts w:ascii="Arial" w:hAnsi="Arial" w:cs="Arial"/>
        </w:rPr>
      </w:pPr>
    </w:p>
    <w:p w14:paraId="255B6E90" w14:textId="6AAC08B9" w:rsidR="005D5432" w:rsidRPr="00C272D1" w:rsidRDefault="005D5432" w:rsidP="004664E2">
      <w:pPr>
        <w:jc w:val="both"/>
        <w:rPr>
          <w:rFonts w:ascii="Arial" w:hAnsi="Arial" w:cs="Arial"/>
        </w:rPr>
      </w:pPr>
      <w:r w:rsidRPr="00C272D1">
        <w:rPr>
          <w:rFonts w:ascii="Arial" w:hAnsi="Arial" w:cs="Arial"/>
        </w:rPr>
        <w:t xml:space="preserve">In this letter I will discuss the five essential elements required for a contract to be legally binding, analyse the presence of these </w:t>
      </w:r>
      <w:r w:rsidR="005A2DDD" w:rsidRPr="00C272D1">
        <w:rPr>
          <w:rFonts w:ascii="Arial" w:hAnsi="Arial" w:cs="Arial"/>
        </w:rPr>
        <w:t>elements in the context of our communications, provide an overview of relevant case law to support my position and offer my conclusion as to whether a contract has been formed and outline the potential legal consequences of your actions.</w:t>
      </w:r>
    </w:p>
    <w:p w14:paraId="22BBBBE0" w14:textId="77777777" w:rsidR="005A2DDD" w:rsidRPr="00C272D1" w:rsidRDefault="005A2DDD" w:rsidP="004664E2">
      <w:pPr>
        <w:jc w:val="both"/>
        <w:rPr>
          <w:rFonts w:ascii="Arial" w:hAnsi="Arial" w:cs="Arial"/>
        </w:rPr>
      </w:pPr>
    </w:p>
    <w:p w14:paraId="412C2E75" w14:textId="77777777" w:rsidR="005A2DDD" w:rsidRPr="00C272D1" w:rsidRDefault="005A2DDD" w:rsidP="004664E2">
      <w:pPr>
        <w:jc w:val="both"/>
        <w:rPr>
          <w:rFonts w:ascii="Arial" w:hAnsi="Arial" w:cs="Arial"/>
        </w:rPr>
      </w:pPr>
    </w:p>
    <w:p w14:paraId="629574D3" w14:textId="77777777" w:rsidR="00D9792E" w:rsidRPr="00C272D1" w:rsidRDefault="00D9792E" w:rsidP="004664E2">
      <w:pPr>
        <w:jc w:val="both"/>
        <w:rPr>
          <w:rFonts w:ascii="Arial" w:hAnsi="Arial" w:cs="Arial"/>
        </w:rPr>
      </w:pPr>
    </w:p>
    <w:p w14:paraId="0B4ECB1E" w14:textId="77EFF509" w:rsidR="00D9792E" w:rsidRPr="00C272D1" w:rsidRDefault="00D9792E" w:rsidP="004664E2">
      <w:pPr>
        <w:jc w:val="both"/>
        <w:rPr>
          <w:rFonts w:ascii="Arial" w:hAnsi="Arial" w:cs="Arial"/>
        </w:rPr>
      </w:pPr>
      <w:r w:rsidRPr="00C272D1">
        <w:rPr>
          <w:rFonts w:ascii="Arial" w:hAnsi="Arial" w:cs="Arial"/>
        </w:rPr>
        <w:t>Contract Formation Under English Law</w:t>
      </w:r>
      <w:r w:rsidR="00481992" w:rsidRPr="00C272D1">
        <w:rPr>
          <w:rFonts w:ascii="Arial" w:hAnsi="Arial" w:cs="Arial"/>
        </w:rPr>
        <w:t>:</w:t>
      </w:r>
    </w:p>
    <w:p w14:paraId="72CAB1D5" w14:textId="77777777" w:rsidR="00D9792E" w:rsidRPr="00C272D1" w:rsidRDefault="00D9792E" w:rsidP="004664E2">
      <w:pPr>
        <w:jc w:val="both"/>
        <w:rPr>
          <w:rFonts w:ascii="Arial" w:hAnsi="Arial" w:cs="Arial"/>
        </w:rPr>
      </w:pPr>
    </w:p>
    <w:p w14:paraId="790ECA8C" w14:textId="071B4A46" w:rsidR="00D9792E" w:rsidRPr="00C272D1" w:rsidRDefault="00D9792E" w:rsidP="004664E2">
      <w:pPr>
        <w:jc w:val="both"/>
        <w:rPr>
          <w:rFonts w:ascii="Arial" w:hAnsi="Arial" w:cs="Arial"/>
        </w:rPr>
      </w:pPr>
      <w:r w:rsidRPr="00C272D1">
        <w:rPr>
          <w:rFonts w:ascii="Arial" w:hAnsi="Arial" w:cs="Arial"/>
        </w:rPr>
        <w:t>A contract is legally enforceable when the following five elements are present:</w:t>
      </w:r>
    </w:p>
    <w:p w14:paraId="6D6380D5" w14:textId="66D344CA" w:rsidR="00D9792E" w:rsidRPr="00C272D1" w:rsidRDefault="00D9792E" w:rsidP="004664E2">
      <w:pPr>
        <w:jc w:val="both"/>
        <w:rPr>
          <w:rFonts w:ascii="Arial" w:hAnsi="Arial" w:cs="Arial"/>
        </w:rPr>
      </w:pPr>
    </w:p>
    <w:p w14:paraId="54C3BCF8" w14:textId="6E0F92EE" w:rsidR="00D9792E" w:rsidRPr="00C272D1" w:rsidRDefault="00D9792E" w:rsidP="004664E2">
      <w:pPr>
        <w:jc w:val="both"/>
        <w:rPr>
          <w:rFonts w:ascii="Arial" w:hAnsi="Arial" w:cs="Arial"/>
        </w:rPr>
      </w:pPr>
      <w:r w:rsidRPr="00C272D1">
        <w:rPr>
          <w:rFonts w:ascii="Arial" w:hAnsi="Arial" w:cs="Arial"/>
        </w:rPr>
        <w:t>A valid offer</w:t>
      </w:r>
    </w:p>
    <w:p w14:paraId="54DF1389" w14:textId="77777777" w:rsidR="00D9792E" w:rsidRPr="00C272D1" w:rsidRDefault="00D9792E" w:rsidP="004664E2">
      <w:pPr>
        <w:jc w:val="both"/>
        <w:rPr>
          <w:rFonts w:ascii="Arial" w:hAnsi="Arial" w:cs="Arial"/>
        </w:rPr>
      </w:pPr>
    </w:p>
    <w:p w14:paraId="0ADD3D7A" w14:textId="3CFD1A19" w:rsidR="00D9792E" w:rsidRPr="00C272D1" w:rsidRDefault="00D9792E" w:rsidP="004664E2">
      <w:pPr>
        <w:jc w:val="both"/>
        <w:rPr>
          <w:rFonts w:ascii="Arial" w:hAnsi="Arial" w:cs="Arial"/>
        </w:rPr>
      </w:pPr>
      <w:r w:rsidRPr="00C272D1">
        <w:rPr>
          <w:rFonts w:ascii="Arial" w:hAnsi="Arial" w:cs="Arial"/>
        </w:rPr>
        <w:t>Clear and unconditional acceptance</w:t>
      </w:r>
    </w:p>
    <w:p w14:paraId="6FB9ED98" w14:textId="77777777" w:rsidR="00D9792E" w:rsidRPr="00C272D1" w:rsidRDefault="00D9792E" w:rsidP="004664E2">
      <w:pPr>
        <w:jc w:val="both"/>
        <w:rPr>
          <w:rFonts w:ascii="Arial" w:hAnsi="Arial" w:cs="Arial"/>
        </w:rPr>
      </w:pPr>
    </w:p>
    <w:p w14:paraId="37243AB4" w14:textId="0CFD628A" w:rsidR="00D9792E" w:rsidRPr="00C272D1" w:rsidRDefault="00D9792E" w:rsidP="004664E2">
      <w:pPr>
        <w:jc w:val="both"/>
        <w:rPr>
          <w:rFonts w:ascii="Arial" w:hAnsi="Arial" w:cs="Arial"/>
        </w:rPr>
      </w:pPr>
      <w:r w:rsidRPr="00C272D1">
        <w:rPr>
          <w:rFonts w:ascii="Arial" w:hAnsi="Arial" w:cs="Arial"/>
        </w:rPr>
        <w:t xml:space="preserve">Consideration provided by both parties </w:t>
      </w:r>
    </w:p>
    <w:p w14:paraId="1591ECE2" w14:textId="77777777" w:rsidR="00D9792E" w:rsidRPr="00C272D1" w:rsidRDefault="00D9792E" w:rsidP="004664E2">
      <w:pPr>
        <w:jc w:val="both"/>
        <w:rPr>
          <w:rFonts w:ascii="Arial" w:hAnsi="Arial" w:cs="Arial"/>
        </w:rPr>
      </w:pPr>
    </w:p>
    <w:p w14:paraId="02CB38C9" w14:textId="4ADCD987" w:rsidR="00D9792E" w:rsidRPr="00C272D1" w:rsidRDefault="00D9792E" w:rsidP="004664E2">
      <w:pPr>
        <w:jc w:val="both"/>
        <w:rPr>
          <w:rFonts w:ascii="Arial" w:hAnsi="Arial" w:cs="Arial"/>
        </w:rPr>
      </w:pPr>
      <w:r w:rsidRPr="00C272D1">
        <w:rPr>
          <w:rFonts w:ascii="Arial" w:hAnsi="Arial" w:cs="Arial"/>
        </w:rPr>
        <w:t>Intention to create legal relations</w:t>
      </w:r>
    </w:p>
    <w:p w14:paraId="23AF94F3" w14:textId="77777777" w:rsidR="00D9792E" w:rsidRPr="00C272D1" w:rsidRDefault="00D9792E" w:rsidP="004664E2">
      <w:pPr>
        <w:jc w:val="both"/>
        <w:rPr>
          <w:rFonts w:ascii="Arial" w:hAnsi="Arial" w:cs="Arial"/>
        </w:rPr>
      </w:pPr>
    </w:p>
    <w:p w14:paraId="68F698BA" w14:textId="1A394F9A" w:rsidR="00D9792E" w:rsidRPr="00C272D1" w:rsidRDefault="00D9792E" w:rsidP="004664E2">
      <w:pPr>
        <w:jc w:val="both"/>
        <w:rPr>
          <w:rFonts w:ascii="Arial" w:hAnsi="Arial" w:cs="Arial"/>
        </w:rPr>
      </w:pPr>
      <w:r w:rsidRPr="00C272D1">
        <w:rPr>
          <w:rFonts w:ascii="Arial" w:hAnsi="Arial" w:cs="Arial"/>
        </w:rPr>
        <w:t>Legal capacity of both parties</w:t>
      </w:r>
    </w:p>
    <w:p w14:paraId="7D9CF766" w14:textId="77777777" w:rsidR="00D9792E" w:rsidRPr="00C272D1" w:rsidRDefault="00D9792E" w:rsidP="004664E2">
      <w:pPr>
        <w:jc w:val="both"/>
        <w:rPr>
          <w:rFonts w:ascii="Arial" w:hAnsi="Arial" w:cs="Arial"/>
        </w:rPr>
      </w:pPr>
    </w:p>
    <w:p w14:paraId="2A2B37EF" w14:textId="77777777" w:rsidR="00C559F9" w:rsidRPr="00C272D1" w:rsidRDefault="00C559F9" w:rsidP="004664E2">
      <w:pPr>
        <w:jc w:val="both"/>
        <w:rPr>
          <w:rFonts w:ascii="Arial" w:hAnsi="Arial" w:cs="Arial"/>
        </w:rPr>
      </w:pPr>
    </w:p>
    <w:p w14:paraId="61CAD37D" w14:textId="550F1DBE" w:rsidR="00481992" w:rsidRPr="00C272D1" w:rsidRDefault="00D9792E" w:rsidP="004664E2">
      <w:pPr>
        <w:jc w:val="both"/>
        <w:rPr>
          <w:rFonts w:ascii="Arial" w:hAnsi="Arial" w:cs="Arial"/>
        </w:rPr>
      </w:pPr>
      <w:r w:rsidRPr="00C272D1">
        <w:rPr>
          <w:rFonts w:ascii="Arial" w:hAnsi="Arial" w:cs="Arial"/>
        </w:rPr>
        <w:lastRenderedPageBreak/>
        <w:t>Absent any one of these elements, a legally binding agreement cannot be said to exist. Each of these is examined below in relation to our interactions.</w:t>
      </w:r>
      <w:r w:rsidR="00481992" w:rsidRPr="00C272D1">
        <w:rPr>
          <w:rFonts w:ascii="Arial" w:hAnsi="Arial" w:cs="Arial"/>
        </w:rPr>
        <w:t xml:space="preserve"> </w:t>
      </w:r>
      <w:r w:rsidR="000366A6" w:rsidRPr="00C272D1">
        <w:rPr>
          <w:rFonts w:ascii="Arial" w:hAnsi="Arial" w:cs="Arial"/>
        </w:rPr>
        <w:t xml:space="preserve">Offer, acceptance consideration, </w:t>
      </w:r>
      <w:r w:rsidR="00C85641" w:rsidRPr="00C272D1">
        <w:rPr>
          <w:rFonts w:ascii="Arial" w:hAnsi="Arial" w:cs="Arial"/>
        </w:rPr>
        <w:t xml:space="preserve">intention to </w:t>
      </w:r>
      <w:r w:rsidR="00C31188" w:rsidRPr="00C272D1">
        <w:rPr>
          <w:rFonts w:ascii="Arial" w:hAnsi="Arial" w:cs="Arial"/>
        </w:rPr>
        <w:t>create</w:t>
      </w:r>
      <w:r w:rsidR="000366A6" w:rsidRPr="00C272D1">
        <w:rPr>
          <w:rFonts w:ascii="Arial" w:hAnsi="Arial" w:cs="Arial"/>
        </w:rPr>
        <w:t xml:space="preserve"> legal relations, and capacity to contract are the five necessary components for a contract to be effective. All of these aspects will be discussed in detail, along with their effects and whether or not they are present in our confrontations. </w:t>
      </w:r>
    </w:p>
    <w:p w14:paraId="1D5FFF20" w14:textId="77777777" w:rsidR="00481992" w:rsidRPr="00C272D1" w:rsidRDefault="00481992" w:rsidP="004664E2">
      <w:pPr>
        <w:jc w:val="both"/>
        <w:rPr>
          <w:rFonts w:ascii="Arial" w:hAnsi="Arial" w:cs="Arial"/>
        </w:rPr>
      </w:pPr>
    </w:p>
    <w:p w14:paraId="3BA2BD34" w14:textId="77777777" w:rsidR="00481992" w:rsidRPr="00C272D1" w:rsidRDefault="00481992" w:rsidP="004664E2">
      <w:pPr>
        <w:jc w:val="both"/>
        <w:rPr>
          <w:rFonts w:ascii="Arial" w:hAnsi="Arial" w:cs="Arial"/>
        </w:rPr>
      </w:pPr>
    </w:p>
    <w:p w14:paraId="1C784CA4" w14:textId="77777777" w:rsidR="000E3621" w:rsidRPr="00C272D1" w:rsidRDefault="000E3621" w:rsidP="004664E2">
      <w:pPr>
        <w:jc w:val="both"/>
        <w:rPr>
          <w:rFonts w:ascii="Arial" w:hAnsi="Arial" w:cs="Arial"/>
        </w:rPr>
      </w:pPr>
    </w:p>
    <w:p w14:paraId="7A1F7555" w14:textId="77777777" w:rsidR="00481992" w:rsidRPr="00C272D1" w:rsidRDefault="00481992" w:rsidP="004664E2">
      <w:pPr>
        <w:jc w:val="both"/>
        <w:rPr>
          <w:rFonts w:ascii="Arial" w:hAnsi="Arial" w:cs="Arial"/>
        </w:rPr>
      </w:pPr>
    </w:p>
    <w:p w14:paraId="24315096" w14:textId="77777777" w:rsidR="00C559F9" w:rsidRPr="00C272D1" w:rsidRDefault="00C559F9" w:rsidP="004664E2">
      <w:pPr>
        <w:jc w:val="both"/>
        <w:rPr>
          <w:rFonts w:ascii="Arial" w:hAnsi="Arial" w:cs="Arial"/>
        </w:rPr>
      </w:pPr>
    </w:p>
    <w:p w14:paraId="32CB20A1" w14:textId="77777777" w:rsidR="00C559F9" w:rsidRPr="00C272D1" w:rsidRDefault="00C559F9" w:rsidP="004664E2">
      <w:pPr>
        <w:jc w:val="both"/>
        <w:rPr>
          <w:rFonts w:ascii="Arial" w:hAnsi="Arial" w:cs="Arial"/>
        </w:rPr>
      </w:pPr>
    </w:p>
    <w:p w14:paraId="29A5DEBE" w14:textId="77777777" w:rsidR="00481992" w:rsidRPr="00C272D1" w:rsidRDefault="00481992" w:rsidP="004664E2">
      <w:pPr>
        <w:jc w:val="both"/>
        <w:rPr>
          <w:rFonts w:ascii="Arial" w:hAnsi="Arial" w:cs="Arial"/>
        </w:rPr>
      </w:pPr>
    </w:p>
    <w:p w14:paraId="361DD8E8" w14:textId="471C3F5F" w:rsidR="00CC79C4" w:rsidRPr="00C272D1" w:rsidRDefault="00283A88" w:rsidP="004664E2">
      <w:pPr>
        <w:jc w:val="both"/>
        <w:rPr>
          <w:rFonts w:ascii="Arial" w:hAnsi="Arial" w:cs="Arial"/>
        </w:rPr>
      </w:pPr>
      <w:r w:rsidRPr="00C272D1">
        <w:rPr>
          <w:rFonts w:ascii="Arial" w:hAnsi="Arial" w:cs="Arial"/>
        </w:rPr>
        <w:t xml:space="preserve">An offer is an explicit declaration of intent to enter into a legally binding agreement on particular terms, with the hope that it will become a contract once it is accepted. </w:t>
      </w:r>
      <w:r w:rsidR="00CC79C4" w:rsidRPr="00C272D1">
        <w:rPr>
          <w:rFonts w:ascii="Arial" w:hAnsi="Arial" w:cs="Arial"/>
        </w:rPr>
        <w:t xml:space="preserve">It must be distinguished from an invitation to treat, which merely signifies a willingness to enter into negotiations and does not amount to an offer in law. </w:t>
      </w:r>
      <w:r w:rsidR="00385511" w:rsidRPr="00C272D1">
        <w:rPr>
          <w:rFonts w:ascii="Arial" w:hAnsi="Arial" w:cs="Arial"/>
        </w:rPr>
        <w:t xml:space="preserve">As Treitel (2015) notes, an offer must show intention to be bound, not merely to negotiate. This was supported in Storer v Manchester City Council [1974], where a clear, written offer was upheld as binding. However, the line between an offer and an invitation to treat is not always straightforward, especially in informal settings or early discussions. </w:t>
      </w:r>
    </w:p>
    <w:p w14:paraId="28EBAE9F" w14:textId="77777777" w:rsidR="00385511" w:rsidRPr="00C272D1" w:rsidRDefault="00385511" w:rsidP="004664E2">
      <w:pPr>
        <w:jc w:val="both"/>
        <w:rPr>
          <w:rFonts w:ascii="Arial" w:hAnsi="Arial" w:cs="Arial"/>
        </w:rPr>
      </w:pPr>
    </w:p>
    <w:p w14:paraId="57D228B7" w14:textId="77777777" w:rsidR="00385511" w:rsidRPr="00C272D1" w:rsidRDefault="00385511" w:rsidP="004664E2">
      <w:pPr>
        <w:jc w:val="both"/>
        <w:rPr>
          <w:rFonts w:ascii="Arial" w:hAnsi="Arial" w:cs="Arial"/>
        </w:rPr>
      </w:pPr>
    </w:p>
    <w:p w14:paraId="6A3A0855" w14:textId="77777777" w:rsidR="00385511" w:rsidRPr="00C272D1" w:rsidRDefault="00385511" w:rsidP="004664E2">
      <w:pPr>
        <w:jc w:val="both"/>
        <w:rPr>
          <w:rFonts w:ascii="Arial" w:hAnsi="Arial" w:cs="Arial"/>
        </w:rPr>
      </w:pPr>
    </w:p>
    <w:p w14:paraId="7BF2F3AE" w14:textId="01B865CD" w:rsidR="00385511" w:rsidRPr="00C272D1" w:rsidRDefault="00385511" w:rsidP="004664E2">
      <w:pPr>
        <w:jc w:val="both"/>
        <w:rPr>
          <w:rFonts w:ascii="Arial" w:hAnsi="Arial" w:cs="Arial"/>
        </w:rPr>
      </w:pPr>
      <w:r w:rsidRPr="00C272D1">
        <w:rPr>
          <w:rFonts w:ascii="Arial" w:hAnsi="Arial" w:cs="Arial"/>
        </w:rPr>
        <w:t xml:space="preserve">In this case, you stated during the flat viewing </w:t>
      </w:r>
      <w:r w:rsidR="00B412E8" w:rsidRPr="00C272D1">
        <w:rPr>
          <w:rFonts w:ascii="Arial" w:hAnsi="Arial" w:cs="Arial"/>
        </w:rPr>
        <w:t>that you were willing to rent the property for £500 per month s</w:t>
      </w:r>
      <w:r w:rsidR="00C85641" w:rsidRPr="00C272D1">
        <w:rPr>
          <w:rFonts w:ascii="Arial" w:hAnsi="Arial" w:cs="Arial"/>
        </w:rPr>
        <w:t>tarting</w:t>
      </w:r>
      <w:r w:rsidR="00B412E8" w:rsidRPr="00C272D1">
        <w:rPr>
          <w:rFonts w:ascii="Arial" w:hAnsi="Arial" w:cs="Arial"/>
        </w:rPr>
        <w:t xml:space="preserve"> 1</w:t>
      </w:r>
      <w:r w:rsidR="00B412E8" w:rsidRPr="00C272D1">
        <w:rPr>
          <w:rFonts w:ascii="Arial" w:hAnsi="Arial" w:cs="Arial"/>
          <w:vertAlign w:val="superscript"/>
        </w:rPr>
        <w:t>st</w:t>
      </w:r>
      <w:r w:rsidR="00B412E8" w:rsidRPr="00C272D1">
        <w:rPr>
          <w:rFonts w:ascii="Arial" w:hAnsi="Arial" w:cs="Arial"/>
        </w:rPr>
        <w:t xml:space="preserve"> September 2025. While that appears specific and definite, there could be ambiguity, was this a legally intended offer or </w:t>
      </w:r>
      <w:r w:rsidR="00C85641" w:rsidRPr="00C272D1">
        <w:rPr>
          <w:rFonts w:ascii="Arial" w:hAnsi="Arial" w:cs="Arial"/>
        </w:rPr>
        <w:t>merely</w:t>
      </w:r>
      <w:r w:rsidR="00B412E8" w:rsidRPr="00C272D1">
        <w:rPr>
          <w:rFonts w:ascii="Arial" w:hAnsi="Arial" w:cs="Arial"/>
        </w:rPr>
        <w:t xml:space="preserve"> </w:t>
      </w:r>
      <w:r w:rsidR="00C85641" w:rsidRPr="00C272D1">
        <w:rPr>
          <w:rFonts w:ascii="Arial" w:hAnsi="Arial" w:cs="Arial"/>
        </w:rPr>
        <w:t xml:space="preserve">a casual </w:t>
      </w:r>
      <w:r w:rsidR="00B412E8" w:rsidRPr="00C272D1">
        <w:rPr>
          <w:rFonts w:ascii="Arial" w:hAnsi="Arial" w:cs="Arial"/>
        </w:rPr>
        <w:t xml:space="preserve">discussion? Spoken words during viewings may lack the necessary formality, raising the question of whether all key terms were settled at that point. </w:t>
      </w:r>
    </w:p>
    <w:p w14:paraId="23F44D86" w14:textId="77777777" w:rsidR="00B412E8" w:rsidRPr="00C272D1" w:rsidRDefault="00B412E8" w:rsidP="004664E2">
      <w:pPr>
        <w:jc w:val="both"/>
        <w:rPr>
          <w:rFonts w:ascii="Arial" w:hAnsi="Arial" w:cs="Arial"/>
        </w:rPr>
      </w:pPr>
    </w:p>
    <w:p w14:paraId="609C72F3" w14:textId="77777777" w:rsidR="00B412E8" w:rsidRPr="00C272D1" w:rsidRDefault="00B412E8" w:rsidP="004664E2">
      <w:pPr>
        <w:jc w:val="both"/>
        <w:rPr>
          <w:rFonts w:ascii="Arial" w:hAnsi="Arial" w:cs="Arial"/>
        </w:rPr>
      </w:pPr>
    </w:p>
    <w:p w14:paraId="361CBA6A" w14:textId="65564BEE" w:rsidR="00B412E8" w:rsidRPr="00C272D1" w:rsidRDefault="00C85641" w:rsidP="004664E2">
      <w:pPr>
        <w:jc w:val="both"/>
        <w:rPr>
          <w:rFonts w:ascii="Arial" w:hAnsi="Arial" w:cs="Arial"/>
        </w:rPr>
      </w:pPr>
      <w:r w:rsidRPr="00C272D1">
        <w:rPr>
          <w:rFonts w:ascii="Arial" w:hAnsi="Arial" w:cs="Arial"/>
        </w:rPr>
        <w:t>However, t</w:t>
      </w:r>
      <w:r w:rsidR="00B412E8" w:rsidRPr="00C272D1">
        <w:rPr>
          <w:rFonts w:ascii="Arial" w:hAnsi="Arial" w:cs="Arial"/>
        </w:rPr>
        <w:t>he follow-up email, strengthens the case for a binding offer. It repeated the same terms and directly invited my confirmation. Unlike general property listings, which Partridge v Crittenden [1968] confirms are invitations to treat, your message was personal, detailed, and firm in tone, with no sign that further negotiation was expected. Yet, a counterargument could be raised</w:t>
      </w:r>
      <w:r w:rsidRPr="00C272D1">
        <w:rPr>
          <w:rFonts w:ascii="Arial" w:hAnsi="Arial" w:cs="Arial"/>
        </w:rPr>
        <w:t>:</w:t>
      </w:r>
      <w:r w:rsidR="00B412E8" w:rsidRPr="00C272D1">
        <w:rPr>
          <w:rFonts w:ascii="Arial" w:hAnsi="Arial" w:cs="Arial"/>
        </w:rPr>
        <w:t xml:space="preserve"> since no formal tenancy agreement was signed, was this still part of the negotiation phase? </w:t>
      </w:r>
    </w:p>
    <w:p w14:paraId="12BFB58A" w14:textId="77777777" w:rsidR="00B412E8" w:rsidRPr="00C272D1" w:rsidRDefault="00B412E8" w:rsidP="004664E2">
      <w:pPr>
        <w:jc w:val="both"/>
        <w:rPr>
          <w:rFonts w:ascii="Arial" w:hAnsi="Arial" w:cs="Arial"/>
        </w:rPr>
      </w:pPr>
    </w:p>
    <w:p w14:paraId="3909B2BD" w14:textId="00549AC5" w:rsidR="00B412E8" w:rsidRPr="00C272D1" w:rsidRDefault="00B412E8" w:rsidP="004664E2">
      <w:pPr>
        <w:jc w:val="both"/>
        <w:rPr>
          <w:rFonts w:ascii="Arial" w:hAnsi="Arial" w:cs="Arial"/>
        </w:rPr>
      </w:pPr>
      <w:r w:rsidRPr="00C272D1">
        <w:rPr>
          <w:rFonts w:ascii="Arial" w:hAnsi="Arial" w:cs="Arial"/>
        </w:rPr>
        <w:t xml:space="preserve">Nonetheless, the combination of specific terms, a clear invitation to accept, and no indication of conditions suggests that a valid offer had been made, though it is not without some room for legal debate. </w:t>
      </w:r>
    </w:p>
    <w:p w14:paraId="36E1612A" w14:textId="77777777" w:rsidR="00CC79C4" w:rsidRPr="00C272D1" w:rsidRDefault="00CC79C4" w:rsidP="004664E2">
      <w:pPr>
        <w:jc w:val="both"/>
        <w:rPr>
          <w:rFonts w:ascii="Arial" w:hAnsi="Arial" w:cs="Arial"/>
        </w:rPr>
      </w:pPr>
    </w:p>
    <w:p w14:paraId="6367CB92" w14:textId="77777777" w:rsidR="000E3621" w:rsidRPr="00C272D1" w:rsidRDefault="000E3621" w:rsidP="004664E2">
      <w:pPr>
        <w:jc w:val="both"/>
        <w:rPr>
          <w:rFonts w:ascii="Arial" w:hAnsi="Arial" w:cs="Arial"/>
        </w:rPr>
      </w:pPr>
    </w:p>
    <w:p w14:paraId="40A5DFD5" w14:textId="77777777" w:rsidR="000E3621" w:rsidRPr="00C272D1" w:rsidRDefault="000E3621" w:rsidP="004664E2">
      <w:pPr>
        <w:jc w:val="both"/>
        <w:rPr>
          <w:rFonts w:ascii="Arial" w:hAnsi="Arial" w:cs="Arial"/>
        </w:rPr>
      </w:pPr>
    </w:p>
    <w:p w14:paraId="396FF2C4" w14:textId="77777777" w:rsidR="000E3621" w:rsidRPr="00C272D1" w:rsidRDefault="000E3621" w:rsidP="004664E2">
      <w:pPr>
        <w:jc w:val="both"/>
        <w:rPr>
          <w:rFonts w:ascii="Arial" w:hAnsi="Arial" w:cs="Arial"/>
        </w:rPr>
      </w:pPr>
    </w:p>
    <w:p w14:paraId="085C2657" w14:textId="77777777" w:rsidR="000E3621" w:rsidRPr="00C272D1" w:rsidRDefault="000E3621" w:rsidP="004664E2">
      <w:pPr>
        <w:jc w:val="both"/>
        <w:rPr>
          <w:rFonts w:ascii="Arial" w:hAnsi="Arial" w:cs="Arial"/>
        </w:rPr>
      </w:pPr>
    </w:p>
    <w:p w14:paraId="75D46E6F" w14:textId="77777777" w:rsidR="00385511" w:rsidRPr="00C272D1" w:rsidRDefault="00385511" w:rsidP="004664E2">
      <w:pPr>
        <w:jc w:val="both"/>
        <w:rPr>
          <w:rFonts w:ascii="Arial" w:hAnsi="Arial" w:cs="Arial"/>
        </w:rPr>
      </w:pPr>
    </w:p>
    <w:p w14:paraId="42902292" w14:textId="77777777" w:rsidR="00385511" w:rsidRPr="00C272D1" w:rsidRDefault="00385511" w:rsidP="004664E2">
      <w:pPr>
        <w:jc w:val="both"/>
        <w:rPr>
          <w:rFonts w:ascii="Arial" w:hAnsi="Arial" w:cs="Arial"/>
        </w:rPr>
      </w:pPr>
    </w:p>
    <w:p w14:paraId="2822D39F" w14:textId="77777777" w:rsidR="00385511" w:rsidRPr="00C272D1" w:rsidRDefault="00385511" w:rsidP="004664E2">
      <w:pPr>
        <w:jc w:val="both"/>
        <w:rPr>
          <w:rFonts w:ascii="Arial" w:hAnsi="Arial" w:cs="Arial"/>
        </w:rPr>
      </w:pPr>
    </w:p>
    <w:p w14:paraId="0A586244" w14:textId="77777777" w:rsidR="00385511" w:rsidRPr="00C272D1" w:rsidRDefault="00385511" w:rsidP="004664E2">
      <w:pPr>
        <w:jc w:val="both"/>
        <w:rPr>
          <w:rFonts w:ascii="Arial" w:hAnsi="Arial" w:cs="Arial"/>
        </w:rPr>
      </w:pPr>
    </w:p>
    <w:p w14:paraId="5C172329" w14:textId="77777777" w:rsidR="00385511" w:rsidRPr="00C272D1" w:rsidRDefault="00385511" w:rsidP="004664E2">
      <w:pPr>
        <w:jc w:val="both"/>
        <w:rPr>
          <w:rFonts w:ascii="Arial" w:hAnsi="Arial" w:cs="Arial"/>
        </w:rPr>
      </w:pPr>
    </w:p>
    <w:p w14:paraId="2182BCDD" w14:textId="77777777" w:rsidR="00CC79C4" w:rsidRPr="00C272D1" w:rsidRDefault="00CC79C4" w:rsidP="004664E2">
      <w:pPr>
        <w:jc w:val="both"/>
        <w:rPr>
          <w:rFonts w:ascii="Arial" w:hAnsi="Arial" w:cs="Arial"/>
        </w:rPr>
      </w:pPr>
    </w:p>
    <w:p w14:paraId="33495C26" w14:textId="6F971387" w:rsidR="00F0381E" w:rsidRPr="00C272D1" w:rsidRDefault="002D3F79" w:rsidP="004664E2">
      <w:pPr>
        <w:jc w:val="both"/>
        <w:rPr>
          <w:rFonts w:ascii="Arial" w:hAnsi="Arial" w:cs="Arial"/>
        </w:rPr>
      </w:pPr>
      <w:r w:rsidRPr="00C272D1">
        <w:rPr>
          <w:rFonts w:ascii="Arial" w:hAnsi="Arial" w:cs="Arial"/>
        </w:rPr>
        <w:t xml:space="preserve">In contract law, acceptance means clearly agreeing to all the terms set out in the offer, without changing any of them. For it to be valid, the acceptance </w:t>
      </w:r>
      <w:r w:rsidR="00C85641" w:rsidRPr="00C272D1">
        <w:rPr>
          <w:rFonts w:ascii="Arial" w:hAnsi="Arial" w:cs="Arial"/>
        </w:rPr>
        <w:t>must</w:t>
      </w:r>
      <w:r w:rsidRPr="00C272D1">
        <w:rPr>
          <w:rFonts w:ascii="Arial" w:hAnsi="Arial" w:cs="Arial"/>
        </w:rPr>
        <w:t xml:space="preserve"> be </w:t>
      </w:r>
      <w:r w:rsidR="00C85641" w:rsidRPr="00C272D1">
        <w:rPr>
          <w:rFonts w:ascii="Arial" w:hAnsi="Arial" w:cs="Arial"/>
        </w:rPr>
        <w:t>properly communicated to</w:t>
      </w:r>
      <w:r w:rsidRPr="00C272D1">
        <w:rPr>
          <w:rFonts w:ascii="Arial" w:hAnsi="Arial" w:cs="Arial"/>
        </w:rPr>
        <w:t xml:space="preserve"> the person who made the offer. The courts have confirmed in Butler Machine Tool Co v Ex-Cell-O Corp that the acceptance must exactly match the terms of the offer and show a clear intention to accept. Also, as seen in Entores Ltd v Miles Far East Corporation, </w:t>
      </w:r>
      <w:r w:rsidR="003C57AA" w:rsidRPr="00C272D1">
        <w:rPr>
          <w:rFonts w:ascii="Arial" w:hAnsi="Arial" w:cs="Arial"/>
        </w:rPr>
        <w:t xml:space="preserve">when using instant forms of communication like email, the acceptance only counts when it actually reaches the person who made the offer. </w:t>
      </w:r>
    </w:p>
    <w:p w14:paraId="3D93AC64" w14:textId="77777777" w:rsidR="003C57AA" w:rsidRPr="00C272D1" w:rsidRDefault="003C57AA" w:rsidP="004664E2">
      <w:pPr>
        <w:jc w:val="both"/>
        <w:rPr>
          <w:rFonts w:ascii="Arial" w:hAnsi="Arial" w:cs="Arial"/>
        </w:rPr>
      </w:pPr>
    </w:p>
    <w:p w14:paraId="48BF8ED8" w14:textId="606556DB" w:rsidR="003C57AA" w:rsidRPr="00C272D1" w:rsidRDefault="003C57AA" w:rsidP="004664E2">
      <w:pPr>
        <w:jc w:val="both"/>
        <w:rPr>
          <w:rFonts w:ascii="Arial" w:hAnsi="Arial" w:cs="Arial"/>
        </w:rPr>
      </w:pPr>
      <w:r w:rsidRPr="00C272D1">
        <w:rPr>
          <w:rFonts w:ascii="Arial" w:hAnsi="Arial" w:cs="Arial"/>
        </w:rPr>
        <w:t xml:space="preserve">In this situation, I replied to your email saying I agreed to everything you </w:t>
      </w:r>
      <w:r w:rsidR="002254B6" w:rsidRPr="00C272D1">
        <w:rPr>
          <w:rFonts w:ascii="Arial" w:hAnsi="Arial" w:cs="Arial"/>
        </w:rPr>
        <w:t>proposed and</w:t>
      </w:r>
      <w:r w:rsidRPr="00C272D1">
        <w:rPr>
          <w:rFonts w:ascii="Arial" w:hAnsi="Arial" w:cs="Arial"/>
        </w:rPr>
        <w:t xml:space="preserve"> mentioned that I would arrange payment of the deposit. This showed a clear </w:t>
      </w:r>
      <w:r w:rsidR="003323CF" w:rsidRPr="00C272D1">
        <w:rPr>
          <w:rFonts w:ascii="Arial" w:hAnsi="Arial" w:cs="Arial"/>
        </w:rPr>
        <w:t xml:space="preserve">and definite acceptance. I also went ahead and transferred the deposit shortly after, which further proved that I intended </w:t>
      </w:r>
      <w:r w:rsidR="007E5026" w:rsidRPr="00C272D1">
        <w:rPr>
          <w:rFonts w:ascii="Arial" w:hAnsi="Arial" w:cs="Arial"/>
        </w:rPr>
        <w:t xml:space="preserve">to go ahead with the agreement. According to the ruling in Thomas v </w:t>
      </w:r>
      <w:r w:rsidR="007E5026" w:rsidRPr="00C272D1">
        <w:rPr>
          <w:rFonts w:ascii="Arial" w:hAnsi="Arial" w:cs="Arial"/>
        </w:rPr>
        <w:tab/>
        <w:t xml:space="preserve">BPE Solicitors, an email is considered accepted once it </w:t>
      </w:r>
      <w:r w:rsidR="00C85641" w:rsidRPr="00C272D1">
        <w:rPr>
          <w:rFonts w:ascii="Arial" w:hAnsi="Arial" w:cs="Arial"/>
        </w:rPr>
        <w:t xml:space="preserve">is </w:t>
      </w:r>
      <w:r w:rsidR="007E5026" w:rsidRPr="00C272D1">
        <w:rPr>
          <w:rFonts w:ascii="Arial" w:hAnsi="Arial" w:cs="Arial"/>
        </w:rPr>
        <w:t>read during normal business hours. Since your offer had not been withdrawn and no deadline was given before I replied, my acceptance was valid. On top of that, the fact that you replied without objecting shows that you accepted my response, meaning we had reached a binding agreement.</w:t>
      </w:r>
    </w:p>
    <w:p w14:paraId="6600FD83" w14:textId="77777777" w:rsidR="006F10BF" w:rsidRPr="00C272D1" w:rsidRDefault="006F10BF" w:rsidP="004664E2">
      <w:pPr>
        <w:jc w:val="both"/>
        <w:rPr>
          <w:rFonts w:ascii="Arial" w:hAnsi="Arial" w:cs="Arial"/>
        </w:rPr>
      </w:pPr>
    </w:p>
    <w:p w14:paraId="5F0EA6DC" w14:textId="77777777" w:rsidR="006F10BF" w:rsidRDefault="006F10BF" w:rsidP="004664E2">
      <w:pPr>
        <w:jc w:val="both"/>
        <w:rPr>
          <w:rFonts w:ascii="Arial" w:hAnsi="Arial" w:cs="Arial"/>
        </w:rPr>
      </w:pPr>
    </w:p>
    <w:p w14:paraId="5AEF93CF" w14:textId="77777777" w:rsidR="00C272D1" w:rsidRPr="00C272D1" w:rsidRDefault="00C272D1" w:rsidP="004664E2">
      <w:pPr>
        <w:jc w:val="both"/>
        <w:rPr>
          <w:rFonts w:ascii="Arial" w:hAnsi="Arial" w:cs="Arial"/>
        </w:rPr>
      </w:pPr>
    </w:p>
    <w:p w14:paraId="4976DC0C" w14:textId="349FD31F" w:rsidR="00B61E70" w:rsidRPr="00C272D1" w:rsidRDefault="00B61E70" w:rsidP="004664E2">
      <w:pPr>
        <w:jc w:val="both"/>
        <w:rPr>
          <w:rFonts w:ascii="Arial" w:hAnsi="Arial" w:cs="Arial"/>
        </w:rPr>
      </w:pPr>
      <w:r w:rsidRPr="00C272D1">
        <w:rPr>
          <w:rFonts w:ascii="Arial" w:hAnsi="Arial" w:cs="Arial"/>
        </w:rPr>
        <w:t xml:space="preserve">However, some ambiguities arise. For example, what if your email was not </w:t>
      </w:r>
      <w:r w:rsidR="00A63B32" w:rsidRPr="00C272D1">
        <w:rPr>
          <w:rFonts w:ascii="Arial" w:hAnsi="Arial" w:cs="Arial"/>
        </w:rPr>
        <w:t xml:space="preserve">actually read during normal business hours, or was missed due to technical issues? Could my acceptance still be valid? Furthermore, what if my response included any slight changes or additional terms, would this then count as a counteroffer rather than acceptance, under Butler Machine Tool? Also, if your email did not explicitly confirm my acceptance but remained silent, could this be interpreted as no acceptance? The law often assumes silence does not constitute acceptance, so this could create uncertainty. </w:t>
      </w:r>
    </w:p>
    <w:p w14:paraId="43CC24AC" w14:textId="77777777" w:rsidR="00A63B32" w:rsidRPr="00C272D1" w:rsidRDefault="00A63B32" w:rsidP="004664E2">
      <w:pPr>
        <w:jc w:val="both"/>
        <w:rPr>
          <w:rFonts w:ascii="Arial" w:hAnsi="Arial" w:cs="Arial"/>
        </w:rPr>
      </w:pPr>
    </w:p>
    <w:p w14:paraId="02E2D8A3" w14:textId="54FE429B" w:rsidR="00A63B32" w:rsidRPr="00C272D1" w:rsidRDefault="00A63B32" w:rsidP="004664E2">
      <w:pPr>
        <w:jc w:val="both"/>
        <w:rPr>
          <w:rFonts w:ascii="Arial" w:hAnsi="Arial" w:cs="Arial"/>
        </w:rPr>
      </w:pPr>
      <w:r w:rsidRPr="00C272D1">
        <w:rPr>
          <w:rFonts w:ascii="Arial" w:hAnsi="Arial" w:cs="Arial"/>
        </w:rPr>
        <w:t>More</w:t>
      </w:r>
      <w:r w:rsidR="002254B6" w:rsidRPr="00C272D1">
        <w:rPr>
          <w:rFonts w:ascii="Arial" w:hAnsi="Arial" w:cs="Arial"/>
        </w:rPr>
        <w:t>over,</w:t>
      </w:r>
      <w:r w:rsidRPr="00C272D1">
        <w:rPr>
          <w:rFonts w:ascii="Arial" w:hAnsi="Arial" w:cs="Arial"/>
        </w:rPr>
        <w:t xml:space="preserve"> there is a question of timing. If my acceptance email arrived outside business hours, or on a weekend, would the acceptance be effective immediately or only when </w:t>
      </w:r>
      <w:r w:rsidR="0008653A" w:rsidRPr="00C272D1">
        <w:rPr>
          <w:rFonts w:ascii="Arial" w:hAnsi="Arial" w:cs="Arial"/>
        </w:rPr>
        <w:t xml:space="preserve">the email was first read? Entores suggests acceptance happens upon receipt, but what defines receipt in the context of email? Does receipt mean it lands in the inbox or when the offeror actually opens it? These questions illustrate legal ambiguities in modern contract formation via electronic communication. </w:t>
      </w:r>
    </w:p>
    <w:p w14:paraId="4075F582" w14:textId="77777777" w:rsidR="0008653A" w:rsidRPr="00C272D1" w:rsidRDefault="0008653A" w:rsidP="004664E2">
      <w:pPr>
        <w:jc w:val="both"/>
        <w:rPr>
          <w:rFonts w:ascii="Arial" w:hAnsi="Arial" w:cs="Arial"/>
        </w:rPr>
      </w:pPr>
    </w:p>
    <w:p w14:paraId="414C2BF1" w14:textId="780A0671" w:rsidR="0008653A" w:rsidRPr="00C272D1" w:rsidRDefault="0008653A" w:rsidP="004664E2">
      <w:pPr>
        <w:jc w:val="both"/>
        <w:rPr>
          <w:rFonts w:ascii="Arial" w:hAnsi="Arial" w:cs="Arial"/>
        </w:rPr>
      </w:pPr>
      <w:r w:rsidRPr="00C272D1">
        <w:rPr>
          <w:rFonts w:ascii="Arial" w:hAnsi="Arial" w:cs="Arial"/>
        </w:rPr>
        <w:t>Therefore, while facts suggest a binding agreement was reached, exploring these what if scenarios highlights how the legal rules can be interpreted differently, and why clear communication of acceptance is vital in contract law.</w:t>
      </w:r>
    </w:p>
    <w:p w14:paraId="2C6DDB5C" w14:textId="77777777" w:rsidR="00B61E70" w:rsidRPr="00C272D1" w:rsidRDefault="00B61E70" w:rsidP="004664E2">
      <w:pPr>
        <w:jc w:val="both"/>
        <w:rPr>
          <w:rFonts w:ascii="Arial" w:hAnsi="Arial" w:cs="Arial"/>
        </w:rPr>
      </w:pPr>
    </w:p>
    <w:p w14:paraId="474B2404" w14:textId="77777777" w:rsidR="00B61E70" w:rsidRPr="00C272D1" w:rsidRDefault="00B61E70" w:rsidP="004664E2">
      <w:pPr>
        <w:jc w:val="both"/>
        <w:rPr>
          <w:rFonts w:ascii="Arial" w:hAnsi="Arial" w:cs="Arial"/>
        </w:rPr>
      </w:pPr>
    </w:p>
    <w:p w14:paraId="3D1BDFDE" w14:textId="77777777" w:rsidR="00B61E70" w:rsidRPr="00C272D1" w:rsidRDefault="00B61E70" w:rsidP="004664E2">
      <w:pPr>
        <w:jc w:val="both"/>
        <w:rPr>
          <w:rFonts w:ascii="Arial" w:hAnsi="Arial" w:cs="Arial"/>
        </w:rPr>
      </w:pPr>
    </w:p>
    <w:p w14:paraId="42720EBD" w14:textId="77777777" w:rsidR="00B61E70" w:rsidRPr="00C272D1" w:rsidRDefault="00B61E70" w:rsidP="004664E2">
      <w:pPr>
        <w:jc w:val="both"/>
        <w:rPr>
          <w:rFonts w:ascii="Arial" w:hAnsi="Arial" w:cs="Arial"/>
        </w:rPr>
      </w:pPr>
    </w:p>
    <w:p w14:paraId="66AB43BD" w14:textId="77777777" w:rsidR="00B61E70" w:rsidRPr="00C272D1" w:rsidRDefault="00B61E70" w:rsidP="004664E2">
      <w:pPr>
        <w:jc w:val="both"/>
        <w:rPr>
          <w:rFonts w:ascii="Arial" w:hAnsi="Arial" w:cs="Arial"/>
        </w:rPr>
      </w:pPr>
    </w:p>
    <w:p w14:paraId="24EF5919" w14:textId="77777777" w:rsidR="00B61E70" w:rsidRPr="00C272D1" w:rsidRDefault="00B61E70" w:rsidP="004664E2">
      <w:pPr>
        <w:jc w:val="both"/>
        <w:rPr>
          <w:rFonts w:ascii="Arial" w:hAnsi="Arial" w:cs="Arial"/>
        </w:rPr>
      </w:pPr>
    </w:p>
    <w:p w14:paraId="7F1C2E6D" w14:textId="77777777" w:rsidR="00B61E70" w:rsidRPr="00C272D1" w:rsidRDefault="00B61E70" w:rsidP="004664E2">
      <w:pPr>
        <w:jc w:val="both"/>
        <w:rPr>
          <w:rFonts w:ascii="Arial" w:hAnsi="Arial" w:cs="Arial"/>
        </w:rPr>
      </w:pPr>
    </w:p>
    <w:p w14:paraId="3A0F25AC" w14:textId="77777777" w:rsidR="00B61E70" w:rsidRPr="00C272D1" w:rsidRDefault="00B61E70" w:rsidP="004664E2">
      <w:pPr>
        <w:jc w:val="both"/>
        <w:rPr>
          <w:rFonts w:ascii="Arial" w:hAnsi="Arial" w:cs="Arial"/>
        </w:rPr>
      </w:pPr>
    </w:p>
    <w:p w14:paraId="11F6FBC3" w14:textId="77777777" w:rsidR="00B61E70" w:rsidRPr="00C272D1" w:rsidRDefault="00B61E70" w:rsidP="004664E2">
      <w:pPr>
        <w:jc w:val="both"/>
        <w:rPr>
          <w:rFonts w:ascii="Arial" w:hAnsi="Arial" w:cs="Arial"/>
        </w:rPr>
      </w:pPr>
    </w:p>
    <w:p w14:paraId="1935FBB9" w14:textId="77777777" w:rsidR="006F10BF" w:rsidRPr="00C272D1" w:rsidRDefault="006F10BF" w:rsidP="004664E2">
      <w:pPr>
        <w:jc w:val="both"/>
        <w:rPr>
          <w:rFonts w:ascii="Arial" w:hAnsi="Arial" w:cs="Arial"/>
        </w:rPr>
      </w:pPr>
    </w:p>
    <w:p w14:paraId="7CFA84FF" w14:textId="77777777" w:rsidR="00C6799B" w:rsidRPr="00C272D1" w:rsidRDefault="00C6799B" w:rsidP="004664E2">
      <w:pPr>
        <w:jc w:val="both"/>
        <w:rPr>
          <w:rFonts w:ascii="Arial" w:hAnsi="Arial" w:cs="Arial"/>
        </w:rPr>
      </w:pPr>
    </w:p>
    <w:p w14:paraId="284A3C56" w14:textId="77777777" w:rsidR="00C6799B" w:rsidRPr="00C272D1" w:rsidRDefault="00C6799B" w:rsidP="004664E2">
      <w:pPr>
        <w:jc w:val="both"/>
        <w:rPr>
          <w:rFonts w:ascii="Arial" w:hAnsi="Arial" w:cs="Arial"/>
        </w:rPr>
      </w:pPr>
    </w:p>
    <w:p w14:paraId="6E3699D5" w14:textId="77777777" w:rsidR="00ED08BB" w:rsidRPr="00C272D1" w:rsidRDefault="00ED08BB" w:rsidP="004664E2">
      <w:pPr>
        <w:jc w:val="both"/>
        <w:rPr>
          <w:rFonts w:ascii="Arial" w:hAnsi="Arial" w:cs="Arial"/>
        </w:rPr>
      </w:pPr>
    </w:p>
    <w:p w14:paraId="55F86C90" w14:textId="77777777" w:rsidR="008F50B6" w:rsidRPr="00C272D1" w:rsidRDefault="008F50B6" w:rsidP="008F50B6">
      <w:pPr>
        <w:jc w:val="both"/>
        <w:rPr>
          <w:rFonts w:ascii="Arial" w:hAnsi="Arial" w:cs="Arial"/>
        </w:rPr>
      </w:pPr>
    </w:p>
    <w:p w14:paraId="6D6C6DA4" w14:textId="2C6F6B0C" w:rsidR="0008653A" w:rsidRPr="00C272D1" w:rsidRDefault="0034336B" w:rsidP="008F50B6">
      <w:pPr>
        <w:jc w:val="both"/>
        <w:rPr>
          <w:rFonts w:ascii="Arial" w:hAnsi="Arial" w:cs="Arial"/>
        </w:rPr>
      </w:pPr>
      <w:r w:rsidRPr="00C272D1">
        <w:rPr>
          <w:rFonts w:ascii="Arial" w:hAnsi="Arial" w:cs="Arial"/>
        </w:rPr>
        <w:t xml:space="preserve">In contract law, consideration means that both sides must give </w:t>
      </w:r>
      <w:r w:rsidR="005331DB" w:rsidRPr="00C272D1">
        <w:rPr>
          <w:rFonts w:ascii="Arial" w:hAnsi="Arial" w:cs="Arial"/>
        </w:rPr>
        <w:t>and</w:t>
      </w:r>
      <w:r w:rsidRPr="00C272D1">
        <w:rPr>
          <w:rFonts w:ascii="Arial" w:hAnsi="Arial" w:cs="Arial"/>
        </w:rPr>
        <w:t xml:space="preserve"> promise something of value. According to Currie v Misa [1875], this can be a benefit to the person receiving the </w:t>
      </w:r>
      <w:r w:rsidR="00AC1B4D" w:rsidRPr="00C272D1">
        <w:rPr>
          <w:rFonts w:ascii="Arial" w:hAnsi="Arial" w:cs="Arial"/>
        </w:rPr>
        <w:t xml:space="preserve">promise or a disadvantage to the person making it. In my case, the consideration was my promise to pay £500 in rent each month, along with the deposit I paid. These show that I was offering something of value in return for being allowed to rent the property. </w:t>
      </w:r>
      <w:r w:rsidR="000D7B1F" w:rsidRPr="00C272D1">
        <w:rPr>
          <w:rFonts w:ascii="Arial" w:hAnsi="Arial" w:cs="Arial"/>
        </w:rPr>
        <w:t xml:space="preserve">However, what if the payment of the deposit was seen merely as a gesture or advance negotiation, rather than binding consideration? This raises questions about timing and intent. </w:t>
      </w:r>
    </w:p>
    <w:p w14:paraId="36F25A2B" w14:textId="77777777" w:rsidR="0008653A" w:rsidRPr="00C272D1" w:rsidRDefault="0008653A" w:rsidP="008F50B6">
      <w:pPr>
        <w:jc w:val="both"/>
        <w:rPr>
          <w:rFonts w:ascii="Arial" w:hAnsi="Arial" w:cs="Arial"/>
        </w:rPr>
      </w:pPr>
    </w:p>
    <w:p w14:paraId="0647FAAC" w14:textId="77777777" w:rsidR="0008653A" w:rsidRPr="00C272D1" w:rsidRDefault="0008653A" w:rsidP="008F50B6">
      <w:pPr>
        <w:jc w:val="both"/>
        <w:rPr>
          <w:rFonts w:ascii="Arial" w:hAnsi="Arial" w:cs="Arial"/>
        </w:rPr>
      </w:pPr>
    </w:p>
    <w:p w14:paraId="441D6639" w14:textId="77777777" w:rsidR="0008653A" w:rsidRPr="00C272D1" w:rsidRDefault="0008653A" w:rsidP="008F50B6">
      <w:pPr>
        <w:jc w:val="both"/>
        <w:rPr>
          <w:rFonts w:ascii="Arial" w:hAnsi="Arial" w:cs="Arial"/>
        </w:rPr>
      </w:pPr>
    </w:p>
    <w:p w14:paraId="3DE28627" w14:textId="29BC3BF5" w:rsidR="004E638F" w:rsidRPr="00C272D1" w:rsidRDefault="004E638F" w:rsidP="008F50B6">
      <w:pPr>
        <w:jc w:val="both"/>
        <w:rPr>
          <w:rFonts w:ascii="Arial" w:hAnsi="Arial" w:cs="Arial"/>
        </w:rPr>
      </w:pPr>
      <w:r w:rsidRPr="00C272D1">
        <w:rPr>
          <w:rFonts w:ascii="Arial" w:hAnsi="Arial" w:cs="Arial"/>
        </w:rPr>
        <w:t>Thomas v Thomas [1842] also shows that even a small or symbolic payment can count as proper consideration if it is agreed on by both sides</w:t>
      </w:r>
      <w:r w:rsidR="000D7B1F" w:rsidRPr="00C272D1">
        <w:rPr>
          <w:rFonts w:ascii="Arial" w:hAnsi="Arial" w:cs="Arial"/>
        </w:rPr>
        <w:t xml:space="preserve">. You specifically requested the deposit, which implies it was a condition of consideration </w:t>
      </w:r>
      <w:r w:rsidR="002254B6" w:rsidRPr="00C272D1">
        <w:rPr>
          <w:rFonts w:ascii="Arial" w:hAnsi="Arial" w:cs="Arial"/>
        </w:rPr>
        <w:t xml:space="preserve">for the </w:t>
      </w:r>
      <w:r w:rsidR="000D7B1F" w:rsidRPr="00C272D1">
        <w:rPr>
          <w:rFonts w:ascii="Arial" w:hAnsi="Arial" w:cs="Arial"/>
        </w:rPr>
        <w:t xml:space="preserve"> formation </w:t>
      </w:r>
      <w:r w:rsidR="002254B6" w:rsidRPr="00C272D1">
        <w:rPr>
          <w:rFonts w:ascii="Arial" w:hAnsi="Arial" w:cs="Arial"/>
        </w:rPr>
        <w:t xml:space="preserve">of the </w:t>
      </w:r>
      <w:r w:rsidR="000D7B1F" w:rsidRPr="00C272D1">
        <w:rPr>
          <w:rFonts w:ascii="Arial" w:hAnsi="Arial" w:cs="Arial"/>
        </w:rPr>
        <w:t>contract. Following Pao On Lau Yiu Long [1980], even past or preparatory acts can amount to consideration if done at your request</w:t>
      </w:r>
      <w:r w:rsidR="002C4863" w:rsidRPr="00C272D1">
        <w:rPr>
          <w:rFonts w:ascii="Arial" w:hAnsi="Arial" w:cs="Arial"/>
        </w:rPr>
        <w:t xml:space="preserve">. Still, ambiguity could arise, for example what if the deposit has been paid before any agreement on rent? Would that still count as consideration, or just a voluntary payment? These questions highlight how context matters, and support the argument that, here, the deposit was part of a mutual exchange confirming intention to contract. </w:t>
      </w:r>
    </w:p>
    <w:p w14:paraId="31E6880F" w14:textId="77777777" w:rsidR="008F50B6" w:rsidRPr="00C272D1" w:rsidRDefault="008F50B6" w:rsidP="008F50B6">
      <w:pPr>
        <w:jc w:val="both"/>
        <w:rPr>
          <w:rFonts w:ascii="Arial" w:hAnsi="Arial" w:cs="Arial"/>
        </w:rPr>
      </w:pPr>
    </w:p>
    <w:p w14:paraId="0511CCCD" w14:textId="77777777" w:rsidR="008F50B6" w:rsidRPr="00C272D1" w:rsidRDefault="008F50B6" w:rsidP="008F50B6">
      <w:pPr>
        <w:jc w:val="both"/>
        <w:rPr>
          <w:rFonts w:ascii="Arial" w:hAnsi="Arial" w:cs="Arial"/>
        </w:rPr>
      </w:pPr>
    </w:p>
    <w:p w14:paraId="29F22885" w14:textId="77777777" w:rsidR="008F50B6" w:rsidRPr="00C272D1" w:rsidRDefault="008F50B6" w:rsidP="008F50B6">
      <w:pPr>
        <w:jc w:val="both"/>
        <w:rPr>
          <w:rFonts w:ascii="Arial" w:hAnsi="Arial" w:cs="Arial"/>
        </w:rPr>
      </w:pPr>
    </w:p>
    <w:p w14:paraId="6A108105" w14:textId="77777777" w:rsidR="000E3621" w:rsidRPr="00C272D1" w:rsidRDefault="000E3621" w:rsidP="008F50B6">
      <w:pPr>
        <w:jc w:val="both"/>
        <w:rPr>
          <w:rFonts w:ascii="Arial" w:hAnsi="Arial" w:cs="Arial"/>
        </w:rPr>
      </w:pPr>
    </w:p>
    <w:p w14:paraId="623261C1" w14:textId="77777777" w:rsidR="008F50B6" w:rsidRPr="00C272D1" w:rsidRDefault="008F50B6" w:rsidP="008F50B6">
      <w:pPr>
        <w:jc w:val="both"/>
        <w:rPr>
          <w:rFonts w:ascii="Arial" w:hAnsi="Arial" w:cs="Arial"/>
        </w:rPr>
      </w:pPr>
    </w:p>
    <w:p w14:paraId="545AE80D" w14:textId="77777777" w:rsidR="00F70EEF" w:rsidRPr="00C272D1" w:rsidRDefault="00F70EEF" w:rsidP="008F50B6">
      <w:pPr>
        <w:jc w:val="both"/>
        <w:rPr>
          <w:rFonts w:ascii="Arial" w:hAnsi="Arial" w:cs="Arial"/>
        </w:rPr>
      </w:pPr>
    </w:p>
    <w:p w14:paraId="28D0FB49" w14:textId="5EEB4809" w:rsidR="00601414" w:rsidRPr="00C272D1" w:rsidRDefault="00F70EEF" w:rsidP="008F50B6">
      <w:pPr>
        <w:jc w:val="both"/>
        <w:rPr>
          <w:rFonts w:ascii="Arial" w:hAnsi="Arial" w:cs="Arial"/>
        </w:rPr>
      </w:pPr>
      <w:r w:rsidRPr="00C272D1">
        <w:rPr>
          <w:rFonts w:ascii="Arial" w:hAnsi="Arial" w:cs="Arial"/>
        </w:rPr>
        <w:t>For any contract to be valid, both people involved must genuinely intend to create legal obligations. This is especially important in business settings, including rental agreements. Courts usually assume that if two adults are entering into a rental arrangement involving money, like ours, then both of them meant for it to be legally binding. In Merritt v Merritt [1970], the court made it clear that when people deal with each other in a formal or business context such as financial agree</w:t>
      </w:r>
      <w:r w:rsidR="00601414" w:rsidRPr="00C272D1">
        <w:rPr>
          <w:rFonts w:ascii="Arial" w:hAnsi="Arial" w:cs="Arial"/>
        </w:rPr>
        <w:t xml:space="preserve">ments between separated spouses, it is reasonable to assume they intended legal consequences. This differs from purely social or informal settings like in Balfour v Balfour [1919], where a husband’s promise to pay his wife was not enforceable because it was made during a friendly domestic arrangement. </w:t>
      </w:r>
    </w:p>
    <w:p w14:paraId="7E97E85D" w14:textId="77777777" w:rsidR="00601414" w:rsidRPr="00C272D1" w:rsidRDefault="00601414" w:rsidP="008F50B6">
      <w:pPr>
        <w:jc w:val="both"/>
        <w:rPr>
          <w:rFonts w:ascii="Arial" w:hAnsi="Arial" w:cs="Arial"/>
        </w:rPr>
      </w:pPr>
    </w:p>
    <w:p w14:paraId="18A95A80" w14:textId="77777777" w:rsidR="00601414" w:rsidRPr="00C272D1" w:rsidRDefault="00601414" w:rsidP="008F50B6">
      <w:pPr>
        <w:jc w:val="both"/>
        <w:rPr>
          <w:rFonts w:ascii="Arial" w:hAnsi="Arial" w:cs="Arial"/>
        </w:rPr>
      </w:pPr>
    </w:p>
    <w:p w14:paraId="21054884" w14:textId="79C934B3" w:rsidR="00F70EEF" w:rsidRPr="00C272D1" w:rsidRDefault="00601414" w:rsidP="008F50B6">
      <w:pPr>
        <w:jc w:val="both"/>
        <w:rPr>
          <w:rFonts w:ascii="Arial" w:hAnsi="Arial" w:cs="Arial"/>
        </w:rPr>
      </w:pPr>
      <w:r w:rsidRPr="00C272D1">
        <w:rPr>
          <w:rFonts w:ascii="Arial" w:hAnsi="Arial" w:cs="Arial"/>
        </w:rPr>
        <w:t>In our case, the deal was clearly business-related. You offered to let the flat for a monthly rent of £500, and I agreed and paid a deposit. These actions especially the deposit payment suggest that both</w:t>
      </w:r>
      <w:r w:rsidR="00FF7743" w:rsidRPr="00C272D1">
        <w:rPr>
          <w:rFonts w:ascii="Arial" w:hAnsi="Arial" w:cs="Arial"/>
        </w:rPr>
        <w:t xml:space="preserve"> of us expected the agreement to be legally binding. But what if our email messages ha</w:t>
      </w:r>
      <w:r w:rsidR="002254B6" w:rsidRPr="00C272D1">
        <w:rPr>
          <w:rFonts w:ascii="Arial" w:hAnsi="Arial" w:cs="Arial"/>
        </w:rPr>
        <w:t>ve</w:t>
      </w:r>
      <w:r w:rsidR="00FF7743" w:rsidRPr="00C272D1">
        <w:rPr>
          <w:rFonts w:ascii="Arial" w:hAnsi="Arial" w:cs="Arial"/>
        </w:rPr>
        <w:t xml:space="preserve"> been less clear or said something like “Let’s keep in touch” or “ Nothing is final yet</w:t>
      </w:r>
      <w:r w:rsidR="0006582A" w:rsidRPr="00C272D1">
        <w:rPr>
          <w:rFonts w:ascii="Arial" w:hAnsi="Arial" w:cs="Arial"/>
        </w:rPr>
        <w:t>”? That might suggest it was only a discussion, not a formal contract. Co</w:t>
      </w:r>
      <w:r w:rsidR="008E3CD9" w:rsidRPr="00C272D1">
        <w:rPr>
          <w:rFonts w:ascii="Arial" w:hAnsi="Arial" w:cs="Arial"/>
        </w:rPr>
        <w:t>urts</w:t>
      </w:r>
      <w:r w:rsidR="0006582A" w:rsidRPr="00C272D1">
        <w:rPr>
          <w:rFonts w:ascii="Arial" w:hAnsi="Arial" w:cs="Arial"/>
        </w:rPr>
        <w:t xml:space="preserve"> look at the overall context, including wording and behaviour, </w:t>
      </w:r>
      <w:r w:rsidR="0006582A" w:rsidRPr="00C272D1">
        <w:rPr>
          <w:rFonts w:ascii="Arial" w:hAnsi="Arial" w:cs="Arial"/>
        </w:rPr>
        <w:lastRenderedPageBreak/>
        <w:t xml:space="preserve">so if either of us had said we’d only be bound after signing a written agreement, that could have changed things. </w:t>
      </w:r>
    </w:p>
    <w:p w14:paraId="738CFB7C" w14:textId="77777777" w:rsidR="0006582A" w:rsidRPr="00C272D1" w:rsidRDefault="0006582A" w:rsidP="008F50B6">
      <w:pPr>
        <w:jc w:val="both"/>
        <w:rPr>
          <w:rFonts w:ascii="Arial" w:hAnsi="Arial" w:cs="Arial"/>
        </w:rPr>
      </w:pPr>
    </w:p>
    <w:p w14:paraId="520C3E86" w14:textId="36F7A33A" w:rsidR="00C34128" w:rsidRPr="00C272D1" w:rsidRDefault="0006582A" w:rsidP="008F50B6">
      <w:pPr>
        <w:jc w:val="both"/>
        <w:rPr>
          <w:rFonts w:ascii="Arial" w:hAnsi="Arial" w:cs="Arial"/>
        </w:rPr>
      </w:pPr>
      <w:r w:rsidRPr="00C272D1">
        <w:rPr>
          <w:rFonts w:ascii="Arial" w:hAnsi="Arial" w:cs="Arial"/>
        </w:rPr>
        <w:t>As for capacity to contract, the law assumes adults can make legal agreements unless there is proof they could not understand what the</w:t>
      </w:r>
      <w:r w:rsidR="002254B6" w:rsidRPr="00C272D1">
        <w:rPr>
          <w:rFonts w:ascii="Arial" w:hAnsi="Arial" w:cs="Arial"/>
        </w:rPr>
        <w:t>y</w:t>
      </w:r>
      <w:r w:rsidRPr="00C272D1">
        <w:rPr>
          <w:rFonts w:ascii="Arial" w:hAnsi="Arial" w:cs="Arial"/>
        </w:rPr>
        <w:t xml:space="preserve"> were doing. This means we both needed to be over 18, mentally capable, and not forced into the agreement. There is no sign that either of us lacked capacity, we both communicated freely, you were the legal owner, and I agreed without any pressure. Still, what if one of us had been under pressure or unable to understand the contract? In that case, the contract might not have been valid, especially under rules like those confirmed in Royal Bank of Scotland v Etridge [2001], where </w:t>
      </w:r>
      <w:r w:rsidR="00C34128" w:rsidRPr="00C272D1">
        <w:rPr>
          <w:rFonts w:ascii="Arial" w:hAnsi="Arial" w:cs="Arial"/>
        </w:rPr>
        <w:t xml:space="preserve">undue influence can make a contract voidable. </w:t>
      </w:r>
    </w:p>
    <w:p w14:paraId="25D7331F" w14:textId="77777777" w:rsidR="00C34128" w:rsidRPr="00C272D1" w:rsidRDefault="00C34128" w:rsidP="008F50B6">
      <w:pPr>
        <w:jc w:val="both"/>
        <w:rPr>
          <w:rFonts w:ascii="Arial" w:hAnsi="Arial" w:cs="Arial"/>
        </w:rPr>
      </w:pPr>
    </w:p>
    <w:p w14:paraId="2A8E0005" w14:textId="77777777" w:rsidR="00C34128" w:rsidRPr="00C272D1" w:rsidRDefault="00C34128" w:rsidP="008F50B6">
      <w:pPr>
        <w:jc w:val="both"/>
        <w:rPr>
          <w:rFonts w:ascii="Arial" w:hAnsi="Arial" w:cs="Arial"/>
        </w:rPr>
      </w:pPr>
    </w:p>
    <w:p w14:paraId="2F737FEF" w14:textId="77777777" w:rsidR="00C34128" w:rsidRPr="00C272D1" w:rsidRDefault="00C34128" w:rsidP="008F50B6">
      <w:pPr>
        <w:jc w:val="both"/>
        <w:rPr>
          <w:rFonts w:ascii="Arial" w:hAnsi="Arial" w:cs="Arial"/>
        </w:rPr>
      </w:pPr>
    </w:p>
    <w:p w14:paraId="585F49F2" w14:textId="527E8F96" w:rsidR="008F50B6" w:rsidRPr="00C272D1" w:rsidRDefault="00C34128" w:rsidP="008F50B6">
      <w:pPr>
        <w:jc w:val="both"/>
        <w:rPr>
          <w:rFonts w:ascii="Arial" w:hAnsi="Arial" w:cs="Arial"/>
        </w:rPr>
      </w:pPr>
      <w:r w:rsidRPr="00C272D1">
        <w:rPr>
          <w:rFonts w:ascii="Arial" w:hAnsi="Arial" w:cs="Arial"/>
        </w:rPr>
        <w:t>So overall, both legal intention and capacity appear to be satisfied in our situation, but it is important to recognise that these are not automatic. Counts assess the facts, language, and behaviour of the people involved. If those had been different, the outcome could be too.</w:t>
      </w:r>
    </w:p>
    <w:p w14:paraId="76917DE3" w14:textId="77777777" w:rsidR="00A83005" w:rsidRPr="00C272D1" w:rsidRDefault="00A83005" w:rsidP="004664E2">
      <w:pPr>
        <w:jc w:val="both"/>
        <w:rPr>
          <w:rFonts w:ascii="Arial" w:hAnsi="Arial" w:cs="Arial"/>
        </w:rPr>
      </w:pPr>
    </w:p>
    <w:p w14:paraId="3793EAAF" w14:textId="77777777" w:rsidR="00A83005" w:rsidRPr="00C272D1" w:rsidRDefault="00A83005" w:rsidP="004664E2">
      <w:pPr>
        <w:jc w:val="both"/>
        <w:rPr>
          <w:rFonts w:ascii="Arial" w:hAnsi="Arial" w:cs="Arial"/>
        </w:rPr>
      </w:pPr>
    </w:p>
    <w:p w14:paraId="4B45D5F4" w14:textId="77777777" w:rsidR="00A83005" w:rsidRPr="00C272D1" w:rsidRDefault="00A83005" w:rsidP="004664E2">
      <w:pPr>
        <w:jc w:val="both"/>
        <w:rPr>
          <w:rFonts w:ascii="Arial" w:hAnsi="Arial" w:cs="Arial"/>
        </w:rPr>
      </w:pPr>
    </w:p>
    <w:p w14:paraId="675C62E7" w14:textId="77777777" w:rsidR="00A83005" w:rsidRPr="00C272D1" w:rsidRDefault="00A83005" w:rsidP="004664E2">
      <w:pPr>
        <w:jc w:val="both"/>
        <w:rPr>
          <w:rFonts w:ascii="Arial" w:hAnsi="Arial" w:cs="Arial"/>
        </w:rPr>
      </w:pPr>
    </w:p>
    <w:p w14:paraId="1C72148F" w14:textId="77777777" w:rsidR="001D3146" w:rsidRPr="00C272D1" w:rsidRDefault="001D3146" w:rsidP="004664E2">
      <w:pPr>
        <w:jc w:val="both"/>
        <w:rPr>
          <w:rFonts w:ascii="Arial" w:hAnsi="Arial" w:cs="Arial"/>
        </w:rPr>
      </w:pPr>
    </w:p>
    <w:p w14:paraId="0320685E" w14:textId="4D7BFE05" w:rsidR="001D3146" w:rsidRPr="00C272D1" w:rsidRDefault="001D3146" w:rsidP="004664E2">
      <w:pPr>
        <w:jc w:val="both"/>
        <w:rPr>
          <w:rFonts w:ascii="Arial" w:hAnsi="Arial" w:cs="Arial"/>
        </w:rPr>
      </w:pPr>
      <w:r w:rsidRPr="00C272D1">
        <w:rPr>
          <w:rFonts w:ascii="Arial" w:hAnsi="Arial" w:cs="Arial"/>
        </w:rPr>
        <w:t>Payne v. Cave (1789)</w:t>
      </w:r>
    </w:p>
    <w:p w14:paraId="563FC69E" w14:textId="77777777" w:rsidR="001D3146" w:rsidRPr="00C272D1" w:rsidRDefault="001D3146" w:rsidP="004664E2">
      <w:pPr>
        <w:jc w:val="both"/>
        <w:rPr>
          <w:rFonts w:ascii="Arial" w:hAnsi="Arial" w:cs="Arial"/>
        </w:rPr>
      </w:pPr>
    </w:p>
    <w:p w14:paraId="314DE2E4" w14:textId="392E8864" w:rsidR="002B6B7D" w:rsidRPr="00C272D1" w:rsidRDefault="002B6B7D" w:rsidP="004664E2">
      <w:pPr>
        <w:jc w:val="both"/>
        <w:rPr>
          <w:rFonts w:ascii="Arial" w:hAnsi="Arial" w:cs="Arial"/>
        </w:rPr>
      </w:pPr>
      <w:r w:rsidRPr="00C272D1">
        <w:rPr>
          <w:rFonts w:ascii="Arial" w:hAnsi="Arial" w:cs="Arial"/>
        </w:rPr>
        <w:t>The court determined that a seller has the right to withdraw an offer prior to acceptance in Payne v. Cave. However, once an offer has been accepted, it cannot be withdrawn. In our case, after I accepted you</w:t>
      </w:r>
      <w:r w:rsidR="002254B6" w:rsidRPr="00C272D1">
        <w:rPr>
          <w:rFonts w:ascii="Arial" w:hAnsi="Arial" w:cs="Arial"/>
        </w:rPr>
        <w:t>r</w:t>
      </w:r>
      <w:r w:rsidRPr="00C272D1">
        <w:rPr>
          <w:rFonts w:ascii="Arial" w:hAnsi="Arial" w:cs="Arial"/>
        </w:rPr>
        <w:t xml:space="preserve"> offer and made the deposit payment, you could no longer revoke the offer or rent the flat to someone else. My acceptance and the payment of the deposit constitute</w:t>
      </w:r>
      <w:r w:rsidR="002254B6" w:rsidRPr="00C272D1">
        <w:rPr>
          <w:rFonts w:ascii="Arial" w:hAnsi="Arial" w:cs="Arial"/>
        </w:rPr>
        <w:t>s</w:t>
      </w:r>
      <w:r w:rsidRPr="00C272D1">
        <w:rPr>
          <w:rFonts w:ascii="Arial" w:hAnsi="Arial" w:cs="Arial"/>
        </w:rPr>
        <w:t xml:space="preserve"> a legally binding agreement.</w:t>
      </w:r>
    </w:p>
    <w:p w14:paraId="48F59136" w14:textId="77777777" w:rsidR="002B6B7D" w:rsidRPr="00C272D1" w:rsidRDefault="002B6B7D" w:rsidP="004664E2">
      <w:pPr>
        <w:jc w:val="both"/>
        <w:rPr>
          <w:rFonts w:ascii="Arial" w:hAnsi="Arial" w:cs="Arial"/>
        </w:rPr>
      </w:pPr>
    </w:p>
    <w:p w14:paraId="513AB1B3" w14:textId="77777777" w:rsidR="002B6B7D" w:rsidRPr="00C272D1" w:rsidRDefault="002B6B7D" w:rsidP="004664E2">
      <w:pPr>
        <w:jc w:val="both"/>
        <w:rPr>
          <w:rFonts w:ascii="Arial" w:hAnsi="Arial" w:cs="Arial"/>
        </w:rPr>
      </w:pPr>
    </w:p>
    <w:p w14:paraId="08B05681" w14:textId="69DF62F5" w:rsidR="002B6B7D" w:rsidRPr="00C272D1" w:rsidRDefault="002B6B7D" w:rsidP="004664E2">
      <w:pPr>
        <w:jc w:val="both"/>
        <w:rPr>
          <w:rFonts w:ascii="Arial" w:hAnsi="Arial" w:cs="Arial"/>
        </w:rPr>
      </w:pPr>
      <w:r w:rsidRPr="00C272D1">
        <w:rPr>
          <w:rFonts w:ascii="Arial" w:hAnsi="Arial" w:cs="Arial"/>
        </w:rPr>
        <w:t>Stevenson v. McLean (1880)</w:t>
      </w:r>
    </w:p>
    <w:p w14:paraId="076DEB88" w14:textId="77777777" w:rsidR="002B6B7D" w:rsidRPr="00C272D1" w:rsidRDefault="002B6B7D" w:rsidP="004664E2">
      <w:pPr>
        <w:jc w:val="both"/>
        <w:rPr>
          <w:rFonts w:ascii="Arial" w:hAnsi="Arial" w:cs="Arial"/>
        </w:rPr>
      </w:pPr>
    </w:p>
    <w:p w14:paraId="31E5E088" w14:textId="01ECC806" w:rsidR="002B6B7D" w:rsidRPr="00C272D1" w:rsidRDefault="00B4715D" w:rsidP="004664E2">
      <w:pPr>
        <w:jc w:val="both"/>
        <w:rPr>
          <w:rFonts w:ascii="Arial" w:hAnsi="Arial" w:cs="Arial"/>
        </w:rPr>
      </w:pPr>
      <w:r w:rsidRPr="00C272D1">
        <w:rPr>
          <w:rFonts w:ascii="Arial" w:hAnsi="Arial" w:cs="Arial"/>
        </w:rPr>
        <w:t>The court determined that if an offer is accepted and consideration is given, a contract is created in Stevenson v. McLean. In this case, I accepted your offer and paid the deposit, which constituted the consideration. Once this occurred, a binding contract was formed, and you were legally obligated to honour the agreement.</w:t>
      </w:r>
    </w:p>
    <w:p w14:paraId="005B47C3" w14:textId="77777777" w:rsidR="00B4715D" w:rsidRPr="00C272D1" w:rsidRDefault="00B4715D" w:rsidP="004664E2">
      <w:pPr>
        <w:jc w:val="both"/>
        <w:rPr>
          <w:rFonts w:ascii="Arial" w:hAnsi="Arial" w:cs="Arial"/>
        </w:rPr>
      </w:pPr>
    </w:p>
    <w:p w14:paraId="55A83927" w14:textId="77777777" w:rsidR="00B4715D" w:rsidRPr="00C272D1" w:rsidRDefault="00B4715D" w:rsidP="004664E2">
      <w:pPr>
        <w:jc w:val="both"/>
        <w:rPr>
          <w:rFonts w:ascii="Arial" w:hAnsi="Arial" w:cs="Arial"/>
        </w:rPr>
      </w:pPr>
    </w:p>
    <w:p w14:paraId="3FA50279" w14:textId="27BBA894" w:rsidR="00B4715D" w:rsidRPr="00C272D1" w:rsidRDefault="00B4715D" w:rsidP="004664E2">
      <w:pPr>
        <w:jc w:val="both"/>
        <w:rPr>
          <w:rFonts w:ascii="Arial" w:hAnsi="Arial" w:cs="Arial"/>
        </w:rPr>
      </w:pPr>
      <w:r w:rsidRPr="00C272D1">
        <w:rPr>
          <w:rFonts w:ascii="Arial" w:hAnsi="Arial" w:cs="Arial"/>
        </w:rPr>
        <w:t>Bray v. Ford (1896)</w:t>
      </w:r>
    </w:p>
    <w:p w14:paraId="302ACBDB" w14:textId="77777777" w:rsidR="004F6EC7" w:rsidRPr="00C272D1" w:rsidRDefault="004F6EC7" w:rsidP="004664E2">
      <w:pPr>
        <w:jc w:val="both"/>
        <w:rPr>
          <w:rFonts w:ascii="Arial" w:hAnsi="Arial" w:cs="Arial"/>
        </w:rPr>
      </w:pPr>
    </w:p>
    <w:p w14:paraId="5FBB2CA6" w14:textId="2281CFA6" w:rsidR="00B4715D" w:rsidRPr="00C272D1" w:rsidRDefault="00B4715D" w:rsidP="004664E2">
      <w:pPr>
        <w:jc w:val="both"/>
        <w:rPr>
          <w:rFonts w:ascii="Arial" w:hAnsi="Arial" w:cs="Arial"/>
        </w:rPr>
      </w:pPr>
      <w:r w:rsidRPr="00C272D1">
        <w:rPr>
          <w:rFonts w:ascii="Arial" w:hAnsi="Arial" w:cs="Arial"/>
        </w:rPr>
        <w:t>The case of Bray v. Ford reinforced that verbal agreements can be legally binding, especially when the terms are clear and the parties act on those terms. In our case, the verbal agreement made during our meeting, followed by the confirmation via email, suggests that we entered into a binding contract. The depo</w:t>
      </w:r>
      <w:r w:rsidR="00C76043" w:rsidRPr="00C272D1">
        <w:rPr>
          <w:rFonts w:ascii="Arial" w:hAnsi="Arial" w:cs="Arial"/>
        </w:rPr>
        <w:t>sit serves as further evidence of our int</w:t>
      </w:r>
      <w:r w:rsidR="00F52A64" w:rsidRPr="00C272D1">
        <w:rPr>
          <w:rFonts w:ascii="Arial" w:hAnsi="Arial" w:cs="Arial"/>
        </w:rPr>
        <w:t>ention</w:t>
      </w:r>
      <w:r w:rsidR="00C76043" w:rsidRPr="00C272D1">
        <w:rPr>
          <w:rFonts w:ascii="Arial" w:hAnsi="Arial" w:cs="Arial"/>
        </w:rPr>
        <w:t xml:space="preserve"> to enter into a contract.</w:t>
      </w:r>
    </w:p>
    <w:p w14:paraId="713E551D" w14:textId="77777777" w:rsidR="00C76043" w:rsidRPr="00C272D1" w:rsidRDefault="00C76043" w:rsidP="004664E2">
      <w:pPr>
        <w:jc w:val="both"/>
        <w:rPr>
          <w:rFonts w:ascii="Arial" w:hAnsi="Arial" w:cs="Arial"/>
        </w:rPr>
      </w:pPr>
    </w:p>
    <w:p w14:paraId="59246847" w14:textId="77777777" w:rsidR="00C76043" w:rsidRPr="00C272D1" w:rsidRDefault="00C76043" w:rsidP="004664E2">
      <w:pPr>
        <w:jc w:val="both"/>
        <w:rPr>
          <w:rFonts w:ascii="Arial" w:hAnsi="Arial" w:cs="Arial"/>
        </w:rPr>
      </w:pPr>
    </w:p>
    <w:p w14:paraId="31302D1C" w14:textId="77777777" w:rsidR="00C31188" w:rsidRPr="00C272D1" w:rsidRDefault="00C31188" w:rsidP="004664E2">
      <w:pPr>
        <w:jc w:val="both"/>
        <w:rPr>
          <w:rFonts w:ascii="Arial" w:hAnsi="Arial" w:cs="Arial"/>
        </w:rPr>
      </w:pPr>
    </w:p>
    <w:p w14:paraId="65822A8E" w14:textId="77777777" w:rsidR="00C76043" w:rsidRPr="00C272D1" w:rsidRDefault="00C76043" w:rsidP="004664E2">
      <w:pPr>
        <w:jc w:val="both"/>
        <w:rPr>
          <w:rFonts w:ascii="Arial" w:hAnsi="Arial" w:cs="Arial"/>
        </w:rPr>
      </w:pPr>
    </w:p>
    <w:p w14:paraId="25D5B0E1" w14:textId="5DDFE338" w:rsidR="004664E2" w:rsidRPr="00C272D1" w:rsidRDefault="003D549D" w:rsidP="004664E2">
      <w:pPr>
        <w:jc w:val="both"/>
        <w:rPr>
          <w:rFonts w:ascii="Arial" w:hAnsi="Arial" w:cs="Arial"/>
        </w:rPr>
      </w:pPr>
      <w:r w:rsidRPr="00C272D1">
        <w:rPr>
          <w:rFonts w:ascii="Arial" w:hAnsi="Arial" w:cs="Arial"/>
        </w:rPr>
        <w:lastRenderedPageBreak/>
        <w:t xml:space="preserve">In conclusion, after carefully examining our interactions, I believe that all five key elements required for a legally binding contract offer, acceptance, consideration, intention to create legal relations, and capacity were clearly present. You made a specific offer, I accepted that offer without changes, I paid the agreed deposit as consideration, and both our actions showed a clear intention to form a legal agreement. As a result, I am confident that a valid contract was formed. </w:t>
      </w:r>
    </w:p>
    <w:p w14:paraId="76FD8B1F" w14:textId="77777777" w:rsidR="003D549D" w:rsidRPr="00C272D1" w:rsidRDefault="003D549D" w:rsidP="004664E2">
      <w:pPr>
        <w:jc w:val="both"/>
        <w:rPr>
          <w:rFonts w:ascii="Arial" w:hAnsi="Arial" w:cs="Arial"/>
        </w:rPr>
      </w:pPr>
    </w:p>
    <w:p w14:paraId="5DF39ACA" w14:textId="5ECE6209" w:rsidR="003D549D" w:rsidRPr="00C272D1" w:rsidRDefault="003D549D" w:rsidP="004664E2">
      <w:pPr>
        <w:jc w:val="both"/>
        <w:rPr>
          <w:rFonts w:ascii="Arial" w:hAnsi="Arial" w:cs="Arial"/>
        </w:rPr>
      </w:pPr>
      <w:r w:rsidRPr="00C272D1">
        <w:rPr>
          <w:rFonts w:ascii="Arial" w:hAnsi="Arial" w:cs="Arial"/>
        </w:rPr>
        <w:t>Your decision to rent the flat to someone else after I accepted and paid the deposit</w:t>
      </w:r>
      <w:r w:rsidR="00F52A64" w:rsidRPr="00C272D1">
        <w:rPr>
          <w:rFonts w:ascii="Arial" w:hAnsi="Arial" w:cs="Arial"/>
        </w:rPr>
        <w:t xml:space="preserve"> </w:t>
      </w:r>
      <w:r w:rsidRPr="00C272D1">
        <w:rPr>
          <w:rFonts w:ascii="Arial" w:hAnsi="Arial" w:cs="Arial"/>
        </w:rPr>
        <w:t xml:space="preserve"> amounts to a breach of that agreement. This situation has caused me financial inconvenience and disappointment. I am now asking that you refund the full deposit, provide compensation for any additional costs I</w:t>
      </w:r>
      <w:r w:rsidR="008E3CD9" w:rsidRPr="00C272D1">
        <w:rPr>
          <w:rFonts w:ascii="Arial" w:hAnsi="Arial" w:cs="Arial"/>
        </w:rPr>
        <w:t xml:space="preserve"> have had to cover, and confirm in writing that acknowledge this breach. </w:t>
      </w:r>
    </w:p>
    <w:p w14:paraId="7F29F1D0" w14:textId="77777777" w:rsidR="008E3CD9" w:rsidRPr="00C272D1" w:rsidRDefault="008E3CD9" w:rsidP="004664E2">
      <w:pPr>
        <w:jc w:val="both"/>
        <w:rPr>
          <w:rFonts w:ascii="Arial" w:hAnsi="Arial" w:cs="Arial"/>
        </w:rPr>
      </w:pPr>
    </w:p>
    <w:p w14:paraId="28645281" w14:textId="042DA4D5" w:rsidR="008E3CD9" w:rsidRPr="00C272D1" w:rsidRDefault="008E3CD9" w:rsidP="004664E2">
      <w:pPr>
        <w:jc w:val="both"/>
        <w:rPr>
          <w:rFonts w:ascii="Arial" w:hAnsi="Arial" w:cs="Arial"/>
        </w:rPr>
      </w:pPr>
      <w:r w:rsidRPr="00C272D1">
        <w:rPr>
          <w:rFonts w:ascii="Arial" w:hAnsi="Arial" w:cs="Arial"/>
        </w:rPr>
        <w:t>I hope this matter can be resolved fairly and quickly without the need for further legal action.</w:t>
      </w:r>
    </w:p>
    <w:p w14:paraId="2A1775C9" w14:textId="77777777" w:rsidR="004664E2" w:rsidRPr="00C272D1" w:rsidRDefault="004664E2" w:rsidP="004664E2">
      <w:pPr>
        <w:jc w:val="both"/>
        <w:rPr>
          <w:rFonts w:ascii="Arial" w:hAnsi="Arial" w:cs="Arial"/>
        </w:rPr>
      </w:pPr>
    </w:p>
    <w:p w14:paraId="3855EEAB" w14:textId="77777777" w:rsidR="00C97016" w:rsidRPr="00C272D1" w:rsidRDefault="00C97016" w:rsidP="004664E2">
      <w:pPr>
        <w:jc w:val="both"/>
        <w:rPr>
          <w:rFonts w:ascii="Arial" w:hAnsi="Arial" w:cs="Arial"/>
        </w:rPr>
      </w:pPr>
    </w:p>
    <w:p w14:paraId="2CC70E87" w14:textId="77777777" w:rsidR="00C97016" w:rsidRPr="00C272D1" w:rsidRDefault="00C97016" w:rsidP="004664E2">
      <w:pPr>
        <w:jc w:val="both"/>
        <w:rPr>
          <w:rFonts w:ascii="Arial" w:hAnsi="Arial" w:cs="Arial"/>
        </w:rPr>
      </w:pPr>
    </w:p>
    <w:p w14:paraId="5A80A528" w14:textId="77777777" w:rsidR="004664E2" w:rsidRPr="00C272D1" w:rsidRDefault="004664E2" w:rsidP="004664E2">
      <w:pPr>
        <w:jc w:val="both"/>
        <w:rPr>
          <w:rFonts w:ascii="Arial" w:hAnsi="Arial" w:cs="Arial"/>
        </w:rPr>
      </w:pPr>
    </w:p>
    <w:p w14:paraId="650642F1" w14:textId="77777777" w:rsidR="004664E2" w:rsidRPr="00C272D1" w:rsidRDefault="004664E2" w:rsidP="004664E2">
      <w:pPr>
        <w:jc w:val="both"/>
        <w:rPr>
          <w:rFonts w:ascii="Arial" w:hAnsi="Arial" w:cs="Arial"/>
        </w:rPr>
      </w:pPr>
    </w:p>
    <w:p w14:paraId="355AE317" w14:textId="77777777" w:rsidR="004664E2" w:rsidRPr="00C272D1" w:rsidRDefault="004664E2" w:rsidP="004664E2">
      <w:pPr>
        <w:jc w:val="both"/>
        <w:rPr>
          <w:rFonts w:ascii="Arial" w:hAnsi="Arial" w:cs="Arial"/>
        </w:rPr>
      </w:pPr>
    </w:p>
    <w:p w14:paraId="640A17BD" w14:textId="2F71A1DA" w:rsidR="00C97016" w:rsidRPr="00C272D1" w:rsidRDefault="00C97016" w:rsidP="004664E2">
      <w:pPr>
        <w:jc w:val="both"/>
        <w:rPr>
          <w:rFonts w:ascii="Arial" w:hAnsi="Arial" w:cs="Arial"/>
        </w:rPr>
      </w:pPr>
      <w:r w:rsidRPr="00C272D1">
        <w:rPr>
          <w:rFonts w:ascii="Arial" w:hAnsi="Arial" w:cs="Arial"/>
        </w:rPr>
        <w:t>Yours sincerely,</w:t>
      </w:r>
    </w:p>
    <w:p w14:paraId="73721F01" w14:textId="1E6234A5" w:rsidR="00C97016" w:rsidRPr="00C272D1" w:rsidRDefault="00C97016" w:rsidP="004664E2">
      <w:pPr>
        <w:jc w:val="both"/>
        <w:rPr>
          <w:rFonts w:ascii="Arial" w:hAnsi="Arial" w:cs="Arial"/>
        </w:rPr>
      </w:pPr>
      <w:r w:rsidRPr="00C272D1">
        <w:rPr>
          <w:rFonts w:ascii="Arial" w:hAnsi="Arial" w:cs="Arial"/>
        </w:rPr>
        <w:t>Jane</w:t>
      </w:r>
    </w:p>
    <w:p w14:paraId="055BCC32" w14:textId="77777777" w:rsidR="00C97016" w:rsidRPr="00C272D1" w:rsidRDefault="00C97016" w:rsidP="004664E2">
      <w:pPr>
        <w:jc w:val="both"/>
        <w:rPr>
          <w:rFonts w:ascii="Arial" w:hAnsi="Arial" w:cs="Arial"/>
        </w:rPr>
      </w:pPr>
    </w:p>
    <w:p w14:paraId="2C51F079" w14:textId="77777777" w:rsidR="00C97016" w:rsidRPr="00C272D1" w:rsidRDefault="00C97016" w:rsidP="004664E2">
      <w:pPr>
        <w:jc w:val="both"/>
        <w:rPr>
          <w:rFonts w:ascii="Arial" w:hAnsi="Arial" w:cs="Arial"/>
        </w:rPr>
      </w:pPr>
    </w:p>
    <w:p w14:paraId="664E6425" w14:textId="77777777" w:rsidR="00C97016" w:rsidRPr="00C272D1" w:rsidRDefault="00C97016" w:rsidP="004664E2">
      <w:pPr>
        <w:jc w:val="both"/>
        <w:rPr>
          <w:rFonts w:ascii="Arial" w:hAnsi="Arial" w:cs="Arial"/>
        </w:rPr>
      </w:pPr>
    </w:p>
    <w:p w14:paraId="7ED7B309" w14:textId="77777777" w:rsidR="00C97016" w:rsidRPr="00C272D1" w:rsidRDefault="00C97016" w:rsidP="004664E2">
      <w:pPr>
        <w:jc w:val="both"/>
        <w:rPr>
          <w:rFonts w:ascii="Arial" w:hAnsi="Arial" w:cs="Arial"/>
        </w:rPr>
      </w:pPr>
    </w:p>
    <w:p w14:paraId="71D1CD5D" w14:textId="77777777" w:rsidR="00C97016" w:rsidRPr="00C272D1" w:rsidRDefault="00C97016" w:rsidP="004664E2">
      <w:pPr>
        <w:jc w:val="both"/>
        <w:rPr>
          <w:rFonts w:ascii="Arial" w:hAnsi="Arial" w:cs="Arial"/>
        </w:rPr>
      </w:pPr>
    </w:p>
    <w:p w14:paraId="24E24D9D" w14:textId="77777777" w:rsidR="00C97016" w:rsidRPr="004664E2" w:rsidRDefault="00C97016" w:rsidP="004664E2">
      <w:pPr>
        <w:jc w:val="both"/>
        <w:rPr>
          <w:rFonts w:ascii="Arial" w:hAnsi="Arial" w:cs="Arial"/>
        </w:rPr>
      </w:pPr>
    </w:p>
    <w:p w14:paraId="589A1EA4" w14:textId="77777777" w:rsidR="00C97016" w:rsidRPr="004664E2" w:rsidRDefault="00C97016" w:rsidP="004664E2">
      <w:pPr>
        <w:jc w:val="both"/>
        <w:rPr>
          <w:rFonts w:ascii="Arial" w:hAnsi="Arial" w:cs="Arial"/>
        </w:rPr>
      </w:pPr>
    </w:p>
    <w:p w14:paraId="43BA02A2" w14:textId="77777777" w:rsidR="00C97016" w:rsidRPr="004664E2" w:rsidRDefault="00C97016" w:rsidP="004664E2">
      <w:pPr>
        <w:jc w:val="both"/>
        <w:rPr>
          <w:rFonts w:ascii="Arial" w:hAnsi="Arial" w:cs="Arial"/>
        </w:rPr>
      </w:pPr>
    </w:p>
    <w:p w14:paraId="7AB85526" w14:textId="77777777" w:rsidR="00C97016" w:rsidRPr="004664E2" w:rsidRDefault="00C97016" w:rsidP="004664E2">
      <w:pPr>
        <w:jc w:val="both"/>
        <w:rPr>
          <w:rFonts w:ascii="Arial" w:hAnsi="Arial" w:cs="Arial"/>
        </w:rPr>
      </w:pPr>
    </w:p>
    <w:p w14:paraId="747D3E16" w14:textId="77777777" w:rsidR="004664E2" w:rsidRPr="004664E2" w:rsidRDefault="004664E2" w:rsidP="004664E2">
      <w:pPr>
        <w:jc w:val="both"/>
        <w:rPr>
          <w:rFonts w:ascii="Arial" w:hAnsi="Arial" w:cs="Arial"/>
        </w:rPr>
      </w:pPr>
    </w:p>
    <w:p w14:paraId="06E5A20F" w14:textId="77777777" w:rsidR="004664E2" w:rsidRPr="004664E2" w:rsidRDefault="004664E2" w:rsidP="004664E2">
      <w:pPr>
        <w:jc w:val="both"/>
        <w:rPr>
          <w:rFonts w:ascii="Arial" w:hAnsi="Arial" w:cs="Arial"/>
        </w:rPr>
      </w:pPr>
    </w:p>
    <w:p w14:paraId="7AB7F783" w14:textId="77777777" w:rsidR="004664E2" w:rsidRPr="004664E2" w:rsidRDefault="004664E2" w:rsidP="004664E2">
      <w:pPr>
        <w:jc w:val="both"/>
        <w:rPr>
          <w:rFonts w:ascii="Arial" w:hAnsi="Arial" w:cs="Arial"/>
        </w:rPr>
      </w:pPr>
    </w:p>
    <w:p w14:paraId="43C2FD64" w14:textId="77777777" w:rsidR="004664E2" w:rsidRPr="004664E2" w:rsidRDefault="004664E2" w:rsidP="004664E2">
      <w:pPr>
        <w:jc w:val="both"/>
        <w:rPr>
          <w:rFonts w:ascii="Arial" w:hAnsi="Arial" w:cs="Arial"/>
        </w:rPr>
      </w:pPr>
    </w:p>
    <w:p w14:paraId="01D5A64C" w14:textId="77777777" w:rsidR="004664E2" w:rsidRPr="004664E2" w:rsidRDefault="004664E2" w:rsidP="004664E2">
      <w:pPr>
        <w:jc w:val="both"/>
        <w:rPr>
          <w:rFonts w:ascii="Arial" w:hAnsi="Arial" w:cs="Arial"/>
        </w:rPr>
      </w:pPr>
    </w:p>
    <w:p w14:paraId="0C768F72" w14:textId="77777777" w:rsidR="004664E2" w:rsidRPr="004664E2" w:rsidRDefault="004664E2" w:rsidP="004664E2">
      <w:pPr>
        <w:jc w:val="both"/>
        <w:rPr>
          <w:rFonts w:ascii="Arial" w:hAnsi="Arial" w:cs="Arial"/>
        </w:rPr>
      </w:pPr>
    </w:p>
    <w:p w14:paraId="63AD1C3D" w14:textId="77777777" w:rsidR="004664E2" w:rsidRPr="004664E2" w:rsidRDefault="004664E2" w:rsidP="004664E2">
      <w:pPr>
        <w:jc w:val="both"/>
        <w:rPr>
          <w:rFonts w:ascii="Arial" w:hAnsi="Arial" w:cs="Arial"/>
        </w:rPr>
      </w:pPr>
    </w:p>
    <w:p w14:paraId="2C20FEFB" w14:textId="77777777" w:rsidR="004664E2" w:rsidRPr="004664E2" w:rsidRDefault="004664E2" w:rsidP="004664E2">
      <w:pPr>
        <w:jc w:val="both"/>
        <w:rPr>
          <w:rFonts w:ascii="Arial" w:hAnsi="Arial" w:cs="Arial"/>
        </w:rPr>
      </w:pPr>
    </w:p>
    <w:p w14:paraId="7C55450B" w14:textId="77777777" w:rsidR="004664E2" w:rsidRPr="004664E2" w:rsidRDefault="004664E2" w:rsidP="004664E2">
      <w:pPr>
        <w:jc w:val="both"/>
        <w:rPr>
          <w:rFonts w:ascii="Arial" w:hAnsi="Arial" w:cs="Arial"/>
        </w:rPr>
      </w:pPr>
    </w:p>
    <w:p w14:paraId="2842A478" w14:textId="77777777" w:rsidR="004664E2" w:rsidRPr="004664E2" w:rsidRDefault="004664E2" w:rsidP="004664E2">
      <w:pPr>
        <w:jc w:val="both"/>
        <w:rPr>
          <w:rFonts w:ascii="Arial" w:hAnsi="Arial" w:cs="Arial"/>
        </w:rPr>
      </w:pPr>
    </w:p>
    <w:p w14:paraId="344FD941" w14:textId="77777777" w:rsidR="004664E2" w:rsidRPr="004664E2" w:rsidRDefault="004664E2" w:rsidP="004664E2">
      <w:pPr>
        <w:jc w:val="both"/>
        <w:rPr>
          <w:rFonts w:ascii="Arial" w:hAnsi="Arial" w:cs="Arial"/>
        </w:rPr>
      </w:pPr>
    </w:p>
    <w:p w14:paraId="3ACE625D" w14:textId="77777777" w:rsidR="004664E2" w:rsidRPr="004664E2" w:rsidRDefault="004664E2" w:rsidP="004664E2">
      <w:pPr>
        <w:jc w:val="both"/>
        <w:rPr>
          <w:rFonts w:ascii="Arial" w:hAnsi="Arial" w:cs="Arial"/>
        </w:rPr>
      </w:pPr>
    </w:p>
    <w:p w14:paraId="150C8EF5" w14:textId="77777777" w:rsidR="004664E2" w:rsidRPr="004664E2" w:rsidRDefault="004664E2" w:rsidP="004664E2">
      <w:pPr>
        <w:jc w:val="both"/>
        <w:rPr>
          <w:rFonts w:ascii="Arial" w:hAnsi="Arial" w:cs="Arial"/>
        </w:rPr>
      </w:pPr>
    </w:p>
    <w:p w14:paraId="0FFEBAAB" w14:textId="77777777" w:rsidR="004664E2" w:rsidRPr="004664E2" w:rsidRDefault="004664E2" w:rsidP="004664E2">
      <w:pPr>
        <w:jc w:val="both"/>
        <w:rPr>
          <w:rFonts w:ascii="Arial" w:hAnsi="Arial" w:cs="Arial"/>
        </w:rPr>
      </w:pPr>
    </w:p>
    <w:p w14:paraId="0E351EED" w14:textId="77777777" w:rsidR="004664E2" w:rsidRPr="004664E2" w:rsidRDefault="004664E2" w:rsidP="004664E2">
      <w:pPr>
        <w:jc w:val="both"/>
        <w:rPr>
          <w:rFonts w:ascii="Arial" w:hAnsi="Arial" w:cs="Arial"/>
        </w:rPr>
      </w:pPr>
    </w:p>
    <w:p w14:paraId="68153AC2" w14:textId="77777777" w:rsidR="004664E2" w:rsidRPr="004664E2" w:rsidRDefault="004664E2" w:rsidP="004664E2">
      <w:pPr>
        <w:jc w:val="both"/>
        <w:rPr>
          <w:rFonts w:ascii="Arial" w:hAnsi="Arial" w:cs="Arial"/>
        </w:rPr>
      </w:pPr>
    </w:p>
    <w:p w14:paraId="5EC0E51C" w14:textId="77777777" w:rsidR="004664E2" w:rsidRPr="004664E2" w:rsidRDefault="004664E2" w:rsidP="004664E2">
      <w:pPr>
        <w:jc w:val="both"/>
        <w:rPr>
          <w:rFonts w:ascii="Arial" w:hAnsi="Arial" w:cs="Arial"/>
        </w:rPr>
      </w:pPr>
    </w:p>
    <w:p w14:paraId="4055E46C" w14:textId="77777777" w:rsidR="005331DB" w:rsidRDefault="005331DB" w:rsidP="004664E2">
      <w:pPr>
        <w:jc w:val="both"/>
        <w:rPr>
          <w:rFonts w:ascii="Arial" w:hAnsi="Arial" w:cs="Arial"/>
        </w:rPr>
      </w:pPr>
    </w:p>
    <w:p w14:paraId="11FC39B5" w14:textId="40F2DEB0" w:rsidR="00C97016" w:rsidRDefault="00C97016" w:rsidP="004664E2">
      <w:pPr>
        <w:jc w:val="both"/>
        <w:rPr>
          <w:rFonts w:ascii="Arial" w:hAnsi="Arial" w:cs="Arial"/>
        </w:rPr>
      </w:pPr>
      <w:r w:rsidRPr="004664E2">
        <w:rPr>
          <w:rFonts w:ascii="Arial" w:hAnsi="Arial" w:cs="Arial"/>
        </w:rPr>
        <w:t>References:</w:t>
      </w:r>
    </w:p>
    <w:p w14:paraId="1681E755" w14:textId="77777777" w:rsidR="005331DB" w:rsidRDefault="005331DB" w:rsidP="004664E2">
      <w:pPr>
        <w:jc w:val="both"/>
        <w:rPr>
          <w:rFonts w:ascii="Arial" w:hAnsi="Arial" w:cs="Arial"/>
        </w:rPr>
      </w:pPr>
    </w:p>
    <w:p w14:paraId="270E5D65" w14:textId="77777777" w:rsidR="005331DB" w:rsidRDefault="005331DB" w:rsidP="004664E2">
      <w:pPr>
        <w:jc w:val="both"/>
        <w:rPr>
          <w:rFonts w:ascii="Arial" w:hAnsi="Arial" w:cs="Arial"/>
        </w:rPr>
      </w:pPr>
    </w:p>
    <w:p w14:paraId="52CD3A0A" w14:textId="77777777" w:rsidR="005331DB" w:rsidRPr="002D3F79" w:rsidRDefault="005331DB" w:rsidP="005331DB">
      <w:pPr>
        <w:jc w:val="both"/>
        <w:rPr>
          <w:rFonts w:ascii="Arial" w:hAnsi="Arial" w:cs="Arial"/>
        </w:rPr>
      </w:pPr>
      <w:r w:rsidRPr="002D3F79">
        <w:rPr>
          <w:rFonts w:ascii="Arial" w:eastAsiaTheme="minorHAnsi" w:hAnsi="Arial" w:cs="Arial"/>
          <w:lang w:eastAsia="en-US"/>
          <w14:ligatures w14:val="standardContextual"/>
        </w:rPr>
        <w:t>Adobe (no date b) Binding vs non-binding contracts. Available at:</w:t>
      </w:r>
    </w:p>
    <w:p w14:paraId="26387870" w14:textId="77777777" w:rsidR="005331DB" w:rsidRDefault="005331DB" w:rsidP="005331DB">
      <w:pPr>
        <w:jc w:val="both"/>
        <w:rPr>
          <w:rFonts w:ascii="Arial" w:hAnsi="Arial" w:cs="Arial"/>
          <w:color w:val="000000"/>
        </w:rPr>
      </w:pPr>
      <w:hyperlink r:id="rId7" w:anchor=":~:text=A%20" w:history="1">
        <w:r w:rsidRPr="002D3F79">
          <w:rPr>
            <w:rStyle w:val="Hyperlink"/>
            <w:rFonts w:ascii="Arial" w:hAnsi="Arial" w:cs="Arial"/>
          </w:rPr>
          <w:t>https://www.adobe.com/acrobat/business/hub/binding-vs-non-binding-contract.html#:~:text=A%20“binding%20contra</w:t>
        </w:r>
        <w:r w:rsidRPr="002D3F79">
          <w:rPr>
            <w:rStyle w:val="Hyperlink"/>
            <w:rFonts w:ascii="Arial" w:hAnsi="Arial" w:cs="Arial"/>
          </w:rPr>
          <w:t>c</w:t>
        </w:r>
        <w:r w:rsidRPr="002D3F79">
          <w:rPr>
            <w:rStyle w:val="Hyperlink"/>
            <w:rFonts w:ascii="Arial" w:hAnsi="Arial" w:cs="Arial"/>
          </w:rPr>
          <w:t>t”%20is%20any,or%20just%20bought%20a%20car</w:t>
        </w:r>
      </w:hyperlink>
      <w:r w:rsidRPr="002D3F79">
        <w:rPr>
          <w:rFonts w:ascii="Arial" w:hAnsi="Arial" w:cs="Arial"/>
        </w:rPr>
        <w:t xml:space="preserve">. </w:t>
      </w:r>
      <w:r w:rsidRPr="002D3F79">
        <w:rPr>
          <w:rFonts w:ascii="Arial" w:hAnsi="Arial" w:cs="Arial"/>
          <w:color w:val="000000"/>
        </w:rPr>
        <w:t>(Accessed: 26 June 2025).</w:t>
      </w:r>
    </w:p>
    <w:p w14:paraId="0D0CBE8D" w14:textId="77777777" w:rsidR="005331DB" w:rsidRDefault="005331DB" w:rsidP="005331DB">
      <w:pPr>
        <w:jc w:val="both"/>
        <w:rPr>
          <w:rFonts w:ascii="Arial" w:hAnsi="Arial" w:cs="Arial"/>
          <w:color w:val="000000"/>
        </w:rPr>
      </w:pPr>
    </w:p>
    <w:p w14:paraId="64566087" w14:textId="77777777" w:rsidR="005331DB" w:rsidRDefault="005331DB" w:rsidP="005331DB">
      <w:pPr>
        <w:jc w:val="both"/>
        <w:rPr>
          <w:rFonts w:ascii="Arial" w:hAnsi="Arial" w:cs="Arial"/>
          <w:color w:val="000000"/>
        </w:rPr>
      </w:pPr>
    </w:p>
    <w:p w14:paraId="1553C7FA" w14:textId="77777777" w:rsidR="005331DB" w:rsidRDefault="005331DB" w:rsidP="005331DB">
      <w:pPr>
        <w:jc w:val="both"/>
        <w:rPr>
          <w:rFonts w:ascii="Arial" w:hAnsi="Arial" w:cs="Arial"/>
          <w:color w:val="000000"/>
        </w:rPr>
      </w:pPr>
    </w:p>
    <w:p w14:paraId="2B405EBA" w14:textId="77777777" w:rsidR="005331DB" w:rsidRPr="002D3F79" w:rsidRDefault="005331DB" w:rsidP="005331DB">
      <w:pPr>
        <w:jc w:val="both"/>
        <w:rPr>
          <w:rFonts w:ascii="Arial" w:hAnsi="Arial" w:cs="Arial"/>
        </w:rPr>
      </w:pPr>
    </w:p>
    <w:p w14:paraId="5F7ED2BF" w14:textId="77777777" w:rsidR="005331DB" w:rsidRPr="004E638F" w:rsidRDefault="005331DB" w:rsidP="005331DB">
      <w:pPr>
        <w:jc w:val="both"/>
        <w:rPr>
          <w:rFonts w:ascii="Arial" w:hAnsi="Arial" w:cs="Arial"/>
          <w:i/>
          <w:iCs/>
        </w:rPr>
      </w:pPr>
      <w:proofErr w:type="spellStart"/>
      <w:r w:rsidRPr="004E638F">
        <w:rPr>
          <w:rFonts w:ascii="Arial" w:hAnsi="Arial" w:cs="Arial"/>
          <w:color w:val="000000"/>
        </w:rPr>
        <w:t>BriefsPro</w:t>
      </w:r>
      <w:proofErr w:type="spellEnd"/>
      <w:r w:rsidRPr="004E638F">
        <w:rPr>
          <w:rFonts w:ascii="Arial" w:hAnsi="Arial" w:cs="Arial"/>
          <w:color w:val="000000"/>
        </w:rPr>
        <w:t xml:space="preserve"> (no date)</w:t>
      </w:r>
      <w:r w:rsidRPr="004E638F">
        <w:rPr>
          <w:rStyle w:val="apple-converted-space"/>
          <w:rFonts w:ascii="Arial" w:eastAsiaTheme="majorEastAsia" w:hAnsi="Arial" w:cs="Arial"/>
          <w:color w:val="000000"/>
        </w:rPr>
        <w:t> </w:t>
      </w:r>
      <w:r w:rsidRPr="00D87718">
        <w:rPr>
          <w:rStyle w:val="Emphasis"/>
          <w:rFonts w:ascii="Arial" w:eastAsiaTheme="majorEastAsia" w:hAnsi="Arial" w:cs="Arial"/>
          <w:color w:val="000000"/>
        </w:rPr>
        <w:t>Thomas v Thomas (1842) 2 QB 851</w:t>
      </w:r>
      <w:r w:rsidRPr="00D87718">
        <w:rPr>
          <w:rFonts w:ascii="Arial" w:hAnsi="Arial" w:cs="Arial"/>
          <w:color w:val="000000"/>
        </w:rPr>
        <w:t>.</w:t>
      </w:r>
      <w:r w:rsidRPr="004E638F">
        <w:rPr>
          <w:rFonts w:ascii="Arial" w:hAnsi="Arial" w:cs="Arial"/>
          <w:i/>
          <w:iCs/>
          <w:color w:val="000000"/>
        </w:rPr>
        <w:t xml:space="preserve"> </w:t>
      </w:r>
      <w:r w:rsidRPr="004E638F">
        <w:rPr>
          <w:rFonts w:ascii="Arial" w:hAnsi="Arial" w:cs="Arial"/>
          <w:color w:val="000000"/>
        </w:rPr>
        <w:t>Available at:</w:t>
      </w:r>
    </w:p>
    <w:p w14:paraId="1F67C6AD" w14:textId="77777777" w:rsidR="005331DB" w:rsidRDefault="005331DB" w:rsidP="005331DB">
      <w:pPr>
        <w:jc w:val="both"/>
        <w:rPr>
          <w:rFonts w:ascii="Arial" w:hAnsi="Arial" w:cs="Arial"/>
        </w:rPr>
      </w:pPr>
      <w:r>
        <w:rPr>
          <w:rFonts w:ascii="Arial" w:hAnsi="Arial" w:cs="Arial"/>
        </w:rPr>
        <w:fldChar w:fldCharType="begin"/>
      </w:r>
      <w:r>
        <w:rPr>
          <w:rFonts w:ascii="Arial" w:hAnsi="Arial" w:cs="Arial"/>
        </w:rPr>
        <w:instrText>HYPERLINK "</w:instrText>
      </w:r>
      <w:r w:rsidRPr="00AC1B4D">
        <w:rPr>
          <w:rFonts w:ascii="Arial" w:hAnsi="Arial" w:cs="Arial"/>
        </w:rPr>
        <w:instrText>https://briefspro.com/casebrief/thomas-v-thomas/</w:instrText>
      </w:r>
      <w:r>
        <w:rPr>
          <w:rFonts w:ascii="Arial" w:hAnsi="Arial" w:cs="Arial"/>
        </w:rPr>
        <w:instrText>"</w:instrText>
      </w:r>
      <w:r>
        <w:rPr>
          <w:rFonts w:ascii="Arial" w:hAnsi="Arial" w:cs="Arial"/>
        </w:rPr>
        <w:fldChar w:fldCharType="separate"/>
      </w:r>
      <w:r w:rsidRPr="00F07822">
        <w:rPr>
          <w:rStyle w:val="Hyperlink"/>
          <w:rFonts w:ascii="Arial" w:hAnsi="Arial" w:cs="Arial"/>
        </w:rPr>
        <w:t>https://briefspro.com/casebrief/thomas-v-thomas/</w:t>
      </w:r>
      <w:r>
        <w:rPr>
          <w:rFonts w:ascii="Arial" w:hAnsi="Arial" w:cs="Arial"/>
        </w:rPr>
        <w:fldChar w:fldCharType="end"/>
      </w:r>
      <w:r>
        <w:rPr>
          <w:rFonts w:ascii="Arial" w:hAnsi="Arial" w:cs="Arial"/>
        </w:rPr>
        <w:t xml:space="preserve"> (Accessed: 5 July 2025)</w:t>
      </w:r>
    </w:p>
    <w:p w14:paraId="0164E918" w14:textId="77777777" w:rsidR="005331DB" w:rsidRDefault="005331DB" w:rsidP="005331DB">
      <w:pPr>
        <w:jc w:val="both"/>
        <w:rPr>
          <w:rFonts w:ascii="Arial" w:hAnsi="Arial" w:cs="Arial"/>
          <w:color w:val="000000"/>
        </w:rPr>
      </w:pPr>
    </w:p>
    <w:p w14:paraId="4AB5DAC4" w14:textId="77777777" w:rsidR="005331DB" w:rsidRDefault="005331DB" w:rsidP="005331DB">
      <w:pPr>
        <w:jc w:val="both"/>
        <w:rPr>
          <w:rFonts w:ascii="Arial" w:hAnsi="Arial" w:cs="Arial"/>
          <w:color w:val="000000"/>
        </w:rPr>
      </w:pPr>
    </w:p>
    <w:p w14:paraId="21B4AC3D" w14:textId="77777777" w:rsidR="005331DB" w:rsidRDefault="005331DB" w:rsidP="005331DB">
      <w:pPr>
        <w:jc w:val="both"/>
        <w:rPr>
          <w:rFonts w:ascii="Arial" w:hAnsi="Arial" w:cs="Arial"/>
          <w:color w:val="000000"/>
        </w:rPr>
      </w:pPr>
    </w:p>
    <w:p w14:paraId="0CBC89B0" w14:textId="77777777" w:rsidR="005331DB" w:rsidRDefault="005331DB" w:rsidP="005331DB">
      <w:pPr>
        <w:jc w:val="both"/>
        <w:rPr>
          <w:rFonts w:ascii="Arial" w:hAnsi="Arial" w:cs="Arial"/>
          <w:color w:val="000000"/>
        </w:rPr>
      </w:pPr>
    </w:p>
    <w:p w14:paraId="5B847AC9" w14:textId="77777777" w:rsidR="005331DB" w:rsidRPr="002D3F79" w:rsidRDefault="005331DB" w:rsidP="005331DB">
      <w:pPr>
        <w:jc w:val="both"/>
        <w:rPr>
          <w:rFonts w:ascii="Arial" w:hAnsi="Arial" w:cs="Arial"/>
        </w:rPr>
      </w:pPr>
      <w:r w:rsidRPr="002D3F79">
        <w:rPr>
          <w:rFonts w:ascii="Arial" w:eastAsiaTheme="minorHAnsi" w:hAnsi="Arial" w:cs="Arial"/>
          <w:lang w:eastAsia="en-US"/>
          <w14:ligatures w14:val="standardContextual"/>
        </w:rPr>
        <w:t>Chuck, A. (2024) 4 elements of a contract business law: Top 4 key insights. Moton Legal Group. Available at:</w:t>
      </w:r>
    </w:p>
    <w:p w14:paraId="6B0273A8" w14:textId="5D2400FE" w:rsidR="005331DB" w:rsidRDefault="005331DB" w:rsidP="005331DB">
      <w:pPr>
        <w:pStyle w:val="NormalWeb"/>
        <w:jc w:val="both"/>
        <w:rPr>
          <w:rFonts w:ascii="Arial" w:hAnsi="Arial" w:cs="Arial"/>
          <w:color w:val="000000"/>
        </w:rPr>
      </w:pPr>
      <w:hyperlink r:id="rId8" w:anchor=":~:text=When%20it%20comes%20to%20business,proposal%20to%20make%20a%20deal" w:history="1">
        <w:r w:rsidRPr="002D3F79">
          <w:rPr>
            <w:rStyle w:val="Hyperlink"/>
            <w:rFonts w:ascii="Arial" w:hAnsi="Arial" w:cs="Arial"/>
          </w:rPr>
          <w:t>https://motonlegalgroup.com/4-elements-of-a-contract-business-law/#:~:text=When%20it%20comes%20to%20business,proposal%20to%20make%20a%20deal</w:t>
        </w:r>
      </w:hyperlink>
      <w:r w:rsidRPr="002D3F79">
        <w:rPr>
          <w:rFonts w:ascii="Arial" w:hAnsi="Arial" w:cs="Arial"/>
        </w:rPr>
        <w:t xml:space="preserve">.  </w:t>
      </w:r>
      <w:r w:rsidRPr="002D3F79">
        <w:rPr>
          <w:rFonts w:ascii="Arial" w:hAnsi="Arial" w:cs="Arial"/>
          <w:color w:val="000000"/>
        </w:rPr>
        <w:t>(Accessed: 26 June 2025).</w:t>
      </w:r>
    </w:p>
    <w:p w14:paraId="45449605" w14:textId="77777777" w:rsidR="005331DB" w:rsidRDefault="005331DB" w:rsidP="005331DB">
      <w:pPr>
        <w:pStyle w:val="NormalWeb"/>
        <w:jc w:val="both"/>
        <w:rPr>
          <w:rFonts w:ascii="Arial" w:hAnsi="Arial" w:cs="Arial"/>
          <w:color w:val="000000"/>
        </w:rPr>
      </w:pPr>
    </w:p>
    <w:p w14:paraId="28C099E5" w14:textId="77777777" w:rsidR="005331DB" w:rsidRDefault="005331DB" w:rsidP="005331DB">
      <w:pPr>
        <w:jc w:val="both"/>
        <w:rPr>
          <w:rFonts w:ascii="Arial" w:hAnsi="Arial" w:cs="Arial"/>
        </w:rPr>
      </w:pPr>
    </w:p>
    <w:p w14:paraId="7FDCB949" w14:textId="77777777" w:rsidR="005331DB" w:rsidRPr="003C57AA" w:rsidRDefault="005331DB" w:rsidP="005331DB">
      <w:pPr>
        <w:jc w:val="both"/>
        <w:rPr>
          <w:rStyle w:val="apple-converted-space"/>
          <w:rFonts w:ascii="Arial" w:eastAsiaTheme="majorEastAsia" w:hAnsi="Arial" w:cs="Arial"/>
          <w:color w:val="000000"/>
        </w:rPr>
      </w:pPr>
      <w:r w:rsidRPr="003C57AA">
        <w:rPr>
          <w:rStyle w:val="Strong"/>
          <w:rFonts w:ascii="Arial" w:eastAsiaTheme="majorEastAsia" w:hAnsi="Arial" w:cs="Arial"/>
          <w:b w:val="0"/>
          <w:bCs w:val="0"/>
          <w:color w:val="000000"/>
        </w:rPr>
        <w:t>Entores Ltd v Miles Far East Corporation</w:t>
      </w:r>
      <w:r w:rsidRPr="003C57AA">
        <w:rPr>
          <w:rStyle w:val="apple-converted-space"/>
          <w:rFonts w:ascii="Arial" w:eastAsiaTheme="majorEastAsia" w:hAnsi="Arial" w:cs="Arial"/>
          <w:color w:val="000000"/>
        </w:rPr>
        <w:t> </w:t>
      </w:r>
      <w:r w:rsidRPr="003C57AA">
        <w:rPr>
          <w:rFonts w:ascii="Arial" w:hAnsi="Arial" w:cs="Arial"/>
          <w:color w:val="000000"/>
        </w:rPr>
        <w:t>[1955] 2 QB 327 (CA). Available at:</w:t>
      </w:r>
      <w:r w:rsidRPr="003C57AA">
        <w:rPr>
          <w:rStyle w:val="apple-converted-space"/>
          <w:rFonts w:ascii="Arial" w:eastAsiaTheme="majorEastAsia" w:hAnsi="Arial" w:cs="Arial"/>
          <w:color w:val="000000"/>
        </w:rPr>
        <w:t> </w:t>
      </w:r>
    </w:p>
    <w:p w14:paraId="51BD1037" w14:textId="77777777" w:rsidR="005331DB" w:rsidRDefault="005331DB" w:rsidP="005331DB">
      <w:pPr>
        <w:jc w:val="both"/>
        <w:rPr>
          <w:rFonts w:ascii="Arial" w:hAnsi="Arial" w:cs="Arial"/>
        </w:rPr>
      </w:pPr>
      <w:hyperlink r:id="rId9" w:history="1">
        <w:r w:rsidRPr="003C57AA">
          <w:rPr>
            <w:rStyle w:val="Hyperlink"/>
            <w:rFonts w:ascii="Arial" w:hAnsi="Arial" w:cs="Arial"/>
          </w:rPr>
          <w:t>https://www.bailii.org/ew/cases/EWCA/Civ/1955/3.html</w:t>
        </w:r>
      </w:hyperlink>
      <w:r>
        <w:rPr>
          <w:rFonts w:ascii="Arial" w:hAnsi="Arial" w:cs="Arial"/>
        </w:rPr>
        <w:t xml:space="preserve"> (Accessed: 26 June 2025)</w:t>
      </w:r>
    </w:p>
    <w:p w14:paraId="41590BDB" w14:textId="77777777" w:rsidR="005331DB" w:rsidRPr="002D3F79" w:rsidRDefault="005331DB" w:rsidP="005331DB">
      <w:pPr>
        <w:pStyle w:val="NormalWeb"/>
        <w:jc w:val="both"/>
        <w:rPr>
          <w:rFonts w:ascii="Arial" w:hAnsi="Arial" w:cs="Arial"/>
          <w:color w:val="000000"/>
        </w:rPr>
      </w:pPr>
    </w:p>
    <w:p w14:paraId="30CE03D5" w14:textId="77777777" w:rsidR="005331DB" w:rsidRDefault="005331DB" w:rsidP="005331DB">
      <w:pPr>
        <w:jc w:val="both"/>
        <w:rPr>
          <w:rFonts w:ascii="Arial" w:hAnsi="Arial" w:cs="Arial"/>
          <w:color w:val="000000"/>
        </w:rPr>
      </w:pPr>
    </w:p>
    <w:p w14:paraId="44085F86" w14:textId="77777777" w:rsidR="005331DB" w:rsidRPr="002D3F79" w:rsidRDefault="005331DB" w:rsidP="005331DB">
      <w:pPr>
        <w:jc w:val="both"/>
        <w:rPr>
          <w:rFonts w:ascii="Arial" w:eastAsiaTheme="minorHAnsi" w:hAnsi="Arial" w:cs="Arial"/>
          <w:lang w:eastAsia="en-US"/>
          <w14:ligatures w14:val="standardContextual"/>
        </w:rPr>
      </w:pPr>
      <w:r w:rsidRPr="002D3F79">
        <w:rPr>
          <w:rFonts w:ascii="Arial" w:eastAsiaTheme="minorHAnsi" w:hAnsi="Arial" w:cs="Arial"/>
          <w:lang w:eastAsia="en-US"/>
          <w14:ligatures w14:val="standardContextual"/>
        </w:rPr>
        <w:t>EM Law (no date) Contract law: elements of a binding contract. Available at:</w:t>
      </w:r>
    </w:p>
    <w:p w14:paraId="10455FB0" w14:textId="77777777" w:rsidR="005331DB" w:rsidRPr="002D3F79" w:rsidRDefault="005331DB" w:rsidP="005331DB">
      <w:pPr>
        <w:jc w:val="both"/>
        <w:rPr>
          <w:rFonts w:ascii="Arial" w:hAnsi="Arial" w:cs="Arial"/>
        </w:rPr>
      </w:pPr>
    </w:p>
    <w:p w14:paraId="5074ABC4" w14:textId="77777777" w:rsidR="005331DB" w:rsidRPr="002D3F79" w:rsidRDefault="005331DB" w:rsidP="005331DB">
      <w:pPr>
        <w:jc w:val="both"/>
        <w:rPr>
          <w:rFonts w:ascii="Arial" w:hAnsi="Arial" w:cs="Arial"/>
        </w:rPr>
      </w:pPr>
      <w:hyperlink r:id="rId10" w:history="1">
        <w:r w:rsidRPr="002D3F79">
          <w:rPr>
            <w:rStyle w:val="Hyperlink"/>
            <w:rFonts w:ascii="Arial" w:hAnsi="Arial" w:cs="Arial"/>
          </w:rPr>
          <w:t>https://emlaw.co.uk/contract-law-elements-of-a-binding-contract/</w:t>
        </w:r>
      </w:hyperlink>
      <w:r w:rsidRPr="002D3F79">
        <w:rPr>
          <w:rFonts w:ascii="Arial" w:hAnsi="Arial" w:cs="Arial"/>
        </w:rPr>
        <w:t xml:space="preserve"> (Accessed: 26 June 2025)</w:t>
      </w:r>
    </w:p>
    <w:p w14:paraId="438604EF" w14:textId="77777777" w:rsidR="005331DB" w:rsidRDefault="005331DB" w:rsidP="005331DB">
      <w:pPr>
        <w:jc w:val="both"/>
        <w:rPr>
          <w:rFonts w:ascii="Arial" w:hAnsi="Arial" w:cs="Arial"/>
          <w:color w:val="000000"/>
        </w:rPr>
      </w:pPr>
    </w:p>
    <w:p w14:paraId="593E5488" w14:textId="77777777" w:rsidR="005331DB" w:rsidRDefault="005331DB" w:rsidP="005331DB">
      <w:pPr>
        <w:jc w:val="both"/>
        <w:rPr>
          <w:rFonts w:ascii="Arial" w:hAnsi="Arial" w:cs="Arial"/>
        </w:rPr>
      </w:pPr>
    </w:p>
    <w:p w14:paraId="473DBDD2" w14:textId="77777777" w:rsidR="005331DB" w:rsidRDefault="005331DB" w:rsidP="005331DB">
      <w:pPr>
        <w:jc w:val="both"/>
        <w:rPr>
          <w:rFonts w:ascii="Arial" w:hAnsi="Arial" w:cs="Arial"/>
        </w:rPr>
      </w:pPr>
    </w:p>
    <w:p w14:paraId="26A80805" w14:textId="77777777" w:rsidR="005331DB" w:rsidRPr="002D3F79" w:rsidRDefault="005331DB" w:rsidP="005331DB">
      <w:pPr>
        <w:autoSpaceDE w:val="0"/>
        <w:autoSpaceDN w:val="0"/>
        <w:adjustRightInd w:val="0"/>
        <w:rPr>
          <w:rFonts w:ascii="Arial" w:eastAsiaTheme="minorHAnsi" w:hAnsi="Arial" w:cs="Arial"/>
          <w:lang w:eastAsia="en-US"/>
          <w14:ligatures w14:val="standardContextual"/>
        </w:rPr>
      </w:pPr>
    </w:p>
    <w:p w14:paraId="17485C6B" w14:textId="77777777" w:rsidR="005331DB" w:rsidRPr="002D3F79" w:rsidRDefault="005331DB" w:rsidP="005331DB">
      <w:pPr>
        <w:jc w:val="both"/>
        <w:rPr>
          <w:rFonts w:ascii="Arial" w:hAnsi="Arial" w:cs="Arial"/>
        </w:rPr>
      </w:pPr>
      <w:r w:rsidRPr="002D3F79">
        <w:rPr>
          <w:rFonts w:ascii="Arial" w:eastAsiaTheme="minorHAnsi" w:hAnsi="Arial" w:cs="Arial"/>
          <w:lang w:eastAsia="en-US"/>
          <w14:ligatures w14:val="standardContextual"/>
        </w:rPr>
        <w:t>Gov.uk (no date) Conflicts of interest: a guide for charity trustees – Preliminary statement. Available at:</w:t>
      </w:r>
    </w:p>
    <w:p w14:paraId="4E0E3BFA" w14:textId="77777777" w:rsidR="005331DB" w:rsidRPr="002D3F79" w:rsidRDefault="005331DB" w:rsidP="005331DB">
      <w:pPr>
        <w:jc w:val="both"/>
        <w:rPr>
          <w:rFonts w:ascii="Arial" w:hAnsi="Arial" w:cs="Arial"/>
        </w:rPr>
      </w:pPr>
    </w:p>
    <w:p w14:paraId="131FCE20" w14:textId="77777777" w:rsidR="005331DB" w:rsidRPr="002D3F79" w:rsidRDefault="005331DB" w:rsidP="005331DB">
      <w:pPr>
        <w:jc w:val="both"/>
        <w:rPr>
          <w:rFonts w:ascii="Arial" w:hAnsi="Arial" w:cs="Arial"/>
        </w:rPr>
      </w:pPr>
      <w:r w:rsidRPr="002D3F79">
        <w:rPr>
          <w:rFonts w:ascii="Arial" w:hAnsi="Arial" w:cs="Arial"/>
        </w:rPr>
        <w:fldChar w:fldCharType="begin"/>
      </w:r>
      <w:r w:rsidRPr="002D3F79">
        <w:rPr>
          <w:rFonts w:ascii="Arial" w:hAnsi="Arial" w:cs="Arial"/>
        </w:rPr>
        <w:instrText>HYPERLINK "https://assets.publishing.service.gov.uk/media/5a7f20d0e5274a2e8ab4a49c/CC29_Legal_underpinning.pdf"</w:instrText>
      </w:r>
      <w:r w:rsidRPr="002D3F79">
        <w:rPr>
          <w:rFonts w:ascii="Arial" w:hAnsi="Arial" w:cs="Arial"/>
        </w:rPr>
      </w:r>
      <w:r w:rsidRPr="002D3F79">
        <w:rPr>
          <w:rFonts w:ascii="Arial" w:hAnsi="Arial" w:cs="Arial"/>
        </w:rPr>
        <w:fldChar w:fldCharType="separate"/>
      </w:r>
      <w:r w:rsidRPr="002D3F79">
        <w:rPr>
          <w:rStyle w:val="Hyperlink"/>
          <w:rFonts w:ascii="Arial" w:hAnsi="Arial" w:cs="Arial"/>
        </w:rPr>
        <w:t>https://assets.publishing.service.gov.uk/media/5a7f20d0e5274a2e8ab4a49c/CC29_Legal_underpinning.pdf</w:t>
      </w:r>
      <w:r w:rsidRPr="002D3F79">
        <w:rPr>
          <w:rFonts w:ascii="Arial" w:hAnsi="Arial" w:cs="Arial"/>
        </w:rPr>
        <w:fldChar w:fldCharType="end"/>
      </w:r>
      <w:r w:rsidRPr="002D3F79">
        <w:rPr>
          <w:rFonts w:ascii="Arial" w:hAnsi="Arial" w:cs="Arial"/>
        </w:rPr>
        <w:t xml:space="preserve">  </w:t>
      </w:r>
      <w:r w:rsidRPr="002D3F79">
        <w:rPr>
          <w:rFonts w:ascii="Arial" w:hAnsi="Arial" w:cs="Arial"/>
          <w:color w:val="000000"/>
        </w:rPr>
        <w:t>(Accessed: 26 June 2025).</w:t>
      </w:r>
    </w:p>
    <w:p w14:paraId="6497C49E" w14:textId="77777777" w:rsidR="005331DB" w:rsidRDefault="005331DB" w:rsidP="005331DB">
      <w:pPr>
        <w:jc w:val="both"/>
        <w:rPr>
          <w:rFonts w:ascii="Arial" w:hAnsi="Arial" w:cs="Arial"/>
          <w:color w:val="000000"/>
        </w:rPr>
      </w:pPr>
    </w:p>
    <w:p w14:paraId="1155D2F7" w14:textId="77777777" w:rsidR="005331DB" w:rsidRDefault="005331DB" w:rsidP="005331DB">
      <w:pPr>
        <w:jc w:val="both"/>
        <w:rPr>
          <w:rFonts w:ascii="Arial" w:hAnsi="Arial" w:cs="Arial"/>
          <w:color w:val="000000"/>
        </w:rPr>
      </w:pPr>
    </w:p>
    <w:p w14:paraId="05F34653" w14:textId="77777777" w:rsidR="005331DB" w:rsidRDefault="005331DB" w:rsidP="005331DB">
      <w:pPr>
        <w:jc w:val="both"/>
        <w:rPr>
          <w:rFonts w:ascii="Arial" w:hAnsi="Arial" w:cs="Arial"/>
          <w:color w:val="000000"/>
        </w:rPr>
      </w:pPr>
    </w:p>
    <w:p w14:paraId="2D8AB1C9" w14:textId="77777777" w:rsidR="005331DB" w:rsidRPr="002D3F79" w:rsidRDefault="005331DB" w:rsidP="005331DB">
      <w:pPr>
        <w:jc w:val="both"/>
        <w:rPr>
          <w:rFonts w:ascii="Arial" w:hAnsi="Arial" w:cs="Arial"/>
        </w:rPr>
      </w:pPr>
    </w:p>
    <w:p w14:paraId="645B7908" w14:textId="77777777" w:rsidR="005331DB" w:rsidRPr="002D3F79" w:rsidRDefault="005331DB" w:rsidP="005331DB">
      <w:pPr>
        <w:pStyle w:val="NormalWeb"/>
        <w:jc w:val="both"/>
        <w:rPr>
          <w:rFonts w:ascii="Arial" w:hAnsi="Arial" w:cs="Arial"/>
          <w:color w:val="000000"/>
        </w:rPr>
      </w:pPr>
      <w:r w:rsidRPr="002D3F79">
        <w:rPr>
          <w:rFonts w:ascii="Arial" w:eastAsiaTheme="minorHAnsi" w:hAnsi="Arial" w:cs="Arial"/>
          <w:lang w:eastAsia="en-US"/>
          <w14:ligatures w14:val="standardContextual"/>
        </w:rPr>
        <w:t>Gov.uk (2012) Renting out your property. Available at:</w:t>
      </w:r>
    </w:p>
    <w:p w14:paraId="243F24E3" w14:textId="77777777" w:rsidR="005331DB" w:rsidRPr="002D3F79" w:rsidRDefault="005331DB" w:rsidP="005331DB">
      <w:pPr>
        <w:pStyle w:val="NormalWeb"/>
        <w:jc w:val="both"/>
        <w:rPr>
          <w:rFonts w:ascii="Arial" w:hAnsi="Arial" w:cs="Arial"/>
          <w:color w:val="000000"/>
        </w:rPr>
      </w:pPr>
      <w:hyperlink r:id="rId11" w:history="1">
        <w:r w:rsidRPr="002D3F79">
          <w:rPr>
            <w:rStyle w:val="Hyperlink"/>
            <w:rFonts w:ascii="Arial" w:hAnsi="Arial" w:cs="Arial"/>
          </w:rPr>
          <w:t>https://www.gov.uk/renting-out-a-property</w:t>
        </w:r>
      </w:hyperlink>
      <w:r w:rsidRPr="002D3F79">
        <w:rPr>
          <w:rFonts w:ascii="Arial" w:hAnsi="Arial" w:cs="Arial"/>
        </w:rPr>
        <w:t xml:space="preserve"> </w:t>
      </w:r>
      <w:r w:rsidRPr="002D3F79">
        <w:rPr>
          <w:rFonts w:ascii="Arial" w:hAnsi="Arial" w:cs="Arial"/>
          <w:color w:val="000000"/>
        </w:rPr>
        <w:t>(Accessed: 26 June 2025).</w:t>
      </w:r>
    </w:p>
    <w:p w14:paraId="420E7650" w14:textId="77777777" w:rsidR="005331DB" w:rsidRDefault="005331DB" w:rsidP="004664E2">
      <w:pPr>
        <w:jc w:val="both"/>
        <w:rPr>
          <w:rFonts w:ascii="Arial" w:hAnsi="Arial" w:cs="Arial"/>
        </w:rPr>
      </w:pPr>
    </w:p>
    <w:p w14:paraId="5F17ED8F" w14:textId="77777777" w:rsidR="005331DB" w:rsidRDefault="005331DB" w:rsidP="004664E2">
      <w:pPr>
        <w:jc w:val="both"/>
        <w:rPr>
          <w:rFonts w:ascii="Arial" w:hAnsi="Arial" w:cs="Arial"/>
        </w:rPr>
      </w:pPr>
    </w:p>
    <w:p w14:paraId="41BC1BB9" w14:textId="77777777" w:rsidR="005331DB" w:rsidRPr="002D3F79" w:rsidRDefault="005331DB" w:rsidP="005331DB">
      <w:pPr>
        <w:autoSpaceDE w:val="0"/>
        <w:autoSpaceDN w:val="0"/>
        <w:adjustRightInd w:val="0"/>
        <w:rPr>
          <w:rFonts w:ascii="Arial" w:eastAsiaTheme="minorHAnsi" w:hAnsi="Arial" w:cs="Arial"/>
          <w:lang w:eastAsia="en-US"/>
          <w14:ligatures w14:val="standardContextual"/>
        </w:rPr>
      </w:pPr>
    </w:p>
    <w:p w14:paraId="688070BB" w14:textId="77777777" w:rsidR="005331DB" w:rsidRPr="002D3F79" w:rsidRDefault="005331DB" w:rsidP="005331DB">
      <w:pPr>
        <w:jc w:val="both"/>
        <w:rPr>
          <w:rFonts w:ascii="Arial" w:hAnsi="Arial" w:cs="Arial"/>
        </w:rPr>
      </w:pPr>
      <w:r w:rsidRPr="002D3F79">
        <w:rPr>
          <w:rFonts w:ascii="Arial" w:eastAsiaTheme="minorHAnsi" w:hAnsi="Arial" w:cs="Arial"/>
          <w:lang w:eastAsia="en-US"/>
          <w14:ligatures w14:val="standardContextual"/>
        </w:rPr>
        <w:t>Gov.uk (2011) Tenancy deposit protection. Available at:</w:t>
      </w:r>
    </w:p>
    <w:p w14:paraId="22719EAF" w14:textId="77777777" w:rsidR="005331DB" w:rsidRPr="002D3F79" w:rsidRDefault="005331DB" w:rsidP="005331DB">
      <w:pPr>
        <w:pStyle w:val="NormalWeb"/>
        <w:jc w:val="both"/>
        <w:rPr>
          <w:rStyle w:val="Strong"/>
          <w:rFonts w:ascii="Arial" w:hAnsi="Arial" w:cs="Arial"/>
          <w:b w:val="0"/>
          <w:bCs w:val="0"/>
          <w:color w:val="000000"/>
        </w:rPr>
      </w:pPr>
      <w:hyperlink r:id="rId12" w:history="1">
        <w:r w:rsidRPr="002D3F79">
          <w:rPr>
            <w:rStyle w:val="Hyperlink"/>
            <w:rFonts w:ascii="Arial" w:hAnsi="Arial" w:cs="Arial"/>
          </w:rPr>
          <w:t>https://www.gov.uk/tenancy-deposit-protection</w:t>
        </w:r>
      </w:hyperlink>
      <w:r w:rsidRPr="002D3F79">
        <w:rPr>
          <w:rFonts w:ascii="Arial" w:hAnsi="Arial" w:cs="Arial"/>
          <w:color w:val="000000"/>
        </w:rPr>
        <w:t>(Accessed: 26 June 2025).</w:t>
      </w:r>
    </w:p>
    <w:p w14:paraId="358324B1" w14:textId="77777777" w:rsidR="005331DB" w:rsidRDefault="005331DB" w:rsidP="004664E2">
      <w:pPr>
        <w:jc w:val="both"/>
        <w:rPr>
          <w:rFonts w:ascii="Arial" w:hAnsi="Arial" w:cs="Arial"/>
        </w:rPr>
      </w:pPr>
    </w:p>
    <w:p w14:paraId="383B0A8A" w14:textId="77777777" w:rsidR="005331DB" w:rsidRDefault="005331DB" w:rsidP="004664E2">
      <w:pPr>
        <w:jc w:val="both"/>
        <w:rPr>
          <w:rFonts w:ascii="Arial" w:hAnsi="Arial" w:cs="Arial"/>
        </w:rPr>
      </w:pPr>
    </w:p>
    <w:p w14:paraId="6C2579B0" w14:textId="77777777" w:rsidR="005331DB" w:rsidRPr="002D3F79" w:rsidRDefault="005331DB" w:rsidP="005331DB">
      <w:pPr>
        <w:pStyle w:val="NormalWeb"/>
        <w:jc w:val="both"/>
        <w:rPr>
          <w:rStyle w:val="Strong"/>
          <w:rFonts w:ascii="Arial" w:eastAsiaTheme="majorEastAsia" w:hAnsi="Arial" w:cs="Arial"/>
          <w:color w:val="000000"/>
        </w:rPr>
      </w:pPr>
      <w:r w:rsidRPr="002D3F79">
        <w:rPr>
          <w:rStyle w:val="Strong"/>
          <w:rFonts w:ascii="Arial" w:eastAsiaTheme="majorEastAsia" w:hAnsi="Arial" w:cs="Arial"/>
          <w:b w:val="0"/>
          <w:bCs w:val="0"/>
          <w:color w:val="000000"/>
        </w:rPr>
        <w:t>Gov.uk</w:t>
      </w:r>
      <w:r w:rsidRPr="002D3F79">
        <w:rPr>
          <w:rStyle w:val="apple-converted-space"/>
          <w:rFonts w:ascii="Arial" w:eastAsiaTheme="majorEastAsia" w:hAnsi="Arial" w:cs="Arial"/>
          <w:color w:val="000000"/>
        </w:rPr>
        <w:t> </w:t>
      </w:r>
      <w:r w:rsidRPr="002D3F79">
        <w:rPr>
          <w:rFonts w:ascii="Arial" w:hAnsi="Arial" w:cs="Arial"/>
          <w:color w:val="000000"/>
        </w:rPr>
        <w:t>(2011)</w:t>
      </w:r>
      <w:r w:rsidRPr="002D3F79">
        <w:rPr>
          <w:rStyle w:val="apple-converted-space"/>
          <w:rFonts w:ascii="Arial" w:eastAsiaTheme="majorEastAsia" w:hAnsi="Arial" w:cs="Arial"/>
          <w:color w:val="000000"/>
        </w:rPr>
        <w:t> </w:t>
      </w:r>
      <w:r w:rsidRPr="002D3F79">
        <w:rPr>
          <w:rStyle w:val="Emphasis"/>
          <w:rFonts w:ascii="Arial" w:eastAsiaTheme="majorEastAsia" w:hAnsi="Arial" w:cs="Arial"/>
          <w:i w:val="0"/>
          <w:iCs w:val="0"/>
          <w:color w:val="000000"/>
        </w:rPr>
        <w:t>Private renting for tenants: tenancy agreements</w:t>
      </w:r>
      <w:r w:rsidRPr="002D3F79">
        <w:rPr>
          <w:rFonts w:ascii="Arial" w:hAnsi="Arial" w:cs="Arial"/>
          <w:color w:val="000000"/>
        </w:rPr>
        <w:t>. Available at:</w:t>
      </w:r>
    </w:p>
    <w:p w14:paraId="74BA5151" w14:textId="77777777" w:rsidR="005331DB" w:rsidRDefault="005331DB" w:rsidP="005331DB">
      <w:pPr>
        <w:pStyle w:val="NormalWeb"/>
        <w:jc w:val="both"/>
        <w:rPr>
          <w:rFonts w:ascii="Arial" w:hAnsi="Arial" w:cs="Arial"/>
          <w:color w:val="000000"/>
        </w:rPr>
      </w:pPr>
      <w:hyperlink r:id="rId13" w:anchor=":~:text=A%20tenancy%20agreement%20is%20a,and%20conditions%20of%20your%20tenancy" w:history="1">
        <w:r w:rsidRPr="002D3F79">
          <w:rPr>
            <w:rStyle w:val="Hyperlink"/>
            <w:rFonts w:ascii="Arial" w:hAnsi="Arial" w:cs="Arial"/>
          </w:rPr>
          <w:t>https://www.gov.uk/private-renting-tenancy-agreements#:~:text=A%20tenancy%20agreement%20is%20a,and%20conditions%20of%20your%20tenancy</w:t>
        </w:r>
      </w:hyperlink>
      <w:r w:rsidRPr="002D3F79">
        <w:rPr>
          <w:rFonts w:ascii="Arial" w:hAnsi="Arial" w:cs="Arial"/>
          <w:color w:val="000000"/>
        </w:rPr>
        <w:t>.  (Accessed: 26 June 2025).</w:t>
      </w:r>
    </w:p>
    <w:p w14:paraId="66D8A1E3" w14:textId="77777777" w:rsidR="005331DB" w:rsidRDefault="005331DB" w:rsidP="005331DB">
      <w:pPr>
        <w:jc w:val="both"/>
        <w:rPr>
          <w:rFonts w:ascii="Arial" w:hAnsi="Arial" w:cs="Arial"/>
        </w:rPr>
      </w:pPr>
    </w:p>
    <w:p w14:paraId="1FC7651F" w14:textId="77777777" w:rsidR="005331DB" w:rsidRPr="00D87718" w:rsidRDefault="005331DB" w:rsidP="005331DB">
      <w:pPr>
        <w:jc w:val="both"/>
        <w:rPr>
          <w:rFonts w:ascii="Arial" w:hAnsi="Arial" w:cs="Arial"/>
        </w:rPr>
      </w:pPr>
    </w:p>
    <w:p w14:paraId="3F7F2011" w14:textId="77777777" w:rsidR="005331DB" w:rsidRDefault="005331DB" w:rsidP="005331DB">
      <w:pPr>
        <w:jc w:val="both"/>
        <w:rPr>
          <w:rFonts w:ascii="Arial" w:hAnsi="Arial" w:cs="Arial"/>
        </w:rPr>
      </w:pPr>
      <w:r w:rsidRPr="00F70EEF">
        <w:rPr>
          <w:rStyle w:val="Strong"/>
          <w:rFonts w:ascii="Arial" w:eastAsiaTheme="majorEastAsia" w:hAnsi="Arial" w:cs="Arial"/>
          <w:b w:val="0"/>
          <w:bCs w:val="0"/>
          <w:color w:val="000000"/>
        </w:rPr>
        <w:t>House of Lords</w:t>
      </w:r>
      <w:r w:rsidRPr="00D87718">
        <w:rPr>
          <w:rStyle w:val="apple-converted-space"/>
          <w:rFonts w:ascii="Arial" w:eastAsiaTheme="majorEastAsia" w:hAnsi="Arial" w:cs="Arial"/>
          <w:color w:val="000000"/>
        </w:rPr>
        <w:t> </w:t>
      </w:r>
      <w:r w:rsidRPr="00D87718">
        <w:rPr>
          <w:rFonts w:ascii="Arial" w:hAnsi="Arial" w:cs="Arial"/>
          <w:color w:val="000000"/>
        </w:rPr>
        <w:t>(2001)</w:t>
      </w:r>
      <w:r w:rsidRPr="00D87718">
        <w:rPr>
          <w:rStyle w:val="apple-converted-space"/>
          <w:rFonts w:ascii="Arial" w:eastAsiaTheme="majorEastAsia" w:hAnsi="Arial" w:cs="Arial"/>
          <w:color w:val="000000"/>
        </w:rPr>
        <w:t> </w:t>
      </w:r>
      <w:r w:rsidRPr="00D87718">
        <w:rPr>
          <w:rStyle w:val="Emphasis"/>
          <w:rFonts w:ascii="Arial" w:eastAsiaTheme="majorEastAsia" w:hAnsi="Arial" w:cs="Arial"/>
          <w:color w:val="000000"/>
        </w:rPr>
        <w:t>Royal Bank of Scotland v Etridge (No 2)</w:t>
      </w:r>
      <w:r w:rsidRPr="00D87718">
        <w:rPr>
          <w:rStyle w:val="apple-converted-space"/>
          <w:rFonts w:ascii="Arial" w:eastAsiaTheme="majorEastAsia" w:hAnsi="Arial" w:cs="Arial"/>
          <w:color w:val="000000"/>
        </w:rPr>
        <w:t> </w:t>
      </w:r>
      <w:r w:rsidRPr="00D87718">
        <w:rPr>
          <w:rFonts w:ascii="Arial" w:hAnsi="Arial" w:cs="Arial"/>
          <w:color w:val="000000"/>
        </w:rPr>
        <w:t>[Undue influence – judgment of House of Lords]. [Online] Available at:</w:t>
      </w:r>
    </w:p>
    <w:p w14:paraId="0AFE02CC" w14:textId="77777777" w:rsidR="005331DB" w:rsidRDefault="005331DB" w:rsidP="005331DB">
      <w:pPr>
        <w:jc w:val="both"/>
        <w:rPr>
          <w:rFonts w:ascii="Arial" w:hAnsi="Arial" w:cs="Arial"/>
        </w:rPr>
      </w:pPr>
      <w:hyperlink r:id="rId14" w:history="1">
        <w:r w:rsidRPr="00F07822">
          <w:rPr>
            <w:rStyle w:val="Hyperlink"/>
            <w:rFonts w:ascii="Arial" w:hAnsi="Arial" w:cs="Arial"/>
          </w:rPr>
          <w:t>https://publications.parliament.uk/pa/ld200102/ldjudgmt/jd011011/etridg-1.htm</w:t>
        </w:r>
      </w:hyperlink>
    </w:p>
    <w:p w14:paraId="0B1DF691" w14:textId="30969E6F" w:rsidR="005331DB" w:rsidRPr="005331DB" w:rsidRDefault="005331DB" w:rsidP="005331DB">
      <w:pPr>
        <w:jc w:val="both"/>
        <w:rPr>
          <w:rFonts w:ascii="Arial" w:hAnsi="Arial" w:cs="Arial"/>
        </w:rPr>
      </w:pPr>
      <w:r>
        <w:rPr>
          <w:rFonts w:ascii="Arial" w:hAnsi="Arial" w:cs="Arial"/>
        </w:rPr>
        <w:t>(Accessed: 5 July 2023)</w:t>
      </w:r>
    </w:p>
    <w:p w14:paraId="02FA4C31" w14:textId="77777777" w:rsidR="005331DB" w:rsidRPr="00F70EEF" w:rsidRDefault="005331DB" w:rsidP="005331DB">
      <w:pPr>
        <w:jc w:val="both"/>
        <w:rPr>
          <w:rFonts w:ascii="Arial" w:hAnsi="Arial" w:cs="Arial"/>
        </w:rPr>
      </w:pPr>
    </w:p>
    <w:p w14:paraId="57499B36" w14:textId="77777777" w:rsidR="005331DB" w:rsidRPr="00F70EEF" w:rsidRDefault="005331DB" w:rsidP="005331DB">
      <w:pPr>
        <w:jc w:val="both"/>
        <w:rPr>
          <w:rFonts w:ascii="Arial" w:hAnsi="Arial" w:cs="Arial"/>
        </w:rPr>
      </w:pPr>
      <w:r w:rsidRPr="00F70EEF">
        <w:rPr>
          <w:rStyle w:val="Strong"/>
          <w:rFonts w:ascii="Arial" w:eastAsiaTheme="majorEastAsia" w:hAnsi="Arial" w:cs="Arial"/>
          <w:b w:val="0"/>
          <w:bCs w:val="0"/>
          <w:color w:val="000000"/>
        </w:rPr>
        <w:t>High Court (Chancery Division)</w:t>
      </w:r>
      <w:r w:rsidRPr="00F70EEF">
        <w:rPr>
          <w:rStyle w:val="apple-converted-space"/>
          <w:rFonts w:ascii="Arial" w:eastAsiaTheme="majorEastAsia" w:hAnsi="Arial" w:cs="Arial"/>
          <w:color w:val="000000"/>
        </w:rPr>
        <w:t> </w:t>
      </w:r>
      <w:r w:rsidRPr="00F70EEF">
        <w:rPr>
          <w:rFonts w:ascii="Arial" w:hAnsi="Arial" w:cs="Arial"/>
          <w:color w:val="000000"/>
        </w:rPr>
        <w:t>(2010)</w:t>
      </w:r>
      <w:r w:rsidRPr="00F70EEF">
        <w:rPr>
          <w:rStyle w:val="apple-converted-space"/>
          <w:rFonts w:ascii="Arial" w:eastAsiaTheme="majorEastAsia" w:hAnsi="Arial" w:cs="Arial"/>
          <w:color w:val="000000"/>
        </w:rPr>
        <w:t> </w:t>
      </w:r>
      <w:r w:rsidRPr="00F70EEF">
        <w:rPr>
          <w:rStyle w:val="Emphasis"/>
          <w:rFonts w:ascii="Arial" w:eastAsiaTheme="majorEastAsia" w:hAnsi="Arial" w:cs="Arial"/>
          <w:color w:val="000000"/>
        </w:rPr>
        <w:t>Thomas v BPE Solicitors (a firm) [2010] EWHC 306 (Ch)</w:t>
      </w:r>
      <w:r w:rsidRPr="00F70EEF">
        <w:rPr>
          <w:rFonts w:ascii="Arial" w:hAnsi="Arial" w:cs="Arial"/>
          <w:color w:val="000000"/>
        </w:rPr>
        <w:t>. [Online] Available at:</w:t>
      </w:r>
    </w:p>
    <w:p w14:paraId="3DD4554A" w14:textId="77777777" w:rsidR="005331DB" w:rsidRDefault="005331DB" w:rsidP="005331DB">
      <w:pPr>
        <w:jc w:val="both"/>
        <w:rPr>
          <w:rFonts w:ascii="Arial" w:hAnsi="Arial" w:cs="Arial"/>
        </w:rPr>
      </w:pPr>
      <w:hyperlink r:id="rId15" w:history="1">
        <w:r w:rsidRPr="00F07822">
          <w:rPr>
            <w:rStyle w:val="Hyperlink"/>
            <w:rFonts w:ascii="Arial" w:hAnsi="Arial" w:cs="Arial"/>
          </w:rPr>
          <w:t>https://www.casemine.com/judgement/uk/5a8ff87960d03e7f57ec1097</w:t>
        </w:r>
      </w:hyperlink>
    </w:p>
    <w:p w14:paraId="195100F6" w14:textId="77777777" w:rsidR="005331DB" w:rsidRDefault="005331DB" w:rsidP="005331DB">
      <w:pPr>
        <w:pStyle w:val="NormalWeb"/>
        <w:jc w:val="both"/>
        <w:rPr>
          <w:rFonts w:ascii="Arial" w:hAnsi="Arial" w:cs="Arial"/>
          <w:color w:val="000000"/>
        </w:rPr>
      </w:pPr>
    </w:p>
    <w:p w14:paraId="4D6CFAB0" w14:textId="77777777" w:rsidR="005331DB" w:rsidRPr="002D3F79" w:rsidRDefault="005331DB" w:rsidP="005331DB">
      <w:pPr>
        <w:jc w:val="both"/>
        <w:rPr>
          <w:rFonts w:ascii="Arial" w:hAnsi="Arial" w:cs="Arial"/>
        </w:rPr>
      </w:pPr>
      <w:r w:rsidRPr="002D3F79">
        <w:rPr>
          <w:rFonts w:ascii="Arial" w:eastAsiaTheme="minorHAnsi" w:hAnsi="Arial" w:cs="Arial"/>
          <w:lang w:eastAsia="en-US"/>
          <w14:ligatures w14:val="standardContextual"/>
        </w:rPr>
        <w:t>IONOS (no date) What is capacity to contract? IONOS Startup Guide. Available at:</w:t>
      </w:r>
    </w:p>
    <w:p w14:paraId="68DA100C" w14:textId="77777777" w:rsidR="005331DB" w:rsidRPr="002D3F79" w:rsidRDefault="005331DB" w:rsidP="005331DB">
      <w:pPr>
        <w:jc w:val="both"/>
        <w:rPr>
          <w:rFonts w:ascii="Arial" w:hAnsi="Arial" w:cs="Arial"/>
        </w:rPr>
      </w:pPr>
      <w:hyperlink r:id="rId16" w:history="1">
        <w:r w:rsidRPr="002D3F79">
          <w:rPr>
            <w:rStyle w:val="Hyperlink"/>
            <w:rFonts w:ascii="Arial" w:hAnsi="Arial" w:cs="Arial"/>
          </w:rPr>
          <w:t>https://www.ionos.co.uk/startupguide/get-started/capacity-to-contract/</w:t>
        </w:r>
      </w:hyperlink>
      <w:r w:rsidRPr="002D3F79">
        <w:rPr>
          <w:rFonts w:ascii="Arial" w:hAnsi="Arial" w:cs="Arial"/>
        </w:rPr>
        <w:t xml:space="preserve"> </w:t>
      </w:r>
      <w:r w:rsidRPr="002D3F79">
        <w:rPr>
          <w:rFonts w:ascii="Arial" w:hAnsi="Arial" w:cs="Arial"/>
          <w:color w:val="000000"/>
        </w:rPr>
        <w:t>(Accessed: 26 June 2025).</w:t>
      </w:r>
    </w:p>
    <w:p w14:paraId="6EA1219F" w14:textId="77777777" w:rsidR="005331DB" w:rsidRDefault="005331DB" w:rsidP="005331DB">
      <w:pPr>
        <w:pStyle w:val="NormalWeb"/>
        <w:jc w:val="both"/>
        <w:rPr>
          <w:rFonts w:ascii="Arial" w:hAnsi="Arial" w:cs="Arial"/>
          <w:color w:val="000000"/>
        </w:rPr>
      </w:pPr>
    </w:p>
    <w:p w14:paraId="382ADA90" w14:textId="77777777" w:rsidR="005331DB" w:rsidRPr="002D3F79" w:rsidRDefault="005331DB" w:rsidP="005331DB">
      <w:pPr>
        <w:jc w:val="both"/>
        <w:rPr>
          <w:rFonts w:ascii="Arial" w:hAnsi="Arial" w:cs="Arial"/>
        </w:rPr>
      </w:pPr>
      <w:r w:rsidRPr="002D3F79">
        <w:rPr>
          <w:rFonts w:ascii="Arial" w:eastAsiaTheme="minorHAnsi" w:hAnsi="Arial" w:cs="Arial"/>
          <w:lang w:eastAsia="en-US"/>
          <w14:ligatures w14:val="standardContextual"/>
        </w:rPr>
        <w:t>LexisNexis Dispute Resolution Expert (2019) Forming enforceable contracts—acceptance. LexisNexis. Available at:</w:t>
      </w:r>
    </w:p>
    <w:p w14:paraId="5F0F8853" w14:textId="77777777" w:rsidR="005331DB" w:rsidRPr="002D3F79" w:rsidRDefault="005331DB" w:rsidP="005331DB">
      <w:pPr>
        <w:jc w:val="both"/>
        <w:rPr>
          <w:rFonts w:ascii="Arial" w:hAnsi="Arial" w:cs="Arial"/>
        </w:rPr>
      </w:pPr>
      <w:hyperlink r:id="rId17" w:history="1">
        <w:r w:rsidRPr="002D3F79">
          <w:rPr>
            <w:rStyle w:val="Hyperlink"/>
            <w:rFonts w:ascii="Arial" w:hAnsi="Arial" w:cs="Arial"/>
          </w:rPr>
          <w:t>https://www.lexisnexis.co.u</w:t>
        </w:r>
        <w:r w:rsidRPr="002D3F79">
          <w:rPr>
            <w:rStyle w:val="Hyperlink"/>
            <w:rFonts w:ascii="Arial" w:hAnsi="Arial" w:cs="Arial"/>
          </w:rPr>
          <w:t>k</w:t>
        </w:r>
        <w:r w:rsidRPr="002D3F79">
          <w:rPr>
            <w:rStyle w:val="Hyperlink"/>
            <w:rFonts w:ascii="Arial" w:hAnsi="Arial" w:cs="Arial"/>
          </w:rPr>
          <w:t>/legal/guidance/forming-enforceable-contracts-acceptance</w:t>
        </w:r>
      </w:hyperlink>
      <w:r w:rsidRPr="002D3F79">
        <w:rPr>
          <w:rFonts w:ascii="Arial" w:hAnsi="Arial" w:cs="Arial"/>
        </w:rPr>
        <w:t xml:space="preserve"> </w:t>
      </w:r>
      <w:r w:rsidRPr="002D3F79">
        <w:rPr>
          <w:rFonts w:ascii="Arial" w:hAnsi="Arial" w:cs="Arial"/>
          <w:color w:val="000000"/>
        </w:rPr>
        <w:t>(Accessed: 26 June 2025).</w:t>
      </w:r>
    </w:p>
    <w:p w14:paraId="0A1D1812" w14:textId="77777777" w:rsidR="005331DB" w:rsidRDefault="005331DB" w:rsidP="004664E2">
      <w:pPr>
        <w:jc w:val="both"/>
        <w:rPr>
          <w:rFonts w:ascii="Arial" w:eastAsiaTheme="minorHAnsi" w:hAnsi="Arial" w:cs="Arial"/>
          <w:lang w:eastAsia="en-US"/>
          <w14:ligatures w14:val="standardContextual"/>
        </w:rPr>
      </w:pPr>
    </w:p>
    <w:p w14:paraId="0E41FB25" w14:textId="77777777" w:rsidR="005331DB" w:rsidRDefault="005331DB" w:rsidP="004664E2">
      <w:pPr>
        <w:jc w:val="both"/>
        <w:rPr>
          <w:rFonts w:ascii="Arial" w:eastAsiaTheme="minorHAnsi" w:hAnsi="Arial" w:cs="Arial"/>
          <w:lang w:eastAsia="en-US"/>
          <w14:ligatures w14:val="standardContextual"/>
        </w:rPr>
      </w:pPr>
    </w:p>
    <w:p w14:paraId="518F3426" w14:textId="77777777" w:rsidR="005331DB" w:rsidRDefault="005331DB" w:rsidP="004664E2">
      <w:pPr>
        <w:jc w:val="both"/>
        <w:rPr>
          <w:rFonts w:ascii="Arial" w:eastAsiaTheme="minorHAnsi" w:hAnsi="Arial" w:cs="Arial"/>
          <w:lang w:eastAsia="en-US"/>
          <w14:ligatures w14:val="standardContextual"/>
        </w:rPr>
      </w:pPr>
    </w:p>
    <w:p w14:paraId="747A513F" w14:textId="144C636E" w:rsidR="002D3F79" w:rsidRPr="002D3F79" w:rsidRDefault="002D3F79" w:rsidP="004664E2">
      <w:pPr>
        <w:jc w:val="both"/>
        <w:rPr>
          <w:rFonts w:ascii="Arial" w:hAnsi="Arial" w:cs="Arial"/>
        </w:rPr>
      </w:pPr>
      <w:r w:rsidRPr="002D3F79">
        <w:rPr>
          <w:rFonts w:ascii="Arial" w:eastAsiaTheme="minorHAnsi" w:hAnsi="Arial" w:cs="Arial"/>
          <w:lang w:eastAsia="en-US"/>
          <w14:ligatures w14:val="standardContextual"/>
        </w:rPr>
        <w:t>LexisNexis (no date) Contractual offer: definition. LexisNexis. Available at:</w:t>
      </w:r>
    </w:p>
    <w:p w14:paraId="04910BD0" w14:textId="477CAB37" w:rsidR="007E05F1" w:rsidRPr="002D3F79" w:rsidRDefault="007E05F1" w:rsidP="004664E2">
      <w:pPr>
        <w:jc w:val="both"/>
        <w:rPr>
          <w:rFonts w:ascii="Arial" w:hAnsi="Arial" w:cs="Arial"/>
        </w:rPr>
      </w:pPr>
      <w:hyperlink r:id="rId18" w:history="1">
        <w:r w:rsidRPr="002D3F79">
          <w:rPr>
            <w:rStyle w:val="Hyperlink"/>
            <w:rFonts w:ascii="Arial" w:hAnsi="Arial" w:cs="Arial"/>
          </w:rPr>
          <w:t>https://www.lexisnexis.co.uk/legal/glossary/contractual-offer</w:t>
        </w:r>
      </w:hyperlink>
      <w:r w:rsidR="00122334" w:rsidRPr="002D3F79">
        <w:rPr>
          <w:rFonts w:ascii="Arial" w:hAnsi="Arial" w:cs="Arial"/>
        </w:rPr>
        <w:t xml:space="preserve"> </w:t>
      </w:r>
      <w:r w:rsidR="00122334" w:rsidRPr="002D3F79">
        <w:rPr>
          <w:rFonts w:ascii="Arial" w:hAnsi="Arial" w:cs="Arial"/>
          <w:color w:val="000000"/>
        </w:rPr>
        <w:t>(Accessed: 26 June 2025).</w:t>
      </w:r>
    </w:p>
    <w:p w14:paraId="7EB93FE4" w14:textId="77777777" w:rsidR="007E05F1" w:rsidRPr="002D3F79" w:rsidRDefault="007E05F1" w:rsidP="004664E2">
      <w:pPr>
        <w:jc w:val="both"/>
        <w:rPr>
          <w:rFonts w:ascii="Arial" w:hAnsi="Arial" w:cs="Arial"/>
        </w:rPr>
      </w:pPr>
    </w:p>
    <w:p w14:paraId="40BE8CB0" w14:textId="77777777" w:rsidR="007E05F1" w:rsidRPr="002D3F79" w:rsidRDefault="007E05F1" w:rsidP="004664E2">
      <w:pPr>
        <w:jc w:val="both"/>
        <w:rPr>
          <w:rFonts w:ascii="Arial" w:hAnsi="Arial" w:cs="Arial"/>
        </w:rPr>
      </w:pPr>
    </w:p>
    <w:p w14:paraId="2E3D5E88" w14:textId="28B54D5B" w:rsidR="00182C7E" w:rsidRPr="002D3F79" w:rsidRDefault="002D3F79" w:rsidP="004664E2">
      <w:pPr>
        <w:jc w:val="both"/>
        <w:rPr>
          <w:rFonts w:ascii="Arial" w:hAnsi="Arial" w:cs="Arial"/>
        </w:rPr>
      </w:pPr>
      <w:r w:rsidRPr="002D3F79">
        <w:rPr>
          <w:rFonts w:ascii="Arial" w:eastAsiaTheme="minorHAnsi" w:hAnsi="Arial" w:cs="Arial"/>
          <w:lang w:eastAsia="en-US"/>
          <w14:ligatures w14:val="standardContextual"/>
        </w:rPr>
        <w:t>LexisNexis (no date) Consideration: definition. LexisNexis. Available at:</w:t>
      </w:r>
    </w:p>
    <w:p w14:paraId="21745719" w14:textId="77777777" w:rsidR="00182C7E" w:rsidRPr="002D3F79" w:rsidRDefault="00182C7E" w:rsidP="004664E2">
      <w:pPr>
        <w:jc w:val="both"/>
        <w:rPr>
          <w:rFonts w:ascii="Arial" w:hAnsi="Arial" w:cs="Arial"/>
        </w:rPr>
      </w:pPr>
    </w:p>
    <w:p w14:paraId="2617E2D7" w14:textId="54131FF1" w:rsidR="007E05F1" w:rsidRPr="002D3F79" w:rsidRDefault="007E05F1" w:rsidP="004664E2">
      <w:pPr>
        <w:jc w:val="both"/>
        <w:rPr>
          <w:rFonts w:ascii="Arial" w:hAnsi="Arial" w:cs="Arial"/>
        </w:rPr>
      </w:pPr>
      <w:hyperlink r:id="rId19" w:history="1">
        <w:r w:rsidRPr="002D3F79">
          <w:rPr>
            <w:rStyle w:val="Hyperlink"/>
            <w:rFonts w:ascii="Arial" w:hAnsi="Arial" w:cs="Arial"/>
          </w:rPr>
          <w:t>https://www.lexisnexis.co.uk/legal/glossary/consideration</w:t>
        </w:r>
      </w:hyperlink>
      <w:r w:rsidR="00122334" w:rsidRPr="002D3F79">
        <w:rPr>
          <w:rFonts w:ascii="Arial" w:hAnsi="Arial" w:cs="Arial"/>
        </w:rPr>
        <w:t xml:space="preserve"> </w:t>
      </w:r>
      <w:r w:rsidR="00122334" w:rsidRPr="002D3F79">
        <w:rPr>
          <w:rFonts w:ascii="Arial" w:hAnsi="Arial" w:cs="Arial"/>
          <w:color w:val="000000"/>
        </w:rPr>
        <w:t>(Accessed: 26 June 2025).</w:t>
      </w:r>
    </w:p>
    <w:p w14:paraId="403F2A96" w14:textId="77777777" w:rsidR="007E05F1" w:rsidRPr="002D3F79" w:rsidRDefault="007E05F1" w:rsidP="004664E2">
      <w:pPr>
        <w:jc w:val="both"/>
        <w:rPr>
          <w:rFonts w:ascii="Arial" w:hAnsi="Arial" w:cs="Arial"/>
        </w:rPr>
      </w:pPr>
    </w:p>
    <w:p w14:paraId="5C7D995E" w14:textId="77777777" w:rsidR="007E05F1" w:rsidRPr="002D3F79" w:rsidRDefault="007E05F1" w:rsidP="004664E2">
      <w:pPr>
        <w:jc w:val="both"/>
        <w:rPr>
          <w:rFonts w:ascii="Arial" w:hAnsi="Arial" w:cs="Arial"/>
        </w:rPr>
      </w:pPr>
    </w:p>
    <w:p w14:paraId="0D3EAD5F" w14:textId="640F8212" w:rsidR="00182C7E" w:rsidRPr="00D87718" w:rsidRDefault="002D3F79" w:rsidP="00D87718">
      <w:pPr>
        <w:pStyle w:val="NormalWeb"/>
        <w:jc w:val="both"/>
        <w:rPr>
          <w:rFonts w:ascii="Arial" w:hAnsi="Arial" w:cs="Arial"/>
          <w:color w:val="000000"/>
        </w:rPr>
      </w:pPr>
      <w:r w:rsidRPr="002D3F79">
        <w:rPr>
          <w:rFonts w:ascii="Arial" w:eastAsiaTheme="minorHAnsi" w:hAnsi="Arial" w:cs="Arial"/>
          <w:lang w:eastAsia="en-US"/>
          <w14:ligatures w14:val="standardContextual"/>
        </w:rPr>
        <w:t>LexisNexis Dispute Resolution Expert (2019b) Forming enforceable contracts—intention to create legal relations. LexisNexis. Available at</w:t>
      </w:r>
      <w:r w:rsidR="00D87718">
        <w:rPr>
          <w:rFonts w:ascii="Arial" w:eastAsiaTheme="minorHAnsi" w:hAnsi="Arial" w:cs="Arial"/>
          <w:lang w:eastAsia="en-US"/>
          <w14:ligatures w14:val="standardContextual"/>
        </w:rPr>
        <w:t>:</w:t>
      </w:r>
    </w:p>
    <w:p w14:paraId="6A368025" w14:textId="0458CA47" w:rsidR="007E05F1" w:rsidRPr="002D3F79" w:rsidRDefault="007E05F1" w:rsidP="004664E2">
      <w:pPr>
        <w:jc w:val="both"/>
        <w:rPr>
          <w:rFonts w:ascii="Arial" w:hAnsi="Arial" w:cs="Arial"/>
        </w:rPr>
      </w:pPr>
      <w:hyperlink r:id="rId20" w:history="1">
        <w:r w:rsidRPr="002D3F79">
          <w:rPr>
            <w:rStyle w:val="Hyperlink"/>
            <w:rFonts w:ascii="Arial" w:hAnsi="Arial" w:cs="Arial"/>
          </w:rPr>
          <w:t>https://www.lexisnexis.co.uk/legal/guidance/forming-enforceable-contracts-intention-to-create-legal-relations</w:t>
        </w:r>
      </w:hyperlink>
      <w:r w:rsidR="00122334" w:rsidRPr="002D3F79">
        <w:rPr>
          <w:rFonts w:ascii="Arial" w:hAnsi="Arial" w:cs="Arial"/>
        </w:rPr>
        <w:t xml:space="preserve"> </w:t>
      </w:r>
      <w:r w:rsidR="00122334" w:rsidRPr="002D3F79">
        <w:rPr>
          <w:rFonts w:ascii="Arial" w:hAnsi="Arial" w:cs="Arial"/>
          <w:color w:val="000000"/>
        </w:rPr>
        <w:t>(Accessed: 26 June 2025).</w:t>
      </w:r>
    </w:p>
    <w:p w14:paraId="4497512E" w14:textId="77777777" w:rsidR="007E05F1" w:rsidRPr="002D3F79" w:rsidRDefault="007E05F1" w:rsidP="004664E2">
      <w:pPr>
        <w:jc w:val="both"/>
        <w:rPr>
          <w:rFonts w:ascii="Arial" w:hAnsi="Arial" w:cs="Arial"/>
        </w:rPr>
      </w:pPr>
    </w:p>
    <w:p w14:paraId="0176B648" w14:textId="77777777" w:rsidR="007E05F1" w:rsidRPr="002D3F79" w:rsidRDefault="007E05F1" w:rsidP="004664E2">
      <w:pPr>
        <w:jc w:val="both"/>
        <w:rPr>
          <w:rFonts w:ascii="Arial" w:hAnsi="Arial" w:cs="Arial"/>
        </w:rPr>
      </w:pPr>
    </w:p>
    <w:p w14:paraId="79586C2E" w14:textId="77777777" w:rsidR="007E05F1" w:rsidRDefault="007E05F1" w:rsidP="004664E2">
      <w:pPr>
        <w:jc w:val="both"/>
        <w:rPr>
          <w:rFonts w:ascii="Arial" w:hAnsi="Arial" w:cs="Arial"/>
        </w:rPr>
      </w:pPr>
    </w:p>
    <w:p w14:paraId="1CDF6264" w14:textId="77777777" w:rsidR="005331DB" w:rsidRPr="008F50B6" w:rsidRDefault="005331DB" w:rsidP="005331DB">
      <w:pPr>
        <w:jc w:val="both"/>
        <w:rPr>
          <w:rFonts w:ascii="Arial" w:hAnsi="Arial" w:cs="Arial"/>
          <w:color w:val="000000"/>
        </w:rPr>
      </w:pPr>
      <w:r w:rsidRPr="008F50B6">
        <w:rPr>
          <w:rFonts w:ascii="Arial" w:hAnsi="Arial" w:cs="Arial"/>
          <w:color w:val="000000"/>
        </w:rPr>
        <w:t>LawProf (no date)</w:t>
      </w:r>
      <w:r w:rsidRPr="008F50B6">
        <w:rPr>
          <w:rStyle w:val="apple-converted-space"/>
          <w:rFonts w:ascii="Arial" w:eastAsiaTheme="majorEastAsia" w:hAnsi="Arial" w:cs="Arial"/>
          <w:color w:val="000000"/>
        </w:rPr>
        <w:t> </w:t>
      </w:r>
      <w:r w:rsidRPr="008F50B6">
        <w:rPr>
          <w:rStyle w:val="Emphasis"/>
          <w:rFonts w:ascii="Arial" w:eastAsiaTheme="majorEastAsia" w:hAnsi="Arial" w:cs="Arial"/>
          <w:color w:val="000000"/>
        </w:rPr>
        <w:t>Currie v Misa (1875) LR 10 Ex 153</w:t>
      </w:r>
      <w:r w:rsidRPr="008F50B6">
        <w:rPr>
          <w:rFonts w:ascii="Arial" w:hAnsi="Arial" w:cs="Arial"/>
          <w:color w:val="000000"/>
        </w:rPr>
        <w:t>. Available at:</w:t>
      </w:r>
    </w:p>
    <w:p w14:paraId="40CE5245" w14:textId="77777777" w:rsidR="005331DB" w:rsidRDefault="005331DB" w:rsidP="005331DB">
      <w:pPr>
        <w:jc w:val="both"/>
        <w:rPr>
          <w:rFonts w:ascii="Arial" w:hAnsi="Arial" w:cs="Arial"/>
        </w:rPr>
      </w:pPr>
      <w:hyperlink r:id="rId21" w:history="1">
        <w:r w:rsidRPr="00F07822">
          <w:rPr>
            <w:rStyle w:val="Hyperlink"/>
            <w:rFonts w:ascii="Arial" w:hAnsi="Arial" w:cs="Arial"/>
          </w:rPr>
          <w:t>https://lawprof.co/contract/consideration-cases/currie-v-misa-1875-lr-10-ex-153/</w:t>
        </w:r>
      </w:hyperlink>
      <w:r>
        <w:rPr>
          <w:rFonts w:ascii="Arial" w:hAnsi="Arial" w:cs="Arial"/>
        </w:rPr>
        <w:t>) (Accessed 5 July 2025)</w:t>
      </w:r>
    </w:p>
    <w:p w14:paraId="100BB903" w14:textId="77777777" w:rsidR="005331DB" w:rsidRDefault="005331DB" w:rsidP="004664E2">
      <w:pPr>
        <w:jc w:val="both"/>
        <w:rPr>
          <w:rFonts w:ascii="Arial" w:hAnsi="Arial" w:cs="Arial"/>
        </w:rPr>
      </w:pPr>
    </w:p>
    <w:p w14:paraId="63C87939" w14:textId="77777777" w:rsidR="005331DB" w:rsidRPr="002D3F79" w:rsidRDefault="005331DB" w:rsidP="004664E2">
      <w:pPr>
        <w:jc w:val="both"/>
        <w:rPr>
          <w:rFonts w:ascii="Arial" w:hAnsi="Arial" w:cs="Arial"/>
        </w:rPr>
      </w:pPr>
    </w:p>
    <w:p w14:paraId="0B8BBFE3" w14:textId="77777777" w:rsidR="005331DB" w:rsidRPr="002D3F79" w:rsidRDefault="005331DB" w:rsidP="005331DB">
      <w:pPr>
        <w:jc w:val="both"/>
        <w:rPr>
          <w:rFonts w:ascii="Arial" w:hAnsi="Arial" w:cs="Arial"/>
        </w:rPr>
      </w:pPr>
    </w:p>
    <w:p w14:paraId="0B4D1A92" w14:textId="77777777" w:rsidR="005331DB" w:rsidRPr="002D3F79" w:rsidRDefault="005331DB" w:rsidP="005331DB">
      <w:pPr>
        <w:jc w:val="both"/>
        <w:rPr>
          <w:rFonts w:ascii="Arial" w:hAnsi="Arial" w:cs="Arial"/>
        </w:rPr>
      </w:pPr>
      <w:r w:rsidRPr="002D3F79">
        <w:rPr>
          <w:rFonts w:ascii="Arial" w:hAnsi="Arial" w:cs="Arial"/>
        </w:rPr>
        <w:t xml:space="preserve">  Morgan, P. (2010). BATTLE OF THE FORMS: RESTATING THE ORTHODOX. Cambridge Law Journal, 69(2), 230–232. </w:t>
      </w:r>
    </w:p>
    <w:p w14:paraId="280101DF" w14:textId="77777777" w:rsidR="005331DB" w:rsidRPr="002D3F79" w:rsidRDefault="005331DB" w:rsidP="005331DB">
      <w:pPr>
        <w:jc w:val="both"/>
        <w:rPr>
          <w:rFonts w:ascii="Arial" w:hAnsi="Arial" w:cs="Arial"/>
        </w:rPr>
      </w:pPr>
    </w:p>
    <w:p w14:paraId="49B18FA5" w14:textId="77777777" w:rsidR="005331DB" w:rsidRDefault="005331DB" w:rsidP="005331DB">
      <w:pPr>
        <w:jc w:val="both"/>
        <w:rPr>
          <w:rFonts w:ascii="Arial" w:hAnsi="Arial" w:cs="Arial"/>
        </w:rPr>
      </w:pPr>
      <w:hyperlink r:id="rId22" w:history="1">
        <w:r w:rsidRPr="002D3F79">
          <w:rPr>
            <w:rStyle w:val="Hyperlink"/>
            <w:rFonts w:ascii="Arial" w:hAnsi="Arial" w:cs="Arial"/>
          </w:rPr>
          <w:t>https://doi.org/10.1017/S0008197310000371</w:t>
        </w:r>
      </w:hyperlink>
      <w:r>
        <w:rPr>
          <w:rFonts w:ascii="Arial" w:hAnsi="Arial" w:cs="Arial"/>
        </w:rPr>
        <w:t xml:space="preserve"> (Accessed: 26 June 2025)</w:t>
      </w:r>
    </w:p>
    <w:p w14:paraId="0BD5418A" w14:textId="77777777" w:rsidR="002D3F79" w:rsidRDefault="002D3F79" w:rsidP="004664E2">
      <w:pPr>
        <w:pStyle w:val="NormalWeb"/>
        <w:jc w:val="both"/>
        <w:rPr>
          <w:rFonts w:ascii="Arial" w:hAnsi="Arial" w:cs="Arial"/>
          <w:color w:val="000000"/>
        </w:rPr>
      </w:pPr>
    </w:p>
    <w:p w14:paraId="5A8E219D" w14:textId="77777777" w:rsidR="005331DB" w:rsidRPr="002D3F79" w:rsidRDefault="005331DB" w:rsidP="005331DB">
      <w:pPr>
        <w:pStyle w:val="NormalWeb"/>
        <w:jc w:val="both"/>
        <w:rPr>
          <w:rFonts w:ascii="Arial" w:hAnsi="Arial" w:cs="Arial"/>
          <w:color w:val="000000"/>
        </w:rPr>
      </w:pPr>
      <w:r w:rsidRPr="002D3F79">
        <w:rPr>
          <w:rFonts w:ascii="Arial" w:eastAsiaTheme="minorHAnsi" w:hAnsi="Arial" w:cs="Arial"/>
          <w:lang w:eastAsia="en-US"/>
          <w14:ligatures w14:val="standardContextual"/>
        </w:rPr>
        <w:t>Sant, D. (2024) Are emails legally binding? Harper James. Available at:</w:t>
      </w:r>
    </w:p>
    <w:p w14:paraId="19AC6E36" w14:textId="77777777" w:rsidR="005331DB" w:rsidRPr="002D3F79" w:rsidRDefault="005331DB" w:rsidP="005331DB">
      <w:pPr>
        <w:pStyle w:val="NormalWeb"/>
        <w:jc w:val="both"/>
        <w:rPr>
          <w:rFonts w:ascii="Arial" w:hAnsi="Arial" w:cs="Arial"/>
          <w:color w:val="000000"/>
        </w:rPr>
      </w:pPr>
      <w:hyperlink r:id="rId23" w:history="1">
        <w:r w:rsidRPr="002D3F79">
          <w:rPr>
            <w:rStyle w:val="Hyperlink"/>
            <w:rFonts w:ascii="Arial" w:hAnsi="Arial" w:cs="Arial"/>
          </w:rPr>
          <w:t>https://harperjames.co.uk/article/are-emails-enforceable-contracts/</w:t>
        </w:r>
      </w:hyperlink>
      <w:r w:rsidRPr="002D3F79">
        <w:rPr>
          <w:rFonts w:ascii="Arial" w:hAnsi="Arial" w:cs="Arial"/>
          <w:color w:val="000000"/>
        </w:rPr>
        <w:t>(Accessed:26 June 2025).</w:t>
      </w:r>
    </w:p>
    <w:p w14:paraId="61654204" w14:textId="77777777" w:rsidR="005331DB" w:rsidRDefault="005331DB" w:rsidP="005331DB">
      <w:pPr>
        <w:jc w:val="both"/>
        <w:rPr>
          <w:rFonts w:ascii="Arial" w:hAnsi="Arial" w:cs="Arial"/>
        </w:rPr>
      </w:pPr>
    </w:p>
    <w:p w14:paraId="04A27E3B" w14:textId="77777777" w:rsidR="005331DB" w:rsidRPr="00F70EEF" w:rsidRDefault="005331DB" w:rsidP="005331DB">
      <w:pPr>
        <w:jc w:val="both"/>
        <w:rPr>
          <w:rFonts w:ascii="Arial" w:hAnsi="Arial" w:cs="Arial"/>
        </w:rPr>
      </w:pPr>
    </w:p>
    <w:p w14:paraId="68D14AB0" w14:textId="77777777" w:rsidR="005331DB" w:rsidRPr="00F70EEF" w:rsidRDefault="005331DB" w:rsidP="005331DB">
      <w:pPr>
        <w:jc w:val="both"/>
        <w:rPr>
          <w:rFonts w:ascii="Arial" w:hAnsi="Arial" w:cs="Arial"/>
          <w:color w:val="3A3A3A"/>
          <w:shd w:val="clear" w:color="auto" w:fill="FFFFFF"/>
        </w:rPr>
      </w:pPr>
      <w:proofErr w:type="spellStart"/>
      <w:r w:rsidRPr="00F70EEF">
        <w:rPr>
          <w:rFonts w:ascii="Arial" w:hAnsi="Arial" w:cs="Arial"/>
          <w:color w:val="3A3A3A"/>
          <w:shd w:val="clear" w:color="auto" w:fill="FFFFFF"/>
        </w:rPr>
        <w:t>Saprai</w:t>
      </w:r>
      <w:proofErr w:type="spellEnd"/>
      <w:r w:rsidRPr="00F70EEF">
        <w:rPr>
          <w:rFonts w:ascii="Arial" w:hAnsi="Arial" w:cs="Arial"/>
          <w:color w:val="3A3A3A"/>
          <w:shd w:val="clear" w:color="auto" w:fill="FFFFFF"/>
        </w:rPr>
        <w:t>, P. (2017). Balfour V Balfour and the separation of contract and promise.</w:t>
      </w:r>
      <w:r w:rsidRPr="00F70EEF">
        <w:rPr>
          <w:rStyle w:val="apple-converted-space"/>
          <w:rFonts w:ascii="Arial" w:eastAsiaTheme="majorEastAsia" w:hAnsi="Arial" w:cs="Arial"/>
          <w:color w:val="3A3A3A"/>
          <w:shd w:val="clear" w:color="auto" w:fill="FFFFFF"/>
        </w:rPr>
        <w:t> </w:t>
      </w:r>
      <w:r w:rsidRPr="00F70EEF">
        <w:rPr>
          <w:rFonts w:ascii="Arial" w:hAnsi="Arial" w:cs="Arial"/>
          <w:i/>
          <w:iCs/>
          <w:color w:val="3A3A3A"/>
        </w:rPr>
        <w:t>Legal Studies (Society of Legal Scholars)</w:t>
      </w:r>
      <w:r w:rsidRPr="00F70EEF">
        <w:rPr>
          <w:rFonts w:ascii="Arial" w:hAnsi="Arial" w:cs="Arial"/>
          <w:color w:val="3A3A3A"/>
          <w:shd w:val="clear" w:color="auto" w:fill="FFFFFF"/>
        </w:rPr>
        <w:t>,</w:t>
      </w:r>
      <w:r w:rsidRPr="00F70EEF">
        <w:rPr>
          <w:rStyle w:val="apple-converted-space"/>
          <w:rFonts w:ascii="Arial" w:eastAsiaTheme="majorEastAsia" w:hAnsi="Arial" w:cs="Arial"/>
          <w:color w:val="3A3A3A"/>
          <w:shd w:val="clear" w:color="auto" w:fill="FFFFFF"/>
        </w:rPr>
        <w:t> </w:t>
      </w:r>
      <w:r w:rsidRPr="00F70EEF">
        <w:rPr>
          <w:rFonts w:ascii="Arial" w:hAnsi="Arial" w:cs="Arial"/>
          <w:i/>
          <w:iCs/>
          <w:color w:val="3A3A3A"/>
        </w:rPr>
        <w:t>37</w:t>
      </w:r>
      <w:r w:rsidRPr="00F70EEF">
        <w:rPr>
          <w:rFonts w:ascii="Arial" w:hAnsi="Arial" w:cs="Arial"/>
          <w:color w:val="3A3A3A"/>
          <w:shd w:val="clear" w:color="auto" w:fill="FFFFFF"/>
        </w:rPr>
        <w:t>(3), 468–492</w:t>
      </w:r>
    </w:p>
    <w:p w14:paraId="402B370D" w14:textId="77777777" w:rsidR="005331DB" w:rsidRDefault="005331DB" w:rsidP="005331DB">
      <w:pPr>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 </w:t>
      </w:r>
      <w:hyperlink r:id="rId24" w:history="1">
        <w:r w:rsidRPr="00F07822">
          <w:rPr>
            <w:rStyle w:val="Hyperlink"/>
            <w:rFonts w:ascii="Source Sans Pro" w:hAnsi="Source Sans Pro"/>
            <w:sz w:val="23"/>
            <w:szCs w:val="23"/>
            <w:shd w:val="clear" w:color="auto" w:fill="FFFFFF"/>
          </w:rPr>
          <w:t>https://doi.org/10.1111/lest.12162</w:t>
        </w:r>
      </w:hyperlink>
    </w:p>
    <w:p w14:paraId="7A7EA6E6" w14:textId="77777777" w:rsidR="005331DB" w:rsidRPr="007E5026" w:rsidRDefault="005331DB" w:rsidP="005331DB">
      <w:pPr>
        <w:jc w:val="both"/>
        <w:rPr>
          <w:rFonts w:ascii="Arial" w:hAnsi="Arial" w:cs="Arial"/>
        </w:rPr>
      </w:pPr>
    </w:p>
    <w:p w14:paraId="67D5BDBD" w14:textId="77777777" w:rsidR="005331DB" w:rsidRPr="007E5026" w:rsidRDefault="005331DB" w:rsidP="005331DB">
      <w:pPr>
        <w:jc w:val="both"/>
        <w:rPr>
          <w:rFonts w:ascii="Arial" w:hAnsi="Arial" w:cs="Arial"/>
        </w:rPr>
      </w:pPr>
    </w:p>
    <w:p w14:paraId="0DDCE2FD" w14:textId="77777777" w:rsidR="005331DB" w:rsidRDefault="005331DB" w:rsidP="005331DB">
      <w:pPr>
        <w:jc w:val="both"/>
        <w:rPr>
          <w:rFonts w:ascii="Arial" w:hAnsi="Arial" w:cs="Arial"/>
          <w:color w:val="000000"/>
        </w:rPr>
      </w:pPr>
      <w:r w:rsidRPr="007E5026">
        <w:rPr>
          <w:rStyle w:val="Strong"/>
          <w:rFonts w:ascii="Arial" w:eastAsiaTheme="majorEastAsia" w:hAnsi="Arial" w:cs="Arial"/>
          <w:b w:val="0"/>
          <w:bCs w:val="0"/>
          <w:color w:val="000000"/>
        </w:rPr>
        <w:t>Thomas v BPE Solicitors (a firm)</w:t>
      </w:r>
      <w:r w:rsidRPr="007E5026">
        <w:rPr>
          <w:rStyle w:val="apple-converted-space"/>
          <w:rFonts w:ascii="Arial" w:eastAsiaTheme="majorEastAsia" w:hAnsi="Arial" w:cs="Arial"/>
          <w:color w:val="000000"/>
        </w:rPr>
        <w:t> </w:t>
      </w:r>
      <w:r w:rsidRPr="007E5026">
        <w:rPr>
          <w:rFonts w:ascii="Arial" w:hAnsi="Arial" w:cs="Arial"/>
          <w:color w:val="000000"/>
        </w:rPr>
        <w:t>[2010] EWHC 306 (Ch). Available at:</w:t>
      </w:r>
    </w:p>
    <w:p w14:paraId="48105343" w14:textId="6D3F4DC0" w:rsidR="005331DB" w:rsidRPr="005331DB" w:rsidRDefault="005331DB" w:rsidP="005331DB">
      <w:pPr>
        <w:jc w:val="both"/>
        <w:rPr>
          <w:rFonts w:ascii="Arial" w:hAnsi="Arial" w:cs="Arial"/>
        </w:rPr>
      </w:pPr>
      <w:r w:rsidRPr="007E5026">
        <w:rPr>
          <w:rStyle w:val="apple-converted-space"/>
          <w:rFonts w:ascii="Arial" w:eastAsiaTheme="majorEastAsia" w:hAnsi="Arial" w:cs="Arial"/>
          <w:color w:val="000000"/>
        </w:rPr>
        <w:t> </w:t>
      </w:r>
      <w:hyperlink r:id="rId25" w:history="1">
        <w:r w:rsidRPr="00F07822">
          <w:rPr>
            <w:rStyle w:val="Hyperlink"/>
            <w:rFonts w:ascii="Arial" w:hAnsi="Arial" w:cs="Arial"/>
          </w:rPr>
          <w:t>https://www.bailii.org/ew/cases/EWHC/Ch/2010/306.html</w:t>
        </w:r>
      </w:hyperlink>
      <w:r w:rsidRPr="007E5026">
        <w:rPr>
          <w:rStyle w:val="apple-converted-space"/>
          <w:rFonts w:ascii="Arial" w:eastAsiaTheme="majorEastAsia" w:hAnsi="Arial" w:cs="Arial"/>
          <w:color w:val="000000"/>
        </w:rPr>
        <w:t> </w:t>
      </w:r>
      <w:r w:rsidRPr="007E5026">
        <w:rPr>
          <w:rFonts w:ascii="Arial" w:hAnsi="Arial" w:cs="Arial"/>
          <w:color w:val="000000"/>
        </w:rPr>
        <w:t>(Accessed: 26 June 2025).</w:t>
      </w:r>
    </w:p>
    <w:p w14:paraId="47146B18" w14:textId="77777777" w:rsidR="00182C7E" w:rsidRPr="002D3F79" w:rsidRDefault="00182C7E" w:rsidP="004664E2">
      <w:pPr>
        <w:jc w:val="both"/>
        <w:rPr>
          <w:rFonts w:ascii="Arial" w:hAnsi="Arial" w:cs="Arial"/>
        </w:rPr>
      </w:pPr>
    </w:p>
    <w:p w14:paraId="4E707190" w14:textId="77777777" w:rsidR="002D3F79" w:rsidRPr="002D3F79" w:rsidRDefault="002D3F79" w:rsidP="002D3F79">
      <w:pPr>
        <w:autoSpaceDE w:val="0"/>
        <w:autoSpaceDN w:val="0"/>
        <w:adjustRightInd w:val="0"/>
        <w:rPr>
          <w:rFonts w:ascii="Arial" w:eastAsiaTheme="minorHAnsi" w:hAnsi="Arial" w:cs="Arial"/>
          <w:lang w:eastAsia="en-US"/>
          <w14:ligatures w14:val="standardContextual"/>
        </w:rPr>
      </w:pPr>
    </w:p>
    <w:p w14:paraId="4AC17203" w14:textId="77777777" w:rsidR="002D3F79" w:rsidRPr="002D3F79" w:rsidRDefault="002D3F79" w:rsidP="002D3F79">
      <w:pPr>
        <w:autoSpaceDE w:val="0"/>
        <w:autoSpaceDN w:val="0"/>
        <w:adjustRightInd w:val="0"/>
        <w:rPr>
          <w:rFonts w:ascii="Arial" w:eastAsiaTheme="minorHAnsi" w:hAnsi="Arial" w:cs="Arial"/>
          <w:lang w:eastAsia="en-US"/>
          <w14:ligatures w14:val="standardContextual"/>
        </w:rPr>
      </w:pPr>
    </w:p>
    <w:p w14:paraId="735D78B9" w14:textId="77777777" w:rsidR="000366A6" w:rsidRPr="002D3F79" w:rsidRDefault="000366A6" w:rsidP="004664E2">
      <w:pPr>
        <w:jc w:val="both"/>
        <w:rPr>
          <w:rFonts w:ascii="Arial" w:hAnsi="Arial" w:cs="Arial"/>
        </w:rPr>
      </w:pPr>
    </w:p>
    <w:p w14:paraId="73FAB830" w14:textId="77777777" w:rsidR="00F70EEF" w:rsidRPr="002D3F79" w:rsidRDefault="00F70EEF" w:rsidP="004664E2">
      <w:pPr>
        <w:jc w:val="both"/>
        <w:rPr>
          <w:rFonts w:ascii="Arial" w:hAnsi="Arial" w:cs="Arial"/>
        </w:rPr>
      </w:pPr>
    </w:p>
    <w:sectPr w:rsidR="00F70EEF" w:rsidRPr="002D3F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ED562" w14:textId="77777777" w:rsidR="00667532" w:rsidRDefault="00667532" w:rsidP="00667532">
      <w:r>
        <w:separator/>
      </w:r>
    </w:p>
  </w:endnote>
  <w:endnote w:type="continuationSeparator" w:id="0">
    <w:p w14:paraId="4A0816E7" w14:textId="77777777" w:rsidR="00667532" w:rsidRDefault="00667532" w:rsidP="006675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D6BAC" w14:textId="77777777" w:rsidR="00667532" w:rsidRDefault="00667532" w:rsidP="00667532">
      <w:r>
        <w:separator/>
      </w:r>
    </w:p>
  </w:footnote>
  <w:footnote w:type="continuationSeparator" w:id="0">
    <w:p w14:paraId="65E1C38F" w14:textId="77777777" w:rsidR="00667532" w:rsidRDefault="00667532" w:rsidP="006675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13921"/>
    <w:multiLevelType w:val="multilevel"/>
    <w:tmpl w:val="D4265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4553F3"/>
    <w:multiLevelType w:val="multilevel"/>
    <w:tmpl w:val="A5DC8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FE41E1"/>
    <w:multiLevelType w:val="hybridMultilevel"/>
    <w:tmpl w:val="4606A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1883623">
    <w:abstractNumId w:val="1"/>
  </w:num>
  <w:num w:numId="2" w16cid:durableId="1374846111">
    <w:abstractNumId w:val="0"/>
  </w:num>
  <w:num w:numId="3" w16cid:durableId="11826260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4E5"/>
    <w:rsid w:val="0001710E"/>
    <w:rsid w:val="000366A6"/>
    <w:rsid w:val="0006582A"/>
    <w:rsid w:val="00085D0F"/>
    <w:rsid w:val="0008653A"/>
    <w:rsid w:val="000D7B1F"/>
    <w:rsid w:val="000E3621"/>
    <w:rsid w:val="00100EEF"/>
    <w:rsid w:val="00122334"/>
    <w:rsid w:val="00182C7E"/>
    <w:rsid w:val="001D3146"/>
    <w:rsid w:val="0020343A"/>
    <w:rsid w:val="002175E2"/>
    <w:rsid w:val="002254B6"/>
    <w:rsid w:val="002834E5"/>
    <w:rsid w:val="00283A88"/>
    <w:rsid w:val="00292122"/>
    <w:rsid w:val="002B4DA3"/>
    <w:rsid w:val="002B6B7D"/>
    <w:rsid w:val="002C4863"/>
    <w:rsid w:val="002D3F79"/>
    <w:rsid w:val="002F5F65"/>
    <w:rsid w:val="003323CF"/>
    <w:rsid w:val="0034336B"/>
    <w:rsid w:val="003657E1"/>
    <w:rsid w:val="00385511"/>
    <w:rsid w:val="003C45ED"/>
    <w:rsid w:val="003C57AA"/>
    <w:rsid w:val="003D549D"/>
    <w:rsid w:val="0040320F"/>
    <w:rsid w:val="00416F5F"/>
    <w:rsid w:val="004664E2"/>
    <w:rsid w:val="00481992"/>
    <w:rsid w:val="00495B1F"/>
    <w:rsid w:val="004C2F4D"/>
    <w:rsid w:val="004D3C15"/>
    <w:rsid w:val="004E07AF"/>
    <w:rsid w:val="004E638F"/>
    <w:rsid w:val="004F6EC7"/>
    <w:rsid w:val="005331DB"/>
    <w:rsid w:val="00550AB6"/>
    <w:rsid w:val="005743E7"/>
    <w:rsid w:val="005A0B01"/>
    <w:rsid w:val="005A2DDD"/>
    <w:rsid w:val="005B3512"/>
    <w:rsid w:val="005B7F0F"/>
    <w:rsid w:val="005D5432"/>
    <w:rsid w:val="00601414"/>
    <w:rsid w:val="006065F0"/>
    <w:rsid w:val="00611D1C"/>
    <w:rsid w:val="00611F5D"/>
    <w:rsid w:val="00654884"/>
    <w:rsid w:val="00667532"/>
    <w:rsid w:val="006A6565"/>
    <w:rsid w:val="006F10BF"/>
    <w:rsid w:val="007E05F1"/>
    <w:rsid w:val="007E5026"/>
    <w:rsid w:val="007F56FE"/>
    <w:rsid w:val="00805938"/>
    <w:rsid w:val="008246D2"/>
    <w:rsid w:val="00830999"/>
    <w:rsid w:val="00843622"/>
    <w:rsid w:val="00865FD7"/>
    <w:rsid w:val="008B3D48"/>
    <w:rsid w:val="008E3CD9"/>
    <w:rsid w:val="008F225A"/>
    <w:rsid w:val="008F50B6"/>
    <w:rsid w:val="00965EEC"/>
    <w:rsid w:val="009814A3"/>
    <w:rsid w:val="009E066E"/>
    <w:rsid w:val="00A63B32"/>
    <w:rsid w:val="00A72F5B"/>
    <w:rsid w:val="00A730A5"/>
    <w:rsid w:val="00A83005"/>
    <w:rsid w:val="00AC1B4D"/>
    <w:rsid w:val="00AE20B7"/>
    <w:rsid w:val="00AF4F52"/>
    <w:rsid w:val="00B412E8"/>
    <w:rsid w:val="00B4715D"/>
    <w:rsid w:val="00B5511C"/>
    <w:rsid w:val="00B61E70"/>
    <w:rsid w:val="00B93E8B"/>
    <w:rsid w:val="00B96B91"/>
    <w:rsid w:val="00C26EC6"/>
    <w:rsid w:val="00C272D1"/>
    <w:rsid w:val="00C31188"/>
    <w:rsid w:val="00C34128"/>
    <w:rsid w:val="00C559F9"/>
    <w:rsid w:val="00C65C4C"/>
    <w:rsid w:val="00C6799B"/>
    <w:rsid w:val="00C707FF"/>
    <w:rsid w:val="00C76043"/>
    <w:rsid w:val="00C85641"/>
    <w:rsid w:val="00C97016"/>
    <w:rsid w:val="00CC79C4"/>
    <w:rsid w:val="00D13FE3"/>
    <w:rsid w:val="00D87718"/>
    <w:rsid w:val="00D9792E"/>
    <w:rsid w:val="00DA7B93"/>
    <w:rsid w:val="00DF491E"/>
    <w:rsid w:val="00E564E5"/>
    <w:rsid w:val="00E56850"/>
    <w:rsid w:val="00E908D7"/>
    <w:rsid w:val="00EC75EA"/>
    <w:rsid w:val="00ED08BB"/>
    <w:rsid w:val="00F0381E"/>
    <w:rsid w:val="00F07797"/>
    <w:rsid w:val="00F254ED"/>
    <w:rsid w:val="00F52A64"/>
    <w:rsid w:val="00F54A0E"/>
    <w:rsid w:val="00F70EEF"/>
    <w:rsid w:val="00F84880"/>
    <w:rsid w:val="00FF7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BEEB3C"/>
  <w15:chartTrackingRefBased/>
  <w15:docId w15:val="{8B34B81B-89D4-4049-8702-B250ABEFA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C1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564E5"/>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564E5"/>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E564E5"/>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E564E5"/>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564E5"/>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564E5"/>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564E5"/>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564E5"/>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564E5"/>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4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64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64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564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4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4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4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4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4E5"/>
    <w:rPr>
      <w:rFonts w:eastAsiaTheme="majorEastAsia" w:cstheme="majorBidi"/>
      <w:color w:val="272727" w:themeColor="text1" w:themeTint="D8"/>
    </w:rPr>
  </w:style>
  <w:style w:type="paragraph" w:styleId="Title">
    <w:name w:val="Title"/>
    <w:basedOn w:val="Normal"/>
    <w:next w:val="Normal"/>
    <w:link w:val="TitleChar"/>
    <w:uiPriority w:val="10"/>
    <w:qFormat/>
    <w:rsid w:val="00E564E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564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4E5"/>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564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4E5"/>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564E5"/>
    <w:rPr>
      <w:i/>
      <w:iCs/>
      <w:color w:val="404040" w:themeColor="text1" w:themeTint="BF"/>
    </w:rPr>
  </w:style>
  <w:style w:type="paragraph" w:styleId="ListParagraph">
    <w:name w:val="List Paragraph"/>
    <w:basedOn w:val="Normal"/>
    <w:uiPriority w:val="34"/>
    <w:qFormat/>
    <w:rsid w:val="00E564E5"/>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564E5"/>
    <w:rPr>
      <w:i/>
      <w:iCs/>
      <w:color w:val="0F4761" w:themeColor="accent1" w:themeShade="BF"/>
    </w:rPr>
  </w:style>
  <w:style w:type="paragraph" w:styleId="IntenseQuote">
    <w:name w:val="Intense Quote"/>
    <w:basedOn w:val="Normal"/>
    <w:next w:val="Normal"/>
    <w:link w:val="IntenseQuoteChar"/>
    <w:uiPriority w:val="30"/>
    <w:qFormat/>
    <w:rsid w:val="00E564E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564E5"/>
    <w:rPr>
      <w:i/>
      <w:iCs/>
      <w:color w:val="0F4761" w:themeColor="accent1" w:themeShade="BF"/>
    </w:rPr>
  </w:style>
  <w:style w:type="character" w:styleId="IntenseReference">
    <w:name w:val="Intense Reference"/>
    <w:basedOn w:val="DefaultParagraphFont"/>
    <w:uiPriority w:val="32"/>
    <w:qFormat/>
    <w:rsid w:val="00E564E5"/>
    <w:rPr>
      <w:b/>
      <w:bCs/>
      <w:smallCaps/>
      <w:color w:val="0F4761" w:themeColor="accent1" w:themeShade="BF"/>
      <w:spacing w:val="5"/>
    </w:rPr>
  </w:style>
  <w:style w:type="paragraph" w:styleId="NormalWeb">
    <w:name w:val="Normal (Web)"/>
    <w:basedOn w:val="Normal"/>
    <w:uiPriority w:val="99"/>
    <w:unhideWhenUsed/>
    <w:rsid w:val="008F225A"/>
    <w:pPr>
      <w:spacing w:before="100" w:beforeAutospacing="1" w:after="100" w:afterAutospacing="1"/>
    </w:pPr>
  </w:style>
  <w:style w:type="character" w:styleId="Strong">
    <w:name w:val="Strong"/>
    <w:basedOn w:val="DefaultParagraphFont"/>
    <w:uiPriority w:val="22"/>
    <w:qFormat/>
    <w:rsid w:val="008F225A"/>
    <w:rPr>
      <w:b/>
      <w:bCs/>
    </w:rPr>
  </w:style>
  <w:style w:type="character" w:customStyle="1" w:styleId="apple-converted-space">
    <w:name w:val="apple-converted-space"/>
    <w:basedOn w:val="DefaultParagraphFont"/>
    <w:rsid w:val="008F225A"/>
  </w:style>
  <w:style w:type="character" w:styleId="Emphasis">
    <w:name w:val="Emphasis"/>
    <w:basedOn w:val="DefaultParagraphFont"/>
    <w:uiPriority w:val="20"/>
    <w:qFormat/>
    <w:rsid w:val="008F225A"/>
    <w:rPr>
      <w:i/>
      <w:iCs/>
    </w:rPr>
  </w:style>
  <w:style w:type="character" w:styleId="Hyperlink">
    <w:name w:val="Hyperlink"/>
    <w:basedOn w:val="DefaultParagraphFont"/>
    <w:uiPriority w:val="99"/>
    <w:unhideWhenUsed/>
    <w:rsid w:val="00F84880"/>
    <w:rPr>
      <w:color w:val="467886" w:themeColor="hyperlink"/>
      <w:u w:val="single"/>
    </w:rPr>
  </w:style>
  <w:style w:type="character" w:styleId="UnresolvedMention">
    <w:name w:val="Unresolved Mention"/>
    <w:basedOn w:val="DefaultParagraphFont"/>
    <w:uiPriority w:val="99"/>
    <w:semiHidden/>
    <w:unhideWhenUsed/>
    <w:rsid w:val="00F84880"/>
    <w:rPr>
      <w:color w:val="605E5C"/>
      <w:shd w:val="clear" w:color="auto" w:fill="E1DFDD"/>
    </w:rPr>
  </w:style>
  <w:style w:type="character" w:styleId="FollowedHyperlink">
    <w:name w:val="FollowedHyperlink"/>
    <w:basedOn w:val="DefaultParagraphFont"/>
    <w:uiPriority w:val="99"/>
    <w:semiHidden/>
    <w:unhideWhenUsed/>
    <w:rsid w:val="00550AB6"/>
    <w:rPr>
      <w:color w:val="96607D" w:themeColor="followedHyperlink"/>
      <w:u w:val="single"/>
    </w:rPr>
  </w:style>
  <w:style w:type="paragraph" w:styleId="Header">
    <w:name w:val="header"/>
    <w:basedOn w:val="Normal"/>
    <w:link w:val="HeaderChar"/>
    <w:uiPriority w:val="99"/>
    <w:unhideWhenUsed/>
    <w:rsid w:val="00667532"/>
    <w:pPr>
      <w:tabs>
        <w:tab w:val="center" w:pos="4513"/>
        <w:tab w:val="right" w:pos="9026"/>
      </w:tabs>
    </w:pPr>
  </w:style>
  <w:style w:type="character" w:customStyle="1" w:styleId="HeaderChar">
    <w:name w:val="Header Char"/>
    <w:basedOn w:val="DefaultParagraphFont"/>
    <w:link w:val="Header"/>
    <w:uiPriority w:val="99"/>
    <w:rsid w:val="0066753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667532"/>
    <w:pPr>
      <w:tabs>
        <w:tab w:val="center" w:pos="4513"/>
        <w:tab w:val="right" w:pos="9026"/>
      </w:tabs>
    </w:pPr>
  </w:style>
  <w:style w:type="character" w:customStyle="1" w:styleId="FooterChar">
    <w:name w:val="Footer Char"/>
    <w:basedOn w:val="DefaultParagraphFont"/>
    <w:link w:val="Footer"/>
    <w:uiPriority w:val="99"/>
    <w:rsid w:val="00667532"/>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902720">
      <w:bodyDiv w:val="1"/>
      <w:marLeft w:val="0"/>
      <w:marRight w:val="0"/>
      <w:marTop w:val="0"/>
      <w:marBottom w:val="0"/>
      <w:divBdr>
        <w:top w:val="none" w:sz="0" w:space="0" w:color="auto"/>
        <w:left w:val="none" w:sz="0" w:space="0" w:color="auto"/>
        <w:bottom w:val="none" w:sz="0" w:space="0" w:color="auto"/>
        <w:right w:val="none" w:sz="0" w:space="0" w:color="auto"/>
      </w:divBdr>
    </w:div>
    <w:div w:id="138159740">
      <w:bodyDiv w:val="1"/>
      <w:marLeft w:val="0"/>
      <w:marRight w:val="0"/>
      <w:marTop w:val="0"/>
      <w:marBottom w:val="0"/>
      <w:divBdr>
        <w:top w:val="none" w:sz="0" w:space="0" w:color="auto"/>
        <w:left w:val="none" w:sz="0" w:space="0" w:color="auto"/>
        <w:bottom w:val="none" w:sz="0" w:space="0" w:color="auto"/>
        <w:right w:val="none" w:sz="0" w:space="0" w:color="auto"/>
      </w:divBdr>
    </w:div>
    <w:div w:id="178545118">
      <w:bodyDiv w:val="1"/>
      <w:marLeft w:val="0"/>
      <w:marRight w:val="0"/>
      <w:marTop w:val="0"/>
      <w:marBottom w:val="0"/>
      <w:divBdr>
        <w:top w:val="none" w:sz="0" w:space="0" w:color="auto"/>
        <w:left w:val="none" w:sz="0" w:space="0" w:color="auto"/>
        <w:bottom w:val="none" w:sz="0" w:space="0" w:color="auto"/>
        <w:right w:val="none" w:sz="0" w:space="0" w:color="auto"/>
      </w:divBdr>
    </w:div>
    <w:div w:id="202330632">
      <w:bodyDiv w:val="1"/>
      <w:marLeft w:val="0"/>
      <w:marRight w:val="0"/>
      <w:marTop w:val="0"/>
      <w:marBottom w:val="0"/>
      <w:divBdr>
        <w:top w:val="none" w:sz="0" w:space="0" w:color="auto"/>
        <w:left w:val="none" w:sz="0" w:space="0" w:color="auto"/>
        <w:bottom w:val="none" w:sz="0" w:space="0" w:color="auto"/>
        <w:right w:val="none" w:sz="0" w:space="0" w:color="auto"/>
      </w:divBdr>
    </w:div>
    <w:div w:id="276832474">
      <w:bodyDiv w:val="1"/>
      <w:marLeft w:val="0"/>
      <w:marRight w:val="0"/>
      <w:marTop w:val="0"/>
      <w:marBottom w:val="0"/>
      <w:divBdr>
        <w:top w:val="none" w:sz="0" w:space="0" w:color="auto"/>
        <w:left w:val="none" w:sz="0" w:space="0" w:color="auto"/>
        <w:bottom w:val="none" w:sz="0" w:space="0" w:color="auto"/>
        <w:right w:val="none" w:sz="0" w:space="0" w:color="auto"/>
      </w:divBdr>
    </w:div>
    <w:div w:id="529880288">
      <w:bodyDiv w:val="1"/>
      <w:marLeft w:val="0"/>
      <w:marRight w:val="0"/>
      <w:marTop w:val="0"/>
      <w:marBottom w:val="0"/>
      <w:divBdr>
        <w:top w:val="none" w:sz="0" w:space="0" w:color="auto"/>
        <w:left w:val="none" w:sz="0" w:space="0" w:color="auto"/>
        <w:bottom w:val="none" w:sz="0" w:space="0" w:color="auto"/>
        <w:right w:val="none" w:sz="0" w:space="0" w:color="auto"/>
      </w:divBdr>
    </w:div>
    <w:div w:id="549462414">
      <w:bodyDiv w:val="1"/>
      <w:marLeft w:val="0"/>
      <w:marRight w:val="0"/>
      <w:marTop w:val="0"/>
      <w:marBottom w:val="0"/>
      <w:divBdr>
        <w:top w:val="none" w:sz="0" w:space="0" w:color="auto"/>
        <w:left w:val="none" w:sz="0" w:space="0" w:color="auto"/>
        <w:bottom w:val="none" w:sz="0" w:space="0" w:color="auto"/>
        <w:right w:val="none" w:sz="0" w:space="0" w:color="auto"/>
      </w:divBdr>
    </w:div>
    <w:div w:id="572086177">
      <w:bodyDiv w:val="1"/>
      <w:marLeft w:val="0"/>
      <w:marRight w:val="0"/>
      <w:marTop w:val="0"/>
      <w:marBottom w:val="0"/>
      <w:divBdr>
        <w:top w:val="none" w:sz="0" w:space="0" w:color="auto"/>
        <w:left w:val="none" w:sz="0" w:space="0" w:color="auto"/>
        <w:bottom w:val="none" w:sz="0" w:space="0" w:color="auto"/>
        <w:right w:val="none" w:sz="0" w:space="0" w:color="auto"/>
      </w:divBdr>
    </w:div>
    <w:div w:id="765611798">
      <w:bodyDiv w:val="1"/>
      <w:marLeft w:val="0"/>
      <w:marRight w:val="0"/>
      <w:marTop w:val="0"/>
      <w:marBottom w:val="0"/>
      <w:divBdr>
        <w:top w:val="none" w:sz="0" w:space="0" w:color="auto"/>
        <w:left w:val="none" w:sz="0" w:space="0" w:color="auto"/>
        <w:bottom w:val="none" w:sz="0" w:space="0" w:color="auto"/>
        <w:right w:val="none" w:sz="0" w:space="0" w:color="auto"/>
      </w:divBdr>
    </w:div>
    <w:div w:id="773743365">
      <w:bodyDiv w:val="1"/>
      <w:marLeft w:val="0"/>
      <w:marRight w:val="0"/>
      <w:marTop w:val="0"/>
      <w:marBottom w:val="0"/>
      <w:divBdr>
        <w:top w:val="none" w:sz="0" w:space="0" w:color="auto"/>
        <w:left w:val="none" w:sz="0" w:space="0" w:color="auto"/>
        <w:bottom w:val="none" w:sz="0" w:space="0" w:color="auto"/>
        <w:right w:val="none" w:sz="0" w:space="0" w:color="auto"/>
      </w:divBdr>
    </w:div>
    <w:div w:id="818494156">
      <w:bodyDiv w:val="1"/>
      <w:marLeft w:val="0"/>
      <w:marRight w:val="0"/>
      <w:marTop w:val="0"/>
      <w:marBottom w:val="0"/>
      <w:divBdr>
        <w:top w:val="none" w:sz="0" w:space="0" w:color="auto"/>
        <w:left w:val="none" w:sz="0" w:space="0" w:color="auto"/>
        <w:bottom w:val="none" w:sz="0" w:space="0" w:color="auto"/>
        <w:right w:val="none" w:sz="0" w:space="0" w:color="auto"/>
      </w:divBdr>
    </w:div>
    <w:div w:id="834687569">
      <w:bodyDiv w:val="1"/>
      <w:marLeft w:val="0"/>
      <w:marRight w:val="0"/>
      <w:marTop w:val="0"/>
      <w:marBottom w:val="0"/>
      <w:divBdr>
        <w:top w:val="none" w:sz="0" w:space="0" w:color="auto"/>
        <w:left w:val="none" w:sz="0" w:space="0" w:color="auto"/>
        <w:bottom w:val="none" w:sz="0" w:space="0" w:color="auto"/>
        <w:right w:val="none" w:sz="0" w:space="0" w:color="auto"/>
      </w:divBdr>
    </w:div>
    <w:div w:id="881014869">
      <w:bodyDiv w:val="1"/>
      <w:marLeft w:val="0"/>
      <w:marRight w:val="0"/>
      <w:marTop w:val="0"/>
      <w:marBottom w:val="0"/>
      <w:divBdr>
        <w:top w:val="none" w:sz="0" w:space="0" w:color="auto"/>
        <w:left w:val="none" w:sz="0" w:space="0" w:color="auto"/>
        <w:bottom w:val="none" w:sz="0" w:space="0" w:color="auto"/>
        <w:right w:val="none" w:sz="0" w:space="0" w:color="auto"/>
      </w:divBdr>
    </w:div>
    <w:div w:id="931936694">
      <w:bodyDiv w:val="1"/>
      <w:marLeft w:val="0"/>
      <w:marRight w:val="0"/>
      <w:marTop w:val="0"/>
      <w:marBottom w:val="0"/>
      <w:divBdr>
        <w:top w:val="none" w:sz="0" w:space="0" w:color="auto"/>
        <w:left w:val="none" w:sz="0" w:space="0" w:color="auto"/>
        <w:bottom w:val="none" w:sz="0" w:space="0" w:color="auto"/>
        <w:right w:val="none" w:sz="0" w:space="0" w:color="auto"/>
      </w:divBdr>
    </w:div>
    <w:div w:id="1013607579">
      <w:bodyDiv w:val="1"/>
      <w:marLeft w:val="0"/>
      <w:marRight w:val="0"/>
      <w:marTop w:val="0"/>
      <w:marBottom w:val="0"/>
      <w:divBdr>
        <w:top w:val="none" w:sz="0" w:space="0" w:color="auto"/>
        <w:left w:val="none" w:sz="0" w:space="0" w:color="auto"/>
        <w:bottom w:val="none" w:sz="0" w:space="0" w:color="auto"/>
        <w:right w:val="none" w:sz="0" w:space="0" w:color="auto"/>
      </w:divBdr>
    </w:div>
    <w:div w:id="1134174495">
      <w:bodyDiv w:val="1"/>
      <w:marLeft w:val="0"/>
      <w:marRight w:val="0"/>
      <w:marTop w:val="0"/>
      <w:marBottom w:val="0"/>
      <w:divBdr>
        <w:top w:val="none" w:sz="0" w:space="0" w:color="auto"/>
        <w:left w:val="none" w:sz="0" w:space="0" w:color="auto"/>
        <w:bottom w:val="none" w:sz="0" w:space="0" w:color="auto"/>
        <w:right w:val="none" w:sz="0" w:space="0" w:color="auto"/>
      </w:divBdr>
    </w:div>
    <w:div w:id="1250699846">
      <w:bodyDiv w:val="1"/>
      <w:marLeft w:val="0"/>
      <w:marRight w:val="0"/>
      <w:marTop w:val="0"/>
      <w:marBottom w:val="0"/>
      <w:divBdr>
        <w:top w:val="none" w:sz="0" w:space="0" w:color="auto"/>
        <w:left w:val="none" w:sz="0" w:space="0" w:color="auto"/>
        <w:bottom w:val="none" w:sz="0" w:space="0" w:color="auto"/>
        <w:right w:val="none" w:sz="0" w:space="0" w:color="auto"/>
      </w:divBdr>
    </w:div>
    <w:div w:id="1280643880">
      <w:bodyDiv w:val="1"/>
      <w:marLeft w:val="0"/>
      <w:marRight w:val="0"/>
      <w:marTop w:val="0"/>
      <w:marBottom w:val="0"/>
      <w:divBdr>
        <w:top w:val="none" w:sz="0" w:space="0" w:color="auto"/>
        <w:left w:val="none" w:sz="0" w:space="0" w:color="auto"/>
        <w:bottom w:val="none" w:sz="0" w:space="0" w:color="auto"/>
        <w:right w:val="none" w:sz="0" w:space="0" w:color="auto"/>
      </w:divBdr>
    </w:div>
    <w:div w:id="1305694832">
      <w:bodyDiv w:val="1"/>
      <w:marLeft w:val="0"/>
      <w:marRight w:val="0"/>
      <w:marTop w:val="0"/>
      <w:marBottom w:val="0"/>
      <w:divBdr>
        <w:top w:val="none" w:sz="0" w:space="0" w:color="auto"/>
        <w:left w:val="none" w:sz="0" w:space="0" w:color="auto"/>
        <w:bottom w:val="none" w:sz="0" w:space="0" w:color="auto"/>
        <w:right w:val="none" w:sz="0" w:space="0" w:color="auto"/>
      </w:divBdr>
    </w:div>
    <w:div w:id="1392574801">
      <w:bodyDiv w:val="1"/>
      <w:marLeft w:val="0"/>
      <w:marRight w:val="0"/>
      <w:marTop w:val="0"/>
      <w:marBottom w:val="0"/>
      <w:divBdr>
        <w:top w:val="none" w:sz="0" w:space="0" w:color="auto"/>
        <w:left w:val="none" w:sz="0" w:space="0" w:color="auto"/>
        <w:bottom w:val="none" w:sz="0" w:space="0" w:color="auto"/>
        <w:right w:val="none" w:sz="0" w:space="0" w:color="auto"/>
      </w:divBdr>
    </w:div>
    <w:div w:id="1588268305">
      <w:bodyDiv w:val="1"/>
      <w:marLeft w:val="0"/>
      <w:marRight w:val="0"/>
      <w:marTop w:val="0"/>
      <w:marBottom w:val="0"/>
      <w:divBdr>
        <w:top w:val="none" w:sz="0" w:space="0" w:color="auto"/>
        <w:left w:val="none" w:sz="0" w:space="0" w:color="auto"/>
        <w:bottom w:val="none" w:sz="0" w:space="0" w:color="auto"/>
        <w:right w:val="none" w:sz="0" w:space="0" w:color="auto"/>
      </w:divBdr>
    </w:div>
    <w:div w:id="1613440681">
      <w:bodyDiv w:val="1"/>
      <w:marLeft w:val="0"/>
      <w:marRight w:val="0"/>
      <w:marTop w:val="0"/>
      <w:marBottom w:val="0"/>
      <w:divBdr>
        <w:top w:val="none" w:sz="0" w:space="0" w:color="auto"/>
        <w:left w:val="none" w:sz="0" w:space="0" w:color="auto"/>
        <w:bottom w:val="none" w:sz="0" w:space="0" w:color="auto"/>
        <w:right w:val="none" w:sz="0" w:space="0" w:color="auto"/>
      </w:divBdr>
    </w:div>
    <w:div w:id="1635209376">
      <w:bodyDiv w:val="1"/>
      <w:marLeft w:val="0"/>
      <w:marRight w:val="0"/>
      <w:marTop w:val="0"/>
      <w:marBottom w:val="0"/>
      <w:divBdr>
        <w:top w:val="none" w:sz="0" w:space="0" w:color="auto"/>
        <w:left w:val="none" w:sz="0" w:space="0" w:color="auto"/>
        <w:bottom w:val="none" w:sz="0" w:space="0" w:color="auto"/>
        <w:right w:val="none" w:sz="0" w:space="0" w:color="auto"/>
      </w:divBdr>
    </w:div>
    <w:div w:id="1682509458">
      <w:bodyDiv w:val="1"/>
      <w:marLeft w:val="0"/>
      <w:marRight w:val="0"/>
      <w:marTop w:val="0"/>
      <w:marBottom w:val="0"/>
      <w:divBdr>
        <w:top w:val="none" w:sz="0" w:space="0" w:color="auto"/>
        <w:left w:val="none" w:sz="0" w:space="0" w:color="auto"/>
        <w:bottom w:val="none" w:sz="0" w:space="0" w:color="auto"/>
        <w:right w:val="none" w:sz="0" w:space="0" w:color="auto"/>
      </w:divBdr>
    </w:div>
    <w:div w:id="1695225430">
      <w:bodyDiv w:val="1"/>
      <w:marLeft w:val="0"/>
      <w:marRight w:val="0"/>
      <w:marTop w:val="0"/>
      <w:marBottom w:val="0"/>
      <w:divBdr>
        <w:top w:val="none" w:sz="0" w:space="0" w:color="auto"/>
        <w:left w:val="none" w:sz="0" w:space="0" w:color="auto"/>
        <w:bottom w:val="none" w:sz="0" w:space="0" w:color="auto"/>
        <w:right w:val="none" w:sz="0" w:space="0" w:color="auto"/>
      </w:divBdr>
    </w:div>
    <w:div w:id="1739941454">
      <w:bodyDiv w:val="1"/>
      <w:marLeft w:val="0"/>
      <w:marRight w:val="0"/>
      <w:marTop w:val="0"/>
      <w:marBottom w:val="0"/>
      <w:divBdr>
        <w:top w:val="none" w:sz="0" w:space="0" w:color="auto"/>
        <w:left w:val="none" w:sz="0" w:space="0" w:color="auto"/>
        <w:bottom w:val="none" w:sz="0" w:space="0" w:color="auto"/>
        <w:right w:val="none" w:sz="0" w:space="0" w:color="auto"/>
      </w:divBdr>
    </w:div>
    <w:div w:id="2009408467">
      <w:bodyDiv w:val="1"/>
      <w:marLeft w:val="0"/>
      <w:marRight w:val="0"/>
      <w:marTop w:val="0"/>
      <w:marBottom w:val="0"/>
      <w:divBdr>
        <w:top w:val="none" w:sz="0" w:space="0" w:color="auto"/>
        <w:left w:val="none" w:sz="0" w:space="0" w:color="auto"/>
        <w:bottom w:val="none" w:sz="0" w:space="0" w:color="auto"/>
        <w:right w:val="none" w:sz="0" w:space="0" w:color="auto"/>
      </w:divBdr>
    </w:div>
    <w:div w:id="2013873356">
      <w:bodyDiv w:val="1"/>
      <w:marLeft w:val="0"/>
      <w:marRight w:val="0"/>
      <w:marTop w:val="0"/>
      <w:marBottom w:val="0"/>
      <w:divBdr>
        <w:top w:val="none" w:sz="0" w:space="0" w:color="auto"/>
        <w:left w:val="none" w:sz="0" w:space="0" w:color="auto"/>
        <w:bottom w:val="none" w:sz="0" w:space="0" w:color="auto"/>
        <w:right w:val="none" w:sz="0" w:space="0" w:color="auto"/>
      </w:divBdr>
    </w:div>
    <w:div w:id="205292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tonlegalgroup.com/4-elements-of-a-contract-business-law/" TargetMode="External"/><Relationship Id="rId13" Type="http://schemas.openxmlformats.org/officeDocument/2006/relationships/hyperlink" Target="https://www.gov.uk/private-renting-tenancy-agreements" TargetMode="External"/><Relationship Id="rId18" Type="http://schemas.openxmlformats.org/officeDocument/2006/relationships/hyperlink" Target="https://www.lexisnexis.co.uk/legal/glossary/contractual-offer"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awprof.co/contract/consideration-cases/currie-v-misa-1875-lr-10-ex-153/" TargetMode="External"/><Relationship Id="rId7" Type="http://schemas.openxmlformats.org/officeDocument/2006/relationships/hyperlink" Target="https://www.adobe.com/acrobat/business/hub/binding-vs-non-binding-contract.html" TargetMode="External"/><Relationship Id="rId12" Type="http://schemas.openxmlformats.org/officeDocument/2006/relationships/hyperlink" Target="https://www.gov.uk/tenancy-deposit-protection" TargetMode="External"/><Relationship Id="rId17" Type="http://schemas.openxmlformats.org/officeDocument/2006/relationships/hyperlink" Target="https://www.lexisnexis.co.uk/legal/guidance/forming-enforceable-contracts-acceptance" TargetMode="External"/><Relationship Id="rId25" Type="http://schemas.openxmlformats.org/officeDocument/2006/relationships/hyperlink" Target="https://www.bailii.org/ew/cases/EWHC/Ch/2010/306.html" TargetMode="External"/><Relationship Id="rId2" Type="http://schemas.openxmlformats.org/officeDocument/2006/relationships/styles" Target="styles.xml"/><Relationship Id="rId16" Type="http://schemas.openxmlformats.org/officeDocument/2006/relationships/hyperlink" Target="https://www.ionos.co.uk/startupguide/get-started/capacity-to-contract/" TargetMode="External"/><Relationship Id="rId20" Type="http://schemas.openxmlformats.org/officeDocument/2006/relationships/hyperlink" Target="https://www.lexisnexis.co.uk/legal/guidance/forming-enforceable-contracts-intention-to-create-legal-rel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renting-out-a-property" TargetMode="External"/><Relationship Id="rId24" Type="http://schemas.openxmlformats.org/officeDocument/2006/relationships/hyperlink" Target="https://doi.org/10.1111/lest.12162" TargetMode="External"/><Relationship Id="rId5" Type="http://schemas.openxmlformats.org/officeDocument/2006/relationships/footnotes" Target="footnotes.xml"/><Relationship Id="rId15" Type="http://schemas.openxmlformats.org/officeDocument/2006/relationships/hyperlink" Target="https://www.casemine.com/judgement/uk/5a8ff87960d03e7f57ec1097" TargetMode="External"/><Relationship Id="rId23" Type="http://schemas.openxmlformats.org/officeDocument/2006/relationships/hyperlink" Target="https://harperjames.co.uk/article/are-emails-enforceable-contracts/" TargetMode="External"/><Relationship Id="rId10" Type="http://schemas.openxmlformats.org/officeDocument/2006/relationships/hyperlink" Target="https://emlaw.co.uk/contract-law-elements-of-a-binding-contract/" TargetMode="External"/><Relationship Id="rId19" Type="http://schemas.openxmlformats.org/officeDocument/2006/relationships/hyperlink" Target="https://www.lexisnexis.co.uk/legal/glossary/consideration" TargetMode="External"/><Relationship Id="rId4" Type="http://schemas.openxmlformats.org/officeDocument/2006/relationships/webSettings" Target="webSettings.xml"/><Relationship Id="rId9" Type="http://schemas.openxmlformats.org/officeDocument/2006/relationships/hyperlink" Target="https://www.bailii.org/ew/cases/EWCA/Civ/1955/3.html" TargetMode="External"/><Relationship Id="rId14" Type="http://schemas.openxmlformats.org/officeDocument/2006/relationships/hyperlink" Target="https://publications.parliament.uk/pa/ld200102/ldjudgmt/jd011011/etridg-1.htm" TargetMode="External"/><Relationship Id="rId22" Type="http://schemas.openxmlformats.org/officeDocument/2006/relationships/hyperlink" Target="https://doi.org/10.1017/S000819731000037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2656</Words>
  <Characters>15781</Characters>
  <Application>Microsoft Office Word</Application>
  <DocSecurity>0</DocSecurity>
  <Lines>438</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3</cp:revision>
  <dcterms:created xsi:type="dcterms:W3CDTF">2025-07-17T22:26:00Z</dcterms:created>
  <dcterms:modified xsi:type="dcterms:W3CDTF">2025-07-17T22:27:00Z</dcterms:modified>
</cp:coreProperties>
</file>