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39"/>
      </w:tblGrid>
      <w:tr w:rsidR="00F927A1" w:rsidRPr="009927A1" w14:paraId="671BD674" w14:textId="77777777" w:rsidTr="006F7FC8">
        <w:trPr>
          <w:trHeight w:val="2441"/>
        </w:trPr>
        <w:tc>
          <w:tcPr>
            <w:tcW w:w="8739" w:type="dxa"/>
            <w:shd w:val="clear" w:color="auto" w:fill="auto"/>
          </w:tcPr>
          <w:p w14:paraId="73B66AB0" w14:textId="77777777" w:rsidR="006F7FC8"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F7FC8">
              <w:rPr>
                <w:b/>
                <w:color w:val="auto"/>
                <w:sz w:val="32"/>
              </w:rPr>
              <w:t xml:space="preserve"> </w:t>
            </w:r>
          </w:p>
          <w:p w14:paraId="0D414ECF" w14:textId="77777777" w:rsidR="006F7FC8" w:rsidRDefault="006F7FC8" w:rsidP="00340E9A">
            <w:pPr>
              <w:overflowPunct/>
              <w:autoSpaceDE/>
              <w:autoSpaceDN/>
              <w:adjustRightInd/>
              <w:ind w:right="237"/>
              <w:textAlignment w:val="auto"/>
              <w:rPr>
                <w:b/>
                <w:color w:val="auto"/>
                <w:sz w:val="32"/>
              </w:rPr>
            </w:pPr>
          </w:p>
          <w:p w14:paraId="7FB1B882" w14:textId="64BBA1F6" w:rsidR="007B491F" w:rsidRPr="008F22BD" w:rsidRDefault="006F7FC8" w:rsidP="00340E9A">
            <w:pPr>
              <w:overflowPunct/>
              <w:autoSpaceDE/>
              <w:autoSpaceDN/>
              <w:adjustRightInd/>
              <w:ind w:right="237"/>
              <w:textAlignment w:val="auto"/>
              <w:rPr>
                <w:b/>
                <w:color w:val="auto"/>
                <w:sz w:val="32"/>
              </w:rPr>
            </w:pPr>
            <w:r>
              <w:rPr>
                <w:b/>
                <w:color w:val="auto"/>
                <w:sz w:val="32"/>
              </w:rPr>
              <w:t xml:space="preserve">ADRIAN JONES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D623B7C" w14:textId="77777777" w:rsidR="006F7FC8" w:rsidRDefault="006F7FC8" w:rsidP="00340E9A">
            <w:pPr>
              <w:overflowPunct/>
              <w:autoSpaceDE/>
              <w:autoSpaceDN/>
              <w:adjustRightInd/>
              <w:ind w:right="237"/>
              <w:textAlignment w:val="auto"/>
              <w:rPr>
                <w:b/>
                <w:color w:val="auto"/>
                <w:sz w:val="32"/>
              </w:rPr>
            </w:pPr>
          </w:p>
          <w:p w14:paraId="4A4B1989" w14:textId="74BC0D96" w:rsidR="005A1BA3" w:rsidRDefault="006F7FC8" w:rsidP="00340E9A">
            <w:pPr>
              <w:overflowPunct/>
              <w:autoSpaceDE/>
              <w:autoSpaceDN/>
              <w:adjustRightInd/>
              <w:ind w:right="237"/>
              <w:textAlignment w:val="auto"/>
              <w:rPr>
                <w:b/>
                <w:color w:val="auto"/>
                <w:sz w:val="32"/>
              </w:rPr>
            </w:pPr>
            <w:r>
              <w:rPr>
                <w:b/>
                <w:color w:val="auto"/>
                <w:sz w:val="32"/>
              </w:rPr>
              <w:t>1910649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6F7FC8" w:rsidRPr="009927A1" w14:paraId="446C7371" w14:textId="77777777" w:rsidTr="006F7FC8">
        <w:trPr>
          <w:trHeight w:val="70"/>
        </w:trPr>
        <w:tc>
          <w:tcPr>
            <w:tcW w:w="8739" w:type="dxa"/>
            <w:shd w:val="clear" w:color="auto" w:fill="auto"/>
          </w:tcPr>
          <w:p w14:paraId="2AA62F2C" w14:textId="77777777" w:rsidR="006F7FC8" w:rsidRPr="008F22BD" w:rsidRDefault="006F7FC8"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0950084E" w14:textId="30831E66"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D03F28"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AE57DC4"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Ethics and organisational justice are essential in the police service because they are the attitudes and morals of general public. First, the concept of justice is crucial in shaping citizens’ attitudes towards the country's criminal justice services. Some research indicates that how police officers perceive justice in their organisations to impacts their attitudes towards justice </w:t>
      </w:r>
      <w:r w:rsidRPr="00F30A9B">
        <w:rPr>
          <w:rFonts w:ascii="Times New Roman" w:hAnsi="Times New Roman" w:cs="Times New Roman"/>
          <w:color w:val="auto"/>
          <w:sz w:val="24"/>
          <w:szCs w:val="24"/>
          <w:shd w:val="clear" w:color="auto" w:fill="FFFFFF"/>
          <w:lang w:val="en-US" w:eastAsia="en-US"/>
        </w:rPr>
        <w:t xml:space="preserve">(Qureshi et al., 2016). </w:t>
      </w:r>
      <w:r w:rsidRPr="00F30A9B">
        <w:rPr>
          <w:rFonts w:ascii="Times New Roman" w:hAnsi="Times New Roman" w:cs="Times New Roman"/>
          <w:color w:val="auto"/>
          <w:sz w:val="24"/>
          <w:szCs w:val="24"/>
          <w:lang w:val="en-US" w:eastAsia="en-US"/>
        </w:rPr>
        <w:t xml:space="preserve">Organisational justice is the collective or individual judgement of fairness and ethical decency, similar to the code of ethics </w:t>
      </w:r>
      <w:r w:rsidRPr="00F30A9B">
        <w:rPr>
          <w:rFonts w:ascii="Times New Roman" w:hAnsi="Times New Roman" w:cs="Times New Roman"/>
          <w:color w:val="auto"/>
          <w:sz w:val="24"/>
          <w:szCs w:val="24"/>
          <w:shd w:val="clear" w:color="auto" w:fill="FFFFFF"/>
          <w:lang w:val="en-US" w:eastAsia="en-US"/>
        </w:rPr>
        <w:t>(Psychology, 2021)</w:t>
      </w:r>
      <w:r w:rsidRPr="00F30A9B">
        <w:rPr>
          <w:rFonts w:ascii="Times New Roman" w:hAnsi="Times New Roman" w:cs="Times New Roman"/>
          <w:color w:val="auto"/>
          <w:sz w:val="24"/>
          <w:szCs w:val="24"/>
          <w:lang w:val="en-US" w:eastAsia="en-US"/>
        </w:rPr>
        <w:t xml:space="preserve">. There are three main categories of organisational justice, namely distributive justice, interactional justice, and procedural justice (Psychology, 2021). Distributive justice preaches fairness in organisational justice outcomes, and procedural justices emphasise fairness in the organisational justice process. Interactional justice emphasises fairness in interpersonal treatment. Investigations of organisational justice usually use a descriptive approach; the outcomes of fairness or unfairness of an event are highly biased. The descriptive approach fails to inform the organisation what is fair but what people believe is just. </w:t>
      </w:r>
    </w:p>
    <w:p w14:paraId="211690A9"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Organisational justice has an immense impact not only on my behavior and attitude but also on my colleagues. The organisational justice theory, formulated in 1987 by </w:t>
      </w:r>
      <w:r w:rsidRPr="00F30A9B">
        <w:rPr>
          <w:rFonts w:ascii="Times New Roman" w:hAnsi="Times New Roman" w:cs="Times New Roman"/>
          <w:color w:val="auto"/>
          <w:sz w:val="24"/>
          <w:szCs w:val="24"/>
          <w:lang w:val="en-US" w:eastAsia="en-US"/>
        </w:rPr>
        <w:lastRenderedPageBreak/>
        <w:t>Greenberg, underlines that employees' perception of organisational justice affects their general behavior in their workplace (</w:t>
      </w:r>
      <w:r w:rsidRPr="00F30A9B">
        <w:rPr>
          <w:rFonts w:ascii="Times New Roman" w:hAnsi="Times New Roman" w:cs="Times New Roman"/>
          <w:color w:val="auto"/>
          <w:sz w:val="24"/>
          <w:szCs w:val="24"/>
          <w:shd w:val="clear" w:color="auto" w:fill="FFFFFF"/>
          <w:lang w:val="en-US" w:eastAsia="en-US"/>
        </w:rPr>
        <w:t>Quinton et al., 2015</w:t>
      </w:r>
      <w:r w:rsidRPr="00F30A9B">
        <w:rPr>
          <w:rFonts w:ascii="Times New Roman" w:hAnsi="Times New Roman" w:cs="Times New Roman"/>
          <w:color w:val="auto"/>
          <w:sz w:val="24"/>
          <w:szCs w:val="24"/>
          <w:lang w:val="en-US" w:eastAsia="en-US"/>
        </w:rPr>
        <w:t xml:space="preserve">). I think what Quinton is saying, organisation fairness will promote my organisational commitment, enhance the efficiency of my performance, and increase my positive organisational behavior. Organisational justice will help in alleviating most of the adverse effects of any dysfunctional work environment. For example, my job as a police officer and an implementer of the law is very stressful. Hence, organisational fairness is likely to reduce my workplace stress, reduce any chances of counter-productive behaviour at the workplace, such as theft, employee withdrawal, vindictive behaviour, and sabotage </w:t>
      </w:r>
      <w:r w:rsidRPr="00F30A9B">
        <w:rPr>
          <w:rFonts w:ascii="Times New Roman" w:hAnsi="Times New Roman" w:cs="Times New Roman"/>
          <w:color w:val="auto"/>
          <w:sz w:val="24"/>
          <w:szCs w:val="24"/>
          <w:shd w:val="clear" w:color="auto" w:fill="FFFFFF"/>
          <w:lang w:val="en-US" w:eastAsia="en-US"/>
        </w:rPr>
        <w:t>(Quinton et al., 2015)</w:t>
      </w:r>
      <w:r w:rsidRPr="00F30A9B">
        <w:rPr>
          <w:rFonts w:ascii="Times New Roman" w:hAnsi="Times New Roman" w:cs="Times New Roman"/>
          <w:color w:val="auto"/>
          <w:sz w:val="24"/>
          <w:szCs w:val="24"/>
          <w:lang w:val="en-US" w:eastAsia="en-US"/>
        </w:rPr>
        <w:t xml:space="preserve">. It will also increase my commitment to the organisation. </w:t>
      </w:r>
    </w:p>
    <w:p w14:paraId="79B86FAB"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An example of organistional justice was an incident involving an officer I was in training with. This particular officer, in a short time of service was involved in a RTC, whist intoxicated through drink. This was also at a time when we were in a pandemic and were not supposed to be out socializing. This behaviour had an impact on me and the way I perceived the job, the organizational and other officers. The organization reacted quickly, discreetly and at the end of the investigation rendered a result I felt was fair, justified and satisfactory. The length of time the investigation took however did have a negative impact on me. There were also rumours that the officer was keeping his/her job and this impacted my commitment to the organisation in a negative way. </w:t>
      </w:r>
    </w:p>
    <w:p w14:paraId="33A0EFE1"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The impact that organisational justice has on me is backed up by research indicating a positive correlation between organisational justice and police officers' job satisfaction and organisational commitment </w:t>
      </w:r>
      <w:r w:rsidRPr="00F30A9B">
        <w:rPr>
          <w:rFonts w:ascii="Times New Roman" w:hAnsi="Times New Roman" w:cs="Times New Roman"/>
          <w:color w:val="auto"/>
          <w:sz w:val="24"/>
          <w:szCs w:val="24"/>
          <w:shd w:val="clear" w:color="auto" w:fill="FFFFFF"/>
          <w:lang w:val="en-US" w:eastAsia="en-US"/>
        </w:rPr>
        <w:t>(Qureshi et al., 2016) (</w:t>
      </w:r>
      <w:r w:rsidRPr="00F30A9B">
        <w:rPr>
          <w:rFonts w:ascii="Times New Roman" w:hAnsi="Times New Roman" w:cs="Times New Roman"/>
          <w:color w:val="auto"/>
          <w:sz w:val="24"/>
          <w:szCs w:val="24"/>
          <w:lang w:val="en-US" w:eastAsia="en-US"/>
        </w:rPr>
        <w:t>Greenberg, 2011)</w:t>
      </w:r>
      <w:r w:rsidRPr="00F30A9B">
        <w:rPr>
          <w:rFonts w:ascii="Times New Roman" w:hAnsi="Times New Roman" w:cs="Times New Roman"/>
          <w:color w:val="auto"/>
          <w:sz w:val="24"/>
          <w:szCs w:val="24"/>
          <w:shd w:val="clear" w:color="auto" w:fill="FFFFFF"/>
          <w:lang w:val="en-US" w:eastAsia="en-US"/>
        </w:rPr>
        <w:t xml:space="preserve">. Similar but more precise research found that distributive justice enhances officers’ job satisfaction and commitment to the organisation (Hsieh, 2019). It also found that procedural justice, supervisor trust and fairness increases employees’ job satisfaction, but supporters of the </w:t>
      </w:r>
      <w:r w:rsidRPr="00F30A9B">
        <w:rPr>
          <w:rFonts w:ascii="Times New Roman" w:hAnsi="Times New Roman" w:cs="Times New Roman"/>
          <w:color w:val="auto"/>
          <w:sz w:val="24"/>
          <w:szCs w:val="24"/>
          <w:shd w:val="clear" w:color="auto" w:fill="FFFFFF"/>
          <w:lang w:val="en-US" w:eastAsia="en-US"/>
        </w:rPr>
        <w:lastRenderedPageBreak/>
        <w:t xml:space="preserve">Traditional Policing Culture are less likely to support procedural justice (Hsieh, 2019).  </w:t>
      </w:r>
      <w:r w:rsidRPr="00F30A9B">
        <w:rPr>
          <w:rFonts w:ascii="Times New Roman" w:hAnsi="Times New Roman" w:cs="Times New Roman"/>
          <w:color w:val="auto"/>
          <w:sz w:val="24"/>
          <w:szCs w:val="24"/>
          <w:lang w:val="en-US" w:eastAsia="en-US"/>
        </w:rPr>
        <w:t>Therefore, as an organisation, especially the police service, organisational justice or the code of ethics is essential because it reinforces the standards of police officers.</w:t>
      </w:r>
    </w:p>
    <w:p w14:paraId="401F4ED9"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The importance of the code of ethics caused my police service organisation to undertake several important steps to enhance its code of ethics. First, my organisation made ethical performances a strategic priority and set up a code of ethics with clear objectives to uphold the organisation's ethical performance and organisational justice. Second, the senior management set the tone for organisational justice and ethical standards through their leadership and how they respect the organisation's ethical values. The senior management of the police department has created a good rapport with most of their subordinates and the citizens they serve, making it easier for them to report any form of inappropriate behaviour that breaches the code of ethics among other officers. Thus, officers keep each other in check to ensure adherence to the code of ethics. Third, the police service recruits officer from the minority communities and those of the LGBT communities to uphold equality and diversity within the police organisation; hence it increases the diversity and wellbeing of the police officers.</w:t>
      </w:r>
    </w:p>
    <w:p w14:paraId="0C20B8F2"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Moreover, the organisation took the initiative to train police officers on the code of ethics and conduct frequently in training. It communicates the importance of observing the code of ethics both to the organisation and the public. Further, the organisation measures the effectiveness of its ethics program and fosters open discussions with employees to ensure ethical standards are observed. Finally, the organisation set up clear routes for the staff to report fraud or violation of the organisation's policies or ethical standards. Besides, the organisation has zero tolerance towards a breach of organisational justice or code of ethics. Any officer found guilt is always dismissed or punished as provided by the law. In recent years, the organisation has introduced body cameras to enhance transparency when recording </w:t>
      </w:r>
      <w:r w:rsidRPr="00F30A9B">
        <w:rPr>
          <w:rFonts w:ascii="Times New Roman" w:hAnsi="Times New Roman" w:cs="Times New Roman"/>
          <w:color w:val="auto"/>
          <w:sz w:val="24"/>
          <w:szCs w:val="24"/>
          <w:lang w:val="en-US" w:eastAsia="en-US"/>
        </w:rPr>
        <w:lastRenderedPageBreak/>
        <w:t>incidents as provided by the code of ethics. The above are just but some of the steps the organisation has taken and is still exercising to raise the ethical standards in the police service to enhance organisational justice.</w:t>
      </w:r>
    </w:p>
    <w:p w14:paraId="5E63D4C8"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Organisational justice is central to police officers' identity in their workplaces. Researchers have found pieces of evidence that police officers' perception of respectful treatment and fair decision-making in their workplace are closely associated with their ability to fit into the organisational culture and observe the organisational values (Quinton et al., 2015). Further, organisational justice influences police officers' confidence in exerting their authority. For example, the organisation has implemented body cameras to film and record every event that takes place when out on duty. This tool holds every person being filmed accountable for their behaviour and prevents any abuse of my authority. Police officers derive authority and self-legitimacy from the public cooperation and support rather than from the law. Self-legitimacy has a close correlation to every officer commitment to their respective ethical policing. The positive outcome of a feeling of self-legitimacy among the police is an increase in procedural policing, respect of the suspects’ rights, and the appropriate use of force. Additionally, officers’ perception of organisational justice results in fewer complaints (Wolfe and Piquero, 2011). Therefore, organisational justice is central to the effectiveness of police officers in their duties.</w:t>
      </w:r>
    </w:p>
    <w:p w14:paraId="36E6F7B0"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Organisational justice is vital in every organisation and more critical in the police service. It increases employees job satisfaction, enhances their commitment to the organisation, promotes employee performances, builds trust among the public in the organisation, reduces the chances of employee misconduct and, as such, increase police wellbeing and resilience. As such, the police service needs to set up strategies and standards that its officers can follow to enhance organisational justice. All of the set standards are provided in the police code of ethics. Some of the steps implemented by the police service to </w:t>
      </w:r>
      <w:r w:rsidRPr="00F30A9B">
        <w:rPr>
          <w:rFonts w:ascii="Times New Roman" w:hAnsi="Times New Roman" w:cs="Times New Roman"/>
          <w:color w:val="auto"/>
          <w:sz w:val="24"/>
          <w:szCs w:val="24"/>
          <w:lang w:val="en-US" w:eastAsia="en-US"/>
        </w:rPr>
        <w:lastRenderedPageBreak/>
        <w:t>enhance organisational justice includes the introduction of body camera to record incidents. However, some of these measures for promoting organisational justice, in my opinion, are likely to reduce the police officers effectiveness because they might be unable to exert full authority for fear of organizational justice even though they may be justified in their actions. Nonetheless, it is necessary to implement such measures to eradicate incidents of police brutality and increase accountability.</w:t>
      </w:r>
    </w:p>
    <w:p w14:paraId="55B8FE84" w14:textId="77777777" w:rsidR="00F30A9B" w:rsidRPr="00F30A9B" w:rsidRDefault="00F30A9B" w:rsidP="00F30A9B">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Word count 1100</w:t>
      </w:r>
    </w:p>
    <w:p w14:paraId="3508F727" w14:textId="77777777" w:rsidR="00F30A9B" w:rsidRPr="00F30A9B" w:rsidRDefault="00F30A9B" w:rsidP="00F30A9B">
      <w:pPr>
        <w:overflowPunct/>
        <w:autoSpaceDE/>
        <w:autoSpaceDN/>
        <w:adjustRightInd/>
        <w:spacing w:line="480" w:lineRule="auto"/>
        <w:contextualSpacing/>
        <w:jc w:val="center"/>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br w:type="page"/>
      </w:r>
      <w:r w:rsidRPr="00F30A9B">
        <w:rPr>
          <w:rFonts w:ascii="Times New Roman" w:hAnsi="Times New Roman" w:cs="Times New Roman"/>
          <w:color w:val="auto"/>
          <w:sz w:val="24"/>
          <w:szCs w:val="24"/>
          <w:shd w:val="clear" w:color="auto" w:fill="FFFFFF"/>
          <w:lang w:val="en-US" w:eastAsia="en-US"/>
        </w:rPr>
        <w:lastRenderedPageBreak/>
        <w:t>References</w:t>
      </w:r>
    </w:p>
    <w:p w14:paraId="33FE6DE8" w14:textId="77777777" w:rsidR="00F30A9B" w:rsidRPr="00F30A9B" w:rsidRDefault="00F30A9B" w:rsidP="00F30A9B">
      <w:pPr>
        <w:overflowPunct/>
        <w:autoSpaceDE/>
        <w:autoSpaceDN/>
        <w:adjustRightInd/>
        <w:spacing w:line="480" w:lineRule="auto"/>
        <w:ind w:left="720" w:hanging="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Greenberg, J. 2011. Organisational justice: the dynamics of fairness in the workplace. In Sheldon, Z. (ed) </w:t>
      </w:r>
      <w:r w:rsidRPr="00F30A9B">
        <w:rPr>
          <w:rFonts w:ascii="Times New Roman" w:hAnsi="Times New Roman" w:cs="Times New Roman"/>
          <w:i/>
          <w:color w:val="auto"/>
          <w:sz w:val="24"/>
          <w:szCs w:val="24"/>
          <w:lang w:val="en-US" w:eastAsia="en-US"/>
        </w:rPr>
        <w:t>APA handbook of industrial and organisational psychology, vol. 3: maintaining, expanding, and contracting the organisation</w:t>
      </w:r>
      <w:r w:rsidRPr="00F30A9B">
        <w:rPr>
          <w:rFonts w:ascii="Times New Roman" w:hAnsi="Times New Roman" w:cs="Times New Roman"/>
          <w:color w:val="auto"/>
          <w:sz w:val="24"/>
          <w:szCs w:val="24"/>
          <w:lang w:val="en-US" w:eastAsia="en-US"/>
        </w:rPr>
        <w:t>. Washington, DC: American Psychological Association.</w:t>
      </w:r>
    </w:p>
    <w:p w14:paraId="42CB35D9" w14:textId="77777777" w:rsidR="00F30A9B" w:rsidRPr="00F30A9B" w:rsidRDefault="00F30A9B" w:rsidP="00F30A9B">
      <w:pPr>
        <w:overflowPunct/>
        <w:autoSpaceDE/>
        <w:autoSpaceDN/>
        <w:adjustRightInd/>
        <w:spacing w:line="480" w:lineRule="auto"/>
        <w:ind w:left="720" w:hanging="720"/>
        <w:contextualSpacing/>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 xml:space="preserve">Hsieh, M., 2019. </w:t>
      </w:r>
      <w:r w:rsidRPr="00F30A9B">
        <w:rPr>
          <w:rFonts w:ascii="Times New Roman" w:hAnsi="Times New Roman" w:cs="Times New Roman"/>
          <w:i/>
          <w:iCs/>
          <w:color w:val="auto"/>
          <w:sz w:val="24"/>
          <w:szCs w:val="24"/>
          <w:shd w:val="clear" w:color="auto" w:fill="FFFFFF"/>
          <w:lang w:val="en-US" w:eastAsia="en-US"/>
        </w:rPr>
        <w:t>How would organizational justice shape police officer’s attitudes in the workplace? A systematic review</w:t>
      </w:r>
      <w:r w:rsidRPr="00F30A9B">
        <w:rPr>
          <w:rFonts w:ascii="Times New Roman" w:hAnsi="Times New Roman" w:cs="Times New Roman"/>
          <w:color w:val="auto"/>
          <w:sz w:val="24"/>
          <w:szCs w:val="24"/>
          <w:shd w:val="clear" w:color="auto" w:fill="FFFFFF"/>
          <w:lang w:val="en-US" w:eastAsia="en-US"/>
        </w:rPr>
        <w:t>. [Online]. Available at: https://minds.wisconsin.edu/bitstream/handle/1793/80769/WiemerSpr19.pdf?sequence=1&amp;isAllowed=y [Accessed 14/05/2021].</w:t>
      </w:r>
    </w:p>
    <w:p w14:paraId="08DD9423" w14:textId="77777777" w:rsidR="00F30A9B" w:rsidRPr="00F30A9B" w:rsidRDefault="00F30A9B" w:rsidP="00F30A9B">
      <w:pPr>
        <w:overflowPunct/>
        <w:autoSpaceDE/>
        <w:autoSpaceDN/>
        <w:adjustRightInd/>
        <w:spacing w:line="480" w:lineRule="auto"/>
        <w:ind w:left="720" w:hanging="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shd w:val="clear" w:color="auto" w:fill="FFFFFF"/>
          <w:lang w:val="en-US" w:eastAsia="en-US"/>
        </w:rPr>
        <w:t xml:space="preserve">Psychology, 2021. </w:t>
      </w:r>
      <w:r w:rsidRPr="00F30A9B">
        <w:rPr>
          <w:rFonts w:ascii="Times New Roman" w:hAnsi="Times New Roman" w:cs="Times New Roman"/>
          <w:i/>
          <w:iCs/>
          <w:color w:val="auto"/>
          <w:sz w:val="24"/>
          <w:szCs w:val="24"/>
          <w:shd w:val="clear" w:color="auto" w:fill="FFFFFF"/>
          <w:lang w:val="en-US" w:eastAsia="en-US"/>
        </w:rPr>
        <w:t>Organisational justice</w:t>
      </w:r>
      <w:r w:rsidRPr="00F30A9B">
        <w:rPr>
          <w:rFonts w:ascii="Times New Roman" w:hAnsi="Times New Roman" w:cs="Times New Roman"/>
          <w:color w:val="auto"/>
          <w:sz w:val="24"/>
          <w:szCs w:val="24"/>
          <w:shd w:val="clear" w:color="auto" w:fill="FFFFFF"/>
          <w:lang w:val="en-US" w:eastAsia="en-US"/>
        </w:rPr>
        <w:t>. [Online]. Available at: http://psychology.iresearchnet.com/industrial-organizational-psychology/job-satisfaction/organizational-justice/ [Accessed 14/05/2021].</w:t>
      </w:r>
    </w:p>
    <w:p w14:paraId="3788AF13" w14:textId="77777777" w:rsidR="00F30A9B" w:rsidRPr="00F30A9B" w:rsidRDefault="00F30A9B" w:rsidP="00F30A9B">
      <w:pPr>
        <w:overflowPunct/>
        <w:autoSpaceDE/>
        <w:autoSpaceDN/>
        <w:adjustRightInd/>
        <w:spacing w:line="480" w:lineRule="auto"/>
        <w:ind w:left="720" w:hanging="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shd w:val="clear" w:color="auto" w:fill="FFFFFF"/>
          <w:lang w:val="en-US" w:eastAsia="en-US"/>
        </w:rPr>
        <w:t xml:space="preserve">Quinton, P., Myhill, A., Bradford, B., Fildes, A. and Porter, G., 2015. </w:t>
      </w:r>
      <w:r w:rsidRPr="00F30A9B">
        <w:rPr>
          <w:rFonts w:ascii="Times New Roman" w:hAnsi="Times New Roman" w:cs="Times New Roman"/>
          <w:i/>
          <w:iCs/>
          <w:color w:val="auto"/>
          <w:sz w:val="24"/>
          <w:szCs w:val="24"/>
          <w:shd w:val="clear" w:color="auto" w:fill="FFFFFF"/>
          <w:lang w:val="en-US" w:eastAsia="en-US"/>
        </w:rPr>
        <w:t>Fair cop 2: organisational justice, behaviour and ethical policing</w:t>
      </w:r>
      <w:r w:rsidRPr="00F30A9B">
        <w:rPr>
          <w:rFonts w:ascii="Times New Roman" w:hAnsi="Times New Roman" w:cs="Times New Roman"/>
          <w:color w:val="auto"/>
          <w:sz w:val="24"/>
          <w:szCs w:val="24"/>
          <w:shd w:val="clear" w:color="auto" w:fill="FFFFFF"/>
          <w:lang w:val="en-US" w:eastAsia="en-US"/>
        </w:rPr>
        <w:t>. [Online]. Available at: https://whatworks.college.police.uk/Research/Documents/150317_Fair_cop%202_FINAL_REPORT.pdf [Accessed 14/05/2021].</w:t>
      </w:r>
    </w:p>
    <w:p w14:paraId="11B133C3" w14:textId="77777777" w:rsidR="00F30A9B" w:rsidRPr="00F30A9B" w:rsidRDefault="00F30A9B" w:rsidP="00F30A9B">
      <w:pPr>
        <w:overflowPunct/>
        <w:autoSpaceDE/>
        <w:autoSpaceDN/>
        <w:adjustRightInd/>
        <w:spacing w:line="480" w:lineRule="auto"/>
        <w:ind w:left="720" w:hanging="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shd w:val="clear" w:color="auto" w:fill="FFFFFF"/>
          <w:lang w:val="en-US" w:eastAsia="en-US"/>
        </w:rPr>
        <w:t xml:space="preserve">Qureshi, H., Frank, J., Lambert, E., Klahm, C. and Smith, B., 2016. Organisational justice’s relationship with job satisfaction and organisational commitment among Indian police. </w:t>
      </w:r>
      <w:r w:rsidRPr="00F30A9B">
        <w:rPr>
          <w:rFonts w:ascii="Times New Roman" w:hAnsi="Times New Roman" w:cs="Times New Roman"/>
          <w:i/>
          <w:iCs/>
          <w:color w:val="auto"/>
          <w:sz w:val="24"/>
          <w:szCs w:val="24"/>
          <w:shd w:val="clear" w:color="auto" w:fill="FFFFFF"/>
          <w:lang w:val="en-US" w:eastAsia="en-US"/>
        </w:rPr>
        <w:t>The Police Journal: Theory, Practice and Principles</w:t>
      </w:r>
      <w:r w:rsidRPr="00F30A9B">
        <w:rPr>
          <w:rFonts w:ascii="Times New Roman" w:hAnsi="Times New Roman" w:cs="Times New Roman"/>
          <w:color w:val="auto"/>
          <w:sz w:val="24"/>
          <w:szCs w:val="24"/>
          <w:shd w:val="clear" w:color="auto" w:fill="FFFFFF"/>
          <w:lang w:val="en-US" w:eastAsia="en-US"/>
        </w:rPr>
        <w:t xml:space="preserve">, </w:t>
      </w:r>
      <w:r w:rsidRPr="00F30A9B">
        <w:rPr>
          <w:rFonts w:ascii="Times New Roman" w:hAnsi="Times New Roman" w:cs="Times New Roman"/>
          <w:b/>
          <w:color w:val="auto"/>
          <w:sz w:val="24"/>
          <w:szCs w:val="24"/>
          <w:shd w:val="clear" w:color="auto" w:fill="FFFFFF"/>
          <w:lang w:val="en-US" w:eastAsia="en-US"/>
        </w:rPr>
        <w:t>90</w:t>
      </w:r>
      <w:r w:rsidRPr="00F30A9B">
        <w:rPr>
          <w:rFonts w:ascii="Times New Roman" w:hAnsi="Times New Roman" w:cs="Times New Roman"/>
          <w:color w:val="auto"/>
          <w:sz w:val="24"/>
          <w:szCs w:val="24"/>
          <w:shd w:val="clear" w:color="auto" w:fill="FFFFFF"/>
          <w:lang w:val="en-US" w:eastAsia="en-US"/>
        </w:rPr>
        <w:t>(1), pp.3-23.</w:t>
      </w:r>
    </w:p>
    <w:p w14:paraId="561B7ABC" w14:textId="77777777" w:rsidR="00F30A9B" w:rsidRPr="00F30A9B" w:rsidRDefault="00F30A9B" w:rsidP="00F30A9B">
      <w:pPr>
        <w:overflowPunct/>
        <w:autoSpaceDE/>
        <w:autoSpaceDN/>
        <w:adjustRightInd/>
        <w:spacing w:line="480" w:lineRule="auto"/>
        <w:ind w:left="720" w:hanging="720"/>
        <w:contextualSpacing/>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Wolfe, S. E. and Piquero, A. R. (2011) Organizational justice and police misconduct. </w:t>
      </w:r>
      <w:r w:rsidRPr="00F30A9B">
        <w:rPr>
          <w:rFonts w:ascii="Times New Roman" w:hAnsi="Times New Roman" w:cs="Times New Roman"/>
          <w:i/>
          <w:color w:val="auto"/>
          <w:sz w:val="24"/>
          <w:szCs w:val="24"/>
          <w:lang w:val="en-US" w:eastAsia="en-US"/>
        </w:rPr>
        <w:t>Criminal Justice and Behavior</w:t>
      </w:r>
      <w:r w:rsidRPr="00F30A9B">
        <w:rPr>
          <w:rFonts w:ascii="Times New Roman" w:hAnsi="Times New Roman" w:cs="Times New Roman"/>
          <w:color w:val="auto"/>
          <w:sz w:val="24"/>
          <w:szCs w:val="24"/>
          <w:lang w:val="en-US" w:eastAsia="en-US"/>
        </w:rPr>
        <w:t>, 38, pp. 332-353.</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0635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16C20AC" w14:textId="568C8406"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Evidence-based policing refers to utilising the best available research to </w:t>
      </w:r>
      <w:r w:rsidRPr="00F30A9B">
        <w:rPr>
          <w:rFonts w:ascii="Times New Roman" w:hAnsi="Times New Roman" w:cs="Times New Roman"/>
          <w:color w:val="auto"/>
          <w:sz w:val="24"/>
          <w:szCs w:val="24"/>
          <w:lang w:eastAsia="en-US"/>
        </w:rPr>
        <w:t>implement</w:t>
      </w:r>
      <w:r w:rsidRPr="00F30A9B">
        <w:rPr>
          <w:rFonts w:ascii="Times New Roman" w:hAnsi="Times New Roman" w:cs="Times New Roman"/>
          <w:color w:val="auto"/>
          <w:sz w:val="24"/>
          <w:szCs w:val="24"/>
          <w:lang w:val="en-US" w:eastAsia="en-US"/>
        </w:rPr>
        <w:t xml:space="preserve"> guidelines and evaluate law enforcement agencies, units and officers (Mitchell and Huey, 2018). The approach involves inter-professional collaboration between police offers, staff workers, and academics in creating and reviewing the best available evidence to inform as well as challenge practices, policies and decision making in policing. “Evidence-based policing means that research, evaluation, analysis, and the scientific process should have ‘a seat at the ta</w:t>
      </w:r>
      <w:r w:rsidR="00F028AF">
        <w:rPr>
          <w:rFonts w:ascii="Times New Roman" w:hAnsi="Times New Roman" w:cs="Times New Roman"/>
          <w:color w:val="auto"/>
          <w:sz w:val="24"/>
          <w:szCs w:val="24"/>
          <w:lang w:val="en-US" w:eastAsia="en-US"/>
        </w:rPr>
        <w:t>ble’ in the police service</w:t>
      </w:r>
      <w:r w:rsidR="00BD1137">
        <w:rPr>
          <w:rFonts w:ascii="Times New Roman" w:hAnsi="Times New Roman" w:cs="Times New Roman"/>
          <w:color w:val="auto"/>
          <w:sz w:val="24"/>
          <w:szCs w:val="24"/>
          <w:lang w:val="en-US" w:eastAsia="en-US"/>
        </w:rPr>
        <w:t>’s</w:t>
      </w:r>
      <w:r w:rsidR="00F028AF">
        <w:rPr>
          <w:rFonts w:ascii="Times New Roman" w:hAnsi="Times New Roman" w:cs="Times New Roman"/>
          <w:color w:val="auto"/>
          <w:sz w:val="24"/>
          <w:szCs w:val="24"/>
          <w:lang w:val="en-US" w:eastAsia="en-US"/>
        </w:rPr>
        <w:t xml:space="preserve"> decision</w:t>
      </w:r>
      <w:r w:rsidRPr="00F30A9B">
        <w:rPr>
          <w:rFonts w:ascii="Times New Roman" w:hAnsi="Times New Roman" w:cs="Times New Roman"/>
          <w:color w:val="auto"/>
          <w:sz w:val="24"/>
          <w:szCs w:val="24"/>
          <w:lang w:val="en-US" w:eastAsia="en-US"/>
        </w:rPr>
        <w:t xml:space="preserve"> making about tactics, strategies, and policing” (Mitchell and</w:t>
      </w:r>
      <w:r w:rsidR="00D03F28">
        <w:rPr>
          <w:rFonts w:ascii="Times New Roman" w:hAnsi="Times New Roman" w:cs="Times New Roman"/>
          <w:color w:val="auto"/>
          <w:sz w:val="24"/>
          <w:szCs w:val="24"/>
          <w:lang w:val="en-US" w:eastAsia="en-US"/>
        </w:rPr>
        <w:t xml:space="preserve"> Huey, 2018, p.4). In this task</w:t>
      </w:r>
      <w:r w:rsidRPr="00F30A9B">
        <w:rPr>
          <w:rFonts w:ascii="Times New Roman" w:hAnsi="Times New Roman" w:cs="Times New Roman"/>
          <w:color w:val="auto"/>
          <w:sz w:val="24"/>
          <w:szCs w:val="24"/>
          <w:lang w:val="en-US" w:eastAsia="en-US"/>
        </w:rPr>
        <w:t>, I will discuss a policin</w:t>
      </w:r>
      <w:r w:rsidR="00D03F28">
        <w:rPr>
          <w:rFonts w:ascii="Times New Roman" w:hAnsi="Times New Roman" w:cs="Times New Roman"/>
          <w:color w:val="auto"/>
          <w:sz w:val="24"/>
          <w:szCs w:val="24"/>
          <w:lang w:val="en-US" w:eastAsia="en-US"/>
        </w:rPr>
        <w:t>g incidence involving a young</w:t>
      </w:r>
      <w:r w:rsidRPr="00F30A9B">
        <w:rPr>
          <w:rFonts w:ascii="Times New Roman" w:hAnsi="Times New Roman" w:cs="Times New Roman"/>
          <w:color w:val="auto"/>
          <w:sz w:val="24"/>
          <w:szCs w:val="24"/>
          <w:lang w:val="en-US" w:eastAsia="en-US"/>
        </w:rPr>
        <w:t xml:space="preserve"> offender, in which I played a principal role.</w:t>
      </w:r>
    </w:p>
    <w:p w14:paraId="7C2E2C9D" w14:textId="416956B9"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The incident involved a teenage girl who had escaped from a secure care home where she was to be watched by two care staff. Whilst out on my patrol, I recei</w:t>
      </w:r>
      <w:r w:rsidR="00D03F28">
        <w:rPr>
          <w:rFonts w:ascii="Times New Roman" w:hAnsi="Times New Roman" w:cs="Times New Roman"/>
          <w:color w:val="auto"/>
          <w:sz w:val="24"/>
          <w:szCs w:val="24"/>
          <w:lang w:val="en-US" w:eastAsia="en-US"/>
        </w:rPr>
        <w:t>ved a call from the control (WL)</w:t>
      </w:r>
      <w:r w:rsidRPr="00F30A9B">
        <w:rPr>
          <w:rFonts w:ascii="Times New Roman" w:hAnsi="Times New Roman" w:cs="Times New Roman"/>
          <w:color w:val="auto"/>
          <w:sz w:val="24"/>
          <w:szCs w:val="24"/>
          <w:lang w:val="en-US" w:eastAsia="en-US"/>
        </w:rPr>
        <w:t xml:space="preserve"> that the carers had located the girl outside a supermarket. I responded to the call </w:t>
      </w:r>
      <w:r w:rsidRPr="00F30A9B">
        <w:rPr>
          <w:rFonts w:ascii="Times New Roman" w:hAnsi="Times New Roman" w:cs="Times New Roman"/>
          <w:color w:val="auto"/>
          <w:sz w:val="24"/>
          <w:szCs w:val="24"/>
          <w:lang w:val="en-US" w:eastAsia="en-US"/>
        </w:rPr>
        <w:lastRenderedPageBreak/>
        <w:t>and attended the designated address where I found the two carers and the 15-year-old runaway. One of the care staff disclosed that the teenager had assaulted her and her co-worker, but they resorted not to pursue the assault case further. Having disclosed the assault case, I embarked on performing background checks to address the matter as neith</w:t>
      </w:r>
      <w:r w:rsidR="00D03F28">
        <w:rPr>
          <w:rFonts w:ascii="Times New Roman" w:hAnsi="Times New Roman" w:cs="Times New Roman"/>
          <w:color w:val="auto"/>
          <w:sz w:val="24"/>
          <w:szCs w:val="24"/>
          <w:lang w:val="en-US" w:eastAsia="en-US"/>
        </w:rPr>
        <w:t>er staff knew anything about the girl</w:t>
      </w:r>
      <w:r w:rsidRPr="00F30A9B">
        <w:rPr>
          <w:rFonts w:ascii="Times New Roman" w:hAnsi="Times New Roman" w:cs="Times New Roman"/>
          <w:color w:val="auto"/>
          <w:sz w:val="24"/>
          <w:szCs w:val="24"/>
          <w:lang w:val="en-US" w:eastAsia="en-US"/>
        </w:rPr>
        <w:t xml:space="preserve">. They explained that it was only the second night that the girl had been at the secure facility. Upon receiving the checks, I confirmed extensive misconduct of the girl, including violent behaviour that had never been pursued given the girl’s circumstances and age. This was utterly understandable, so I started working on the situation presented to me. </w:t>
      </w:r>
    </w:p>
    <w:p w14:paraId="127283D7" w14:textId="46884613" w:rsidR="00F30A9B" w:rsidRPr="00F30A9B" w:rsidRDefault="00D03F28"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Pr>
          <w:rFonts w:ascii="Times New Roman" w:hAnsi="Times New Roman" w:cs="Times New Roman"/>
          <w:color w:val="auto"/>
          <w:sz w:val="24"/>
          <w:szCs w:val="24"/>
          <w:lang w:val="en-US" w:eastAsia="en-US"/>
        </w:rPr>
        <w:t>After evaluating the incident</w:t>
      </w:r>
      <w:r w:rsidR="00F30A9B" w:rsidRPr="00F30A9B">
        <w:rPr>
          <w:rFonts w:ascii="Times New Roman" w:hAnsi="Times New Roman" w:cs="Times New Roman"/>
          <w:color w:val="auto"/>
          <w:sz w:val="24"/>
          <w:szCs w:val="24"/>
          <w:lang w:val="en-US" w:eastAsia="en-US"/>
        </w:rPr>
        <w:t>, I realised that the girl was new to the area and was</w:t>
      </w:r>
      <w:r>
        <w:rPr>
          <w:rFonts w:ascii="Times New Roman" w:hAnsi="Times New Roman" w:cs="Times New Roman"/>
          <w:color w:val="auto"/>
          <w:sz w:val="24"/>
          <w:szCs w:val="24"/>
          <w:lang w:val="en-US" w:eastAsia="en-US"/>
        </w:rPr>
        <w:t xml:space="preserve"> naïve to the dangers that my ward provided</w:t>
      </w:r>
      <w:r w:rsidR="00F30A9B" w:rsidRPr="00F30A9B">
        <w:rPr>
          <w:rFonts w:ascii="Times New Roman" w:hAnsi="Times New Roman" w:cs="Times New Roman"/>
          <w:color w:val="auto"/>
          <w:sz w:val="24"/>
          <w:szCs w:val="24"/>
          <w:lang w:val="en-US" w:eastAsia="en-US"/>
        </w:rPr>
        <w:t>. As such, witho</w:t>
      </w:r>
      <w:r>
        <w:rPr>
          <w:rFonts w:ascii="Times New Roman" w:hAnsi="Times New Roman" w:cs="Times New Roman"/>
          <w:color w:val="auto"/>
          <w:sz w:val="24"/>
          <w:szCs w:val="24"/>
          <w:lang w:val="en-US" w:eastAsia="en-US"/>
        </w:rPr>
        <w:t>ut a proper approach to her circumstances</w:t>
      </w:r>
      <w:r w:rsidR="00F30A9B" w:rsidRPr="00F30A9B">
        <w:rPr>
          <w:rFonts w:ascii="Times New Roman" w:hAnsi="Times New Roman" w:cs="Times New Roman"/>
          <w:color w:val="auto"/>
          <w:sz w:val="24"/>
          <w:szCs w:val="24"/>
          <w:lang w:val="en-US" w:eastAsia="en-US"/>
        </w:rPr>
        <w:t>, she would continue absconding from the secure home</w:t>
      </w:r>
      <w:r>
        <w:rPr>
          <w:rFonts w:ascii="Times New Roman" w:hAnsi="Times New Roman" w:cs="Times New Roman"/>
          <w:color w:val="auto"/>
          <w:sz w:val="24"/>
          <w:szCs w:val="24"/>
          <w:lang w:val="en-US" w:eastAsia="en-US"/>
        </w:rPr>
        <w:t xml:space="preserve"> and place herself in danger as well as draw on valuable police resources</w:t>
      </w:r>
      <w:r w:rsidR="00F30A9B" w:rsidRPr="00F30A9B">
        <w:rPr>
          <w:rFonts w:ascii="Times New Roman" w:hAnsi="Times New Roman" w:cs="Times New Roman"/>
          <w:color w:val="auto"/>
          <w:sz w:val="24"/>
          <w:szCs w:val="24"/>
          <w:lang w:val="en-US" w:eastAsia="en-US"/>
        </w:rPr>
        <w:t>. Despite the staff not wanting to pursue any complaint, I felt this would only embolden the teenager to be violent again or escalate her potential to escape. I also felt that she had been given many chances to improve her be behaviour and that the softer approach was virtually not working. According to McCarthy (2013), ‘soft’ policing initiatives have been traditionally affiliated with poor results than more authoritarian functions, which embodies taking proper control of potentially dangerous situations or using physical prowess. In the case under discussion, the teenager was being subjected to ‘soft’ policing, which escalated her violent behaviour instead of rehabilitation.</w:t>
      </w:r>
    </w:p>
    <w:p w14:paraId="4E388BDF"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Focusing on the girl’s special need, which embodies her circumstances and age, a multi-agency approach was the most effective intervention to prevent adverse outcomes. According to Lum, Koper and Telep (2011), a partnership between agencies is a fundamental approach to solving critical problems associated with juvenile delinquents and is typically associated with long-term results. In this context, the primary target was to prevent the </w:t>
      </w:r>
      <w:r w:rsidRPr="00F30A9B">
        <w:rPr>
          <w:rFonts w:ascii="Times New Roman" w:hAnsi="Times New Roman" w:cs="Times New Roman"/>
          <w:color w:val="auto"/>
          <w:sz w:val="24"/>
          <w:szCs w:val="24"/>
          <w:lang w:val="en-US" w:eastAsia="en-US"/>
        </w:rPr>
        <w:lastRenderedPageBreak/>
        <w:t>manifestation of violent behaviour and overcome the propensity of absconding. Such interventions require a mixture of robust research design with theories of change that embodies partnership and a case study framework for comprehending the dynamics of relationships between each partnership (Lum et al., 2011; Barrett and Katsiyannis, 2017).</w:t>
      </w:r>
    </w:p>
    <w:p w14:paraId="6A5ACFC3"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My choice for the multi-agency approach was also informed by the need to prevent potential adverse consequences to the girl given the dangers in my area, such as gang involvement or sexual exploitation. To record the teenager’s perspective, I conducted an independent return interview to identify the underlying reasons that might have triggered the girl’s behaviour. According to the Department of Education (2014), an independent interview is essential in identifying crucial information that would prevent the teenager from absconding. From the interviews, it turned out that most of her behaviour had been principally triggered by behavioural traits. Seemingly, the girl did not like the secure care home or the two staff. This confirmed the girl’s previous record of misconducts that had not been pursued. Based on this evidence, I decided to adopt the multi-agency approach to prevent the long-term effects of the girl’s behaviour.</w:t>
      </w:r>
    </w:p>
    <w:p w14:paraId="38E15F4E"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I approached both staff members with a restorative justice approach that would not criminalise the teenager but would be an admission of guilt that would go on her record. Restorative justice is an approach to justice that engenders the offenders responsible for their actions while addressing the harm caused; it also offers the parties affected by the crime to identify and address critical needs after the delinquent event (Bergseth and Bouffard, 2013). Restorative justice processes seek to involve the parties directly affected by a particular crime, focusing on the offender’s accountability on restoring the victim’s well-being and building the community’s capacity to prevent and respond to future crimes (Bouffard, Cooper and Bergseth, 2017). </w:t>
      </w:r>
    </w:p>
    <w:p w14:paraId="391209A7"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lastRenderedPageBreak/>
        <w:t>Many pieces of evidence have indicated fundamentally low recidivism in juvenile delinquency when a restorative approach is used (Bouffard et al., 2017; Bradshaw et al., 2006). According to Bouffard et al. (2017), juveniles admitted to the restorative justice framework had experienced a 49.8% reduction in recidivism. However, Bradshaw et al. (2006) reported a 34% reduction in recidivism by juveniles subjected to victim-offender mediation (a form of restorative justice). Therefore, through direct communication between the girl and the secure care home, the restorative justice approach would be the most appropriate approach to overcome the juvenile’s behaviour. Based on the evidence reviewed, this approach would hold the girl responsible without criminalising her.</w:t>
      </w:r>
    </w:p>
    <w:p w14:paraId="04092F1A" w14:textId="129F3A46"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I also informed all parties that I would be informing social services of the recent incidence through a way of public protection notification</w:t>
      </w:r>
      <w:r w:rsidR="00D03F28">
        <w:rPr>
          <w:rFonts w:ascii="Times New Roman" w:hAnsi="Times New Roman" w:cs="Times New Roman"/>
          <w:color w:val="auto"/>
          <w:sz w:val="24"/>
          <w:szCs w:val="24"/>
          <w:lang w:val="en-US" w:eastAsia="en-US"/>
        </w:rPr>
        <w:t xml:space="preserve"> (PPN)</w:t>
      </w:r>
      <w:bookmarkStart w:id="6" w:name="_GoBack"/>
      <w:bookmarkEnd w:id="6"/>
      <w:r w:rsidRPr="00F30A9B">
        <w:rPr>
          <w:rFonts w:ascii="Times New Roman" w:hAnsi="Times New Roman" w:cs="Times New Roman"/>
          <w:color w:val="auto"/>
          <w:sz w:val="24"/>
          <w:szCs w:val="24"/>
          <w:lang w:val="en-US" w:eastAsia="en-US"/>
        </w:rPr>
        <w:t xml:space="preserve">. Through this address, I will highlight that the ratio of staff to teenager should be 2:1, but this may be adequate. Also, based on the independent return interview, the teenager expressed discontentment with the secure care home. Therefore, through my public protection notification, I will also inform the social service that the facility where children are housed may also trigger running away due to perceptions of unsuitability. In this context, the teenager may not be able to discuss such incidences in-depth with the staff due to a lack of trust. Putting the teenager in a suitable placement is fundamental to reducing the possibility of running away (Department of Education, 2014). </w:t>
      </w:r>
    </w:p>
    <w:p w14:paraId="6F60AD58" w14:textId="18A431B4"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Nonetheless, the relationship between the teenager and the social workers has a fundamental influence on their behaviou</w:t>
      </w:r>
      <w:r w:rsidR="002E549D">
        <w:rPr>
          <w:rFonts w:ascii="Times New Roman" w:hAnsi="Times New Roman" w:cs="Times New Roman"/>
          <w:color w:val="auto"/>
          <w:sz w:val="24"/>
          <w:szCs w:val="24"/>
          <w:lang w:val="en-US" w:eastAsia="en-US"/>
        </w:rPr>
        <w:t>r. As noted in a</w:t>
      </w:r>
      <w:r w:rsidRPr="00F30A9B">
        <w:rPr>
          <w:rFonts w:ascii="Times New Roman" w:hAnsi="Times New Roman" w:cs="Times New Roman"/>
          <w:color w:val="auto"/>
          <w:sz w:val="24"/>
          <w:szCs w:val="24"/>
          <w:lang w:val="en-US" w:eastAsia="en-US"/>
        </w:rPr>
        <w:t xml:space="preserve"> Department of Education report, “one of the major influences of them running away is having a sense that they are not being listened to and taken seriously” (2014, p.19). Therefore, the social workers should listen to children in making placement decisions as well as moves. All the options described in this </w:t>
      </w:r>
      <w:r w:rsidRPr="00F30A9B">
        <w:rPr>
          <w:rFonts w:ascii="Times New Roman" w:hAnsi="Times New Roman" w:cs="Times New Roman"/>
          <w:color w:val="auto"/>
          <w:sz w:val="24"/>
          <w:szCs w:val="24"/>
          <w:lang w:val="en-US" w:eastAsia="en-US"/>
        </w:rPr>
        <w:lastRenderedPageBreak/>
        <w:t>section became apparent after reviewing numerous pieces of literature and numerous inquiries from other agencies dealing with this type of incident.</w:t>
      </w:r>
    </w:p>
    <w:p w14:paraId="6AE6EBF2" w14:textId="320F0F7D"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 xml:space="preserve">Evidence-based policing is the most effective approach to dealing with juvenile cases. Through inter-professional collaboration, the </w:t>
      </w:r>
      <w:r w:rsidR="002E549D">
        <w:rPr>
          <w:rFonts w:ascii="Times New Roman" w:hAnsi="Times New Roman" w:cs="Times New Roman"/>
          <w:color w:val="auto"/>
          <w:sz w:val="24"/>
          <w:szCs w:val="24"/>
          <w:lang w:val="en-US" w:eastAsia="en-US"/>
        </w:rPr>
        <w:t xml:space="preserve">police service </w:t>
      </w:r>
      <w:r w:rsidRPr="00F30A9B">
        <w:rPr>
          <w:rFonts w:ascii="Times New Roman" w:hAnsi="Times New Roman" w:cs="Times New Roman"/>
          <w:color w:val="auto"/>
          <w:sz w:val="24"/>
          <w:szCs w:val="24"/>
          <w:lang w:val="en-US" w:eastAsia="en-US"/>
        </w:rPr>
        <w:t>can implement the most effective approach to prevent potential long-term adversities. Indeed, any decision to place a child in a care home should embody a critical assessment of his/her needs. Following frequent episodes of violence by the teenager, a restorative justice approach seemed the most appropriate to hold her responsible for her ac</w:t>
      </w:r>
      <w:r w:rsidR="002E549D">
        <w:rPr>
          <w:rFonts w:ascii="Times New Roman" w:hAnsi="Times New Roman" w:cs="Times New Roman"/>
          <w:color w:val="auto"/>
          <w:sz w:val="24"/>
          <w:szCs w:val="24"/>
          <w:lang w:val="en-US" w:eastAsia="en-US"/>
        </w:rPr>
        <w:t>tions without criminalising her</w:t>
      </w:r>
      <w:r w:rsidRPr="00F30A9B">
        <w:rPr>
          <w:rFonts w:ascii="Times New Roman" w:hAnsi="Times New Roman" w:cs="Times New Roman"/>
          <w:color w:val="auto"/>
          <w:sz w:val="24"/>
          <w:szCs w:val="24"/>
          <w:lang w:val="en-US" w:eastAsia="en-US"/>
        </w:rPr>
        <w:t>.</w:t>
      </w:r>
    </w:p>
    <w:p w14:paraId="37F6A12B"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p>
    <w:p w14:paraId="0B91CB03"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Word count 1320</w:t>
      </w:r>
    </w:p>
    <w:p w14:paraId="7325E424" w14:textId="77777777" w:rsidR="00F30A9B" w:rsidRPr="00F30A9B" w:rsidRDefault="00F30A9B" w:rsidP="00F30A9B">
      <w:pPr>
        <w:overflowPunct/>
        <w:autoSpaceDE/>
        <w:autoSpaceDN/>
        <w:adjustRightInd/>
        <w:spacing w:line="480" w:lineRule="auto"/>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br w:type="page"/>
      </w:r>
    </w:p>
    <w:p w14:paraId="0FAE1FCF" w14:textId="77777777" w:rsidR="00F30A9B" w:rsidRPr="00F30A9B" w:rsidRDefault="00F30A9B" w:rsidP="00F30A9B">
      <w:pPr>
        <w:overflowPunct/>
        <w:autoSpaceDE/>
        <w:autoSpaceDN/>
        <w:adjustRightInd/>
        <w:spacing w:line="480" w:lineRule="auto"/>
        <w:ind w:left="720" w:hanging="720"/>
        <w:jc w:val="center"/>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lastRenderedPageBreak/>
        <w:t>References</w:t>
      </w:r>
    </w:p>
    <w:p w14:paraId="2606FCE0"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Bergseth, K.J. and Bouffard, J.A., 2013. Examining the effectiveness of a restorative justice program for various types of juvenile offenders. </w:t>
      </w:r>
      <w:r w:rsidRPr="00F30A9B">
        <w:rPr>
          <w:rFonts w:ascii="Times New Roman" w:hAnsi="Times New Roman" w:cs="Times New Roman"/>
          <w:i/>
          <w:iCs/>
          <w:color w:val="auto"/>
          <w:sz w:val="24"/>
          <w:szCs w:val="24"/>
          <w:shd w:val="clear" w:color="auto" w:fill="FFFFFF"/>
          <w:lang w:val="en-US" w:eastAsia="en-US"/>
        </w:rPr>
        <w:t>International Journal of Offender Therapy and Comparative Criminology</w:t>
      </w:r>
      <w:r w:rsidRPr="00F30A9B">
        <w:rPr>
          <w:rFonts w:ascii="Times New Roman" w:hAnsi="Times New Roman" w:cs="Times New Roman"/>
          <w:color w:val="auto"/>
          <w:sz w:val="24"/>
          <w:szCs w:val="24"/>
          <w:shd w:val="clear" w:color="auto" w:fill="FFFFFF"/>
          <w:lang w:val="en-US" w:eastAsia="en-US"/>
        </w:rPr>
        <w:t>, </w:t>
      </w:r>
      <w:r w:rsidRPr="00F30A9B">
        <w:rPr>
          <w:rFonts w:ascii="Times New Roman" w:hAnsi="Times New Roman" w:cs="Times New Roman"/>
          <w:b/>
          <w:bCs/>
          <w:color w:val="auto"/>
          <w:sz w:val="24"/>
          <w:szCs w:val="24"/>
          <w:shd w:val="clear" w:color="auto" w:fill="FFFFFF"/>
          <w:lang w:val="en-US" w:eastAsia="en-US"/>
        </w:rPr>
        <w:t>57</w:t>
      </w:r>
      <w:r w:rsidRPr="00F30A9B">
        <w:rPr>
          <w:rFonts w:ascii="Times New Roman" w:hAnsi="Times New Roman" w:cs="Times New Roman"/>
          <w:color w:val="auto"/>
          <w:sz w:val="24"/>
          <w:szCs w:val="24"/>
          <w:shd w:val="clear" w:color="auto" w:fill="FFFFFF"/>
          <w:lang w:val="en-US" w:eastAsia="en-US"/>
        </w:rPr>
        <w:t>(9), pp. 1054-1075.</w:t>
      </w:r>
    </w:p>
    <w:p w14:paraId="751FEB73"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Bouffard, J., Cooper, M. and Bergseth, K., 2017. The effectiveness of various restorative justice interventions on recidivism outcomes among juvenile offenders. </w:t>
      </w:r>
      <w:r w:rsidRPr="00F30A9B">
        <w:rPr>
          <w:rFonts w:ascii="Times New Roman" w:hAnsi="Times New Roman" w:cs="Times New Roman"/>
          <w:i/>
          <w:iCs/>
          <w:color w:val="auto"/>
          <w:sz w:val="24"/>
          <w:szCs w:val="24"/>
          <w:shd w:val="clear" w:color="auto" w:fill="FFFFFF"/>
          <w:lang w:val="en-US" w:eastAsia="en-US"/>
        </w:rPr>
        <w:t>Youth Violence and Juvenile Justice</w:t>
      </w:r>
      <w:r w:rsidRPr="00F30A9B">
        <w:rPr>
          <w:rFonts w:ascii="Times New Roman" w:hAnsi="Times New Roman" w:cs="Times New Roman"/>
          <w:color w:val="auto"/>
          <w:sz w:val="24"/>
          <w:szCs w:val="24"/>
          <w:shd w:val="clear" w:color="auto" w:fill="FFFFFF"/>
          <w:lang w:val="en-US" w:eastAsia="en-US"/>
        </w:rPr>
        <w:t>, </w:t>
      </w:r>
      <w:r w:rsidRPr="00F30A9B">
        <w:rPr>
          <w:rFonts w:ascii="Times New Roman" w:hAnsi="Times New Roman" w:cs="Times New Roman"/>
          <w:b/>
          <w:bCs/>
          <w:color w:val="auto"/>
          <w:sz w:val="24"/>
          <w:szCs w:val="24"/>
          <w:shd w:val="clear" w:color="auto" w:fill="FFFFFF"/>
          <w:lang w:val="en-US" w:eastAsia="en-US"/>
        </w:rPr>
        <w:t>15</w:t>
      </w:r>
      <w:r w:rsidRPr="00F30A9B">
        <w:rPr>
          <w:rFonts w:ascii="Times New Roman" w:hAnsi="Times New Roman" w:cs="Times New Roman"/>
          <w:color w:val="auto"/>
          <w:sz w:val="24"/>
          <w:szCs w:val="24"/>
          <w:shd w:val="clear" w:color="auto" w:fill="FFFFFF"/>
          <w:lang w:val="en-US" w:eastAsia="en-US"/>
        </w:rPr>
        <w:t>(4), pp. 465-480.</w:t>
      </w:r>
    </w:p>
    <w:p w14:paraId="64987EF4"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Barrett, D.E. and Katsiyannis, A., 2017. The Clemson juvenile delinquency project: major findings from a multi-agency study. </w:t>
      </w:r>
      <w:r w:rsidRPr="00F30A9B">
        <w:rPr>
          <w:rFonts w:ascii="Times New Roman" w:hAnsi="Times New Roman" w:cs="Times New Roman"/>
          <w:i/>
          <w:iCs/>
          <w:color w:val="auto"/>
          <w:sz w:val="24"/>
          <w:szCs w:val="24"/>
          <w:shd w:val="clear" w:color="auto" w:fill="FFFFFF"/>
          <w:lang w:val="en-US" w:eastAsia="en-US"/>
        </w:rPr>
        <w:t>Journal of Child and Family Studies</w:t>
      </w:r>
      <w:r w:rsidRPr="00F30A9B">
        <w:rPr>
          <w:rFonts w:ascii="Times New Roman" w:hAnsi="Times New Roman" w:cs="Times New Roman"/>
          <w:color w:val="auto"/>
          <w:sz w:val="24"/>
          <w:szCs w:val="24"/>
          <w:shd w:val="clear" w:color="auto" w:fill="FFFFFF"/>
          <w:lang w:val="en-US" w:eastAsia="en-US"/>
        </w:rPr>
        <w:t>, </w:t>
      </w:r>
      <w:r w:rsidRPr="00F30A9B">
        <w:rPr>
          <w:rFonts w:ascii="Times New Roman" w:hAnsi="Times New Roman" w:cs="Times New Roman"/>
          <w:b/>
          <w:bCs/>
          <w:color w:val="auto"/>
          <w:sz w:val="24"/>
          <w:szCs w:val="24"/>
          <w:shd w:val="clear" w:color="auto" w:fill="FFFFFF"/>
          <w:lang w:val="en-US" w:eastAsia="en-US"/>
        </w:rPr>
        <w:t>26</w:t>
      </w:r>
      <w:r w:rsidRPr="00F30A9B">
        <w:rPr>
          <w:rFonts w:ascii="Times New Roman" w:hAnsi="Times New Roman" w:cs="Times New Roman"/>
          <w:color w:val="auto"/>
          <w:sz w:val="24"/>
          <w:szCs w:val="24"/>
          <w:shd w:val="clear" w:color="auto" w:fill="FFFFFF"/>
          <w:lang w:val="en-US" w:eastAsia="en-US"/>
        </w:rPr>
        <w:t>(8), pp. 2050-2058.</w:t>
      </w:r>
    </w:p>
    <w:p w14:paraId="494B514C"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shd w:val="clear" w:color="auto" w:fill="FFFFFF"/>
          <w:lang w:val="en-US" w:eastAsia="en-US"/>
        </w:rPr>
        <w:t>Bradshaw, W., Roseborough, D. and Umbreit, M.S., 2006. The effect of victim offender mediation on juvenile offender recidivism: a meta‐analysis. </w:t>
      </w:r>
      <w:r w:rsidRPr="00F30A9B">
        <w:rPr>
          <w:rFonts w:ascii="Times New Roman" w:hAnsi="Times New Roman" w:cs="Times New Roman"/>
          <w:i/>
          <w:iCs/>
          <w:color w:val="auto"/>
          <w:sz w:val="24"/>
          <w:szCs w:val="24"/>
          <w:shd w:val="clear" w:color="auto" w:fill="FFFFFF"/>
          <w:lang w:val="en-US" w:eastAsia="en-US"/>
        </w:rPr>
        <w:t>Conflict Resolution Quarterly</w:t>
      </w:r>
      <w:r w:rsidRPr="00F30A9B">
        <w:rPr>
          <w:rFonts w:ascii="Times New Roman" w:hAnsi="Times New Roman" w:cs="Times New Roman"/>
          <w:color w:val="auto"/>
          <w:sz w:val="24"/>
          <w:szCs w:val="24"/>
          <w:shd w:val="clear" w:color="auto" w:fill="FFFFFF"/>
          <w:lang w:val="en-US" w:eastAsia="en-US"/>
        </w:rPr>
        <w:t>, </w:t>
      </w:r>
      <w:r w:rsidRPr="00F30A9B">
        <w:rPr>
          <w:rFonts w:ascii="Times New Roman" w:hAnsi="Times New Roman" w:cs="Times New Roman"/>
          <w:b/>
          <w:bCs/>
          <w:color w:val="auto"/>
          <w:sz w:val="24"/>
          <w:szCs w:val="24"/>
          <w:shd w:val="clear" w:color="auto" w:fill="FFFFFF"/>
          <w:lang w:val="en-US" w:eastAsia="en-US"/>
        </w:rPr>
        <w:t>24</w:t>
      </w:r>
      <w:r w:rsidRPr="00F30A9B">
        <w:rPr>
          <w:rFonts w:ascii="Times New Roman" w:hAnsi="Times New Roman" w:cs="Times New Roman"/>
          <w:color w:val="auto"/>
          <w:sz w:val="24"/>
          <w:szCs w:val="24"/>
          <w:shd w:val="clear" w:color="auto" w:fill="FFFFFF"/>
          <w:lang w:val="en-US" w:eastAsia="en-US"/>
        </w:rPr>
        <w:t>(1), pp. 87-98.</w:t>
      </w:r>
    </w:p>
    <w:p w14:paraId="697AB7B5"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lang w:val="en-US" w:eastAsia="en-US"/>
        </w:rPr>
      </w:pPr>
      <w:r w:rsidRPr="00F30A9B">
        <w:rPr>
          <w:rFonts w:ascii="Times New Roman" w:hAnsi="Times New Roman" w:cs="Times New Roman"/>
          <w:color w:val="auto"/>
          <w:sz w:val="24"/>
          <w:szCs w:val="24"/>
          <w:lang w:val="en-US" w:eastAsia="en-US"/>
        </w:rPr>
        <w:t>Department of Education, 2014.</w:t>
      </w:r>
      <w:r w:rsidRPr="00F30A9B">
        <w:rPr>
          <w:rFonts w:ascii="Times New Roman" w:hAnsi="Times New Roman" w:cs="Times New Roman"/>
          <w:i/>
          <w:iCs/>
          <w:color w:val="auto"/>
          <w:sz w:val="24"/>
          <w:szCs w:val="24"/>
          <w:lang w:val="en-US" w:eastAsia="en-US"/>
        </w:rPr>
        <w:t xml:space="preserve"> Statutory guidance on children who run away or go missing from home or care.</w:t>
      </w:r>
      <w:r w:rsidRPr="00F30A9B">
        <w:rPr>
          <w:rFonts w:ascii="Times New Roman" w:hAnsi="Times New Roman" w:cs="Times New Roman"/>
          <w:color w:val="auto"/>
          <w:sz w:val="24"/>
          <w:szCs w:val="24"/>
          <w:lang w:val="en-US" w:eastAsia="en-US"/>
        </w:rPr>
        <w:t xml:space="preserve"> [Online] Available at: &lt;</w:t>
      </w:r>
      <w:hyperlink r:id="rId20" w:history="1">
        <w:r w:rsidRPr="00F30A9B">
          <w:rPr>
            <w:rFonts w:ascii="Times New Roman" w:hAnsi="Times New Roman" w:cs="Times New Roman"/>
            <w:color w:val="0000FF"/>
            <w:sz w:val="24"/>
            <w:szCs w:val="24"/>
            <w:u w:val="single"/>
            <w:lang w:val="en-US" w:eastAsia="en-US"/>
          </w:rPr>
          <w:t>https://assets.publishing.service.gov.uk/government/uploads/system/uploads/attachment_data/file/307867/Statutory_Guidance_-_Missing_from_care__3_.pdf&gt;[Accessed</w:t>
        </w:r>
      </w:hyperlink>
      <w:r w:rsidRPr="00F30A9B">
        <w:rPr>
          <w:rFonts w:ascii="Times New Roman" w:hAnsi="Times New Roman" w:cs="Times New Roman"/>
          <w:color w:val="auto"/>
          <w:sz w:val="24"/>
          <w:szCs w:val="24"/>
          <w:lang w:val="en-US" w:eastAsia="en-US"/>
        </w:rPr>
        <w:t xml:space="preserve"> 11 May 2021].</w:t>
      </w:r>
    </w:p>
    <w:p w14:paraId="23E6988F"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Lum, C., Koper, C.S. and Telep, C.W., 2011. The evidence-based policing matrix. </w:t>
      </w:r>
      <w:r w:rsidRPr="00F30A9B">
        <w:rPr>
          <w:rFonts w:ascii="Times New Roman" w:hAnsi="Times New Roman" w:cs="Times New Roman"/>
          <w:i/>
          <w:iCs/>
          <w:color w:val="auto"/>
          <w:sz w:val="24"/>
          <w:szCs w:val="24"/>
          <w:shd w:val="clear" w:color="auto" w:fill="FFFFFF"/>
          <w:lang w:val="en-US" w:eastAsia="en-US"/>
        </w:rPr>
        <w:t>Journal of Experimental Criminology</w:t>
      </w:r>
      <w:r w:rsidRPr="00F30A9B">
        <w:rPr>
          <w:rFonts w:ascii="Times New Roman" w:hAnsi="Times New Roman" w:cs="Times New Roman"/>
          <w:color w:val="auto"/>
          <w:sz w:val="24"/>
          <w:szCs w:val="24"/>
          <w:shd w:val="clear" w:color="auto" w:fill="FFFFFF"/>
          <w:lang w:val="en-US" w:eastAsia="en-US"/>
        </w:rPr>
        <w:t>, </w:t>
      </w:r>
      <w:r w:rsidRPr="00F30A9B">
        <w:rPr>
          <w:rFonts w:ascii="Times New Roman" w:hAnsi="Times New Roman" w:cs="Times New Roman"/>
          <w:b/>
          <w:bCs/>
          <w:color w:val="auto"/>
          <w:sz w:val="24"/>
          <w:szCs w:val="24"/>
          <w:shd w:val="clear" w:color="auto" w:fill="FFFFFF"/>
          <w:lang w:val="en-US" w:eastAsia="en-US"/>
        </w:rPr>
        <w:t>7</w:t>
      </w:r>
      <w:r w:rsidRPr="00F30A9B">
        <w:rPr>
          <w:rFonts w:ascii="Times New Roman" w:hAnsi="Times New Roman" w:cs="Times New Roman"/>
          <w:color w:val="auto"/>
          <w:sz w:val="24"/>
          <w:szCs w:val="24"/>
          <w:shd w:val="clear" w:color="auto" w:fill="FFFFFF"/>
          <w:lang w:val="en-US" w:eastAsia="en-US"/>
        </w:rPr>
        <w:t>(1), pp. 3-26.</w:t>
      </w:r>
    </w:p>
    <w:p w14:paraId="60777ED0"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McCarthy, D.J., 2013. Gendering ‘soft’ policing: multi-agency working, female cops, and the fluidities of police culture/s. </w:t>
      </w:r>
      <w:r w:rsidRPr="00F30A9B">
        <w:rPr>
          <w:rFonts w:ascii="Times New Roman" w:hAnsi="Times New Roman" w:cs="Times New Roman"/>
          <w:i/>
          <w:iCs/>
          <w:color w:val="auto"/>
          <w:sz w:val="24"/>
          <w:szCs w:val="24"/>
          <w:shd w:val="clear" w:color="auto" w:fill="FFFFFF"/>
          <w:lang w:val="en-US" w:eastAsia="en-US"/>
        </w:rPr>
        <w:t>Policing and Society</w:t>
      </w:r>
      <w:r w:rsidRPr="00F30A9B">
        <w:rPr>
          <w:rFonts w:ascii="Times New Roman" w:hAnsi="Times New Roman" w:cs="Times New Roman"/>
          <w:color w:val="auto"/>
          <w:sz w:val="24"/>
          <w:szCs w:val="24"/>
          <w:shd w:val="clear" w:color="auto" w:fill="FFFFFF"/>
          <w:lang w:val="en-US" w:eastAsia="en-US"/>
        </w:rPr>
        <w:t>, </w:t>
      </w:r>
      <w:r w:rsidRPr="00F30A9B">
        <w:rPr>
          <w:rFonts w:ascii="Times New Roman" w:hAnsi="Times New Roman" w:cs="Times New Roman"/>
          <w:b/>
          <w:bCs/>
          <w:color w:val="auto"/>
          <w:sz w:val="24"/>
          <w:szCs w:val="24"/>
          <w:shd w:val="clear" w:color="auto" w:fill="FFFFFF"/>
          <w:lang w:val="en-US" w:eastAsia="en-US"/>
        </w:rPr>
        <w:t>23</w:t>
      </w:r>
      <w:r w:rsidRPr="00F30A9B">
        <w:rPr>
          <w:rFonts w:ascii="Times New Roman" w:hAnsi="Times New Roman" w:cs="Times New Roman"/>
          <w:color w:val="auto"/>
          <w:sz w:val="24"/>
          <w:szCs w:val="24"/>
          <w:shd w:val="clear" w:color="auto" w:fill="FFFFFF"/>
          <w:lang w:val="en-US" w:eastAsia="en-US"/>
        </w:rPr>
        <w:t>(2), pp. 261-278.</w:t>
      </w:r>
    </w:p>
    <w:p w14:paraId="6348DBBC"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val="en-US" w:eastAsia="en-US"/>
        </w:rPr>
      </w:pPr>
      <w:r w:rsidRPr="00F30A9B">
        <w:rPr>
          <w:rFonts w:ascii="Times New Roman" w:hAnsi="Times New Roman" w:cs="Times New Roman"/>
          <w:color w:val="auto"/>
          <w:sz w:val="24"/>
          <w:szCs w:val="24"/>
          <w:shd w:val="clear" w:color="auto" w:fill="FFFFFF"/>
          <w:lang w:val="en-US" w:eastAsia="en-US"/>
        </w:rPr>
        <w:t>Mitchell, R. and Huey, L., 2018. </w:t>
      </w:r>
      <w:r w:rsidRPr="00F30A9B">
        <w:rPr>
          <w:rFonts w:ascii="Times New Roman" w:hAnsi="Times New Roman" w:cs="Times New Roman"/>
          <w:i/>
          <w:iCs/>
          <w:color w:val="auto"/>
          <w:sz w:val="24"/>
          <w:szCs w:val="24"/>
          <w:shd w:val="clear" w:color="auto" w:fill="FFFFFF"/>
          <w:lang w:val="en-US" w:eastAsia="en-US"/>
        </w:rPr>
        <w:t>Evidence based policing: an introduction</w:t>
      </w:r>
      <w:r w:rsidRPr="00F30A9B">
        <w:rPr>
          <w:rFonts w:ascii="Times New Roman" w:hAnsi="Times New Roman" w:cs="Times New Roman"/>
          <w:color w:val="auto"/>
          <w:sz w:val="24"/>
          <w:szCs w:val="24"/>
          <w:shd w:val="clear" w:color="auto" w:fill="FFFFFF"/>
          <w:lang w:val="en-US" w:eastAsia="en-US"/>
        </w:rPr>
        <w:t>. UK: Policy Press.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4D26E8BB"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 xml:space="preserve">Psychological harassment is a negative behaviour or a hostile action by one or more individuals, which directly or indirectly targets the third party. I attended an incident where a Polish woman living alone in a ground floor flat was being targeting by a gang of youths. The youths were playing minor pranks on the woman and on my attendance it was clear the woman spoke very little English and struggled to communicate what had happened. It was a simple case of stealing her bins and egging her windows and in itself the act wouldn’t be something I would find alarming. What was noticeable was that the abuse had been consistent and had been occurring every weekend for months. The tyres on the woman’s car had also been slashed and I suspected this was related. This had the impact of the young woman being late for work at the meat factory. This had a financial impact on the woman and I recognised quickly the psychological impact it was and would have on her mental health. I felt if I did not intervene immediately there was a good possibility that the behaviour would </w:t>
      </w:r>
      <w:r w:rsidRPr="00F30A9B">
        <w:rPr>
          <w:rFonts w:ascii="Times New Roman" w:hAnsi="Times New Roman" w:cs="Times New Roman"/>
          <w:color w:val="auto"/>
          <w:sz w:val="24"/>
          <w:szCs w:val="24"/>
          <w:lang w:eastAsia="en-US"/>
        </w:rPr>
        <w:lastRenderedPageBreak/>
        <w:t xml:space="preserve">escalate. I was also aware any inaction on my bad would reflect very badly, especially in an area with a large foreign national community. </w:t>
      </w:r>
    </w:p>
    <w:p w14:paraId="68BB38A1"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bCs/>
          <w:i/>
          <w:color w:val="auto"/>
          <w:sz w:val="24"/>
          <w:szCs w:val="24"/>
          <w:lang w:eastAsia="en-US"/>
        </w:rPr>
      </w:pPr>
      <w:r w:rsidRPr="00F30A9B">
        <w:rPr>
          <w:rFonts w:ascii="Times New Roman" w:hAnsi="Times New Roman" w:cs="Times New Roman"/>
          <w:color w:val="auto"/>
          <w:sz w:val="24"/>
          <w:szCs w:val="24"/>
          <w:lang w:eastAsia="en-US"/>
        </w:rPr>
        <w:t xml:space="preserve">Most human psychological harassment involves emotional and cognitive feelings. The action of personal harassments cause physiological effects on the body. Psychological harassment greatly impacts the social interaction between different individuals and impacts human relations. People who are abused in society develop a sense of lack of self-belief in themselves and live the rest of their lives with doubt and fear. Physical harassments such as torture and the use of intimidating gestures can result in severe anxiety and depression when not handled in time. </w:t>
      </w:r>
    </w:p>
    <w:p w14:paraId="71786B80"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 xml:space="preserve">Health and criminal investigators have formulated many ways to protect and manage people at risk of physical or psychological violence. Some of these ways are aimed at protecting an individual, while others are targeting a group of people. </w:t>
      </w:r>
    </w:p>
    <w:p w14:paraId="33C106BC"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Most officers dealing with incidents have devised several ways to obtain information from the general public, either directly or indirectly (</w:t>
      </w:r>
      <w:r w:rsidRPr="00F30A9B">
        <w:rPr>
          <w:rFonts w:ascii="Times New Roman" w:hAnsi="Times New Roman" w:cs="Times New Roman"/>
          <w:color w:val="auto"/>
          <w:sz w:val="24"/>
          <w:szCs w:val="24"/>
          <w:shd w:val="clear" w:color="auto" w:fill="FFFFFF"/>
          <w:lang w:eastAsia="en-US"/>
        </w:rPr>
        <w:t>Phipps et al., 2018)</w:t>
      </w:r>
      <w:r w:rsidRPr="00F30A9B">
        <w:rPr>
          <w:rFonts w:ascii="Times New Roman" w:hAnsi="Times New Roman" w:cs="Times New Roman"/>
          <w:color w:val="auto"/>
          <w:sz w:val="24"/>
          <w:szCs w:val="24"/>
          <w:lang w:eastAsia="en-US"/>
        </w:rPr>
        <w:t>. There are a number of resources at my disposal when dealing with the mental health impact such incidents have on people such as the incident with the Polish woman in which the community can reach forward to deliver vital information. With the modern technological advancement, I have also got social media platforms in which they get involved in the direct engagement with the community.</w:t>
      </w:r>
    </w:p>
    <w:p w14:paraId="0F2C303E" w14:textId="33939806"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 xml:space="preserve">knowing the appropriate action step to handle the situation. I liaised with other agencies such as the local housing authority to help monitor the area and put measure in place to deter the behaviour of the gang. Such as CCTV.  Monitoring involves considering the behaviours of the victim and the offenders and evaluate the possibility of that incidence occurring or escalating. I felt that there was a high probability of a brick coming through her window one evening. With increased NPT patrols and the installation of camera’s I hoped </w:t>
      </w:r>
      <w:r w:rsidRPr="00F30A9B">
        <w:rPr>
          <w:rFonts w:ascii="Times New Roman" w:hAnsi="Times New Roman" w:cs="Times New Roman"/>
          <w:color w:val="auto"/>
          <w:sz w:val="24"/>
          <w:szCs w:val="24"/>
          <w:lang w:eastAsia="en-US"/>
        </w:rPr>
        <w:lastRenderedPageBreak/>
        <w:t>that offenders would then be identified and prosecuted. People who have been offending in a way of anti-social behaviour are often placed in custody depending on the officers discretion, and their behaviours are closely monitored. In some instances, their psychological conduct is tested to establish their mental capacity.</w:t>
      </w:r>
    </w:p>
    <w:p w14:paraId="2D437B1D" w14:textId="2D55588B"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i/>
          <w:color w:val="auto"/>
          <w:sz w:val="24"/>
          <w:szCs w:val="24"/>
          <w:lang w:eastAsia="en-US"/>
        </w:rPr>
      </w:pPr>
      <w:r w:rsidRPr="00F30A9B">
        <w:rPr>
          <w:rFonts w:ascii="Times New Roman" w:hAnsi="Times New Roman" w:cs="Times New Roman"/>
          <w:color w:val="auto"/>
          <w:sz w:val="24"/>
          <w:szCs w:val="24"/>
          <w:lang w:eastAsia="en-US"/>
        </w:rPr>
        <w:t>Supervising the registered victims of harassment in the society and getting involved in a conversation with them help in risk evaluation and risk potency reduction. People at a greater risk of harassment, sexual violence and rape incidents in society are often children and women.</w:t>
      </w:r>
    </w:p>
    <w:p w14:paraId="10D6D10B" w14:textId="5D97D305"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bCs/>
          <w:i/>
          <w:color w:val="auto"/>
          <w:sz w:val="24"/>
          <w:szCs w:val="24"/>
          <w:lang w:eastAsia="en-US"/>
        </w:rPr>
      </w:pPr>
      <w:r w:rsidRPr="00F30A9B">
        <w:rPr>
          <w:rFonts w:ascii="Times New Roman" w:hAnsi="Times New Roman" w:cs="Times New Roman"/>
          <w:color w:val="auto"/>
          <w:sz w:val="24"/>
          <w:szCs w:val="24"/>
          <w:lang w:eastAsia="en-US"/>
        </w:rPr>
        <w:t>Since children and women are the most affected when it comes to harassment and assaults, The police service take a thematic inspection to identify the possibility of the risk occurrence (</w:t>
      </w:r>
      <w:r w:rsidRPr="00F30A9B">
        <w:rPr>
          <w:rFonts w:ascii="Times New Roman" w:hAnsi="Times New Roman" w:cs="Times New Roman"/>
          <w:color w:val="auto"/>
          <w:sz w:val="24"/>
          <w:szCs w:val="24"/>
          <w:shd w:val="clear" w:color="auto" w:fill="FFFFFF"/>
          <w:lang w:eastAsia="en-US"/>
        </w:rPr>
        <w:t>Lösel et al.., 2018).</w:t>
      </w:r>
      <w:r w:rsidRPr="00F30A9B">
        <w:rPr>
          <w:rFonts w:ascii="Times New Roman" w:hAnsi="Times New Roman" w:cs="Times New Roman"/>
          <w:color w:val="auto"/>
          <w:sz w:val="24"/>
          <w:szCs w:val="24"/>
          <w:lang w:eastAsia="en-US"/>
        </w:rPr>
        <w:t xml:space="preserve"> By identifying the risk factor either as a group or an individual, the women’s opinions was taken into account. I then implemented operational strategies to conduct and evaluate her vulnerbilty and potential risk</w:t>
      </w:r>
      <w:r w:rsidR="00265CBA">
        <w:rPr>
          <w:rFonts w:ascii="Times New Roman" w:hAnsi="Times New Roman" w:cs="Times New Roman"/>
          <w:color w:val="auto"/>
          <w:sz w:val="24"/>
          <w:szCs w:val="24"/>
          <w:lang w:eastAsia="en-US"/>
        </w:rPr>
        <w:t xml:space="preserve"> by completing a public protection notice (PPN)</w:t>
      </w:r>
      <w:r w:rsidRPr="00F30A9B">
        <w:rPr>
          <w:rFonts w:ascii="Times New Roman" w:hAnsi="Times New Roman" w:cs="Times New Roman"/>
          <w:color w:val="auto"/>
          <w:sz w:val="24"/>
          <w:szCs w:val="24"/>
          <w:lang w:eastAsia="en-US"/>
        </w:rPr>
        <w:t xml:space="preserve">. </w:t>
      </w:r>
    </w:p>
    <w:p w14:paraId="1C1E4DBE"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 xml:space="preserve">Establishing an understanding of psychology and community policing in every level of the society will help in the low-level monitoring of crimes that do not reach the criteria for prosecution. </w:t>
      </w:r>
    </w:p>
    <w:p w14:paraId="51993515"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The police service have successfully developed ways to inform and educate the public on measuring crimes and providing safety. Most of these have been conducted through social media platforms and on the peer-to-peer conversation. Through the use of the media and billboards, most people have successfully learned crime management and prevention methods and the impact harassment has on the mental health of the victims. The involvement of people and the officers in the schools and the community has helped to eliminate the limiting factors between the individuals and the officers.</w:t>
      </w:r>
    </w:p>
    <w:p w14:paraId="7D965645"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lastRenderedPageBreak/>
        <w:t>Using public protection notification, enforcing discipline among the youths in the learning institutions, and asking the victims involved helps in acquiring the primary and first-hand information about offence. The public protection notification involves other agencies about the offense to create awareness and to allow the issue to be addressed by other agencies who are sometimes better suited to addressing the problem than the police service would be. By using outside agencies and the installation of camera’s to capture the youths I  was able to identify the offending youths and informed the parents about the effects and the consequence of the behaviour of the youths had on the victim who already felt isolated due to her circumstances.</w:t>
      </w:r>
    </w:p>
    <w:p w14:paraId="0B7887A3"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Repeat victimisation refers to the total number of offences experienced by a victim repeatedly over a given period with the same type of criminal offence. Some of the most common causes of repeat victimisation (</w:t>
      </w:r>
      <w:r w:rsidRPr="00F30A9B">
        <w:rPr>
          <w:rFonts w:ascii="Times New Roman" w:hAnsi="Times New Roman" w:cs="Times New Roman"/>
          <w:color w:val="auto"/>
          <w:sz w:val="24"/>
          <w:szCs w:val="24"/>
          <w:shd w:val="clear" w:color="auto" w:fill="FFFFFF"/>
          <w:lang w:eastAsia="en-US"/>
        </w:rPr>
        <w:t>Walsh, 2020)</w:t>
      </w:r>
      <w:r w:rsidRPr="00F30A9B">
        <w:rPr>
          <w:rFonts w:ascii="Times New Roman" w:hAnsi="Times New Roman" w:cs="Times New Roman"/>
          <w:color w:val="auto"/>
          <w:sz w:val="24"/>
          <w:szCs w:val="24"/>
          <w:lang w:eastAsia="en-US"/>
        </w:rPr>
        <w:t>. The act of reducing repeat victimisation will have several implications in society: it will reduce the rate of crimes, lead to offenders’ apprehension, and increase the efficiency of crime prevention.</w:t>
      </w:r>
    </w:p>
    <w:p w14:paraId="29F8215A"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Target hardening and target removal are methods used to increase the actual security and make the cost of committing the same crime high and unaffordable for most people; for instance, when protecting the incident from escalating, for example, throwing an object through the flat window. The installation of camera’s able to identify the offenders might prove too costly for the offenders if prosecuted (</w:t>
      </w:r>
      <w:r w:rsidRPr="00F30A9B">
        <w:rPr>
          <w:rFonts w:ascii="Times New Roman" w:hAnsi="Times New Roman" w:cs="Times New Roman"/>
          <w:color w:val="auto"/>
          <w:sz w:val="24"/>
          <w:szCs w:val="24"/>
          <w:shd w:val="clear" w:color="auto" w:fill="FFFFFF"/>
          <w:lang w:eastAsia="en-US"/>
        </w:rPr>
        <w:t>Butler, 2020)</w:t>
      </w:r>
      <w:r w:rsidRPr="00F30A9B">
        <w:rPr>
          <w:rFonts w:ascii="Times New Roman" w:hAnsi="Times New Roman" w:cs="Times New Roman"/>
          <w:color w:val="auto"/>
          <w:sz w:val="24"/>
          <w:szCs w:val="24"/>
          <w:lang w:eastAsia="en-US"/>
        </w:rPr>
        <w:t xml:space="preserve">. </w:t>
      </w:r>
    </w:p>
    <w:p w14:paraId="2F2448D2"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t xml:space="preserve">Removal of the means to commit the crime also helps in the prevention of repeat victimisation. Change in the environment and routine activity is likely to prevent the occurrence of the same offence. In case of environmental change, a family can relocate from the areas where incidences of crime are frequent to secure residential places to avoid a repeat occurrence of harassment, stalking and assaults. </w:t>
      </w:r>
    </w:p>
    <w:p w14:paraId="1E0A72F0"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p>
    <w:p w14:paraId="11E82214" w14:textId="77777777" w:rsidR="00F30A9B" w:rsidRPr="00F30A9B" w:rsidRDefault="00F30A9B" w:rsidP="00F30A9B">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lastRenderedPageBreak/>
        <w:t>Word count 1271</w:t>
      </w:r>
      <w:r w:rsidRPr="00F30A9B">
        <w:rPr>
          <w:rFonts w:ascii="Times New Roman" w:hAnsi="Times New Roman" w:cs="Times New Roman"/>
          <w:color w:val="auto"/>
          <w:sz w:val="24"/>
          <w:szCs w:val="24"/>
          <w:lang w:eastAsia="en-US"/>
        </w:rPr>
        <w:br w:type="page"/>
      </w:r>
    </w:p>
    <w:p w14:paraId="11701849" w14:textId="77777777" w:rsidR="00F30A9B" w:rsidRPr="00F30A9B" w:rsidRDefault="00F30A9B" w:rsidP="00F30A9B">
      <w:pPr>
        <w:overflowPunct/>
        <w:autoSpaceDE/>
        <w:autoSpaceDN/>
        <w:adjustRightInd/>
        <w:spacing w:line="480" w:lineRule="auto"/>
        <w:jc w:val="center"/>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lang w:eastAsia="en-US"/>
        </w:rPr>
        <w:lastRenderedPageBreak/>
        <w:t>References</w:t>
      </w:r>
    </w:p>
    <w:p w14:paraId="146052C8"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shd w:val="clear" w:color="auto" w:fill="FFFFFF"/>
          <w:lang w:eastAsia="en-US"/>
        </w:rPr>
        <w:t>Butler, L.C., Fisher, B.S. and Reyns, B.W., 2020. Does change in binge drinking reduce risk of repeat sexual assault victimization?: evidence from three cohorts of freshman undergraduate women. </w:t>
      </w:r>
      <w:r w:rsidRPr="00F30A9B">
        <w:rPr>
          <w:rFonts w:ascii="Times New Roman" w:hAnsi="Times New Roman" w:cs="Times New Roman"/>
          <w:i/>
          <w:iCs/>
          <w:color w:val="auto"/>
          <w:sz w:val="24"/>
          <w:szCs w:val="24"/>
          <w:shd w:val="clear" w:color="auto" w:fill="FFFFFF"/>
          <w:lang w:eastAsia="en-US"/>
        </w:rPr>
        <w:t>Crime &amp; Delinquency</w:t>
      </w:r>
      <w:r w:rsidRPr="00F30A9B">
        <w:rPr>
          <w:rFonts w:ascii="Times New Roman" w:hAnsi="Times New Roman" w:cs="Times New Roman"/>
          <w:color w:val="auto"/>
          <w:sz w:val="24"/>
          <w:szCs w:val="24"/>
          <w:shd w:val="clear" w:color="auto" w:fill="FFFFFF"/>
          <w:lang w:eastAsia="en-US"/>
        </w:rPr>
        <w:t>, p.56-78.</w:t>
      </w:r>
    </w:p>
    <w:p w14:paraId="4E548737"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eastAsia="en-US"/>
        </w:rPr>
      </w:pPr>
      <w:r w:rsidRPr="00F30A9B">
        <w:rPr>
          <w:rFonts w:ascii="Times New Roman" w:hAnsi="Times New Roman" w:cs="Times New Roman"/>
          <w:color w:val="auto"/>
          <w:sz w:val="24"/>
          <w:szCs w:val="24"/>
          <w:shd w:val="clear" w:color="auto" w:fill="FFFFFF"/>
          <w:lang w:eastAsia="en-US"/>
        </w:rPr>
        <w:t>Dehaghani, R., 2021. Interrogating vulnerability: reframing the vulnerable suspect in police custody. </w:t>
      </w:r>
      <w:r w:rsidRPr="00F30A9B">
        <w:rPr>
          <w:rFonts w:ascii="Times New Roman" w:hAnsi="Times New Roman" w:cs="Times New Roman"/>
          <w:i/>
          <w:iCs/>
          <w:color w:val="auto"/>
          <w:sz w:val="24"/>
          <w:szCs w:val="24"/>
          <w:shd w:val="clear" w:color="auto" w:fill="FFFFFF"/>
          <w:lang w:eastAsia="en-US"/>
        </w:rPr>
        <w:t>Social &amp; Legal Studies</w:t>
      </w:r>
      <w:r w:rsidRPr="00F30A9B">
        <w:rPr>
          <w:rFonts w:ascii="Times New Roman" w:hAnsi="Times New Roman" w:cs="Times New Roman"/>
          <w:color w:val="auto"/>
          <w:sz w:val="24"/>
          <w:szCs w:val="24"/>
          <w:shd w:val="clear" w:color="auto" w:fill="FFFFFF"/>
          <w:lang w:eastAsia="en-US"/>
        </w:rPr>
        <w:t>, </w:t>
      </w:r>
      <w:r w:rsidRPr="00F30A9B">
        <w:rPr>
          <w:rFonts w:ascii="Times New Roman" w:hAnsi="Times New Roman" w:cs="Times New Roman"/>
          <w:b/>
          <w:iCs/>
          <w:color w:val="auto"/>
          <w:sz w:val="24"/>
          <w:szCs w:val="24"/>
          <w:shd w:val="clear" w:color="auto" w:fill="FFFFFF"/>
          <w:lang w:eastAsia="en-US"/>
        </w:rPr>
        <w:t>30</w:t>
      </w:r>
      <w:r w:rsidRPr="00F30A9B">
        <w:rPr>
          <w:rFonts w:ascii="Times New Roman" w:hAnsi="Times New Roman" w:cs="Times New Roman"/>
          <w:color w:val="auto"/>
          <w:sz w:val="24"/>
          <w:szCs w:val="24"/>
          <w:shd w:val="clear" w:color="auto" w:fill="FFFFFF"/>
          <w:lang w:eastAsia="en-US"/>
        </w:rPr>
        <w:t>(2), pp.251-271.</w:t>
      </w:r>
    </w:p>
    <w:p w14:paraId="1BD42A8A"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eastAsia="en-US"/>
        </w:rPr>
      </w:pPr>
      <w:r w:rsidRPr="00F30A9B">
        <w:rPr>
          <w:rFonts w:ascii="Times New Roman" w:hAnsi="Times New Roman" w:cs="Times New Roman"/>
          <w:color w:val="auto"/>
          <w:sz w:val="24"/>
          <w:szCs w:val="24"/>
          <w:shd w:val="clear" w:color="auto" w:fill="FFFFFF"/>
          <w:lang w:eastAsia="en-US"/>
        </w:rPr>
        <w:t>Lösel, F., King, S., Bender, D. and Jugl, I., 2018. Protective factors against extremism and violent radicalization: a systematic review of research. </w:t>
      </w:r>
      <w:r w:rsidRPr="00F30A9B">
        <w:rPr>
          <w:rFonts w:ascii="Times New Roman" w:hAnsi="Times New Roman" w:cs="Times New Roman"/>
          <w:i/>
          <w:iCs/>
          <w:color w:val="auto"/>
          <w:sz w:val="24"/>
          <w:szCs w:val="24"/>
          <w:shd w:val="clear" w:color="auto" w:fill="FFFFFF"/>
          <w:lang w:eastAsia="en-US"/>
        </w:rPr>
        <w:t>International Journal of Developmental Science</w:t>
      </w:r>
      <w:r w:rsidRPr="00F30A9B">
        <w:rPr>
          <w:rFonts w:ascii="Times New Roman" w:hAnsi="Times New Roman" w:cs="Times New Roman"/>
          <w:color w:val="auto"/>
          <w:sz w:val="24"/>
          <w:szCs w:val="24"/>
          <w:shd w:val="clear" w:color="auto" w:fill="FFFFFF"/>
          <w:lang w:eastAsia="en-US"/>
        </w:rPr>
        <w:t>, </w:t>
      </w:r>
      <w:r w:rsidRPr="00F30A9B">
        <w:rPr>
          <w:rFonts w:ascii="Times New Roman" w:hAnsi="Times New Roman" w:cs="Times New Roman"/>
          <w:b/>
          <w:iCs/>
          <w:color w:val="auto"/>
          <w:sz w:val="24"/>
          <w:szCs w:val="24"/>
          <w:shd w:val="clear" w:color="auto" w:fill="FFFFFF"/>
          <w:lang w:eastAsia="en-US"/>
        </w:rPr>
        <w:t>12</w:t>
      </w:r>
      <w:r w:rsidRPr="00F30A9B">
        <w:rPr>
          <w:rFonts w:ascii="Times New Roman" w:hAnsi="Times New Roman" w:cs="Times New Roman"/>
          <w:color w:val="auto"/>
          <w:sz w:val="24"/>
          <w:szCs w:val="24"/>
          <w:shd w:val="clear" w:color="auto" w:fill="FFFFFF"/>
          <w:lang w:eastAsia="en-US"/>
        </w:rPr>
        <w:t>(1-2), pp.89-102.</w:t>
      </w:r>
    </w:p>
    <w:p w14:paraId="3570B6A4"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shd w:val="clear" w:color="auto" w:fill="FFFFFF"/>
          <w:lang w:eastAsia="en-US"/>
        </w:rPr>
      </w:pPr>
      <w:r w:rsidRPr="00F30A9B">
        <w:rPr>
          <w:rFonts w:ascii="Times New Roman" w:hAnsi="Times New Roman" w:cs="Times New Roman"/>
          <w:color w:val="auto"/>
          <w:sz w:val="24"/>
          <w:szCs w:val="24"/>
          <w:shd w:val="clear" w:color="auto" w:fill="FFFFFF"/>
          <w:lang w:eastAsia="en-US"/>
        </w:rPr>
        <w:t xml:space="preserve">Phipps, A., Ringrose, J., Renold, E. and Jackson, C., 2018. Rape culture, lad culture, and everyday sexism: researching, conceptualizing, and politicizing new gender and sexual violence mediations. </w:t>
      </w:r>
      <w:r w:rsidRPr="00F30A9B">
        <w:rPr>
          <w:rFonts w:ascii="Times New Roman" w:hAnsi="Times New Roman" w:cs="Times New Roman"/>
          <w:i/>
          <w:iCs/>
          <w:color w:val="auto"/>
          <w:sz w:val="24"/>
          <w:szCs w:val="24"/>
          <w:shd w:val="clear" w:color="auto" w:fill="FFFFFF"/>
          <w:lang w:eastAsia="en-US"/>
        </w:rPr>
        <w:t>Journal of Gender Studies</w:t>
      </w:r>
      <w:r w:rsidRPr="00F30A9B">
        <w:rPr>
          <w:rFonts w:ascii="Times New Roman" w:hAnsi="Times New Roman" w:cs="Times New Roman"/>
          <w:color w:val="auto"/>
          <w:sz w:val="24"/>
          <w:szCs w:val="24"/>
          <w:shd w:val="clear" w:color="auto" w:fill="FFFFFF"/>
          <w:lang w:eastAsia="en-US"/>
        </w:rPr>
        <w:t>, </w:t>
      </w:r>
      <w:r w:rsidRPr="00F30A9B">
        <w:rPr>
          <w:rFonts w:ascii="Times New Roman" w:hAnsi="Times New Roman" w:cs="Times New Roman"/>
          <w:b/>
          <w:iCs/>
          <w:color w:val="auto"/>
          <w:sz w:val="24"/>
          <w:szCs w:val="24"/>
          <w:shd w:val="clear" w:color="auto" w:fill="FFFFFF"/>
          <w:lang w:eastAsia="en-US"/>
        </w:rPr>
        <w:t>27</w:t>
      </w:r>
      <w:r w:rsidRPr="00F30A9B">
        <w:rPr>
          <w:rFonts w:ascii="Times New Roman" w:hAnsi="Times New Roman" w:cs="Times New Roman"/>
          <w:color w:val="auto"/>
          <w:sz w:val="24"/>
          <w:szCs w:val="24"/>
          <w:shd w:val="clear" w:color="auto" w:fill="FFFFFF"/>
          <w:lang w:eastAsia="en-US"/>
        </w:rPr>
        <w:t>(1), pp.1-8.</w:t>
      </w:r>
    </w:p>
    <w:p w14:paraId="401B887F" w14:textId="77777777" w:rsidR="00F30A9B" w:rsidRPr="00F30A9B" w:rsidRDefault="00F30A9B" w:rsidP="00F30A9B">
      <w:pPr>
        <w:overflowPunct/>
        <w:autoSpaceDE/>
        <w:autoSpaceDN/>
        <w:adjustRightInd/>
        <w:spacing w:line="480" w:lineRule="auto"/>
        <w:ind w:left="720" w:hanging="720"/>
        <w:textAlignment w:val="auto"/>
        <w:rPr>
          <w:rFonts w:ascii="Times New Roman" w:hAnsi="Times New Roman" w:cs="Times New Roman"/>
          <w:color w:val="auto"/>
          <w:sz w:val="24"/>
          <w:szCs w:val="24"/>
          <w:lang w:eastAsia="en-US"/>
        </w:rPr>
      </w:pPr>
      <w:r w:rsidRPr="00F30A9B">
        <w:rPr>
          <w:rFonts w:ascii="Times New Roman" w:hAnsi="Times New Roman" w:cs="Times New Roman"/>
          <w:color w:val="auto"/>
          <w:sz w:val="24"/>
          <w:szCs w:val="24"/>
          <w:shd w:val="clear" w:color="auto" w:fill="FFFFFF"/>
          <w:lang w:eastAsia="en-US"/>
        </w:rPr>
        <w:t xml:space="preserve">Walsh, K., Choo, T.H., Wall, M., Hirsch, J.S., Ford, J., Santelli, J.S., Gilbert, L., Thompson, M.P., Reardon, L., and Mellins, C.A., 2020. Repeat sexual victimization during college: prevalence and psychosocial correlates. </w:t>
      </w:r>
      <w:r w:rsidRPr="00F30A9B">
        <w:rPr>
          <w:rFonts w:ascii="Times New Roman" w:hAnsi="Times New Roman" w:cs="Times New Roman"/>
          <w:i/>
          <w:iCs/>
          <w:color w:val="auto"/>
          <w:sz w:val="24"/>
          <w:szCs w:val="24"/>
          <w:shd w:val="clear" w:color="auto" w:fill="FFFFFF"/>
          <w:lang w:eastAsia="en-US"/>
        </w:rPr>
        <w:t>Psychology of Violence</w:t>
      </w:r>
      <w:r w:rsidRPr="00F30A9B">
        <w:rPr>
          <w:rFonts w:ascii="Times New Roman" w:hAnsi="Times New Roman" w:cs="Times New Roman"/>
          <w:color w:val="auto"/>
          <w:sz w:val="24"/>
          <w:szCs w:val="24"/>
          <w:shd w:val="clear" w:color="auto" w:fill="FFFFFF"/>
          <w:lang w:eastAsia="en-US"/>
        </w:rPr>
        <w:t>. p 44-52.</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C391233"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bCs/>
          <w:color w:val="auto"/>
          <w:sz w:val="24"/>
          <w:szCs w:val="24"/>
          <w:lang w:eastAsia="en-US"/>
        </w:rPr>
      </w:pPr>
      <w:r w:rsidRPr="00922151">
        <w:rPr>
          <w:rFonts w:ascii="Times New Roman" w:hAnsi="Times New Roman" w:cs="Times New Roman"/>
          <w:color w:val="auto"/>
          <w:sz w:val="24"/>
          <w:szCs w:val="24"/>
          <w:lang w:eastAsia="en-US"/>
        </w:rPr>
        <w:t xml:space="preserve">Conducting investigations can and often are complex, growing and changing as new information is uncovered and circumstances change. Conducting an investigation often needs an police officer to gather information and intelligence form a number of different sources in order to develop a working strategy on how best to manage a situation or offence.  The growing technology, particularly the automatic number plate recognition (ANPR), has been an excellent in the gathering of information, (Bennett, 2012). particularly with regards to the following incident I was involved with. </w:t>
      </w:r>
    </w:p>
    <w:p w14:paraId="547BDD36"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bCs/>
          <w:color w:val="auto"/>
          <w:sz w:val="24"/>
          <w:szCs w:val="24"/>
          <w:lang w:eastAsia="en-US"/>
        </w:rPr>
      </w:pPr>
      <w:r w:rsidRPr="00922151">
        <w:rPr>
          <w:rFonts w:ascii="Times New Roman" w:hAnsi="Times New Roman" w:cs="Times New Roman"/>
          <w:color w:val="auto"/>
          <w:sz w:val="24"/>
          <w:szCs w:val="24"/>
          <w:lang w:eastAsia="en-US"/>
        </w:rPr>
        <w:t xml:space="preserve">Furthermore, the ethical viewpoint in the evidence collection and processing and court evidence in a trial is critical and needs a lot of scrutiny </w:t>
      </w:r>
      <w:r w:rsidRPr="00922151">
        <w:rPr>
          <w:rFonts w:ascii="Times New Roman" w:hAnsi="Times New Roman" w:cs="Times New Roman"/>
          <w:bCs/>
          <w:color w:val="auto"/>
          <w:sz w:val="24"/>
          <w:szCs w:val="24"/>
          <w:lang w:eastAsia="en-US"/>
        </w:rPr>
        <w:t>(</w:t>
      </w:r>
      <w:r w:rsidRPr="00922151">
        <w:rPr>
          <w:rFonts w:ascii="Times New Roman" w:hAnsi="Times New Roman" w:cs="Times New Roman"/>
          <w:color w:val="auto"/>
          <w:sz w:val="24"/>
          <w:szCs w:val="24"/>
          <w:lang w:eastAsia="en-US"/>
        </w:rPr>
        <w:t>Lyman</w:t>
      </w:r>
      <w:r w:rsidRPr="00922151">
        <w:rPr>
          <w:rFonts w:ascii="Times New Roman" w:hAnsi="Times New Roman" w:cs="Times New Roman"/>
          <w:bCs/>
          <w:color w:val="auto"/>
          <w:sz w:val="24"/>
          <w:szCs w:val="24"/>
          <w:lang w:eastAsia="en-US"/>
        </w:rPr>
        <w:t>, 2001)</w:t>
      </w:r>
      <w:r w:rsidRPr="00922151">
        <w:rPr>
          <w:rFonts w:ascii="Times New Roman" w:hAnsi="Times New Roman" w:cs="Times New Roman"/>
          <w:color w:val="auto"/>
          <w:sz w:val="24"/>
          <w:szCs w:val="24"/>
          <w:lang w:eastAsia="en-US"/>
        </w:rPr>
        <w:t xml:space="preserve">. This reflective task describes a policing incident while putting into considerations the social and legislative </w:t>
      </w:r>
      <w:r w:rsidRPr="00922151">
        <w:rPr>
          <w:rFonts w:ascii="Times New Roman" w:hAnsi="Times New Roman" w:cs="Times New Roman"/>
          <w:color w:val="auto"/>
          <w:sz w:val="24"/>
          <w:szCs w:val="24"/>
          <w:lang w:eastAsia="en-US"/>
        </w:rPr>
        <w:lastRenderedPageBreak/>
        <w:t xml:space="preserve">aspects. In addition, it elaborates on the techniques used to gather, assess and analyse data, information and intelligence obtained from different relevant sources. It also considers the principles of ethnicity, equality, diversity and human rights </w:t>
      </w:r>
      <w:r w:rsidRPr="00922151">
        <w:rPr>
          <w:rFonts w:ascii="Times New Roman" w:hAnsi="Times New Roman" w:cs="Times New Roman"/>
          <w:bCs/>
          <w:color w:val="auto"/>
          <w:sz w:val="24"/>
          <w:szCs w:val="24"/>
          <w:lang w:eastAsia="en-US"/>
        </w:rPr>
        <w:t>analysis (</w:t>
      </w:r>
      <w:r w:rsidRPr="00922151">
        <w:rPr>
          <w:rFonts w:ascii="Times New Roman" w:hAnsi="Times New Roman" w:cs="Times New Roman"/>
          <w:color w:val="auto"/>
          <w:sz w:val="24"/>
          <w:szCs w:val="24"/>
          <w:lang w:eastAsia="en-US"/>
        </w:rPr>
        <w:t>Lyman</w:t>
      </w:r>
      <w:r w:rsidRPr="00922151">
        <w:rPr>
          <w:rFonts w:ascii="Times New Roman" w:hAnsi="Times New Roman" w:cs="Times New Roman"/>
          <w:bCs/>
          <w:color w:val="auto"/>
          <w:sz w:val="24"/>
          <w:szCs w:val="24"/>
          <w:lang w:eastAsia="en-US"/>
        </w:rPr>
        <w:t>, 2001).</w:t>
      </w:r>
    </w:p>
    <w:p w14:paraId="2EE23151"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While on duty, I received a directive from my sergeant to respond to a grade 4 call from a woman. After a brief conversation with the woman over the phone, I decided to attend to her address to take her statement. While giving her account, she reported that her neighbour drives a vehicle without a licence and holds frequent meetings with people she could not identify, these people would attend the address during the day, only staying for minutes at a time. The flow of people attending the address was constant. In addition, she wondered how her neighbour managed to afford the vehicle in question and lifestyle he seemed to be living, which required finance, yet he did not have an actual job. She also noted that the neighbour would leave his house precisely at 03:00 hours and return at 04:00 hours. This made her suspect that he was in the drug trade and a potential dealer. I asked her how she knew of the exact time of the neighbour's leaving and returning, and she stated that she had a doorbell camera that recorded all these activities. The doorbell camera alerts would wake her in the night. For other analysis purposes </w:t>
      </w:r>
      <w:r w:rsidRPr="00922151">
        <w:rPr>
          <w:rFonts w:ascii="Times New Roman" w:hAnsi="Times New Roman" w:cs="Times New Roman"/>
          <w:bCs/>
          <w:color w:val="auto"/>
          <w:sz w:val="24"/>
          <w:szCs w:val="24"/>
          <w:lang w:eastAsia="en-US"/>
        </w:rPr>
        <w:t>(Loftus, 2011)</w:t>
      </w:r>
      <w:r w:rsidRPr="00922151">
        <w:rPr>
          <w:rFonts w:ascii="Times New Roman" w:hAnsi="Times New Roman" w:cs="Times New Roman"/>
          <w:color w:val="auto"/>
          <w:sz w:val="24"/>
          <w:szCs w:val="24"/>
          <w:lang w:eastAsia="en-US"/>
        </w:rPr>
        <w:t>, I asked her for that footage, and she generously provided it.</w:t>
      </w:r>
    </w:p>
    <w:p w14:paraId="368ABBF4"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A further inquiry of the vehicle's details confirmed that it was parked outside the neighbour's house. I did a background check on the car's index. The results demonstrated that the registered owner was the man in question and the driving licence check affirmed that he had only a provisional driving licence. Equipped with this information, I went back to the station and submitted the Intel report. Since this was a matter of interest, I tasked the sergeants on duty to patrol in that address the following night, possibly between 03:00 and 04:00. The next night, I joined the other team on duty at around 3.15 </w:t>
      </w:r>
      <w:r w:rsidRPr="00922151">
        <w:rPr>
          <w:rFonts w:ascii="Times New Roman" w:hAnsi="Times New Roman" w:cs="Times New Roman"/>
          <w:caps/>
          <w:color w:val="auto"/>
          <w:sz w:val="24"/>
          <w:szCs w:val="24"/>
          <w:lang w:eastAsia="en-US"/>
        </w:rPr>
        <w:t>am</w:t>
      </w:r>
      <w:r w:rsidRPr="00922151">
        <w:rPr>
          <w:rFonts w:ascii="Times New Roman" w:hAnsi="Times New Roman" w:cs="Times New Roman"/>
          <w:color w:val="auto"/>
          <w:sz w:val="24"/>
          <w:szCs w:val="24"/>
          <w:lang w:eastAsia="en-US"/>
        </w:rPr>
        <w:t xml:space="preserve">. True to the woman's statement, the man's vehicle was not in his regular parking space. I then decided to </w:t>
      </w:r>
      <w:r w:rsidRPr="00922151">
        <w:rPr>
          <w:rFonts w:ascii="Times New Roman" w:hAnsi="Times New Roman" w:cs="Times New Roman"/>
          <w:color w:val="auto"/>
          <w:sz w:val="24"/>
          <w:szCs w:val="24"/>
          <w:lang w:eastAsia="en-US"/>
        </w:rPr>
        <w:lastRenderedPageBreak/>
        <w:t>wait until 04:00 hours</w:t>
      </w:r>
      <w:r w:rsidRPr="00922151">
        <w:rPr>
          <w:rFonts w:ascii="Times New Roman" w:hAnsi="Times New Roman" w:cs="Times New Roman"/>
          <w:caps/>
          <w:color w:val="auto"/>
          <w:sz w:val="24"/>
          <w:szCs w:val="24"/>
          <w:lang w:eastAsia="en-US"/>
        </w:rPr>
        <w:t>,</w:t>
      </w:r>
      <w:r w:rsidRPr="00922151">
        <w:rPr>
          <w:rFonts w:ascii="Times New Roman" w:hAnsi="Times New Roman" w:cs="Times New Roman"/>
          <w:color w:val="auto"/>
          <w:sz w:val="24"/>
          <w:szCs w:val="24"/>
          <w:lang w:eastAsia="en-US"/>
        </w:rPr>
        <w:t xml:space="preserve"> and at around 3.50 hours the vehicle returned with the man in question driving it. This essentially added credibility to the witness account. I immediately radioed a colleague on duty back at the station and asked him to run an Automatic Number Plate Recognition (ANPR) on that vehicle. The vehicle’s movement was tracked, and it was seen hitting several ANPR cameras to a specific place.</w:t>
      </w:r>
    </w:p>
    <w:p w14:paraId="03595D15"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bCs/>
          <w:color w:val="auto"/>
          <w:sz w:val="24"/>
          <w:szCs w:val="24"/>
          <w:lang w:eastAsia="en-US"/>
        </w:rPr>
      </w:pPr>
      <w:r w:rsidRPr="00922151">
        <w:rPr>
          <w:rFonts w:ascii="Times New Roman" w:hAnsi="Times New Roman" w:cs="Times New Roman"/>
          <w:color w:val="auto"/>
          <w:sz w:val="24"/>
          <w:szCs w:val="24"/>
          <w:lang w:eastAsia="en-US"/>
        </w:rPr>
        <w:t xml:space="preserve">To strengthen my investigation </w:t>
      </w:r>
      <w:r w:rsidRPr="00922151">
        <w:rPr>
          <w:rFonts w:ascii="Times New Roman" w:hAnsi="Times New Roman" w:cs="Times New Roman"/>
          <w:bCs/>
          <w:color w:val="auto"/>
          <w:sz w:val="24"/>
          <w:szCs w:val="24"/>
          <w:lang w:eastAsia="en-US"/>
        </w:rPr>
        <w:t>(Loftus, 2011)</w:t>
      </w:r>
      <w:r w:rsidRPr="00922151">
        <w:rPr>
          <w:rFonts w:ascii="Times New Roman" w:hAnsi="Times New Roman" w:cs="Times New Roman"/>
          <w:color w:val="auto"/>
          <w:sz w:val="24"/>
          <w:szCs w:val="24"/>
          <w:lang w:eastAsia="en-US"/>
        </w:rPr>
        <w:t>, I confirmed that this was a repeating pattern. The second night of keeping watch, I could not make it due to another call of duty, for which I had to submit an Intel report. However, I tasked sergeants on duty that night to keep watch, and they reported the same pattern. On the following set of shifts, I managed to patrol the address and keep an eye between 03:00 hours and 04:00 hours. Three minutes past 03:00, the man in question left with the vehicle, and after exactly 45 minutes, he came back driving the same car. I did another ANPR query, and the movement patterns were consistent with previous nights. From my viewpoint, this appeared like a typical drug movement. I submitted an Intel report through the traffic division and requested an interception of the vehicle earlier the following morning, once on the road.</w:t>
      </w:r>
    </w:p>
    <w:p w14:paraId="16548F27"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For evidence exhibit </w:t>
      </w:r>
      <w:r w:rsidRPr="00922151">
        <w:rPr>
          <w:rFonts w:ascii="Times New Roman" w:hAnsi="Times New Roman" w:cs="Times New Roman"/>
          <w:bCs/>
          <w:color w:val="auto"/>
          <w:sz w:val="24"/>
          <w:szCs w:val="24"/>
          <w:lang w:eastAsia="en-US"/>
        </w:rPr>
        <w:t>(</w:t>
      </w:r>
      <w:r w:rsidRPr="00922151">
        <w:rPr>
          <w:rFonts w:ascii="Times New Roman" w:hAnsi="Times New Roman" w:cs="Times New Roman"/>
          <w:color w:val="auto"/>
          <w:sz w:val="24"/>
          <w:szCs w:val="24"/>
          <w:lang w:eastAsia="en-US"/>
        </w:rPr>
        <w:t>Lyman</w:t>
      </w:r>
      <w:r w:rsidRPr="00922151">
        <w:rPr>
          <w:rFonts w:ascii="Times New Roman" w:hAnsi="Times New Roman" w:cs="Times New Roman"/>
          <w:bCs/>
          <w:color w:val="auto"/>
          <w:sz w:val="24"/>
          <w:szCs w:val="24"/>
          <w:lang w:eastAsia="en-US"/>
        </w:rPr>
        <w:t>, 2001),</w:t>
      </w:r>
      <w:r w:rsidRPr="00922151">
        <w:rPr>
          <w:rFonts w:ascii="Times New Roman" w:hAnsi="Times New Roman" w:cs="Times New Roman"/>
          <w:color w:val="auto"/>
          <w:sz w:val="24"/>
          <w:szCs w:val="24"/>
          <w:lang w:eastAsia="en-US"/>
        </w:rPr>
        <w:t xml:space="preserve"> I requested the footages from the doorbell camera, which captured the man in question getting in the driver's seat and driving away. This alone was enough to charge him for the offence of driving without a driving licence. However, with the intelligence gathered from the three nights, I decided it was appropriate to pursue the possibility of drug supply. Earlier the following morning, the car was intercepted, and the suspect was arrested for driving without a driving licence. He was also charged for driving under the influence of alcohol. The vehicle was thoroughly searched, but no drugs were found. I ensured to keep this information open to allow for a thorough evaluation of its credibility and validity. This would make me at the forefront of better preparation and </w:t>
      </w:r>
      <w:r w:rsidRPr="00922151">
        <w:rPr>
          <w:rFonts w:ascii="Times New Roman" w:hAnsi="Times New Roman" w:cs="Times New Roman"/>
          <w:color w:val="auto"/>
          <w:sz w:val="24"/>
          <w:szCs w:val="24"/>
          <w:lang w:eastAsia="en-US"/>
        </w:rPr>
        <w:lastRenderedPageBreak/>
        <w:t>organisation of resources to tackle what, in my opinion, thought could be a potential organised crime gang dealing in more than drugs.</w:t>
      </w:r>
    </w:p>
    <w:p w14:paraId="45047833"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In my entire time while conducting this investigation, I ensured to maintain fairness and treated this case like the previous ones i.e. through maintaining a conscience of innocence till proven guilty, I ensured to practice equality on both the woman witness as well as the suspicious man in question (Mulderrig, 2018). This I did by ensuring that the man in question was handled accordingly during the interception and arrest. I ensured I allowed the suspect to speak with his solicitor before my I began the interview. In addition, I ensured to protect the identity of the woman who provided me with the Intelligence because I felt that it was crucial to do so that we could make her our information source about the possibility of the drug supplier chain by her neighbour. I also had to interact with the other two neighbours to get their observations of anything suspicious or odd about the man in question. This came as a challenge as the neighbours were Polish and did not want to get involved as they had a mistrust of police, which implies different cultural and ethnic backgrounds. As argued by the Equality and Human Rights Commission (2018), no discrimination should be directed to anyone regardless of their race, ethnicity, social status, gender, or religion, and any form of discrimination is strongly prohibited and is punishable by the law (Equality and Human Rights Commission, 2018). I ensured to uphold all these values in my entire investigation.</w:t>
      </w:r>
    </w:p>
    <w:p w14:paraId="57841CBC"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bCs/>
          <w:color w:val="auto"/>
          <w:sz w:val="24"/>
          <w:szCs w:val="24"/>
          <w:lang w:eastAsia="en-US"/>
        </w:rPr>
      </w:pPr>
      <w:r w:rsidRPr="00922151">
        <w:rPr>
          <w:rFonts w:ascii="Times New Roman" w:hAnsi="Times New Roman" w:cs="Times New Roman"/>
          <w:bCs/>
          <w:color w:val="auto"/>
          <w:sz w:val="24"/>
          <w:szCs w:val="24"/>
          <w:lang w:eastAsia="en-US"/>
        </w:rPr>
        <w:t>Overall, the whole activity was challenging, and it introduced me to some interactive nature of operational duty. It became vivid to me that operational policing required a lot of input. It requires one to implement the various methodologies for data collection and different techniques involved in analysis (</w:t>
      </w:r>
      <w:r w:rsidRPr="00922151">
        <w:rPr>
          <w:rFonts w:ascii="Times New Roman" w:hAnsi="Times New Roman" w:cs="Times New Roman"/>
          <w:color w:val="auto"/>
          <w:sz w:val="24"/>
          <w:szCs w:val="24"/>
          <w:lang w:eastAsia="en-US"/>
        </w:rPr>
        <w:t>Lyman</w:t>
      </w:r>
      <w:r w:rsidRPr="00922151">
        <w:rPr>
          <w:rFonts w:ascii="Times New Roman" w:hAnsi="Times New Roman" w:cs="Times New Roman"/>
          <w:bCs/>
          <w:color w:val="auto"/>
          <w:sz w:val="24"/>
          <w:szCs w:val="24"/>
          <w:lang w:eastAsia="en-US"/>
        </w:rPr>
        <w:t>, 2001). Looking back, I strongly feel that my investigative intervention was reasonably successful, majorly because of the coordination with the witness and a persistent follow-up on the man in question using the available resources at my disposal.</w:t>
      </w:r>
    </w:p>
    <w:p w14:paraId="024F3AD5"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bCs/>
          <w:color w:val="auto"/>
          <w:sz w:val="24"/>
          <w:szCs w:val="24"/>
          <w:lang w:eastAsia="en-US"/>
        </w:rPr>
      </w:pPr>
    </w:p>
    <w:p w14:paraId="3490AB63" w14:textId="77777777" w:rsidR="00922151" w:rsidRPr="00922151" w:rsidRDefault="00922151" w:rsidP="00922151">
      <w:pPr>
        <w:overflowPunct/>
        <w:autoSpaceDE/>
        <w:autoSpaceDN/>
        <w:adjustRightInd/>
        <w:spacing w:line="480" w:lineRule="auto"/>
        <w:ind w:firstLine="720"/>
        <w:contextualSpacing/>
        <w:textAlignment w:val="auto"/>
        <w:rPr>
          <w:rFonts w:ascii="Times New Roman" w:hAnsi="Times New Roman" w:cs="Times New Roman"/>
          <w:bCs/>
          <w:color w:val="auto"/>
          <w:sz w:val="24"/>
          <w:szCs w:val="24"/>
          <w:lang w:eastAsia="en-US"/>
        </w:rPr>
      </w:pPr>
      <w:r w:rsidRPr="00922151">
        <w:rPr>
          <w:rFonts w:ascii="Times New Roman" w:hAnsi="Times New Roman" w:cs="Times New Roman"/>
          <w:bCs/>
          <w:color w:val="auto"/>
          <w:sz w:val="24"/>
          <w:szCs w:val="24"/>
          <w:lang w:eastAsia="en-US"/>
        </w:rPr>
        <w:t>Word count 1300</w:t>
      </w:r>
    </w:p>
    <w:p w14:paraId="2D0BBCAD" w14:textId="77777777" w:rsidR="00922151" w:rsidRPr="00922151" w:rsidRDefault="00922151" w:rsidP="00922151">
      <w:pPr>
        <w:overflowPunct/>
        <w:autoSpaceDE/>
        <w:autoSpaceDN/>
        <w:adjustRightInd/>
        <w:spacing w:after="160" w:line="259" w:lineRule="auto"/>
        <w:textAlignment w:val="auto"/>
        <w:rPr>
          <w:rFonts w:ascii="Times New Roman" w:hAnsi="Times New Roman" w:cs="Times New Roman"/>
          <w:bCs/>
          <w:color w:val="auto"/>
          <w:sz w:val="24"/>
          <w:szCs w:val="24"/>
          <w:lang w:eastAsia="en-US"/>
        </w:rPr>
      </w:pPr>
      <w:r w:rsidRPr="00922151">
        <w:rPr>
          <w:rFonts w:ascii="Times New Roman" w:hAnsi="Times New Roman" w:cs="Times New Roman"/>
          <w:bCs/>
          <w:color w:val="auto"/>
          <w:sz w:val="24"/>
          <w:szCs w:val="24"/>
          <w:lang w:eastAsia="en-US"/>
        </w:rPr>
        <w:br w:type="page"/>
      </w:r>
    </w:p>
    <w:p w14:paraId="3651FCCF" w14:textId="77777777" w:rsidR="00922151" w:rsidRPr="00922151" w:rsidRDefault="00922151" w:rsidP="00922151">
      <w:pPr>
        <w:overflowPunct/>
        <w:autoSpaceDE/>
        <w:autoSpaceDN/>
        <w:adjustRightInd/>
        <w:spacing w:line="480" w:lineRule="auto"/>
        <w:jc w:val="center"/>
        <w:textAlignment w:val="auto"/>
        <w:rPr>
          <w:rFonts w:ascii="Times New Roman" w:hAnsi="Times New Roman" w:cs="Times New Roman"/>
          <w:bCs/>
          <w:color w:val="auto"/>
          <w:sz w:val="24"/>
          <w:szCs w:val="24"/>
          <w:lang w:eastAsia="en-US"/>
        </w:rPr>
      </w:pPr>
      <w:r w:rsidRPr="00922151">
        <w:rPr>
          <w:rFonts w:ascii="Times New Roman" w:hAnsi="Times New Roman" w:cs="Times New Roman"/>
          <w:bCs/>
          <w:color w:val="auto"/>
          <w:sz w:val="24"/>
          <w:szCs w:val="24"/>
          <w:lang w:eastAsia="en-US"/>
        </w:rPr>
        <w:lastRenderedPageBreak/>
        <w:t>References</w:t>
      </w:r>
    </w:p>
    <w:p w14:paraId="025C6160" w14:textId="77777777" w:rsidR="00922151" w:rsidRPr="00922151" w:rsidRDefault="00922151" w:rsidP="00922151">
      <w:pPr>
        <w:overflowPunct/>
        <w:autoSpaceDE/>
        <w:autoSpaceDN/>
        <w:adjustRightInd/>
        <w:spacing w:line="480" w:lineRule="auto"/>
        <w:ind w:left="720" w:hanging="720"/>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Bennett, </w:t>
      </w:r>
      <w:hyperlink r:id="rId21" w:history="1">
        <w:r w:rsidRPr="00922151">
          <w:rPr>
            <w:rFonts w:ascii="Times New Roman" w:hAnsi="Times New Roman" w:cs="Times New Roman"/>
            <w:color w:val="auto"/>
            <w:sz w:val="24"/>
            <w:szCs w:val="24"/>
            <w:lang w:eastAsia="en-US"/>
          </w:rPr>
          <w:t>D</w:t>
        </w:r>
      </w:hyperlink>
      <w:r w:rsidRPr="00922151">
        <w:rPr>
          <w:rFonts w:ascii="Times New Roman" w:hAnsi="Times New Roman" w:cs="Times New Roman"/>
          <w:color w:val="auto"/>
          <w:sz w:val="24"/>
          <w:szCs w:val="24"/>
          <w:lang w:eastAsia="en-US"/>
        </w:rPr>
        <w:t xml:space="preserve">., 2012. The challenges facing computer forensics investigators in obtaining information from mobile devices for use in criminal investigations. </w:t>
      </w:r>
      <w:r w:rsidRPr="00922151">
        <w:rPr>
          <w:rFonts w:ascii="Times New Roman" w:hAnsi="Times New Roman" w:cs="Times New Roman"/>
          <w:i/>
          <w:color w:val="auto"/>
          <w:sz w:val="24"/>
          <w:szCs w:val="24"/>
          <w:lang w:eastAsia="en-US"/>
        </w:rPr>
        <w:t>Information Security Journal: A Global Perspective,</w:t>
      </w:r>
      <w:r w:rsidRPr="00922151">
        <w:rPr>
          <w:rFonts w:ascii="Times New Roman" w:hAnsi="Times New Roman" w:cs="Times New Roman"/>
          <w:color w:val="auto"/>
          <w:sz w:val="24"/>
          <w:szCs w:val="24"/>
          <w:lang w:eastAsia="en-US"/>
        </w:rPr>
        <w:t xml:space="preserve"> </w:t>
      </w:r>
      <w:r w:rsidRPr="00922151">
        <w:rPr>
          <w:rFonts w:ascii="Times New Roman" w:hAnsi="Times New Roman" w:cs="Times New Roman"/>
          <w:b/>
          <w:color w:val="auto"/>
          <w:sz w:val="24"/>
          <w:szCs w:val="24"/>
          <w:lang w:eastAsia="en-US"/>
        </w:rPr>
        <w:t>21</w:t>
      </w:r>
      <w:r w:rsidRPr="00922151">
        <w:rPr>
          <w:rFonts w:ascii="Times New Roman" w:hAnsi="Times New Roman" w:cs="Times New Roman"/>
          <w:color w:val="auto"/>
          <w:sz w:val="24"/>
          <w:szCs w:val="24"/>
          <w:lang w:eastAsia="en-US"/>
        </w:rPr>
        <w:t>(3), pp.159-168.</w:t>
      </w:r>
    </w:p>
    <w:p w14:paraId="2D1060FD" w14:textId="77777777" w:rsidR="00922151" w:rsidRPr="00922151" w:rsidRDefault="00922151" w:rsidP="00922151">
      <w:pPr>
        <w:overflowPunct/>
        <w:autoSpaceDE/>
        <w:autoSpaceDN/>
        <w:adjustRightInd/>
        <w:spacing w:line="480" w:lineRule="auto"/>
        <w:ind w:left="720" w:hanging="720"/>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Loftus, E. F., 2011. Intelligence gathering post-9/11. </w:t>
      </w:r>
      <w:r w:rsidRPr="00922151">
        <w:rPr>
          <w:rFonts w:ascii="Times New Roman" w:hAnsi="Times New Roman" w:cs="Times New Roman"/>
          <w:i/>
          <w:color w:val="auto"/>
          <w:sz w:val="24"/>
          <w:szCs w:val="24"/>
          <w:lang w:eastAsia="en-US"/>
        </w:rPr>
        <w:t>American Psychologist,</w:t>
      </w:r>
      <w:r w:rsidRPr="00922151">
        <w:rPr>
          <w:rFonts w:ascii="Times New Roman" w:hAnsi="Times New Roman" w:cs="Times New Roman"/>
          <w:color w:val="auto"/>
          <w:sz w:val="24"/>
          <w:szCs w:val="24"/>
          <w:lang w:eastAsia="en-US"/>
        </w:rPr>
        <w:t xml:space="preserve"> </w:t>
      </w:r>
      <w:r w:rsidRPr="00922151">
        <w:rPr>
          <w:rFonts w:ascii="Times New Roman" w:hAnsi="Times New Roman" w:cs="Times New Roman"/>
          <w:b/>
          <w:color w:val="auto"/>
          <w:sz w:val="24"/>
          <w:szCs w:val="24"/>
          <w:lang w:eastAsia="en-US"/>
        </w:rPr>
        <w:t>66</w:t>
      </w:r>
      <w:r w:rsidRPr="00922151">
        <w:rPr>
          <w:rFonts w:ascii="Times New Roman" w:hAnsi="Times New Roman" w:cs="Times New Roman"/>
          <w:color w:val="auto"/>
          <w:sz w:val="24"/>
          <w:szCs w:val="24"/>
          <w:lang w:eastAsia="en-US"/>
        </w:rPr>
        <w:t>(6), pp.532</w:t>
      </w:r>
      <w:r w:rsidRPr="00922151">
        <w:rPr>
          <w:rFonts w:ascii="Times New Roman" w:hAnsi="Times New Roman" w:cs="Times New Roman"/>
          <w:color w:val="auto"/>
          <w:sz w:val="24"/>
          <w:szCs w:val="24"/>
          <w:lang w:eastAsia="en-US"/>
        </w:rPr>
        <w:noBreakHyphen/>
        <w:t>541.</w:t>
      </w:r>
    </w:p>
    <w:p w14:paraId="68659DD4" w14:textId="77777777" w:rsidR="00922151" w:rsidRPr="00922151" w:rsidRDefault="00922151" w:rsidP="00922151">
      <w:pPr>
        <w:overflowPunct/>
        <w:autoSpaceDE/>
        <w:autoSpaceDN/>
        <w:adjustRightInd/>
        <w:spacing w:line="480" w:lineRule="auto"/>
        <w:ind w:left="720" w:hanging="720"/>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Lyman, M. D., 2001. </w:t>
      </w:r>
      <w:r w:rsidRPr="00922151">
        <w:rPr>
          <w:rFonts w:ascii="Times New Roman" w:hAnsi="Times New Roman" w:cs="Times New Roman"/>
          <w:i/>
          <w:color w:val="auto"/>
          <w:sz w:val="24"/>
          <w:szCs w:val="24"/>
          <w:lang w:eastAsia="en-US"/>
        </w:rPr>
        <w:t>Criminal investigation: the art and the science (third edition).</w:t>
      </w:r>
      <w:r w:rsidRPr="00922151">
        <w:rPr>
          <w:rFonts w:ascii="Times New Roman" w:hAnsi="Times New Roman" w:cs="Times New Roman"/>
          <w:color w:val="auto"/>
          <w:sz w:val="24"/>
          <w:szCs w:val="24"/>
          <w:lang w:eastAsia="en-US"/>
        </w:rPr>
        <w:t xml:space="preserve"> London: Pearson.</w:t>
      </w:r>
    </w:p>
    <w:p w14:paraId="1D64CFA5" w14:textId="77777777" w:rsidR="00922151" w:rsidRPr="00922151" w:rsidRDefault="00922151" w:rsidP="00922151">
      <w:pPr>
        <w:overflowPunct/>
        <w:autoSpaceDE/>
        <w:autoSpaceDN/>
        <w:adjustRightInd/>
        <w:spacing w:line="480" w:lineRule="auto"/>
        <w:ind w:left="720" w:hanging="720"/>
        <w:textAlignment w:val="auto"/>
        <w:rPr>
          <w:rFonts w:ascii="Times New Roman" w:hAnsi="Times New Roman" w:cs="Times New Roman"/>
          <w:color w:val="auto"/>
          <w:sz w:val="24"/>
          <w:szCs w:val="24"/>
          <w:lang w:eastAsia="en-US"/>
        </w:rPr>
      </w:pPr>
      <w:r w:rsidRPr="00922151">
        <w:rPr>
          <w:rFonts w:ascii="Times New Roman" w:hAnsi="Times New Roman" w:cs="Times New Roman"/>
          <w:color w:val="auto"/>
          <w:sz w:val="24"/>
          <w:szCs w:val="24"/>
          <w:lang w:eastAsia="en-US"/>
        </w:rPr>
        <w:t xml:space="preserve">Equality and Human Rights Commission (EHRC), 2018. </w:t>
      </w:r>
      <w:r w:rsidRPr="00922151">
        <w:rPr>
          <w:rFonts w:ascii="Times New Roman" w:hAnsi="Times New Roman" w:cs="Times New Roman"/>
          <w:i/>
          <w:color w:val="auto"/>
          <w:sz w:val="24"/>
          <w:szCs w:val="24"/>
          <w:lang w:eastAsia="en-US"/>
        </w:rPr>
        <w:t>Understanding equality.</w:t>
      </w:r>
      <w:r w:rsidRPr="00922151">
        <w:rPr>
          <w:rFonts w:ascii="Times New Roman" w:hAnsi="Times New Roman" w:cs="Times New Roman"/>
          <w:color w:val="auto"/>
          <w:sz w:val="24"/>
          <w:szCs w:val="24"/>
          <w:lang w:eastAsia="en-US"/>
        </w:rPr>
        <w:t xml:space="preserve"> [Online] Available at: https://www.equalityhumanrights.com/en/secondary-education-resources/useful-information/understanding-equality [Accessed 16/5/2021].</w:t>
      </w:r>
    </w:p>
    <w:p w14:paraId="3F7EA98F" w14:textId="77777777" w:rsidR="00922151" w:rsidRPr="00922151" w:rsidRDefault="00922151" w:rsidP="00922151">
      <w:pPr>
        <w:overflowPunct/>
        <w:autoSpaceDE/>
        <w:autoSpaceDN/>
        <w:adjustRightInd/>
        <w:spacing w:line="480" w:lineRule="auto"/>
        <w:ind w:left="720" w:hanging="720"/>
        <w:textAlignment w:val="auto"/>
        <w:rPr>
          <w:rFonts w:ascii="Times New Roman" w:hAnsi="Times New Roman" w:cs="Times New Roman"/>
          <w:color w:val="auto"/>
          <w:sz w:val="24"/>
          <w:szCs w:val="24"/>
          <w:u w:val="single"/>
          <w:lang w:eastAsia="en-US"/>
        </w:rPr>
      </w:pPr>
      <w:r w:rsidRPr="00922151">
        <w:rPr>
          <w:rFonts w:ascii="Times New Roman" w:hAnsi="Times New Roman" w:cs="Times New Roman"/>
          <w:color w:val="auto"/>
          <w:sz w:val="24"/>
          <w:szCs w:val="24"/>
          <w:shd w:val="clear" w:color="auto" w:fill="FFFFFF"/>
          <w:lang w:eastAsia="en-US"/>
        </w:rPr>
        <w:t xml:space="preserve">Mulderrig, J., 2015. </w:t>
      </w:r>
      <w:r w:rsidRPr="00922151">
        <w:rPr>
          <w:rFonts w:ascii="Times New Roman" w:hAnsi="Times New Roman" w:cs="Times New Roman"/>
          <w:i/>
          <w:color w:val="auto"/>
          <w:sz w:val="24"/>
          <w:szCs w:val="24"/>
          <w:shd w:val="clear" w:color="auto" w:fill="FFFFFF"/>
          <w:lang w:eastAsia="en-US"/>
        </w:rPr>
        <w:t>Equality and human rights: key concepts and issues.</w:t>
      </w:r>
      <w:r w:rsidRPr="00922151">
        <w:rPr>
          <w:rFonts w:ascii="Times New Roman" w:hAnsi="Times New Roman" w:cs="Times New Roman"/>
          <w:color w:val="auto"/>
          <w:sz w:val="24"/>
          <w:szCs w:val="24"/>
          <w:shd w:val="clear" w:color="auto" w:fill="FFFFFF"/>
          <w:lang w:eastAsia="en-US"/>
        </w:rPr>
        <w:t xml:space="preserve"> </w:t>
      </w:r>
      <w:r w:rsidRPr="00922151">
        <w:rPr>
          <w:rFonts w:ascii="Times New Roman" w:hAnsi="Times New Roman" w:cs="Times New Roman"/>
          <w:color w:val="auto"/>
          <w:sz w:val="24"/>
          <w:szCs w:val="24"/>
          <w:lang w:eastAsia="en-US"/>
        </w:rPr>
        <w:t xml:space="preserve">[Online] Available at: </w:t>
      </w:r>
      <w:r w:rsidRPr="00922151">
        <w:rPr>
          <w:rFonts w:ascii="Times New Roman" w:hAnsi="Times New Roman" w:cs="Times New Roman"/>
          <w:color w:val="auto"/>
          <w:sz w:val="24"/>
          <w:szCs w:val="24"/>
          <w:shd w:val="clear" w:color="auto" w:fill="FFFFFF"/>
          <w:lang w:eastAsia="en-US"/>
        </w:rPr>
        <w:t xml:space="preserve">http://www.docs.hss.ed.ac.uk/education/creid/Projects/15iv_SFC_WP1_Equality_jm.pdf </w:t>
      </w:r>
      <w:r w:rsidRPr="00922151">
        <w:rPr>
          <w:rFonts w:ascii="Times New Roman" w:hAnsi="Times New Roman" w:cs="Times New Roman"/>
          <w:color w:val="auto"/>
          <w:sz w:val="24"/>
          <w:szCs w:val="24"/>
          <w:lang w:eastAsia="en-US"/>
        </w:rPr>
        <w:t>[Accessed 16/5/2021].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C124865"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The evolution of technology in the contemporary world has allowed for more interaction and increased communication in various sectors. One of the sectors that has greatly benefited from technology is criminology, specifically the use of digital technology. With the advancements in technology, criminals devised new methods to use it to commit crime. Digital technology in criminal justice created a platform meant to apprehend, arrest, and prosecute cybercriminals who engage in digital abuse. Digital abuse can devastate victims and the anonymity walls used by cybercriminals often embolden perpetrators, which compounds the damage and keeps justice from being carried out. However, understanding the salient processes of digital crime and justice provides the key to reducing any damages of digital abuse and brining the perpetrators to justice. A detailed analysis of an incident involving digital technology elaborates and reflects on how I provided an appropriate response to the case. </w:t>
      </w:r>
    </w:p>
    <w:p w14:paraId="5470171E"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I attended to a call from a male individual who was experiencing digital abuse from female criminal over social media. In the process of communication, the male individual, who in this case was the victim, has been caught exposed on a web-camera by the offender. The latter was engaging in acts of extortion and manipulation, which is a common cyber practice in the virtual world. Extortion is a conventional crime and according to research, </w:t>
      </w:r>
      <w:r w:rsidRPr="006F7FC8">
        <w:rPr>
          <w:rFonts w:ascii="Times New Roman" w:hAnsi="Times New Roman" w:cs="Times New Roman"/>
          <w:color w:val="auto"/>
          <w:sz w:val="24"/>
          <w:szCs w:val="24"/>
          <w:lang w:eastAsia="en-US"/>
        </w:rPr>
        <w:lastRenderedPageBreak/>
        <w:t xml:space="preserve">many conventional crimes are now being aided, abetted or enhanced through the use of internet and technology because of the additional advantages technology devices and information systems offer to perpetrators (Witwer et al., 2020). Essentially, the number of new technologies, especially computers and webcams, has increased the opportunities for criminal activity. </w:t>
      </w:r>
    </w:p>
    <w:p w14:paraId="6B33BE3A"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In the incident, the offender was recording the male using the webcam on his computer and then immediately shut down the conversation and then sent the recorded videos back to the male victim demanding for money. The demand for money was followed by threats that if the victim did not pay up, the videos would be posted online. Such incidents of extortion often devastate the victims, creating anxiety and fear. Such form of extortion is referred to as ‘sextortion’ in criminal law, which occurs when a perpetrator threatens to release or expose illicit images and video unless the victim sends them a ransom (Witwer et al., 2020). The ransom required is often in terms of money, favours or actions that benefit the perpetrator. Sexual extortion is a rising cybercrime in the contemporary world because of the increased use of technological devices and large of number of interactions through social media platforms (Goldman and Jin, 2017). The interactions involve people known and often times unknown to the victims. </w:t>
      </w:r>
    </w:p>
    <w:p w14:paraId="3B15993A"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In this incident, the victim was well known to the perpetrator. Sexual extortion can take different formats and gets prosecuted under a number of different statuses (Witwer et al., 2020). Cybercrime is a growing global problem and no country has managed to effectively devise ways to control the crime. The statistics about sexual extortion as a cybercrime are normally not a true reflection of the numbers of crime committed because the information appears long after the crime has occurred (Savona and Zanella, 2015). Therefore, by the time data on sexual extortion is being published, more sexual extortion and cybercrimes have already been committed. Additionally, some of the skilled perpetrators of sexual extortion are </w:t>
      </w:r>
      <w:r w:rsidRPr="006F7FC8">
        <w:rPr>
          <w:rFonts w:ascii="Times New Roman" w:hAnsi="Times New Roman" w:cs="Times New Roman"/>
          <w:color w:val="auto"/>
          <w:sz w:val="24"/>
          <w:szCs w:val="24"/>
          <w:lang w:eastAsia="en-US"/>
        </w:rPr>
        <w:lastRenderedPageBreak/>
        <w:t xml:space="preserve">never detected, which complicates the entire process of fighting cybercrime. The fact that the videos were sent back to the male victim signify motivation and intention to cause harm by the perpetrator. </w:t>
      </w:r>
    </w:p>
    <w:p w14:paraId="46A41E1C"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The victim was known by the perpetrator and this gave the latter an advantage in engaging in sexual extortion, exploitation and manipulation of the victim. Anonymity of the internet mediates inhibition of delinquent behaviour, which includes manipulation and bullying (Norden, 2013). In this context, the use of threats was clear and the perpetrator had a goal to achieve because the communication was continuous. The threats amounted to enough probable cause to carry out an investigation on the issue and I immediately tried to ascertain the details of the situation. The male victim has little knowledge about the person he was speaking to. The best approach in such a scenario was to obtain all relevant information, including the email address, which was important in the forensic exercise. The role of technology in law enforcement is to detect, monitor and position systems to allow investigations and forensic exercises to be more proactive (Witwer et al., 2020). Tracing the email address was part of the monitoring systems and was significant in ensuring a more thorough and accurate report when investigating the issue. </w:t>
      </w:r>
    </w:p>
    <w:p w14:paraId="2124026C"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After obtaining the email address and using it to run a charter application in an attempt to track down the perpetrator, the name of an ex-partner who had previously assaulted the male victim came up. The use of big data, predictive analytics and machine learning made it easy to identify anonymous faces behind cybercrimes and sexual extortions (Patchin and Hinduja, 2018). The application of big data in preventing crime has proven to offer outstanding results because of the ability of the technology to provide real-time data analysis (Vassilakos, Gottlieb and Dawson, 2019). The analysis increases the effectiveness of policing and law enforcement (Witwer et al., 2020). I immediately seized the phones of both </w:t>
      </w:r>
      <w:r w:rsidRPr="006F7FC8">
        <w:rPr>
          <w:rFonts w:ascii="Times New Roman" w:hAnsi="Times New Roman" w:cs="Times New Roman"/>
          <w:color w:val="auto"/>
          <w:sz w:val="24"/>
          <w:szCs w:val="24"/>
          <w:lang w:eastAsia="en-US"/>
        </w:rPr>
        <w:lastRenderedPageBreak/>
        <w:t xml:space="preserve">the victim and the ex-partner, where the latter was not considered a suspect to a possible cybercrime of sexual extortion. </w:t>
      </w:r>
    </w:p>
    <w:p w14:paraId="7D7DB270"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The forensic analysis of the two phones confirmed the ex-partner to be the perpetrator of sexual extortion cybercrime who was motivated by the assault incident on the victim. The objective of the sextortion cybercrime was for the male victim to drop the assault complaint he had filed with the police service. Most sexual extortion crimes are motivated by the perpetrator wanting sexual favours from the victim, bullying, manipulation or monetary exploitation (Chen, Wang and Lang, 2020). Research shows that sexual extortionists, like other perpetrators of sex crimes, often appear to be prolific repeat offenders. The experience of the perpetrator in this context, although female, may not have been the first and the fact that the victim was male had an effect on her judgment on seeking revenge for the assault charges against her. With the prevalence of social media and the high level of connectedness in social media use by law enforcement, sexual extortion schemes have become more common (Patchin and Hinduja, 2018) However, there were now two separate offences emerging form the incident, sextortion and intimidation of a victim which calls for judgment of the two incidents as independent charges that attract different levels of punishment. </w:t>
      </w:r>
    </w:p>
    <w:p w14:paraId="5A335E49"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In my opinion, such incidents can victimise any person regardless of the situation or circumstances. With the use of technology increasing each day and more people using social media platforms to communicate and interact, these types of offences become increasingly more common and can be used against anyone. Young people are more susceptible to such crimes because of their naivety and vulnerability. Additionally, in their young age, they are brave, explorative and trusting. Therefore, any sexual exploitation will make them fear the shame and repercussions of their sexual activities being posted online if they do not conform to the demands of the perpetrator. However, with the advanced technology used in policing, the cybercrime of sexual extortion is experiencing decline although at a slower rate. The </w:t>
      </w:r>
      <w:r w:rsidRPr="006F7FC8">
        <w:rPr>
          <w:rFonts w:ascii="Times New Roman" w:hAnsi="Times New Roman" w:cs="Times New Roman"/>
          <w:color w:val="auto"/>
          <w:sz w:val="24"/>
          <w:szCs w:val="24"/>
          <w:lang w:eastAsia="en-US"/>
        </w:rPr>
        <w:lastRenderedPageBreak/>
        <w:t xml:space="preserve">criminal justice service also plays a significant role in prosecuting offenders and enforcing the law on sexual extortion.  </w:t>
      </w:r>
    </w:p>
    <w:p w14:paraId="7FB4EA10"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p>
    <w:p w14:paraId="5A8455F5" w14:textId="77777777" w:rsidR="006F7FC8" w:rsidRPr="006F7FC8" w:rsidRDefault="006F7FC8" w:rsidP="006F7FC8">
      <w:pPr>
        <w:overflowPunct/>
        <w:autoSpaceDE/>
        <w:autoSpaceDN/>
        <w:adjustRightInd/>
        <w:spacing w:line="480" w:lineRule="auto"/>
        <w:ind w:firstLine="720"/>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Word count 1348</w:t>
      </w:r>
    </w:p>
    <w:p w14:paraId="21E27272" w14:textId="77777777" w:rsidR="006F7FC8" w:rsidRPr="006F7FC8" w:rsidRDefault="006F7FC8" w:rsidP="006F7FC8">
      <w:pPr>
        <w:overflowPunct/>
        <w:autoSpaceDE/>
        <w:autoSpaceDN/>
        <w:adjustRightInd/>
        <w:spacing w:line="480" w:lineRule="auto"/>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br w:type="page"/>
      </w:r>
    </w:p>
    <w:p w14:paraId="074D3C1C" w14:textId="77777777" w:rsidR="006F7FC8" w:rsidRPr="006F7FC8" w:rsidRDefault="006F7FC8" w:rsidP="006F7FC8">
      <w:pPr>
        <w:overflowPunct/>
        <w:autoSpaceDE/>
        <w:autoSpaceDN/>
        <w:adjustRightInd/>
        <w:spacing w:line="480" w:lineRule="auto"/>
        <w:jc w:val="center"/>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lastRenderedPageBreak/>
        <w:t xml:space="preserve">References </w:t>
      </w:r>
    </w:p>
    <w:p w14:paraId="3907B698"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Chen, K.-Y., Wang, J., and Lang, Y., 2019. Coping with digital extortion: an experimental study on directive incentive and social norms. </w:t>
      </w:r>
      <w:r w:rsidRPr="006F7FC8">
        <w:rPr>
          <w:rFonts w:ascii="Times New Roman" w:hAnsi="Times New Roman" w:cs="Times New Roman"/>
          <w:i/>
          <w:iCs/>
          <w:color w:val="auto"/>
          <w:sz w:val="24"/>
          <w:szCs w:val="24"/>
          <w:lang w:eastAsia="en-US"/>
        </w:rPr>
        <w:t>SSRN Electronic Journal</w:t>
      </w:r>
      <w:r w:rsidRPr="006F7FC8">
        <w:rPr>
          <w:rFonts w:ascii="Times New Roman" w:hAnsi="Times New Roman" w:cs="Times New Roman"/>
          <w:color w:val="auto"/>
          <w:sz w:val="24"/>
          <w:szCs w:val="24"/>
          <w:lang w:eastAsia="en-US"/>
        </w:rPr>
        <w:t xml:space="preserve">. https://doi.org/10.2139/ssrn.3423200 </w:t>
      </w:r>
    </w:p>
    <w:p w14:paraId="77F4B670"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Goldman, E., and Jin, A., 2017, Judicial resolution of nonconsensual pornography dissemination cases. </w:t>
      </w:r>
      <w:r w:rsidRPr="006F7FC8">
        <w:rPr>
          <w:rFonts w:ascii="Times New Roman" w:hAnsi="Times New Roman" w:cs="Times New Roman"/>
          <w:i/>
          <w:iCs/>
          <w:color w:val="auto"/>
          <w:sz w:val="24"/>
          <w:szCs w:val="24"/>
          <w:lang w:eastAsia="en-US"/>
        </w:rPr>
        <w:t>SSRN Electronic Journal</w:t>
      </w:r>
      <w:r w:rsidRPr="006F7FC8">
        <w:rPr>
          <w:rFonts w:ascii="Times New Roman" w:hAnsi="Times New Roman" w:cs="Times New Roman"/>
          <w:color w:val="auto"/>
          <w:sz w:val="24"/>
          <w:szCs w:val="24"/>
          <w:lang w:eastAsia="en-US"/>
        </w:rPr>
        <w:t xml:space="preserve">. https://doi.org/10.2139/ssrn.2953747 </w:t>
      </w:r>
    </w:p>
    <w:p w14:paraId="0207E2FF"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Norden, S., 2013, December. </w:t>
      </w:r>
      <w:r w:rsidRPr="006F7FC8">
        <w:rPr>
          <w:rFonts w:ascii="Times New Roman" w:hAnsi="Times New Roman" w:cs="Times New Roman"/>
          <w:i/>
          <w:iCs/>
          <w:color w:val="auto"/>
          <w:sz w:val="24"/>
          <w:szCs w:val="24"/>
          <w:lang w:eastAsia="en-US"/>
        </w:rPr>
        <w:t>How the Internet has changed the face of crime</w:t>
      </w:r>
      <w:r w:rsidRPr="006F7FC8">
        <w:rPr>
          <w:rFonts w:ascii="Times New Roman" w:hAnsi="Times New Roman" w:cs="Times New Roman"/>
          <w:color w:val="auto"/>
          <w:sz w:val="24"/>
          <w:szCs w:val="24"/>
          <w:lang w:eastAsia="en-US"/>
        </w:rPr>
        <w:t xml:space="preserve">. [online] Florida Gulf Coast University. Available at: </w:t>
      </w:r>
      <w:hyperlink r:id="rId22" w:history="1">
        <w:r w:rsidRPr="006F7FC8">
          <w:rPr>
            <w:rFonts w:ascii="Times New Roman" w:hAnsi="Times New Roman" w:cs="Times New Roman"/>
            <w:color w:val="0563C1"/>
            <w:sz w:val="24"/>
            <w:szCs w:val="24"/>
            <w:u w:val="single"/>
            <w:lang w:eastAsia="en-US"/>
          </w:rPr>
          <w:t>https://fgcu.digital.flvc.org/islandora/object/fgcu%3A21423/datastream/OBJ/download/How_the_Internet_has_Changed_the_Face_of_Crime_.pdf</w:t>
        </w:r>
      </w:hyperlink>
      <w:r w:rsidRPr="006F7FC8">
        <w:rPr>
          <w:rFonts w:ascii="Times New Roman" w:hAnsi="Times New Roman" w:cs="Times New Roman"/>
          <w:color w:val="auto"/>
          <w:sz w:val="24"/>
          <w:szCs w:val="24"/>
          <w:lang w:eastAsia="en-US"/>
        </w:rPr>
        <w:t xml:space="preserve"> [Accessed May 28, 2021]. </w:t>
      </w:r>
    </w:p>
    <w:p w14:paraId="039C114E"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Patchin, J. W., and Hinduja, S., 2018, Sextortion among adolescents: results from a national survey of U.S. Youth. </w:t>
      </w:r>
      <w:r w:rsidRPr="006F7FC8">
        <w:rPr>
          <w:rFonts w:ascii="Times New Roman" w:hAnsi="Times New Roman" w:cs="Times New Roman"/>
          <w:i/>
          <w:iCs/>
          <w:color w:val="auto"/>
          <w:sz w:val="24"/>
          <w:szCs w:val="24"/>
          <w:lang w:eastAsia="en-US"/>
        </w:rPr>
        <w:t>Sexual Abuse</w:t>
      </w:r>
      <w:r w:rsidRPr="006F7FC8">
        <w:rPr>
          <w:rFonts w:ascii="Times New Roman" w:hAnsi="Times New Roman" w:cs="Times New Roman"/>
          <w:color w:val="auto"/>
          <w:sz w:val="24"/>
          <w:szCs w:val="24"/>
          <w:lang w:eastAsia="en-US"/>
        </w:rPr>
        <w:t xml:space="preserve">, </w:t>
      </w:r>
      <w:r w:rsidRPr="006F7FC8">
        <w:rPr>
          <w:rFonts w:ascii="Times New Roman" w:hAnsi="Times New Roman" w:cs="Times New Roman"/>
          <w:b/>
          <w:iCs/>
          <w:color w:val="auto"/>
          <w:sz w:val="24"/>
          <w:szCs w:val="24"/>
          <w:lang w:eastAsia="en-US"/>
        </w:rPr>
        <w:t>32</w:t>
      </w:r>
      <w:r w:rsidRPr="006F7FC8">
        <w:rPr>
          <w:rFonts w:ascii="Times New Roman" w:hAnsi="Times New Roman" w:cs="Times New Roman"/>
          <w:color w:val="auto"/>
          <w:sz w:val="24"/>
          <w:szCs w:val="24"/>
          <w:lang w:eastAsia="en-US"/>
        </w:rPr>
        <w:t xml:space="preserve">(1), pp.30–54. https://doi.org/10.1177/1079063218800469 </w:t>
      </w:r>
    </w:p>
    <w:p w14:paraId="15508773"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Savona, E. U., and Zanella, M., 2017. Extortion and organized crime. In </w:t>
      </w:r>
      <w:r w:rsidRPr="006F7FC8">
        <w:rPr>
          <w:rFonts w:ascii="Times New Roman" w:hAnsi="Times New Roman" w:cs="Times New Roman"/>
          <w:i/>
          <w:iCs/>
          <w:color w:val="auto"/>
          <w:sz w:val="24"/>
          <w:szCs w:val="24"/>
          <w:lang w:eastAsia="en-US"/>
        </w:rPr>
        <w:t>International crime and justice</w:t>
      </w:r>
      <w:r w:rsidRPr="006F7FC8">
        <w:rPr>
          <w:rFonts w:ascii="Times New Roman" w:hAnsi="Times New Roman" w:cs="Times New Roman"/>
          <w:color w:val="auto"/>
          <w:sz w:val="24"/>
          <w:szCs w:val="24"/>
          <w:lang w:eastAsia="en-US"/>
        </w:rPr>
        <w:t xml:space="preserve">, pp.261–267. Cambridge: Cambridge University Press. https://DOI.org/10.1017/cbo9780511762116.041 </w:t>
      </w:r>
    </w:p>
    <w:p w14:paraId="4D691465"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Vassilakos, A., Gottlieb M. and Dawson, M., 2019. Towards crime prevention using big data analytics: a literature review with an explorative case study. </w:t>
      </w:r>
      <w:r w:rsidRPr="006F7FC8">
        <w:rPr>
          <w:rFonts w:ascii="Times New Roman" w:hAnsi="Times New Roman" w:cs="Times New Roman"/>
          <w:i/>
          <w:color w:val="auto"/>
          <w:sz w:val="24"/>
          <w:szCs w:val="24"/>
          <w:lang w:eastAsia="en-US"/>
        </w:rPr>
        <w:t>2019 Midwest Association for Information Systems Conference</w:t>
      </w:r>
      <w:r w:rsidRPr="006F7FC8">
        <w:rPr>
          <w:rFonts w:ascii="Times New Roman" w:hAnsi="Times New Roman" w:cs="Times New Roman"/>
          <w:color w:val="auto"/>
          <w:sz w:val="24"/>
          <w:szCs w:val="24"/>
          <w:lang w:eastAsia="en-US"/>
        </w:rPr>
        <w:t xml:space="preserve">, Oshkosh, Wisconsin, May 21-22, 2019.  </w:t>
      </w:r>
    </w:p>
    <w:p w14:paraId="5340382D" w14:textId="77777777" w:rsidR="006F7FC8" w:rsidRPr="006F7FC8" w:rsidRDefault="006F7FC8" w:rsidP="006F7FC8">
      <w:pPr>
        <w:overflowPunct/>
        <w:autoSpaceDE/>
        <w:autoSpaceDN/>
        <w:adjustRightInd/>
        <w:spacing w:line="480" w:lineRule="auto"/>
        <w:ind w:left="567" w:hanging="567"/>
        <w:textAlignment w:val="auto"/>
        <w:rPr>
          <w:rFonts w:ascii="Times New Roman" w:hAnsi="Times New Roman" w:cs="Times New Roman"/>
          <w:color w:val="auto"/>
          <w:sz w:val="24"/>
          <w:szCs w:val="24"/>
          <w:lang w:eastAsia="en-US"/>
        </w:rPr>
      </w:pPr>
      <w:r w:rsidRPr="006F7FC8">
        <w:rPr>
          <w:rFonts w:ascii="Times New Roman" w:hAnsi="Times New Roman" w:cs="Times New Roman"/>
          <w:color w:val="auto"/>
          <w:sz w:val="24"/>
          <w:szCs w:val="24"/>
          <w:lang w:eastAsia="en-US"/>
        </w:rPr>
        <w:t xml:space="preserve">Witwer, A., Langton, L., Vermeer, M., Banks, D., Woods, D., and Jackson, B., 2020. </w:t>
      </w:r>
      <w:r w:rsidRPr="006F7FC8">
        <w:rPr>
          <w:rFonts w:ascii="Times New Roman" w:hAnsi="Times New Roman" w:cs="Times New Roman"/>
          <w:i/>
          <w:color w:val="auto"/>
          <w:sz w:val="24"/>
          <w:szCs w:val="24"/>
          <w:lang w:eastAsia="en-US"/>
        </w:rPr>
        <w:t>Countering technology-facilitated abuse: criminal justice strategies for combating nonconsensual pornography, sextortion, doxing, and swatting.</w:t>
      </w:r>
      <w:r w:rsidRPr="006F7FC8">
        <w:rPr>
          <w:rFonts w:ascii="Times New Roman" w:hAnsi="Times New Roman" w:cs="Times New Roman"/>
          <w:color w:val="auto"/>
          <w:sz w:val="24"/>
          <w:szCs w:val="24"/>
          <w:lang w:eastAsia="en-US"/>
        </w:rPr>
        <w:t xml:space="preserve"> RAND Corporation, research report RR-A108-3. https://DOI.org/10.7249/rra108-3 </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F0635C">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F0635C">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201C2B" w14:textId="6F9F73CF" w:rsidR="00F0635C" w:rsidRDefault="00D03F28" w:rsidP="00D03F28">
    <w:pPr>
      <w:pStyle w:val="Footer"/>
      <w:rPr>
        <w:sz w:val="17"/>
      </w:rPr>
    </w:pPr>
    <w:bookmarkStart w:id="2" w:name="TITUS1FooterEvenPages"/>
    <w:r>
      <w:rPr>
        <w:sz w:val="17"/>
      </w:rPr>
      <w:t> </w:t>
    </w:r>
  </w:p>
  <w:bookmarkEnd w:id="2"/>
  <w:p w14:paraId="4C2026D1" w14:textId="592E0E48" w:rsidR="00F0635C" w:rsidRDefault="00F0635C" w:rsidP="00F0635C">
    <w:pPr>
      <w:pStyle w:val="Footer"/>
      <w:jc w:val="right"/>
    </w:pPr>
    <w:r>
      <w:fldChar w:fldCharType="begin"/>
    </w:r>
    <w:r>
      <w:instrText xml:space="preserve"> PAGE   \* MERGEFORMAT </w:instrText>
    </w:r>
    <w:r>
      <w:fldChar w:fldCharType="separate"/>
    </w:r>
    <w:r w:rsidR="00D03F28">
      <w:rPr>
        <w:noProof/>
      </w:rPr>
      <w:t>12</w:t>
    </w:r>
    <w:r>
      <w:rPr>
        <w:noProof/>
      </w:rPr>
      <w:fldChar w:fldCharType="end"/>
    </w:r>
  </w:p>
  <w:p w14:paraId="087DF739" w14:textId="77777777" w:rsidR="00F0635C" w:rsidRPr="00BB5EAA" w:rsidRDefault="00F0635C" w:rsidP="00F0635C">
    <w:pPr>
      <w:pStyle w:val="Footer"/>
      <w:ind w:right="360"/>
      <w:jc w:val="center"/>
    </w:pPr>
  </w:p>
  <w:p w14:paraId="0576EEAE" w14:textId="77777777" w:rsidR="00F0635C" w:rsidRDefault="00F063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973892" w14:textId="455D2340" w:rsidR="00F0635C" w:rsidRDefault="00D03F28" w:rsidP="00D03F28">
    <w:pPr>
      <w:pStyle w:val="Footer"/>
      <w:rPr>
        <w:sz w:val="17"/>
      </w:rPr>
    </w:pPr>
    <w:bookmarkStart w:id="3" w:name="TITUS1FooterPrimary"/>
    <w:r>
      <w:rPr>
        <w:sz w:val="17"/>
      </w:rPr>
      <w:t> </w:t>
    </w:r>
  </w:p>
  <w:bookmarkEnd w:id="3"/>
  <w:p w14:paraId="50521BFA" w14:textId="6A9142A5" w:rsidR="00F6513F" w:rsidRDefault="00F6513F">
    <w:pPr>
      <w:pStyle w:val="Footer"/>
      <w:jc w:val="right"/>
    </w:pPr>
    <w:r>
      <w:fldChar w:fldCharType="begin"/>
    </w:r>
    <w:r>
      <w:instrText xml:space="preserve"> PAGE   \* MERGEFORMAT </w:instrText>
    </w:r>
    <w:r>
      <w:fldChar w:fldCharType="separate"/>
    </w:r>
    <w:r w:rsidR="00D03F28">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FEB5B" w14:textId="2B4180EE" w:rsidR="00F0635C" w:rsidRDefault="00D03F28" w:rsidP="00D03F28">
    <w:pPr>
      <w:pStyle w:val="Footer"/>
      <w:rPr>
        <w:sz w:val="17"/>
      </w:rPr>
    </w:pPr>
    <w:bookmarkStart w:id="5" w:name="TITUS1FooterFirstPage"/>
    <w:r>
      <w:rPr>
        <w:sz w:val="17"/>
      </w:rPr>
      <w:t> </w:t>
    </w:r>
  </w:p>
  <w:bookmarkEnd w:id="5"/>
  <w:p w14:paraId="0FD31129" w14:textId="4CC9262C" w:rsidR="00F0635C" w:rsidRDefault="00F0635C" w:rsidP="00F0635C">
    <w:pPr>
      <w:pStyle w:val="Footer"/>
      <w:jc w:val="right"/>
    </w:pPr>
    <w:r>
      <w:fldChar w:fldCharType="begin"/>
    </w:r>
    <w:r>
      <w:instrText xml:space="preserve"> PAGE   \* MERGEFORMAT </w:instrText>
    </w:r>
    <w:r>
      <w:fldChar w:fldCharType="separate"/>
    </w:r>
    <w:r w:rsidR="00D03F28">
      <w:rPr>
        <w:noProof/>
      </w:rPr>
      <w:t>1</w:t>
    </w:r>
    <w:r>
      <w:rPr>
        <w:noProof/>
      </w:rPr>
      <w:fldChar w:fldCharType="end"/>
    </w:r>
  </w:p>
  <w:p w14:paraId="2F45F9D5" w14:textId="77777777" w:rsidR="00F0635C" w:rsidRPr="00BB5EAA" w:rsidRDefault="00F0635C" w:rsidP="00F0635C">
    <w:pPr>
      <w:pStyle w:val="Footer"/>
      <w:ind w:right="360"/>
      <w:jc w:val="center"/>
    </w:pPr>
  </w:p>
  <w:p w14:paraId="3D535ADB" w14:textId="77777777" w:rsidR="00F0635C" w:rsidRDefault="00F063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D34B4" w14:textId="03242B9D" w:rsidR="00F0635C" w:rsidRDefault="00D03F28" w:rsidP="00D03F28">
    <w:pPr>
      <w:pStyle w:val="Footer"/>
      <w:rPr>
        <w:sz w:val="17"/>
      </w:rPr>
    </w:pPr>
    <w:bookmarkStart w:id="9" w:name="TITUS2FooterEvenPages"/>
    <w:r>
      <w:rPr>
        <w:sz w:val="17"/>
      </w:rPr>
      <w:t> </w:t>
    </w:r>
  </w:p>
  <w:bookmarkEnd w:id="9"/>
  <w:p w14:paraId="3B2A500E" w14:textId="77777777" w:rsidR="00F0635C" w:rsidRDefault="00F0635C" w:rsidP="00F0635C">
    <w:pPr>
      <w:pStyle w:val="Footer"/>
      <w:jc w:val="right"/>
    </w:pPr>
  </w:p>
  <w:p w14:paraId="057B9717" w14:textId="38451DCA" w:rsidR="00F0635C" w:rsidRDefault="00F0635C" w:rsidP="00F0635C">
    <w:pPr>
      <w:pStyle w:val="Footer"/>
      <w:jc w:val="right"/>
    </w:pPr>
    <w:r>
      <w:fldChar w:fldCharType="begin"/>
    </w:r>
    <w:r>
      <w:instrText xml:space="preserve"> PAGE   \* MERGEFORMAT </w:instrText>
    </w:r>
    <w:r>
      <w:fldChar w:fldCharType="separate"/>
    </w:r>
    <w:r w:rsidR="00D03F28">
      <w:rPr>
        <w:noProof/>
      </w:rPr>
      <w:t>16</w:t>
    </w:r>
    <w:r>
      <w:rPr>
        <w:noProof/>
      </w:rPr>
      <w:fldChar w:fldCharType="end"/>
    </w:r>
  </w:p>
  <w:p w14:paraId="715FFB95" w14:textId="77777777" w:rsidR="00F0635C" w:rsidRPr="00BB5EAA" w:rsidRDefault="00F0635C" w:rsidP="00F0635C">
    <w:pPr>
      <w:pStyle w:val="Footer"/>
      <w:ind w:right="360"/>
      <w:jc w:val="center"/>
    </w:pPr>
  </w:p>
  <w:p w14:paraId="0A43861B" w14:textId="77777777" w:rsidR="00F0635C" w:rsidRDefault="00F0635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61A3E9" w14:textId="25D88B40" w:rsidR="00F0635C" w:rsidRDefault="00D03F28" w:rsidP="00D03F28">
    <w:pPr>
      <w:pStyle w:val="Footer"/>
      <w:rPr>
        <w:sz w:val="17"/>
      </w:rPr>
    </w:pPr>
    <w:bookmarkStart w:id="10" w:name="TITUS2FooterPrimary"/>
    <w:r>
      <w:rPr>
        <w:sz w:val="17"/>
      </w:rPr>
      <w:t> </w:t>
    </w:r>
  </w:p>
  <w:bookmarkEnd w:id="10"/>
  <w:p w14:paraId="53E2EBC7" w14:textId="77777777" w:rsidR="00F0635C" w:rsidRDefault="00F0635C">
    <w:pPr>
      <w:pStyle w:val="Footer"/>
      <w:jc w:val="right"/>
    </w:pPr>
  </w:p>
  <w:p w14:paraId="06DA1064" w14:textId="3F5C8487" w:rsidR="00F0635C" w:rsidRDefault="00F0635C">
    <w:pPr>
      <w:pStyle w:val="Footer"/>
      <w:jc w:val="right"/>
    </w:pPr>
    <w:r>
      <w:fldChar w:fldCharType="begin"/>
    </w:r>
    <w:r>
      <w:instrText xml:space="preserve"> PAGE   \* MERGEFORMAT </w:instrText>
    </w:r>
    <w:r>
      <w:fldChar w:fldCharType="separate"/>
    </w:r>
    <w:r w:rsidR="00D03F28">
      <w:rPr>
        <w:noProof/>
      </w:rPr>
      <w:t>17</w:t>
    </w:r>
    <w:r>
      <w:rPr>
        <w:noProof/>
      </w:rPr>
      <w:fldChar w:fldCharType="end"/>
    </w:r>
  </w:p>
  <w:p w14:paraId="76B391A2" w14:textId="77777777" w:rsidR="00F0635C" w:rsidRPr="00BB5EAA" w:rsidRDefault="00F0635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980E5" w14:textId="1BE8BEAB" w:rsidR="00F0635C" w:rsidRDefault="00D03F28" w:rsidP="00D03F28">
    <w:pPr>
      <w:pStyle w:val="Footer"/>
      <w:rPr>
        <w:sz w:val="17"/>
      </w:rPr>
    </w:pPr>
    <w:bookmarkStart w:id="12" w:name="TITUS2FooterFirstPage"/>
    <w:r>
      <w:rPr>
        <w:sz w:val="17"/>
      </w:rPr>
      <w:t> </w:t>
    </w:r>
  </w:p>
  <w:bookmarkEnd w:id="12"/>
  <w:p w14:paraId="0A3D3F7A" w14:textId="77777777" w:rsidR="00F0635C" w:rsidRDefault="00F0635C" w:rsidP="00F0635C">
    <w:pPr>
      <w:pStyle w:val="Footer"/>
      <w:jc w:val="right"/>
    </w:pPr>
  </w:p>
  <w:p w14:paraId="4552D2AB" w14:textId="2EA71751" w:rsidR="00F0635C" w:rsidRDefault="00F0635C" w:rsidP="00F0635C">
    <w:pPr>
      <w:pStyle w:val="Footer"/>
      <w:jc w:val="right"/>
    </w:pPr>
    <w:r>
      <w:fldChar w:fldCharType="begin"/>
    </w:r>
    <w:r>
      <w:instrText xml:space="preserve"> PAGE   \* MERGEFORMAT </w:instrText>
    </w:r>
    <w:r>
      <w:fldChar w:fldCharType="separate"/>
    </w:r>
    <w:r w:rsidR="00D03F28">
      <w:rPr>
        <w:noProof/>
      </w:rPr>
      <w:t>13</w:t>
    </w:r>
    <w:r>
      <w:rPr>
        <w:noProof/>
      </w:rPr>
      <w:fldChar w:fldCharType="end"/>
    </w:r>
  </w:p>
  <w:p w14:paraId="1568BF2B" w14:textId="77777777" w:rsidR="00F0635C" w:rsidRPr="00BB5EAA" w:rsidRDefault="00F0635C" w:rsidP="00F0635C">
    <w:pPr>
      <w:pStyle w:val="Footer"/>
      <w:ind w:right="360"/>
      <w:jc w:val="center"/>
    </w:pPr>
  </w:p>
  <w:p w14:paraId="6622A4BD" w14:textId="77777777" w:rsidR="00F0635C" w:rsidRDefault="00F0635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9477B3" w14:textId="0920F744" w:rsidR="00F0635C" w:rsidRDefault="00D03F28" w:rsidP="00D03F28">
    <w:pPr>
      <w:pStyle w:val="Footer"/>
      <w:rPr>
        <w:sz w:val="17"/>
      </w:rPr>
    </w:pPr>
    <w:bookmarkStart w:id="15" w:name="TITUS3FooterEvenPages"/>
    <w:r>
      <w:rPr>
        <w:sz w:val="17"/>
      </w:rPr>
      <w:t> </w:t>
    </w:r>
  </w:p>
  <w:bookmarkEnd w:id="15"/>
  <w:p w14:paraId="1DE7445F" w14:textId="77777777" w:rsidR="00F0635C" w:rsidRDefault="00F0635C" w:rsidP="00F0635C">
    <w:pPr>
      <w:pStyle w:val="Footer"/>
      <w:jc w:val="right"/>
    </w:pPr>
  </w:p>
  <w:p w14:paraId="6CC0D7C1" w14:textId="77777777" w:rsidR="00F0635C" w:rsidRDefault="00F0635C" w:rsidP="00F0635C">
    <w:pPr>
      <w:pStyle w:val="Footer"/>
      <w:jc w:val="right"/>
    </w:pPr>
    <w:r>
      <w:fldChar w:fldCharType="begin"/>
    </w:r>
    <w:r>
      <w:instrText xml:space="preserve"> PAGE   \* MERGEFORMAT </w:instrText>
    </w:r>
    <w:r>
      <w:fldChar w:fldCharType="separate"/>
    </w:r>
    <w:r>
      <w:rPr>
        <w:noProof/>
      </w:rPr>
      <w:t>6</w:t>
    </w:r>
    <w:r>
      <w:rPr>
        <w:noProof/>
      </w:rPr>
      <w:fldChar w:fldCharType="end"/>
    </w:r>
  </w:p>
  <w:p w14:paraId="3D21FD20" w14:textId="77777777" w:rsidR="00F0635C" w:rsidRPr="00BB5EAA" w:rsidRDefault="00F0635C" w:rsidP="00F0635C">
    <w:pPr>
      <w:pStyle w:val="Footer"/>
      <w:ind w:right="360"/>
      <w:jc w:val="center"/>
    </w:pPr>
  </w:p>
  <w:p w14:paraId="5BF891C2" w14:textId="77777777" w:rsidR="00F0635C" w:rsidRDefault="00F0635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8DEDA3" w14:textId="585AF7A0" w:rsidR="00F0635C" w:rsidRDefault="00D03F28" w:rsidP="00D03F28">
    <w:pPr>
      <w:pStyle w:val="Footer"/>
      <w:rPr>
        <w:sz w:val="17"/>
      </w:rPr>
    </w:pPr>
    <w:bookmarkStart w:id="16" w:name="TITUS3FooterPrimary"/>
    <w:r>
      <w:rPr>
        <w:sz w:val="17"/>
      </w:rPr>
      <w:t> </w:t>
    </w:r>
  </w:p>
  <w:bookmarkEnd w:id="16"/>
  <w:p w14:paraId="64706CA5" w14:textId="77777777" w:rsidR="00F0635C" w:rsidRDefault="00F0635C">
    <w:pPr>
      <w:pStyle w:val="Footer"/>
      <w:jc w:val="right"/>
    </w:pPr>
  </w:p>
  <w:p w14:paraId="03E28D9D" w14:textId="77777777" w:rsidR="00F0635C" w:rsidRDefault="00F0635C">
    <w:pPr>
      <w:pStyle w:val="Footer"/>
      <w:jc w:val="right"/>
    </w:pPr>
    <w:r>
      <w:fldChar w:fldCharType="begin"/>
    </w:r>
    <w:r>
      <w:instrText xml:space="preserve"> PAGE   \* MERGEFORMAT </w:instrText>
    </w:r>
    <w:r>
      <w:fldChar w:fldCharType="separate"/>
    </w:r>
    <w:r>
      <w:rPr>
        <w:noProof/>
      </w:rPr>
      <w:t>5</w:t>
    </w:r>
    <w:r>
      <w:rPr>
        <w:noProof/>
      </w:rPr>
      <w:fldChar w:fldCharType="end"/>
    </w:r>
  </w:p>
  <w:p w14:paraId="255F7C34" w14:textId="77777777" w:rsidR="00F0635C" w:rsidRPr="00BB5EAA" w:rsidRDefault="00F0635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6DDBAB" w14:textId="540713A5" w:rsidR="00F0635C" w:rsidRDefault="00D03F28" w:rsidP="00D03F28">
    <w:pPr>
      <w:pStyle w:val="Footer"/>
      <w:rPr>
        <w:sz w:val="17"/>
      </w:rPr>
    </w:pPr>
    <w:bookmarkStart w:id="18" w:name="TITUS3FooterFirstPage"/>
    <w:r>
      <w:rPr>
        <w:sz w:val="17"/>
      </w:rPr>
      <w:t> </w:t>
    </w:r>
  </w:p>
  <w:bookmarkEnd w:id="18"/>
  <w:p w14:paraId="694BFAEA" w14:textId="77777777" w:rsidR="00F0635C" w:rsidRDefault="00F0635C" w:rsidP="00F0635C">
    <w:pPr>
      <w:pStyle w:val="Footer"/>
      <w:jc w:val="right"/>
    </w:pPr>
  </w:p>
  <w:p w14:paraId="0490F40F" w14:textId="0CE6C1B4" w:rsidR="00F0635C" w:rsidRDefault="00F0635C" w:rsidP="00F0635C">
    <w:pPr>
      <w:pStyle w:val="Footer"/>
      <w:jc w:val="right"/>
    </w:pPr>
    <w:r>
      <w:fldChar w:fldCharType="begin"/>
    </w:r>
    <w:r>
      <w:instrText xml:space="preserve"> PAGE   \* MERGEFORMAT </w:instrText>
    </w:r>
    <w:r>
      <w:fldChar w:fldCharType="separate"/>
    </w:r>
    <w:r w:rsidR="00D03F28">
      <w:rPr>
        <w:noProof/>
      </w:rPr>
      <w:t>38</w:t>
    </w:r>
    <w:r>
      <w:rPr>
        <w:noProof/>
      </w:rPr>
      <w:fldChar w:fldCharType="end"/>
    </w:r>
  </w:p>
  <w:p w14:paraId="47EF9B1F" w14:textId="77777777" w:rsidR="00F0635C" w:rsidRPr="00BB5EAA" w:rsidRDefault="00F0635C" w:rsidP="00F0635C">
    <w:pPr>
      <w:pStyle w:val="Footer"/>
      <w:ind w:right="360"/>
      <w:jc w:val="center"/>
    </w:pPr>
  </w:p>
  <w:p w14:paraId="04FA1337" w14:textId="77777777" w:rsidR="00F0635C" w:rsidRDefault="00F06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92E95" w14:textId="66CE90D5" w:rsidR="00DA5A89" w:rsidRDefault="00D03F28" w:rsidP="00D03F28">
    <w:pPr>
      <w:pStyle w:val="Header"/>
      <w:rPr>
        <w:sz w:val="17"/>
      </w:rPr>
    </w:pPr>
    <w:bookmarkStart w:id="0" w:name="TITUS1HeaderEvenPages"/>
    <w:r>
      <w:rPr>
        <w:sz w:val="17"/>
      </w:rPr>
      <w:t> </w:t>
    </w:r>
  </w:p>
  <w:bookmarkEnd w:id="0"/>
  <w:p w14:paraId="146037B4" w14:textId="77777777" w:rsidR="00DA5A89" w:rsidRDefault="00DA5A89" w:rsidP="00DA5A89">
    <w:pPr>
      <w:pStyle w:val="Header"/>
    </w:pPr>
  </w:p>
  <w:p w14:paraId="0B00DB25" w14:textId="77777777" w:rsidR="00F0635C" w:rsidRDefault="00F063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6F682" w14:textId="0CF3F811" w:rsidR="00F0635C" w:rsidRDefault="00D03F28" w:rsidP="00D03F28">
    <w:pPr>
      <w:pStyle w:val="Header"/>
      <w:rPr>
        <w:sz w:val="17"/>
      </w:rPr>
    </w:pPr>
    <w:bookmarkStart w:id="1" w:name="TITUS1HeaderPrimary"/>
    <w:r>
      <w:rPr>
        <w:sz w:val="17"/>
      </w:rPr>
      <w:t> </w:t>
    </w:r>
  </w:p>
  <w:bookmarkEnd w:id="1"/>
  <w:p w14:paraId="4EA5AE66" w14:textId="77777777" w:rsidR="00F0635C" w:rsidRDefault="00F063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983385" w14:textId="698B610E" w:rsidR="00F0635C" w:rsidRDefault="00D03F28" w:rsidP="00D03F28">
    <w:pPr>
      <w:pStyle w:val="Header"/>
      <w:rPr>
        <w:sz w:val="17"/>
      </w:rPr>
    </w:pPr>
    <w:bookmarkStart w:id="4" w:name="TITUS1HeaderFirstPage"/>
    <w:r>
      <w:rPr>
        <w:sz w:val="17"/>
      </w:rPr>
      <w:t> </w:t>
    </w:r>
  </w:p>
  <w:bookmarkEnd w:id="4"/>
  <w:p w14:paraId="478D1EBF" w14:textId="77777777" w:rsidR="00F0635C" w:rsidRDefault="00F0635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8B143" w14:textId="19779764" w:rsidR="00F0635C" w:rsidRDefault="00D03F28" w:rsidP="00D03F28">
    <w:pPr>
      <w:pStyle w:val="Header"/>
      <w:rPr>
        <w:sz w:val="17"/>
      </w:rPr>
    </w:pPr>
    <w:bookmarkStart w:id="7" w:name="TITUS2HeaderEvenPages"/>
    <w:r>
      <w:rPr>
        <w:sz w:val="17"/>
      </w:rPr>
      <w:t> </w:t>
    </w:r>
  </w:p>
  <w:bookmarkEnd w:id="7"/>
  <w:p w14:paraId="5B8FE414" w14:textId="77777777" w:rsidR="00F0635C" w:rsidRDefault="00F0635C" w:rsidP="00F0635C">
    <w:pPr>
      <w:pStyle w:val="Header"/>
    </w:pPr>
  </w:p>
  <w:p w14:paraId="1D8C094D" w14:textId="77777777" w:rsidR="00F0635C" w:rsidRDefault="00F0635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B03A" w14:textId="2966AAD7" w:rsidR="00F0635C" w:rsidRDefault="00D03F28" w:rsidP="00D03F28">
    <w:pPr>
      <w:pStyle w:val="Header"/>
      <w:rPr>
        <w:sz w:val="17"/>
      </w:rPr>
    </w:pPr>
    <w:bookmarkStart w:id="8" w:name="TITUS2HeaderPrimary"/>
    <w:r>
      <w:rPr>
        <w:sz w:val="17"/>
      </w:rPr>
      <w:t> </w:t>
    </w:r>
  </w:p>
  <w:bookmarkEnd w:id="8"/>
  <w:p w14:paraId="4F69EF86" w14:textId="77777777" w:rsidR="00F0635C" w:rsidRDefault="00F0635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000DCB" w14:textId="6B1A64CA" w:rsidR="00F0635C" w:rsidRDefault="00D03F28" w:rsidP="00D03F28">
    <w:pPr>
      <w:pStyle w:val="Header"/>
      <w:rPr>
        <w:sz w:val="17"/>
      </w:rPr>
    </w:pPr>
    <w:bookmarkStart w:id="11" w:name="TITUS2HeaderFirstPage"/>
    <w:r>
      <w:rPr>
        <w:sz w:val="17"/>
      </w:rPr>
      <w:t> </w:t>
    </w:r>
  </w:p>
  <w:bookmarkEnd w:id="11"/>
  <w:p w14:paraId="0892913D" w14:textId="77777777" w:rsidR="00F0635C" w:rsidRDefault="00F0635C" w:rsidP="00F0635C">
    <w:pPr>
      <w:pStyle w:val="Header"/>
    </w:pPr>
  </w:p>
  <w:p w14:paraId="4B8AB4E1" w14:textId="77777777" w:rsidR="00F0635C" w:rsidRDefault="00F0635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8B1D4" w14:textId="24331E07" w:rsidR="00F0635C" w:rsidRDefault="00D03F28" w:rsidP="00D03F28">
    <w:pPr>
      <w:pStyle w:val="Header"/>
      <w:rPr>
        <w:sz w:val="17"/>
      </w:rPr>
    </w:pPr>
    <w:bookmarkStart w:id="13" w:name="TITUS3HeaderEvenPages"/>
    <w:r>
      <w:rPr>
        <w:sz w:val="17"/>
      </w:rPr>
      <w:t> </w:t>
    </w:r>
  </w:p>
  <w:bookmarkEnd w:id="13"/>
  <w:p w14:paraId="1F0D7680" w14:textId="77777777" w:rsidR="00F0635C" w:rsidRDefault="00F0635C" w:rsidP="00F0635C">
    <w:pPr>
      <w:pStyle w:val="Header"/>
    </w:pPr>
  </w:p>
  <w:p w14:paraId="0D4AD920" w14:textId="77777777" w:rsidR="00F0635C" w:rsidRDefault="00F0635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55D2E" w14:textId="653CCB3A" w:rsidR="00F0635C" w:rsidRDefault="00D03F28" w:rsidP="00D03F28">
    <w:pPr>
      <w:pStyle w:val="Header"/>
      <w:rPr>
        <w:sz w:val="17"/>
      </w:rPr>
    </w:pPr>
    <w:bookmarkStart w:id="14" w:name="TITUS3HeaderPrimary"/>
    <w:r>
      <w:rPr>
        <w:sz w:val="17"/>
      </w:rPr>
      <w:t> </w:t>
    </w:r>
  </w:p>
  <w:bookmarkEnd w:id="14"/>
  <w:p w14:paraId="1A3DA8AA" w14:textId="77777777" w:rsidR="00F0635C" w:rsidRDefault="00F0635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BF279" w14:textId="36030FE4" w:rsidR="00F0635C" w:rsidRDefault="00D03F28" w:rsidP="00D03F28">
    <w:pPr>
      <w:pStyle w:val="Header"/>
      <w:rPr>
        <w:sz w:val="17"/>
      </w:rPr>
    </w:pPr>
    <w:bookmarkStart w:id="17" w:name="TITUS3HeaderFirstPage"/>
    <w:r>
      <w:rPr>
        <w:sz w:val="17"/>
      </w:rPr>
      <w:t> </w:t>
    </w:r>
  </w:p>
  <w:bookmarkEnd w:id="17"/>
  <w:p w14:paraId="0D978317" w14:textId="77777777" w:rsidR="00F0635C" w:rsidRDefault="00F0635C" w:rsidP="00F0635C">
    <w:pPr>
      <w:pStyle w:val="Header"/>
    </w:pPr>
  </w:p>
  <w:p w14:paraId="456743D1" w14:textId="77777777" w:rsidR="00F0635C" w:rsidRDefault="00F063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5CBA"/>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516"/>
    <w:rsid w:val="002A5604"/>
    <w:rsid w:val="002B1701"/>
    <w:rsid w:val="002B1736"/>
    <w:rsid w:val="002B23C3"/>
    <w:rsid w:val="002B443A"/>
    <w:rsid w:val="002B5B35"/>
    <w:rsid w:val="002C256A"/>
    <w:rsid w:val="002C496D"/>
    <w:rsid w:val="002D05EB"/>
    <w:rsid w:val="002D2F29"/>
    <w:rsid w:val="002D2FD3"/>
    <w:rsid w:val="002E3F6C"/>
    <w:rsid w:val="002E549D"/>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6F7FC8"/>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2151"/>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1137"/>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3F28"/>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0FD4"/>
    <w:rsid w:val="00DA1025"/>
    <w:rsid w:val="00DA22EC"/>
    <w:rsid w:val="00DA5860"/>
    <w:rsid w:val="00DA5A89"/>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028AF"/>
    <w:rsid w:val="00F0635C"/>
    <w:rsid w:val="00F10A08"/>
    <w:rsid w:val="00F139CF"/>
    <w:rsid w:val="00F22AC5"/>
    <w:rsid w:val="00F254D1"/>
    <w:rsid w:val="00F26BD0"/>
    <w:rsid w:val="00F30A9B"/>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hyperlink" Target="https://www.tandfonline.com/author/Bennett%2C+David" TargetMode="External"/><Relationship Id="rId34"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307867/Statutory_Guidance_-_Missing_from_care__3_.pdf%3e%5bAccessed"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fgcu.digital.flvc.org/islandora/object/fgcu%3A21423/datastream/OBJ/download/How_the_Internet_has_Changed_the_Face_of_Crime_.pdf" TargetMode="External"/><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8FEF386B-0D6E-43F1-99C5-279E5A413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38</Pages>
  <Words>8122</Words>
  <Characters>47289</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Jones,Adrian swp6561</cp:lastModifiedBy>
  <cp:revision>9</cp:revision>
  <cp:lastPrinted>2014-08-26T08:55:00Z</cp:lastPrinted>
  <dcterms:created xsi:type="dcterms:W3CDTF">2021-05-30T10:10:00Z</dcterms:created>
  <dcterms:modified xsi:type="dcterms:W3CDTF">2021-05-30T10:59:00Z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a440d8fe-6a91-4d7f-ac09-34a696fd3cf6</vt:lpwstr>
  </property>
  <property fmtid="{D5CDD505-2E9C-101B-9397-08002B2CF9AE}" pid="4" name="Classification">
    <vt:lpwstr>OFFICIAL</vt:lpwstr>
  </property>
  <property fmtid="{D5CDD505-2E9C-101B-9397-08002B2CF9AE}" pid="5" name="Visibility">
    <vt:lpwstr>NOT VISIBLE</vt:lpwstr>
  </property>
</Properties>
</file>