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04A49B" w14:textId="22C26EDB" w:rsidR="00957611" w:rsidRDefault="00957611">
      <w:r>
        <w:rPr>
          <w:rFonts w:hint="eastAsia"/>
        </w:rPr>
        <w:t>T</w:t>
      </w:r>
      <w:r>
        <w:t xml:space="preserve">his article is about the </w:t>
      </w:r>
      <w:r w:rsidR="00B21A02">
        <w:t xml:space="preserve">land reforms brought in </w:t>
      </w:r>
      <w:r w:rsidR="00454E1A">
        <w:t xml:space="preserve">by the Communist party </w:t>
      </w:r>
      <w:r w:rsidR="00FC72BB">
        <w:t>between</w:t>
      </w:r>
      <w:r w:rsidR="00B21A02">
        <w:t xml:space="preserve"> 1930 </w:t>
      </w:r>
      <w:r w:rsidR="00FC72BB">
        <w:t>and</w:t>
      </w:r>
      <w:r w:rsidR="00B21A02">
        <w:t xml:space="preserve"> 1952</w:t>
      </w:r>
      <w:r w:rsidR="00612D45">
        <w:t xml:space="preserve">. </w:t>
      </w:r>
      <w:r w:rsidR="00F92354">
        <w:t xml:space="preserve">In context, it seems the article is a fictional and </w:t>
      </w:r>
      <w:r w:rsidR="00411AB8">
        <w:t>idealized</w:t>
      </w:r>
      <w:r w:rsidR="00F92354">
        <w:t xml:space="preserve"> story of how a group of peasants learnt to stand up against their landlord</w:t>
      </w:r>
      <w:r w:rsidR="000C68EB">
        <w:t>. It is part of the novel “The Sun</w:t>
      </w:r>
      <w:r w:rsidR="003C7F85">
        <w:t xml:space="preserve"> </w:t>
      </w:r>
      <w:r w:rsidR="000C68EB">
        <w:t xml:space="preserve">Shines over the </w:t>
      </w:r>
      <w:proofErr w:type="spellStart"/>
      <w:r w:rsidR="000C68EB">
        <w:t>Sunggan</w:t>
      </w:r>
      <w:proofErr w:type="spellEnd"/>
      <w:r w:rsidR="000C68EB">
        <w:t xml:space="preserve"> River” written by the first prominent Chinese author</w:t>
      </w:r>
      <w:r w:rsidR="00454E1A">
        <w:t>, Ding Ling,</w:t>
      </w:r>
      <w:r w:rsidR="000C68EB">
        <w:t xml:space="preserve"> as an example of socialist literature</w:t>
      </w:r>
      <w:r w:rsidR="00454E1A">
        <w:t xml:space="preserve">. It describes how each village were visited by party cadres for land distribution, and even some middle peasants had their land redistributed. </w:t>
      </w:r>
    </w:p>
    <w:p w14:paraId="688967CE" w14:textId="77777777" w:rsidR="000C68EB" w:rsidRDefault="000C68EB"/>
    <w:p w14:paraId="773F5215" w14:textId="66F6B97B" w:rsidR="00E834AA" w:rsidRPr="006A0207" w:rsidRDefault="000C68EB" w:rsidP="00E834AA">
      <w:r>
        <w:rPr>
          <w:rFonts w:hint="eastAsia"/>
        </w:rPr>
        <w:t>F</w:t>
      </w:r>
      <w:r>
        <w:t>irstly, Ling</w:t>
      </w:r>
      <w:r w:rsidR="009F5337">
        <w:t xml:space="preserve"> argues the</w:t>
      </w:r>
      <w:r w:rsidR="00AF2CF9">
        <w:t>se</w:t>
      </w:r>
      <w:r w:rsidR="009F5337">
        <w:t xml:space="preserve"> land reforms </w:t>
      </w:r>
      <w:r w:rsidR="00863718">
        <w:t>were simply used for</w:t>
      </w:r>
      <w:r w:rsidR="00C1604E">
        <w:t xml:space="preserve"> people</w:t>
      </w:r>
      <w:r w:rsidR="00863718">
        <w:t xml:space="preserve"> to</w:t>
      </w:r>
      <w:r w:rsidR="00C1604E">
        <w:t xml:space="preserve"> </w:t>
      </w:r>
      <w:r w:rsidR="00863718">
        <w:t>settle</w:t>
      </w:r>
      <w:r w:rsidR="00C1604E">
        <w:t xml:space="preserve"> personal scores rather than logically distribut</w:t>
      </w:r>
      <w:r w:rsidR="00554193">
        <w:t>e</w:t>
      </w:r>
      <w:r w:rsidR="00C1604E">
        <w:t xml:space="preserve"> land</w:t>
      </w:r>
      <w:r w:rsidR="00E834AA">
        <w:t xml:space="preserve">. Ling’s article can be argued as incredibly exaggerated, suggesting murders of landlords and </w:t>
      </w:r>
      <w:r w:rsidR="00E83DD8">
        <w:t>hyperbolical</w:t>
      </w:r>
      <w:r w:rsidR="007975D3">
        <w:t xml:space="preserve"> statements of the </w:t>
      </w:r>
      <w:r w:rsidR="00E834AA">
        <w:t xml:space="preserve">hardship of peasants before these reforms. </w:t>
      </w:r>
      <w:r w:rsidR="00E83DD8">
        <w:t>On the other hand, possibly it is accurate as h</w:t>
      </w:r>
      <w:proofErr w:type="spellStart"/>
      <w:r w:rsidR="009934BB">
        <w:rPr>
          <w:lang w:val="en-GB"/>
        </w:rPr>
        <w:t>al</w:t>
      </w:r>
      <w:bookmarkStart w:id="0" w:name="_GoBack"/>
      <w:bookmarkEnd w:id="0"/>
      <w:r w:rsidR="009934BB">
        <w:rPr>
          <w:lang w:val="en-GB"/>
        </w:rPr>
        <w:t>f</w:t>
      </w:r>
      <w:proofErr w:type="spellEnd"/>
      <w:r w:rsidR="009934BB">
        <w:rPr>
          <w:lang w:val="en-GB"/>
        </w:rPr>
        <w:t xml:space="preserve"> way through the story, p</w:t>
      </w:r>
      <w:r w:rsidR="00E834AA">
        <w:rPr>
          <w:lang w:val="en-GB"/>
        </w:rPr>
        <w:t>easants s</w:t>
      </w:r>
      <w:r w:rsidR="005C00EA">
        <w:rPr>
          <w:lang w:val="en-GB"/>
        </w:rPr>
        <w:t>hou</w:t>
      </w:r>
      <w:r w:rsidR="00DE3A17">
        <w:rPr>
          <w:lang w:val="en-GB"/>
        </w:rPr>
        <w:t xml:space="preserve">t </w:t>
      </w:r>
      <w:r w:rsidR="005C00EA">
        <w:rPr>
          <w:lang w:val="en-GB"/>
        </w:rPr>
        <w:t>outside the landlord’s home</w:t>
      </w:r>
      <w:r w:rsidR="00E834AA">
        <w:rPr>
          <w:lang w:val="en-GB"/>
        </w:rPr>
        <w:t xml:space="preserve"> “when he was ward </w:t>
      </w:r>
      <w:r w:rsidR="00E83DD8">
        <w:rPr>
          <w:lang w:val="en-GB"/>
        </w:rPr>
        <w:t>chief,</w:t>
      </w:r>
      <w:r w:rsidR="00E834AA">
        <w:rPr>
          <w:lang w:val="en-GB"/>
        </w:rPr>
        <w:t xml:space="preserve"> he made us pay</w:t>
      </w:r>
      <w:r w:rsidR="00DB18CC">
        <w:rPr>
          <w:lang w:val="en-GB"/>
        </w:rPr>
        <w:t xml:space="preserve"> more</w:t>
      </w:r>
      <w:r w:rsidR="00E834AA">
        <w:rPr>
          <w:lang w:val="en-GB"/>
        </w:rPr>
        <w:t xml:space="preserve"> taxes, we want his life in exchange!!”</w:t>
      </w:r>
      <w:r w:rsidR="00DE4264">
        <w:rPr>
          <w:rStyle w:val="FootnoteReference"/>
          <w:lang w:val="en-GB"/>
        </w:rPr>
        <w:footnoteReference w:id="1"/>
      </w:r>
      <w:r w:rsidR="006A0207">
        <w:rPr>
          <w:lang w:val="en-GB"/>
        </w:rPr>
        <w:t>. From this, readers can see how the situation could snowball into murder, with people egging others on.</w:t>
      </w:r>
    </w:p>
    <w:p w14:paraId="1276725E" w14:textId="55D2F19E" w:rsidR="00E834AA" w:rsidRDefault="00E834AA"/>
    <w:p w14:paraId="4B85685A" w14:textId="7B34FF84" w:rsidR="00C1604E" w:rsidRPr="00787411" w:rsidRDefault="00E834AA">
      <w:r>
        <w:rPr>
          <w:rFonts w:hint="eastAsia"/>
        </w:rPr>
        <w:t>L</w:t>
      </w:r>
      <w:r>
        <w:t>andlords seem cruel</w:t>
      </w:r>
      <w:r w:rsidR="00FC6669">
        <w:t xml:space="preserve"> within this article</w:t>
      </w:r>
      <w:r>
        <w:t xml:space="preserve">, doing anything that would be advantageous to </w:t>
      </w:r>
      <w:r w:rsidR="00DB18CC">
        <w:t>themselves</w:t>
      </w:r>
      <w:r>
        <w:t xml:space="preserve"> rather than following </w:t>
      </w:r>
      <w:r w:rsidR="00DB18CC">
        <w:t>their</w:t>
      </w:r>
      <w:r>
        <w:t xml:space="preserve"> morals. This </w:t>
      </w:r>
      <w:r w:rsidR="00512213">
        <w:t>reform</w:t>
      </w:r>
      <w:r>
        <w:t xml:space="preserve"> mean</w:t>
      </w:r>
      <w:r w:rsidR="00512213">
        <w:t>t</w:t>
      </w:r>
      <w:r>
        <w:t xml:space="preserve"> many people g</w:t>
      </w:r>
      <w:r w:rsidR="002A23E1">
        <w:t>o</w:t>
      </w:r>
      <w:r>
        <w:t>t together</w:t>
      </w:r>
      <w:r w:rsidR="00744F66">
        <w:t xml:space="preserve"> against the landlord, which in turn br</w:t>
      </w:r>
      <w:r w:rsidR="002114E2">
        <w:t>ought</w:t>
      </w:r>
      <w:r w:rsidR="00744F66">
        <w:t xml:space="preserve"> up many traumatic stories from every person, showing the landlord as greedy without compassion.</w:t>
      </w:r>
      <w:r w:rsidR="00C6447F">
        <w:t xml:space="preserve"> For example, one man was </w:t>
      </w:r>
      <w:r w:rsidR="00C6447F">
        <w:rPr>
          <w:lang w:val="en-GB"/>
        </w:rPr>
        <w:t xml:space="preserve">three rents </w:t>
      </w:r>
      <w:r w:rsidR="00630F65">
        <w:rPr>
          <w:lang w:val="en-GB"/>
        </w:rPr>
        <w:t>behind,</w:t>
      </w:r>
      <w:r w:rsidR="00C6447F">
        <w:rPr>
          <w:lang w:val="en-GB"/>
        </w:rPr>
        <w:t xml:space="preserve"> so they took away his pots and pans</w:t>
      </w:r>
      <w:r w:rsidR="00DE4264">
        <w:rPr>
          <w:rStyle w:val="FootnoteReference"/>
          <w:lang w:val="en-GB"/>
        </w:rPr>
        <w:footnoteReference w:id="2"/>
      </w:r>
      <w:r w:rsidR="00C6447F">
        <w:rPr>
          <w:lang w:val="en-GB"/>
        </w:rPr>
        <w:t xml:space="preserve">. This land reform could be made by the communists to get rid of these kinds of heartless </w:t>
      </w:r>
      <w:r w:rsidR="004019B3">
        <w:rPr>
          <w:lang w:val="en-GB"/>
        </w:rPr>
        <w:t>behaviour</w:t>
      </w:r>
      <w:r w:rsidR="00C6447F">
        <w:rPr>
          <w:lang w:val="en-GB"/>
        </w:rPr>
        <w:t xml:space="preserve"> that leads to desperate actions such as people selling their children for rent and food,</w:t>
      </w:r>
      <w:r w:rsidR="00787411">
        <w:rPr>
          <w:rFonts w:hint="eastAsia"/>
        </w:rPr>
        <w:t xml:space="preserve"> </w:t>
      </w:r>
      <w:proofErr w:type="gramStart"/>
      <w:r>
        <w:rPr>
          <w:lang w:val="en-GB"/>
        </w:rPr>
        <w:t>The</w:t>
      </w:r>
      <w:proofErr w:type="gramEnd"/>
      <w:r>
        <w:rPr>
          <w:lang w:val="en-GB"/>
        </w:rPr>
        <w:t xml:space="preserve"> landlords seem to simply want whatever can help himself, such as not getting into trouble. Ling writes “</w:t>
      </w:r>
      <w:r>
        <w:rPr>
          <w:rFonts w:hint="eastAsia"/>
          <w:lang w:val="en-GB"/>
        </w:rPr>
        <w:t>J</w:t>
      </w:r>
      <w:r>
        <w:rPr>
          <w:lang w:val="en-GB"/>
        </w:rPr>
        <w:t>iang suddenly went soft, like wax in a fire”</w:t>
      </w:r>
      <w:r w:rsidR="002413CE">
        <w:rPr>
          <w:rStyle w:val="FootnoteReference"/>
          <w:lang w:val="en-GB"/>
        </w:rPr>
        <w:footnoteReference w:id="3"/>
      </w:r>
      <w:r>
        <w:rPr>
          <w:lang w:val="en-GB"/>
        </w:rPr>
        <w:t xml:space="preserve"> probably out of fear</w:t>
      </w:r>
      <w:r w:rsidR="007F3BAD">
        <w:rPr>
          <w:lang w:val="en-GB"/>
        </w:rPr>
        <w:t>, then</w:t>
      </w:r>
      <w:r w:rsidR="005A7706">
        <w:rPr>
          <w:lang w:val="en-GB"/>
        </w:rPr>
        <w:t xml:space="preserve"> “bowed to the ground”</w:t>
      </w:r>
      <w:r w:rsidR="00DE4264">
        <w:rPr>
          <w:rStyle w:val="FootnoteReference"/>
          <w:lang w:val="en-GB"/>
        </w:rPr>
        <w:footnoteReference w:id="4"/>
      </w:r>
      <w:r w:rsidR="004019B3">
        <w:rPr>
          <w:lang w:val="en-GB"/>
        </w:rPr>
        <w:t xml:space="preserve">. Overall this shows the landlords as cruel and swaying to the </w:t>
      </w:r>
      <w:r w:rsidR="00DE4264">
        <w:rPr>
          <w:lang w:val="en-GB"/>
        </w:rPr>
        <w:t>peasant’s</w:t>
      </w:r>
      <w:r w:rsidR="004019B3">
        <w:rPr>
          <w:lang w:val="en-GB"/>
        </w:rPr>
        <w:t xml:space="preserve"> views due to the strength the peasants had in numbers.</w:t>
      </w:r>
    </w:p>
    <w:p w14:paraId="40F41D4D" w14:textId="7014DE93" w:rsidR="00C1604E" w:rsidRDefault="00C1604E"/>
    <w:p w14:paraId="6BAB91CE" w14:textId="791EE760" w:rsidR="00C1604E" w:rsidRDefault="00C1604E">
      <w:r>
        <w:rPr>
          <w:rFonts w:hint="eastAsia"/>
        </w:rPr>
        <w:t>F</w:t>
      </w:r>
      <w:r>
        <w:t>urthermore, the Peasant Association</w:t>
      </w:r>
      <w:r w:rsidR="000A78BF">
        <w:t xml:space="preserve"> seems to have </w:t>
      </w:r>
      <w:r w:rsidR="004D7A02">
        <w:t>had a big influ</w:t>
      </w:r>
      <w:r w:rsidR="006A29C3">
        <w:t>en</w:t>
      </w:r>
      <w:r w:rsidR="004D7A02">
        <w:t xml:space="preserve">ce </w:t>
      </w:r>
      <w:r w:rsidR="009A0F40">
        <w:t xml:space="preserve">as they </w:t>
      </w:r>
      <w:r w:rsidR="004D7A02">
        <w:t>attempt</w:t>
      </w:r>
      <w:r w:rsidR="009A0F40">
        <w:t>ed</w:t>
      </w:r>
      <w:r w:rsidR="004D7A02">
        <w:t xml:space="preserve"> to give more rights to peasants</w:t>
      </w:r>
      <w:r w:rsidR="007E7EF7">
        <w:t>. Although Ling states they had autonomy</w:t>
      </w:r>
      <w:r w:rsidR="008A47FD">
        <w:t xml:space="preserve"> and</w:t>
      </w:r>
      <w:r w:rsidR="007E7EF7">
        <w:t xml:space="preserve"> they were set up by the communist party</w:t>
      </w:r>
      <w:r w:rsidR="00E3061E">
        <w:t xml:space="preserve"> </w:t>
      </w:r>
      <w:r w:rsidR="008A47FD">
        <w:t xml:space="preserve">it </w:t>
      </w:r>
      <w:r w:rsidR="00E3061E">
        <w:t xml:space="preserve">does seem to represent the people more than the party. Those </w:t>
      </w:r>
      <w:r w:rsidR="00B63423">
        <w:t>comrades</w:t>
      </w:r>
      <w:r w:rsidR="00CE662F">
        <w:t xml:space="preserve"> that are</w:t>
      </w:r>
      <w:r w:rsidR="00E3061E">
        <w:t xml:space="preserve"> part of the Peasant’s Association</w:t>
      </w:r>
      <w:r w:rsidR="008955AD">
        <w:t xml:space="preserve"> divided the land, and temporarily confiscated landlord’s property, such as sealing up chests, empty rooms and containers of salt, all to bring them down to living with the basics and not being excessive. The </w:t>
      </w:r>
      <w:r w:rsidR="00CE662F">
        <w:t>P</w:t>
      </w:r>
      <w:r w:rsidR="008955AD">
        <w:t>easant</w:t>
      </w:r>
      <w:r w:rsidR="00CE662F">
        <w:t>’s</w:t>
      </w:r>
      <w:r w:rsidR="008955AD">
        <w:t xml:space="preserve"> Association </w:t>
      </w:r>
      <w:r w:rsidR="00CE662F">
        <w:t xml:space="preserve">are explained as </w:t>
      </w:r>
      <w:r w:rsidR="008955AD">
        <w:t xml:space="preserve">the intermediaries </w:t>
      </w:r>
      <w:r w:rsidR="00E834AA">
        <w:t>between the Party and the peasants, so possibly as they asked people to describe “the hardship</w:t>
      </w:r>
      <w:r w:rsidR="00E60045">
        <w:t xml:space="preserve">s of </w:t>
      </w:r>
      <w:r w:rsidR="00E834AA">
        <w:t>their lives”</w:t>
      </w:r>
      <w:r w:rsidR="00916481">
        <w:rPr>
          <w:rStyle w:val="FootnoteReference"/>
        </w:rPr>
        <w:footnoteReference w:id="5"/>
      </w:r>
      <w:r w:rsidR="00E834AA">
        <w:t>, this could be useful if they passed it on</w:t>
      </w:r>
      <w:r w:rsidR="00CE662F">
        <w:t xml:space="preserve"> to the Communist Party</w:t>
      </w:r>
      <w:r w:rsidR="00E60045">
        <w:t>.</w:t>
      </w:r>
    </w:p>
    <w:p w14:paraId="150466CF" w14:textId="64E8CDB7" w:rsidR="00E45785" w:rsidRDefault="00E45785"/>
    <w:p w14:paraId="52821BAD" w14:textId="19EEABE2" w:rsidR="00F83E5D" w:rsidRDefault="00630F65">
      <w:r>
        <w:t xml:space="preserve">In conclusion, Ling paints a negative view </w:t>
      </w:r>
      <w:r w:rsidR="00510D4A">
        <w:t xml:space="preserve">of the land divisions, almost </w:t>
      </w:r>
      <w:proofErr w:type="gramStart"/>
      <w:r w:rsidR="00510D4A">
        <w:t>being seen as</w:t>
      </w:r>
      <w:proofErr w:type="gramEnd"/>
      <w:r w:rsidR="00510D4A">
        <w:t xml:space="preserve"> a conflict rather than a </w:t>
      </w:r>
      <w:r w:rsidR="00F83E5D">
        <w:t>negotiation</w:t>
      </w:r>
      <w:r w:rsidR="00E60045">
        <w:t xml:space="preserve"> of equality</w:t>
      </w:r>
      <w:r w:rsidR="00F83E5D">
        <w:t>. From this comes the view that landlords were cruel and brutal, wanting to take anything</w:t>
      </w:r>
      <w:r w:rsidR="006E5B4E">
        <w:t>,</w:t>
      </w:r>
      <w:r w:rsidR="00F83E5D">
        <w:t xml:space="preserve"> including children</w:t>
      </w:r>
      <w:r w:rsidR="006E5B4E">
        <w:t>,</w:t>
      </w:r>
      <w:r w:rsidR="00F83E5D">
        <w:t xml:space="preserve"> as payment for late rent, however</w:t>
      </w:r>
      <w:r w:rsidR="00F83E5D">
        <w:rPr>
          <w:rFonts w:hint="eastAsia"/>
        </w:rPr>
        <w:t xml:space="preserve"> </w:t>
      </w:r>
      <w:r w:rsidR="006E5B4E">
        <w:t>t</w:t>
      </w:r>
      <w:r w:rsidR="00F83E5D">
        <w:t>he Peasant</w:t>
      </w:r>
      <w:r w:rsidR="006E5B4E">
        <w:t>’s A</w:t>
      </w:r>
      <w:r w:rsidR="00F83E5D">
        <w:t xml:space="preserve">ssociation and the </w:t>
      </w:r>
      <w:r w:rsidR="006E5B4E">
        <w:t>C</w:t>
      </w:r>
      <w:r w:rsidR="00F83E5D">
        <w:t xml:space="preserve">ommunist </w:t>
      </w:r>
      <w:r w:rsidR="006E5B4E">
        <w:t>P</w:t>
      </w:r>
      <w:r w:rsidR="00F83E5D">
        <w:t>arty helped the peasants stand up against them</w:t>
      </w:r>
      <w:r w:rsidR="005E427A">
        <w:t>.</w:t>
      </w:r>
    </w:p>
    <w:p w14:paraId="0BEF7B3E" w14:textId="285379AF" w:rsidR="004D2B08" w:rsidRPr="00916481" w:rsidRDefault="004D2B08">
      <w:pPr>
        <w:rPr>
          <w:b/>
        </w:rPr>
      </w:pPr>
      <w:r w:rsidRPr="00916481">
        <w:rPr>
          <w:rFonts w:hint="eastAsia"/>
          <w:b/>
        </w:rPr>
        <w:lastRenderedPageBreak/>
        <w:t>B</w:t>
      </w:r>
      <w:r w:rsidRPr="00916481">
        <w:rPr>
          <w:b/>
        </w:rPr>
        <w:t>IBLIOGRAPHY</w:t>
      </w:r>
    </w:p>
    <w:p w14:paraId="256FF010" w14:textId="70540865" w:rsidR="004D2B08" w:rsidRDefault="004D2B08">
      <w:r>
        <w:rPr>
          <w:rStyle w:val="selectable"/>
          <w:color w:val="000000"/>
        </w:rPr>
        <w:t>Ding, Ling, Hsien-</w:t>
      </w:r>
      <w:proofErr w:type="spellStart"/>
      <w:r>
        <w:rPr>
          <w:rStyle w:val="selectable"/>
          <w:color w:val="000000"/>
        </w:rPr>
        <w:t>i</w:t>
      </w:r>
      <w:proofErr w:type="spellEnd"/>
      <w:r>
        <w:rPr>
          <w:rStyle w:val="selectable"/>
          <w:color w:val="000000"/>
        </w:rPr>
        <w:t xml:space="preserve"> Yang, and Gladys Yang, </w:t>
      </w:r>
      <w:r>
        <w:rPr>
          <w:rStyle w:val="selectable"/>
          <w:i/>
          <w:iCs/>
          <w:color w:val="000000"/>
        </w:rPr>
        <w:t xml:space="preserve">The Sun Shines Over </w:t>
      </w:r>
      <w:proofErr w:type="gramStart"/>
      <w:r>
        <w:rPr>
          <w:rStyle w:val="selectable"/>
          <w:i/>
          <w:iCs/>
          <w:color w:val="000000"/>
        </w:rPr>
        <w:t>The</w:t>
      </w:r>
      <w:proofErr w:type="gramEnd"/>
      <w:r>
        <w:rPr>
          <w:rStyle w:val="selectable"/>
          <w:i/>
          <w:iCs/>
          <w:color w:val="000000"/>
        </w:rPr>
        <w:t xml:space="preserve"> </w:t>
      </w:r>
      <w:proofErr w:type="spellStart"/>
      <w:r>
        <w:rPr>
          <w:rStyle w:val="selectable"/>
          <w:i/>
          <w:iCs/>
          <w:color w:val="000000"/>
        </w:rPr>
        <w:t>Sanggan</w:t>
      </w:r>
      <w:proofErr w:type="spellEnd"/>
      <w:r>
        <w:rPr>
          <w:rStyle w:val="selectable"/>
          <w:i/>
          <w:iCs/>
          <w:color w:val="000000"/>
        </w:rPr>
        <w:t xml:space="preserve"> River</w:t>
      </w:r>
      <w:r>
        <w:rPr>
          <w:rStyle w:val="selectable"/>
          <w:color w:val="000000"/>
        </w:rPr>
        <w:t xml:space="preserve"> (Peking: Foreign Languages Press, 1984)</w:t>
      </w:r>
    </w:p>
    <w:sectPr w:rsidR="004D2B08">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6DEC9B" w14:textId="77777777" w:rsidR="00825C10" w:rsidRDefault="00825C10" w:rsidP="00DE4264">
      <w:r>
        <w:separator/>
      </w:r>
    </w:p>
  </w:endnote>
  <w:endnote w:type="continuationSeparator" w:id="0">
    <w:p w14:paraId="7AF76DC9" w14:textId="77777777" w:rsidR="00825C10" w:rsidRDefault="00825C10" w:rsidP="00DE4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07388D" w14:textId="77777777" w:rsidR="00825C10" w:rsidRDefault="00825C10" w:rsidP="00DE4264">
      <w:r>
        <w:separator/>
      </w:r>
    </w:p>
  </w:footnote>
  <w:footnote w:type="continuationSeparator" w:id="0">
    <w:p w14:paraId="0690A4D7" w14:textId="77777777" w:rsidR="00825C10" w:rsidRDefault="00825C10" w:rsidP="00DE4264">
      <w:r>
        <w:continuationSeparator/>
      </w:r>
    </w:p>
  </w:footnote>
  <w:footnote w:id="1">
    <w:p w14:paraId="2236847E" w14:textId="7FE2D177" w:rsidR="00DE4264" w:rsidRPr="00DE4264" w:rsidRDefault="00DE4264">
      <w:pPr>
        <w:pStyle w:val="FootnoteText"/>
        <w:rPr>
          <w:lang w:val="en-GB"/>
        </w:rPr>
      </w:pPr>
      <w:r>
        <w:rPr>
          <w:rStyle w:val="FootnoteReference"/>
        </w:rPr>
        <w:footnoteRef/>
      </w:r>
      <w:r>
        <w:t xml:space="preserve"> </w:t>
      </w:r>
      <w:r>
        <w:rPr>
          <w:rStyle w:val="selectable"/>
          <w:color w:val="000000"/>
        </w:rPr>
        <w:t>Ling Ding, Hsien-</w:t>
      </w:r>
      <w:proofErr w:type="spellStart"/>
      <w:r>
        <w:rPr>
          <w:rStyle w:val="selectable"/>
          <w:color w:val="000000"/>
        </w:rPr>
        <w:t>i</w:t>
      </w:r>
      <w:proofErr w:type="spellEnd"/>
      <w:r>
        <w:rPr>
          <w:rStyle w:val="selectable"/>
          <w:color w:val="000000"/>
        </w:rPr>
        <w:t xml:space="preserve"> Yang and Gladys Yang, </w:t>
      </w:r>
      <w:r>
        <w:rPr>
          <w:rStyle w:val="selectable"/>
          <w:i/>
          <w:iCs/>
          <w:color w:val="000000"/>
        </w:rPr>
        <w:t xml:space="preserve">The Sun Shines Over </w:t>
      </w:r>
      <w:proofErr w:type="gramStart"/>
      <w:r>
        <w:rPr>
          <w:rStyle w:val="selectable"/>
          <w:i/>
          <w:iCs/>
          <w:color w:val="000000"/>
        </w:rPr>
        <w:t>The</w:t>
      </w:r>
      <w:proofErr w:type="gramEnd"/>
      <w:r>
        <w:rPr>
          <w:rStyle w:val="selectable"/>
          <w:i/>
          <w:iCs/>
          <w:color w:val="000000"/>
        </w:rPr>
        <w:t xml:space="preserve"> </w:t>
      </w:r>
      <w:proofErr w:type="spellStart"/>
      <w:r>
        <w:rPr>
          <w:rStyle w:val="selectable"/>
          <w:i/>
          <w:iCs/>
          <w:color w:val="000000"/>
        </w:rPr>
        <w:t>Sanggan</w:t>
      </w:r>
      <w:proofErr w:type="spellEnd"/>
      <w:r>
        <w:rPr>
          <w:rStyle w:val="selectable"/>
          <w:i/>
          <w:iCs/>
          <w:color w:val="000000"/>
        </w:rPr>
        <w:t xml:space="preserve"> River</w:t>
      </w:r>
      <w:r>
        <w:rPr>
          <w:rStyle w:val="selectable"/>
          <w:color w:val="000000"/>
        </w:rPr>
        <w:t xml:space="preserve"> (Peking: Foreign Languages Press, 1984), p. </w:t>
      </w:r>
      <w:r>
        <w:rPr>
          <w:rStyle w:val="selectable"/>
          <w:color w:val="000000"/>
        </w:rPr>
        <w:t>418</w:t>
      </w:r>
      <w:r>
        <w:rPr>
          <w:rStyle w:val="selectable"/>
          <w:color w:val="000000"/>
        </w:rPr>
        <w:t>.</w:t>
      </w:r>
    </w:p>
  </w:footnote>
  <w:footnote w:id="2">
    <w:p w14:paraId="213FD2AC" w14:textId="429C1CB1" w:rsidR="00DE4264" w:rsidRPr="00DE4264" w:rsidRDefault="00DE4264">
      <w:pPr>
        <w:pStyle w:val="FootnoteText"/>
        <w:rPr>
          <w:lang w:val="en-GB"/>
        </w:rPr>
      </w:pPr>
      <w:r>
        <w:rPr>
          <w:rStyle w:val="FootnoteReference"/>
        </w:rPr>
        <w:footnoteRef/>
      </w:r>
      <w:r>
        <w:t xml:space="preserve"> </w:t>
      </w:r>
      <w:r>
        <w:rPr>
          <w:lang w:val="en-GB"/>
        </w:rPr>
        <w:t>Ding. p. 419</w:t>
      </w:r>
    </w:p>
  </w:footnote>
  <w:footnote w:id="3">
    <w:p w14:paraId="3B3B5C18" w14:textId="67DF5BCF" w:rsidR="002413CE" w:rsidRPr="002413CE" w:rsidRDefault="002413CE">
      <w:pPr>
        <w:pStyle w:val="FootnoteText"/>
        <w:rPr>
          <w:lang w:val="en-GB"/>
        </w:rPr>
      </w:pPr>
      <w:r>
        <w:rPr>
          <w:rStyle w:val="FootnoteReference"/>
        </w:rPr>
        <w:footnoteRef/>
      </w:r>
      <w:r>
        <w:t xml:space="preserve"> </w:t>
      </w:r>
      <w:r>
        <w:rPr>
          <w:lang w:val="en-GB"/>
        </w:rPr>
        <w:t>Ding. p. 420</w:t>
      </w:r>
    </w:p>
  </w:footnote>
  <w:footnote w:id="4">
    <w:p w14:paraId="58B9FFC0" w14:textId="44C4E868" w:rsidR="00DE4264" w:rsidRPr="00DE4264" w:rsidRDefault="00DE4264">
      <w:pPr>
        <w:pStyle w:val="FootnoteText"/>
        <w:rPr>
          <w:lang w:val="en-GB"/>
        </w:rPr>
      </w:pPr>
      <w:r>
        <w:rPr>
          <w:rStyle w:val="FootnoteReference"/>
        </w:rPr>
        <w:footnoteRef/>
      </w:r>
      <w:r>
        <w:t xml:space="preserve"> </w:t>
      </w:r>
      <w:r>
        <w:rPr>
          <w:lang w:val="en-GB"/>
        </w:rPr>
        <w:t>Ding. p. 419</w:t>
      </w:r>
    </w:p>
  </w:footnote>
  <w:footnote w:id="5">
    <w:p w14:paraId="319F4AA2" w14:textId="3ABBA432" w:rsidR="00916481" w:rsidRPr="00916481" w:rsidRDefault="00916481">
      <w:pPr>
        <w:pStyle w:val="FootnoteText"/>
        <w:rPr>
          <w:lang w:val="en-GB"/>
        </w:rPr>
      </w:pPr>
      <w:r>
        <w:rPr>
          <w:rStyle w:val="FootnoteReference"/>
        </w:rPr>
        <w:footnoteRef/>
      </w:r>
      <w:r>
        <w:t xml:space="preserve"> </w:t>
      </w:r>
      <w:r>
        <w:rPr>
          <w:lang w:val="en-GB"/>
        </w:rPr>
        <w:t>Ding. p. 419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611"/>
    <w:rsid w:val="00055058"/>
    <w:rsid w:val="000A78BF"/>
    <w:rsid w:val="000C68EB"/>
    <w:rsid w:val="00197300"/>
    <w:rsid w:val="002114E2"/>
    <w:rsid w:val="002413CE"/>
    <w:rsid w:val="002A23E1"/>
    <w:rsid w:val="003C7F85"/>
    <w:rsid w:val="004019B3"/>
    <w:rsid w:val="00411AB8"/>
    <w:rsid w:val="00454E1A"/>
    <w:rsid w:val="004D2B08"/>
    <w:rsid w:val="004D7A02"/>
    <w:rsid w:val="00510D4A"/>
    <w:rsid w:val="00512213"/>
    <w:rsid w:val="0053728B"/>
    <w:rsid w:val="00554193"/>
    <w:rsid w:val="005A7706"/>
    <w:rsid w:val="005C00EA"/>
    <w:rsid w:val="005E427A"/>
    <w:rsid w:val="00612D45"/>
    <w:rsid w:val="00630F65"/>
    <w:rsid w:val="006A0207"/>
    <w:rsid w:val="006A29C3"/>
    <w:rsid w:val="006E5B4E"/>
    <w:rsid w:val="00744F66"/>
    <w:rsid w:val="00787411"/>
    <w:rsid w:val="007975D3"/>
    <w:rsid w:val="007D58A1"/>
    <w:rsid w:val="007E085B"/>
    <w:rsid w:val="007E7EF7"/>
    <w:rsid w:val="007F3BAD"/>
    <w:rsid w:val="00825C10"/>
    <w:rsid w:val="00863718"/>
    <w:rsid w:val="00884D0F"/>
    <w:rsid w:val="008955AD"/>
    <w:rsid w:val="008A47FD"/>
    <w:rsid w:val="00916481"/>
    <w:rsid w:val="00957611"/>
    <w:rsid w:val="009667F8"/>
    <w:rsid w:val="009934BB"/>
    <w:rsid w:val="009A0F40"/>
    <w:rsid w:val="009F5337"/>
    <w:rsid w:val="00AF2CF9"/>
    <w:rsid w:val="00B21A02"/>
    <w:rsid w:val="00B63423"/>
    <w:rsid w:val="00C1604E"/>
    <w:rsid w:val="00C6447F"/>
    <w:rsid w:val="00CE662F"/>
    <w:rsid w:val="00D7497F"/>
    <w:rsid w:val="00DB18CC"/>
    <w:rsid w:val="00DC5D70"/>
    <w:rsid w:val="00DD5BCF"/>
    <w:rsid w:val="00DE3A17"/>
    <w:rsid w:val="00DE4264"/>
    <w:rsid w:val="00E3061E"/>
    <w:rsid w:val="00E45785"/>
    <w:rsid w:val="00E60045"/>
    <w:rsid w:val="00E834AA"/>
    <w:rsid w:val="00E83DD8"/>
    <w:rsid w:val="00F83E5D"/>
    <w:rsid w:val="00F92354"/>
    <w:rsid w:val="00FC6669"/>
    <w:rsid w:val="00FC72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69814"/>
  <w15:chartTrackingRefBased/>
  <w15:docId w15:val="{B4C2C1DF-7238-440A-9AAE-CB46E2931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4D2B08"/>
  </w:style>
  <w:style w:type="paragraph" w:styleId="FootnoteText">
    <w:name w:val="footnote text"/>
    <w:basedOn w:val="Normal"/>
    <w:link w:val="FootnoteTextChar"/>
    <w:uiPriority w:val="99"/>
    <w:semiHidden/>
    <w:unhideWhenUsed/>
    <w:rsid w:val="00DE4264"/>
    <w:pPr>
      <w:snapToGrid w:val="0"/>
      <w:jc w:val="left"/>
    </w:pPr>
    <w:rPr>
      <w:sz w:val="18"/>
      <w:szCs w:val="18"/>
    </w:rPr>
  </w:style>
  <w:style w:type="character" w:customStyle="1" w:styleId="FootnoteTextChar">
    <w:name w:val="Footnote Text Char"/>
    <w:basedOn w:val="DefaultParagraphFont"/>
    <w:link w:val="FootnoteText"/>
    <w:uiPriority w:val="99"/>
    <w:semiHidden/>
    <w:rsid w:val="00DE4264"/>
    <w:rPr>
      <w:sz w:val="18"/>
      <w:szCs w:val="18"/>
    </w:rPr>
  </w:style>
  <w:style w:type="character" w:styleId="FootnoteReference">
    <w:name w:val="footnote reference"/>
    <w:basedOn w:val="DefaultParagraphFont"/>
    <w:uiPriority w:val="99"/>
    <w:semiHidden/>
    <w:unhideWhenUsed/>
    <w:rsid w:val="00DE42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C3029-3B86-43CA-AC4A-95F663C5D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498</Words>
  <Characters>2842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Wright (1700885)</dc:creator>
  <cp:keywords/>
  <dc:description/>
  <cp:lastModifiedBy>Elizabeth Wright (1700885)</cp:lastModifiedBy>
  <cp:revision>62</cp:revision>
  <dcterms:created xsi:type="dcterms:W3CDTF">2018-12-17T15:30:00Z</dcterms:created>
  <dcterms:modified xsi:type="dcterms:W3CDTF">2018-12-20T17:24:00Z</dcterms:modified>
</cp:coreProperties>
</file>