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0B87DC1B" w:rsidR="007D1947" w:rsidRDefault="00D8639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GLOBAL Challenges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18287625" w:rsidR="007D1947" w:rsidRDefault="00B01C7C">
              <w:pPr>
                <w:pStyle w:val="NoSpacing"/>
                <w:jc w:val="center"/>
                <w:rPr>
                  <w:color w:val="5B9BD5" w:themeColor="accent1"/>
                  <w:sz w:val="28"/>
                  <w:szCs w:val="28"/>
                </w:rPr>
              </w:pPr>
              <w:r w:rsidRPr="00B01C7C">
                <w:rPr>
                  <w:color w:val="5B9BD5" w:themeColor="accent1"/>
                  <w:sz w:val="28"/>
                  <w:szCs w:val="28"/>
                </w:rPr>
                <w:t>AI Governance, Risk and Trust Strategy: Advisory Report for Unilever</w:t>
              </w:r>
            </w:p>
          </w:sdtContent>
        </w:sdt>
        <w:p w14:paraId="48F46D94" w14:textId="2C93B0AA" w:rsidR="00016EBB" w:rsidRDefault="007D1947" w:rsidP="00D8639D">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38ED2E2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1CB236" w14:textId="77777777" w:rsidR="00016EBB" w:rsidRDefault="00016EBB">
          <w:pPr>
            <w:pStyle w:val="NoSpacing"/>
            <w:spacing w:before="480"/>
            <w:jc w:val="center"/>
            <w:rPr>
              <w:color w:val="5B9BD5" w:themeColor="accent1"/>
            </w:rPr>
          </w:pPr>
          <w:r>
            <w:rPr>
              <w:color w:val="5B9BD5" w:themeColor="accent1"/>
            </w:rPr>
            <w:t>Module Title: Global Business Challenges BMMB7006</w:t>
          </w:r>
        </w:p>
        <w:p w14:paraId="3BEDAD97" w14:textId="77777777" w:rsidR="00016EBB" w:rsidRDefault="00016EBB">
          <w:pPr>
            <w:pStyle w:val="NoSpacing"/>
            <w:spacing w:before="480"/>
            <w:jc w:val="center"/>
            <w:rPr>
              <w:color w:val="5B9BD5" w:themeColor="accent1"/>
            </w:rPr>
          </w:pPr>
          <w:r>
            <w:rPr>
              <w:color w:val="5B9BD5" w:themeColor="accent1"/>
            </w:rPr>
            <w:t xml:space="preserve">Student name: Hani </w:t>
          </w:r>
          <w:proofErr w:type="spellStart"/>
          <w:r>
            <w:rPr>
              <w:color w:val="5B9BD5" w:themeColor="accent1"/>
            </w:rPr>
            <w:t>Rosteenmehr</w:t>
          </w:r>
          <w:proofErr w:type="spellEnd"/>
        </w:p>
        <w:p w14:paraId="282949E1" w14:textId="77777777" w:rsidR="00016EBB" w:rsidRDefault="00016EBB">
          <w:pPr>
            <w:pStyle w:val="NoSpacing"/>
            <w:spacing w:before="480"/>
            <w:jc w:val="center"/>
            <w:rPr>
              <w:color w:val="5B9BD5" w:themeColor="accent1"/>
            </w:rPr>
          </w:pPr>
          <w:r>
            <w:rPr>
              <w:color w:val="5B9BD5" w:themeColor="accent1"/>
            </w:rPr>
            <w:t>Student number: 2118863</w:t>
          </w:r>
        </w:p>
        <w:p w14:paraId="53041647" w14:textId="77777777" w:rsidR="00016EBB" w:rsidRDefault="00016EBB">
          <w:pPr>
            <w:pStyle w:val="NoSpacing"/>
            <w:spacing w:before="480"/>
            <w:jc w:val="center"/>
            <w:rPr>
              <w:color w:val="5B9BD5" w:themeColor="accent1"/>
            </w:rPr>
          </w:pPr>
          <w:r>
            <w:rPr>
              <w:color w:val="5B9BD5" w:themeColor="accent1"/>
            </w:rPr>
            <w:t>Lecturer: Rebecca Francis-Davies</w:t>
          </w:r>
        </w:p>
        <w:p w14:paraId="2305211A" w14:textId="71AB62CE" w:rsidR="00296D2C" w:rsidRDefault="00296D2C">
          <w:pPr>
            <w:pStyle w:val="NoSpacing"/>
            <w:spacing w:before="480"/>
            <w:jc w:val="center"/>
            <w:rPr>
              <w:color w:val="5B9BD5" w:themeColor="accent1"/>
            </w:rPr>
          </w:pPr>
        </w:p>
        <w:p w14:paraId="078A531F" w14:textId="3A15867D" w:rsidR="007D1947" w:rsidRPr="001E1C96" w:rsidRDefault="00AF6FE2" w:rsidP="001E1C96">
          <w:pPr>
            <w:pStyle w:val="Heading1"/>
            <w:spacing w:line="360" w:lineRule="auto"/>
            <w:jc w:val="both"/>
            <w:rPr>
              <w:rFonts w:ascii="Times New Roman" w:hAnsi="Times New Roman" w:cs="Times New Roman"/>
              <w:sz w:val="24"/>
              <w:szCs w:val="24"/>
            </w:rPr>
          </w:pPr>
          <w:r>
            <w:rPr>
              <w:noProof/>
              <w:color w:val="5B9BD5" w:themeColor="accent1"/>
              <w:lang w:eastAsia="en-GB"/>
            </w:rPr>
            <mc:AlternateContent>
              <mc:Choice Requires="wps">
                <w:drawing>
                  <wp:anchor distT="0" distB="0" distL="114300" distR="114300" simplePos="0" relativeHeight="251659264" behindDoc="0" locked="0" layoutInCell="1" allowOverlap="1" wp14:anchorId="66D53C21" wp14:editId="1D70AC36">
                    <wp:simplePos x="0" y="0"/>
                    <wp:positionH relativeFrom="margin">
                      <wp:posOffset>0</wp:posOffset>
                    </wp:positionH>
                    <wp:positionV relativeFrom="page">
                      <wp:posOffset>7054215</wp:posOffset>
                    </wp:positionV>
                    <wp:extent cx="5731510" cy="589915"/>
                    <wp:effectExtent l="0" t="0" r="10160" b="825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17EB606" w14:textId="1C952786" w:rsidR="00AF6FE2" w:rsidRDefault="00AF6FE2">
                                    <w:pPr>
                                      <w:pStyle w:val="NoSpacing"/>
                                      <w:spacing w:after="40"/>
                                      <w:jc w:val="center"/>
                                      <w:rPr>
                                        <w:caps/>
                                        <w:color w:val="5B9BD5" w:themeColor="accent1"/>
                                        <w:sz w:val="28"/>
                                        <w:szCs w:val="28"/>
                                      </w:rPr>
                                    </w:pPr>
                                    <w:r>
                                      <w:rPr>
                                        <w:caps/>
                                        <w:color w:val="5B9BD5" w:themeColor="accent1"/>
                                        <w:sz w:val="28"/>
                                        <w:szCs w:val="28"/>
                                      </w:rPr>
                                      <w:t>27/04/2020</w:t>
                                    </w:r>
                                  </w:p>
                                </w:sdtContent>
                              </w:sdt>
                              <w:p w14:paraId="6519DEEA" w14:textId="5234FAD6" w:rsidR="00AF6FE2" w:rsidRDefault="00AF6FE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2C89B5F0" w14:textId="77777777" w:rsidR="00AF6FE2" w:rsidRDefault="00AF6FE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D53C21" id="_x0000_t202" coordsize="21600,21600" o:spt="202" path="m,l,21600r21600,l21600,xe">
                    <v:stroke joinstyle="miter"/>
                    <v:path gradientshapeok="t" o:connecttype="rect"/>
                  </v:shapetype>
                  <v:shape id="Text Box 142" o:spid="_x0000_s1026" type="#_x0000_t202" style="position:absolute;left:0;text-align:left;margin-left:0;margin-top:555.45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pXkW9gAgAAPAUAAA4AAABkcnMvZTJvRG9jLnhtbKxU32/aMBB+n7T/wfL7CLSiayNCxaiY&#13;&#10;JlVtVTr12Tg2RHN83tmQsL9+Z4dAxfbSaS/Oxff7u+88uW1rw3YKfQW24KPBkDNlJZSVXRf8+8vi&#13;&#10;0zVnPghbCgNWFXyvPL+dfvwwaVyuLmADplTIKIj1eeMKvgnB5Vnm5UbVwg/AKUtKDViLQL+4zkoU&#13;&#10;DUWvTXYxHF5lDWDpEKTynm7vOiWfpvhaKxketfYqMFNwqi2kE9O5Smc2nYh8jcJtKnmoQ/xDGbWo&#13;&#10;LGU9hroTQbAtVn+EqiuJ4EGHgYQ6A60rqVIT1M5oeNbOciOcSs0QOt4dcfL/L6x82C3dE7LQfoGW&#13;&#10;JsgZIdI4n3u6jQ21Guv4pVIZGRCI+xNwqg1M0u348+VoPCKdJOX4+uZmNE6BspO/Qx++KqhZFAqO&#13;&#10;NJoEmNjd+xCTkm1vE/NZWFTGRIXIjWVNwa8ux8PkclKRj7HRQqVZ95FO9Scp7I3qwjwrzaoytREv&#13;&#10;Es3U3CDbCSKIkFLZ0EGQIpN5NNNUyLs8Dw6nwt7l3fXS5wYbjt51ZQETBGeVlz+OVevOgfB803sU&#13;&#10;Q7tq++GuoNzT0BG6hfBOLioay73w4UkgLQCNkrY6PNKhDRD4cJA42wD++tt9tCdekpazhhaq4P7n&#13;&#10;VqDizHyzxNi4fr2AvbDqBbut50AzoD6omiSSAwbTixqhfqVln8UspBJWUq6Cr3pxHrq9psdCqtks&#13;&#10;GdGOORHu7dLJGDoOJHLspX0V6A5MDETiB+hXTeTnhOyME13cbBuIlh1dI6YdjgesaUMTiw+vSXwC&#13;&#10;3v4nq9OjN/0NAAD//wMAUEsDBBQABgAIAAAAIQBCUKfi5QAAABABAAAPAAAAZHJzL2Rvd25yZXYu&#13;&#10;eG1sTI9BT8MwDIXvSPyHyEhcEEtapI11TScE44CQEAwOcEsb01RrnKrJtsKvx5zgYsnvyc/vK9eT&#13;&#10;78UBx9gF0pDNFAikJtiOWg1vr/eX1yBiMmRNHwg1fGGEdXV6UprChiO94GGbWsEhFAujwaU0FFLG&#13;&#10;xqE3cRYGJPY+w+hN4nVspR3NkcN9L3Ol5tKbjviDMwPeOmx2273X8BAfv6PbTO/PT4tNfVEv7O5j&#13;&#10;Slqfn013Kx43KxAJp/R3Ab8M3B8qLlaHPdkoeg1Mk1jNMrUEwf5S5XMQNUu5umIyWZXyP0j1AwAA&#13;&#10;//8DAFBLAQItABQABgAIAAAAIQBaIpOj/wAAAOUBAAATAAAAAAAAAAAAAAAAAAAAAABbQ29udGVu&#13;&#10;dF9UeXBlc10ueG1sUEsBAi0AFAAGAAgAAAAhAKdKzzjXAAAAlgEAAAsAAAAAAAAAAAAAAAAAMAEA&#13;&#10;AF9yZWxzLy5yZWxzUEsBAi0AFAAGAAgAAAAhALpXkW9gAgAAPAUAAA4AAAAAAAAAAAAAAAAAMAIA&#13;&#10;AGRycy9lMm9Eb2MueG1sUEsBAi0AFAAGAAgAAAAhAEJQp+LlAAAAEAEAAA8AAAAAAAAAAAAAAAAA&#13;&#10;vAQAAGRycy9kb3ducmV2LnhtbFBLBQYAAAAABAAEAPMAAADO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17EB606" w14:textId="1C952786" w:rsidR="00AF6FE2" w:rsidRDefault="00AF6FE2">
                              <w:pPr>
                                <w:pStyle w:val="NoSpacing"/>
                                <w:spacing w:after="40"/>
                                <w:jc w:val="center"/>
                                <w:rPr>
                                  <w:caps/>
                                  <w:color w:val="5B9BD5" w:themeColor="accent1"/>
                                  <w:sz w:val="28"/>
                                  <w:szCs w:val="28"/>
                                </w:rPr>
                              </w:pPr>
                              <w:r>
                                <w:rPr>
                                  <w:caps/>
                                  <w:color w:val="5B9BD5" w:themeColor="accent1"/>
                                  <w:sz w:val="28"/>
                                  <w:szCs w:val="28"/>
                                </w:rPr>
                                <w:t>27/04/2020</w:t>
                              </w:r>
                            </w:p>
                          </w:sdtContent>
                        </w:sdt>
                        <w:p w14:paraId="6519DEEA" w14:textId="5234FAD6" w:rsidR="00AF6FE2" w:rsidRDefault="00AF6FE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2C89B5F0" w14:textId="77777777" w:rsidR="00AF6FE2" w:rsidRDefault="00AF6FE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001E1C96">
            <w:br w:type="page"/>
          </w:r>
          <w:bookmarkStart w:id="0" w:name="_Toc228121952"/>
          <w:r w:rsidR="001E1C96" w:rsidRPr="001E1C96">
            <w:rPr>
              <w:rFonts w:ascii="Times New Roman" w:hAnsi="Times New Roman" w:cs="Times New Roman"/>
              <w:sz w:val="24"/>
              <w:szCs w:val="24"/>
            </w:rPr>
            <w:lastRenderedPageBreak/>
            <w:t>EXECUTIVE SUMMARY</w:t>
          </w:r>
          <w:bookmarkEnd w:id="0"/>
        </w:p>
        <w:p w14:paraId="68887936" w14:textId="69CCF788" w:rsidR="001E1C96" w:rsidRPr="001E1C96" w:rsidRDefault="001E08C5" w:rsidP="001E1C96">
          <w:pPr>
            <w:spacing w:line="360" w:lineRule="auto"/>
            <w:jc w:val="both"/>
            <w:rPr>
              <w:rFonts w:ascii="Times New Roman" w:hAnsi="Times New Roman" w:cs="Times New Roman"/>
              <w:sz w:val="24"/>
              <w:szCs w:val="24"/>
            </w:rPr>
          </w:pPr>
          <w:r w:rsidRPr="001E08C5">
            <w:rPr>
              <w:rFonts w:ascii="Times New Roman" w:hAnsi="Times New Roman" w:cs="Times New Roman"/>
              <w:sz w:val="24"/>
              <w:szCs w:val="24"/>
            </w:rPr>
            <w:t>This report explores the risks and opportunities for Unilever in the adoption of artificial intelligence (AI), from regulatory, data, ethical AI, consumer trust and macroeconomic perspectives. It suggests that governance of AI should be seen as a strategic capability essential for long-term business success, not simply a compliance tool.</w:t>
          </w:r>
          <w:r>
            <w:rPr>
              <w:rFonts w:ascii="Times New Roman" w:hAnsi="Times New Roman" w:cs="Times New Roman"/>
              <w:sz w:val="24"/>
              <w:szCs w:val="24"/>
            </w:rPr>
            <w:t xml:space="preserve"> </w:t>
          </w:r>
          <w:r w:rsidRPr="001E08C5">
            <w:rPr>
              <w:rFonts w:ascii="Times New Roman" w:hAnsi="Times New Roman" w:cs="Times New Roman"/>
              <w:sz w:val="24"/>
              <w:szCs w:val="24"/>
            </w:rPr>
            <w:t>One insight is the growing differences in regulatory approaches. The United Kingdom follows a "light touch" principles-based approach, while the European Union has a mandatory, risk-based approach under the EU AI Act. This poses compliance challenges for international companies, but also sets the EU framework as an international best practice. Therefore, compliance with EU regulations can minimise regulatory uncertainty and improve market harmonisation.</w:t>
          </w:r>
          <w:r>
            <w:rPr>
              <w:rFonts w:ascii="Times New Roman" w:hAnsi="Times New Roman" w:cs="Times New Roman"/>
              <w:sz w:val="24"/>
              <w:szCs w:val="24"/>
            </w:rPr>
            <w:t xml:space="preserve"> </w:t>
          </w:r>
          <w:r w:rsidRPr="001E08C5">
            <w:rPr>
              <w:rFonts w:ascii="Times New Roman" w:hAnsi="Times New Roman" w:cs="Times New Roman"/>
              <w:sz w:val="24"/>
              <w:szCs w:val="24"/>
            </w:rPr>
            <w:t xml:space="preserve">The report highlights governance risks associated with data quality and cross-border data issues, bias and </w:t>
          </w:r>
          <w:proofErr w:type="spellStart"/>
          <w:r w:rsidRPr="001E08C5">
            <w:rPr>
              <w:rFonts w:ascii="Times New Roman" w:hAnsi="Times New Roman" w:cs="Times New Roman"/>
              <w:sz w:val="24"/>
              <w:szCs w:val="24"/>
            </w:rPr>
            <w:t>explainability</w:t>
          </w:r>
          <w:proofErr w:type="spellEnd"/>
          <w:r w:rsidRPr="001E08C5">
            <w:rPr>
              <w:rFonts w:ascii="Times New Roman" w:hAnsi="Times New Roman" w:cs="Times New Roman"/>
              <w:sz w:val="24"/>
              <w:szCs w:val="24"/>
            </w:rPr>
            <w:t xml:space="preserve"> of algorithms. These risks pose not only technical but also ethical and reputational concerns, risking a loss of trust. It emphasises the importance of customer trust, as public awareness of the use of AI and data grows. Lack of transparency and accountability can result in reputational loss and loss of consumer trust</w:t>
          </w:r>
          <w:r>
            <w:rPr>
              <w:rFonts w:ascii="Times New Roman" w:hAnsi="Times New Roman" w:cs="Times New Roman"/>
              <w:sz w:val="24"/>
              <w:szCs w:val="24"/>
            </w:rPr>
            <w:t xml:space="preserve">. </w:t>
          </w:r>
          <w:r w:rsidR="00F367D8">
            <w:rPr>
              <w:rFonts w:ascii="Times New Roman" w:hAnsi="Times New Roman" w:cs="Times New Roman"/>
              <w:sz w:val="24"/>
              <w:szCs w:val="24"/>
            </w:rPr>
            <w:t>The</w:t>
          </w:r>
          <w:r w:rsidRPr="001E08C5">
            <w:rPr>
              <w:rFonts w:ascii="Times New Roman" w:hAnsi="Times New Roman" w:cs="Times New Roman"/>
              <w:sz w:val="24"/>
              <w:szCs w:val="24"/>
            </w:rPr>
            <w:t xml:space="preserve"> macroeconomic analysis reveals that ESG, regulatory and investment considerations influence AI strategy. Multilateral institutions highlight the economic opportunities and risks of the misuse of AI, underlining the importance of governance</w:t>
          </w:r>
          <w:r w:rsidR="007C3A7B">
            <w:rPr>
              <w:rFonts w:ascii="Times New Roman" w:hAnsi="Times New Roman" w:cs="Times New Roman"/>
              <w:sz w:val="24"/>
              <w:szCs w:val="24"/>
            </w:rPr>
            <w:t xml:space="preserve"> (</w:t>
          </w:r>
          <w:r w:rsidR="007C3A7B" w:rsidRPr="001E1C96">
            <w:rPr>
              <w:rFonts w:ascii="Times New Roman" w:hAnsi="Times New Roman" w:cs="Times New Roman"/>
              <w:sz w:val="24"/>
              <w:szCs w:val="24"/>
            </w:rPr>
            <w:t>Schwab,</w:t>
          </w:r>
          <w:r w:rsidR="007C3A7B">
            <w:rPr>
              <w:rFonts w:ascii="Times New Roman" w:hAnsi="Times New Roman" w:cs="Times New Roman"/>
              <w:sz w:val="24"/>
              <w:szCs w:val="24"/>
            </w:rPr>
            <w:t xml:space="preserve"> </w:t>
          </w:r>
          <w:r w:rsidR="007C3A7B" w:rsidRPr="001E1C96">
            <w:rPr>
              <w:rFonts w:ascii="Times New Roman" w:hAnsi="Times New Roman" w:cs="Times New Roman"/>
              <w:sz w:val="24"/>
              <w:szCs w:val="24"/>
            </w:rPr>
            <w:t>2023)</w:t>
          </w:r>
          <w:r w:rsidRPr="001E08C5">
            <w:rPr>
              <w:rFonts w:ascii="Times New Roman" w:hAnsi="Times New Roman" w:cs="Times New Roman"/>
              <w:sz w:val="24"/>
              <w:szCs w:val="24"/>
            </w:rPr>
            <w:t>.</w:t>
          </w:r>
          <w:r>
            <w:rPr>
              <w:rFonts w:ascii="Times New Roman" w:hAnsi="Times New Roman" w:cs="Times New Roman"/>
              <w:sz w:val="24"/>
              <w:szCs w:val="24"/>
            </w:rPr>
            <w:t xml:space="preserve"> </w:t>
          </w:r>
          <w:r w:rsidRPr="001E08C5">
            <w:rPr>
              <w:rFonts w:ascii="Times New Roman" w:hAnsi="Times New Roman" w:cs="Times New Roman"/>
              <w:sz w:val="24"/>
              <w:szCs w:val="24"/>
            </w:rPr>
            <w:t>The report proposes a staggered approach to implementation, including establishing an AI governance committee, implementing explainable AI systems, creating a classification system and publishing a Responsible AI report. Centralised governance, with a Chief AI Ethics Officer, is recommended.</w:t>
          </w:r>
          <w:r>
            <w:rPr>
              <w:rFonts w:ascii="Times New Roman" w:hAnsi="Times New Roman" w:cs="Times New Roman"/>
              <w:sz w:val="24"/>
              <w:szCs w:val="24"/>
            </w:rPr>
            <w:t xml:space="preserve"> </w:t>
          </w:r>
          <w:r w:rsidRPr="001E08C5">
            <w:rPr>
              <w:rFonts w:ascii="Times New Roman" w:hAnsi="Times New Roman" w:cs="Times New Roman"/>
              <w:sz w:val="24"/>
              <w:szCs w:val="24"/>
            </w:rPr>
            <w:t>In conclusion, the report notes that effective AI governance allows companies to mitigate risks, gain trust, and gain a competitive advantage</w:t>
          </w:r>
          <w:r w:rsidR="001E1C96" w:rsidRPr="001E1C96">
            <w:rPr>
              <w:rFonts w:ascii="Times New Roman" w:hAnsi="Times New Roman" w:cs="Times New Roman"/>
              <w:sz w:val="24"/>
              <w:szCs w:val="24"/>
            </w:rPr>
            <w:t>.</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2598F19F" w14:textId="77777777" w:rsidR="007D1947" w:rsidRDefault="007D1947"/>
        <w:sdt>
          <w:sdtPr>
            <w:rPr>
              <w:rFonts w:asciiTheme="minorHAnsi" w:eastAsiaTheme="minorHAnsi" w:hAnsiTheme="minorHAnsi" w:cstheme="minorBidi"/>
              <w:b/>
              <w:bCs/>
              <w:color w:val="auto"/>
              <w:sz w:val="22"/>
              <w:szCs w:val="22"/>
              <w:lang w:val="en-GB"/>
            </w:rPr>
            <w:id w:val="-1297214018"/>
            <w:docPartObj>
              <w:docPartGallery w:val="Table of Contents"/>
              <w:docPartUnique/>
            </w:docPartObj>
          </w:sdtPr>
          <w:sdtEndPr>
            <w:rPr>
              <w:noProof/>
            </w:rPr>
          </w:sdtEndPr>
          <w:sdtContent>
            <w:p w14:paraId="1DFECD67" w14:textId="77777777" w:rsidR="007D1947" w:rsidRPr="001E1C96" w:rsidRDefault="007D1947" w:rsidP="001E1C96">
              <w:pPr>
                <w:pStyle w:val="TOCHeading"/>
                <w:jc w:val="center"/>
                <w:rPr>
                  <w:b/>
                  <w:bCs/>
                </w:rPr>
              </w:pPr>
              <w:r w:rsidRPr="001E1C96">
                <w:rPr>
                  <w:b/>
                  <w:bCs/>
                </w:rPr>
                <w:t>Table of Contents</w:t>
              </w:r>
            </w:p>
            <w:p w14:paraId="52A0B190" w14:textId="4572C3D7" w:rsidR="001E1C96" w:rsidRPr="001E1C96" w:rsidRDefault="007D1947" w:rsidP="001E1C96">
              <w:pPr>
                <w:pStyle w:val="TOC1"/>
                <w:tabs>
                  <w:tab w:val="right" w:leader="dot" w:pos="9016"/>
                </w:tabs>
                <w:spacing w:line="360" w:lineRule="auto"/>
                <w:rPr>
                  <w:rFonts w:ascii="Times New Roman" w:eastAsiaTheme="minorEastAsia" w:hAnsi="Times New Roman" w:cs="Times New Roman"/>
                  <w:b/>
                  <w:bCs/>
                  <w:noProof/>
                  <w:sz w:val="24"/>
                  <w:szCs w:val="24"/>
                  <w:lang w:eastAsia="en-GB"/>
                </w:rPr>
              </w:pPr>
              <w:r w:rsidRPr="001E1C96">
                <w:rPr>
                  <w:rFonts w:ascii="Times New Roman" w:hAnsi="Times New Roman" w:cs="Times New Roman"/>
                  <w:b/>
                  <w:bCs/>
                  <w:sz w:val="24"/>
                  <w:szCs w:val="24"/>
                </w:rPr>
                <w:fldChar w:fldCharType="begin"/>
              </w:r>
              <w:r w:rsidRPr="001E1C96">
                <w:rPr>
                  <w:rFonts w:ascii="Times New Roman" w:hAnsi="Times New Roman" w:cs="Times New Roman"/>
                  <w:b/>
                  <w:bCs/>
                  <w:sz w:val="24"/>
                  <w:szCs w:val="24"/>
                </w:rPr>
                <w:instrText xml:space="preserve"> TOC \o "1-3" \h \z \u </w:instrText>
              </w:r>
              <w:r w:rsidRPr="001E1C96">
                <w:rPr>
                  <w:rFonts w:ascii="Times New Roman" w:hAnsi="Times New Roman" w:cs="Times New Roman"/>
                  <w:b/>
                  <w:bCs/>
                  <w:sz w:val="24"/>
                  <w:szCs w:val="24"/>
                </w:rPr>
                <w:fldChar w:fldCharType="separate"/>
              </w:r>
              <w:hyperlink w:anchor="_Toc228121952" w:history="1">
                <w:r w:rsidR="001E1C96" w:rsidRPr="001E1C96">
                  <w:rPr>
                    <w:rStyle w:val="Hyperlink"/>
                    <w:rFonts w:ascii="Times New Roman" w:hAnsi="Times New Roman" w:cs="Times New Roman"/>
                    <w:b/>
                    <w:bCs/>
                    <w:noProof/>
                    <w:sz w:val="24"/>
                    <w:szCs w:val="24"/>
                  </w:rPr>
                  <w:t>EXECUTIVE SUMMARY</w:t>
                </w:r>
                <w:r w:rsidR="001E1C96" w:rsidRPr="001E1C96">
                  <w:rPr>
                    <w:rFonts w:ascii="Times New Roman" w:hAnsi="Times New Roman" w:cs="Times New Roman"/>
                    <w:b/>
                    <w:bCs/>
                    <w:noProof/>
                    <w:webHidden/>
                    <w:sz w:val="24"/>
                    <w:szCs w:val="24"/>
                  </w:rPr>
                  <w:tab/>
                </w:r>
                <w:r w:rsidR="001E1C96" w:rsidRPr="001E1C96">
                  <w:rPr>
                    <w:rFonts w:ascii="Times New Roman" w:hAnsi="Times New Roman" w:cs="Times New Roman"/>
                    <w:b/>
                    <w:bCs/>
                    <w:noProof/>
                    <w:webHidden/>
                    <w:sz w:val="24"/>
                    <w:szCs w:val="24"/>
                  </w:rPr>
                  <w:fldChar w:fldCharType="begin"/>
                </w:r>
                <w:r w:rsidR="001E1C96" w:rsidRPr="001E1C96">
                  <w:rPr>
                    <w:rFonts w:ascii="Times New Roman" w:hAnsi="Times New Roman" w:cs="Times New Roman"/>
                    <w:b/>
                    <w:bCs/>
                    <w:noProof/>
                    <w:webHidden/>
                    <w:sz w:val="24"/>
                    <w:szCs w:val="24"/>
                  </w:rPr>
                  <w:instrText xml:space="preserve"> PAGEREF _Toc228121952 \h </w:instrText>
                </w:r>
                <w:r w:rsidR="001E1C96" w:rsidRPr="001E1C96">
                  <w:rPr>
                    <w:rFonts w:ascii="Times New Roman" w:hAnsi="Times New Roman" w:cs="Times New Roman"/>
                    <w:b/>
                    <w:bCs/>
                    <w:noProof/>
                    <w:webHidden/>
                    <w:sz w:val="24"/>
                    <w:szCs w:val="24"/>
                  </w:rPr>
                </w:r>
                <w:r w:rsidR="001E1C96" w:rsidRPr="001E1C96">
                  <w:rPr>
                    <w:rFonts w:ascii="Times New Roman" w:hAnsi="Times New Roman" w:cs="Times New Roman"/>
                    <w:b/>
                    <w:bCs/>
                    <w:noProof/>
                    <w:webHidden/>
                    <w:sz w:val="24"/>
                    <w:szCs w:val="24"/>
                  </w:rPr>
                  <w:fldChar w:fldCharType="separate"/>
                </w:r>
                <w:r w:rsidR="001E1C96" w:rsidRPr="001E1C96">
                  <w:rPr>
                    <w:rFonts w:ascii="Times New Roman" w:hAnsi="Times New Roman" w:cs="Times New Roman"/>
                    <w:b/>
                    <w:bCs/>
                    <w:noProof/>
                    <w:webHidden/>
                    <w:sz w:val="24"/>
                    <w:szCs w:val="24"/>
                  </w:rPr>
                  <w:t>1</w:t>
                </w:r>
                <w:r w:rsidR="001E1C96" w:rsidRPr="001E1C96">
                  <w:rPr>
                    <w:rFonts w:ascii="Times New Roman" w:hAnsi="Times New Roman" w:cs="Times New Roman"/>
                    <w:b/>
                    <w:bCs/>
                    <w:noProof/>
                    <w:webHidden/>
                    <w:sz w:val="24"/>
                    <w:szCs w:val="24"/>
                  </w:rPr>
                  <w:fldChar w:fldCharType="end"/>
                </w:r>
              </w:hyperlink>
            </w:p>
            <w:p w14:paraId="79C8C62A" w14:textId="0D60B503" w:rsidR="001E1C96" w:rsidRPr="001E1C96" w:rsidRDefault="001E1C96" w:rsidP="001E1C96">
              <w:pPr>
                <w:pStyle w:val="TOC1"/>
                <w:tabs>
                  <w:tab w:val="right" w:leader="dot" w:pos="9016"/>
                </w:tabs>
                <w:spacing w:line="360" w:lineRule="auto"/>
                <w:rPr>
                  <w:rFonts w:ascii="Times New Roman" w:eastAsiaTheme="minorEastAsia" w:hAnsi="Times New Roman" w:cs="Times New Roman"/>
                  <w:b/>
                  <w:bCs/>
                  <w:noProof/>
                  <w:sz w:val="24"/>
                  <w:szCs w:val="24"/>
                  <w:lang w:eastAsia="en-GB"/>
                </w:rPr>
              </w:pPr>
              <w:hyperlink w:anchor="_Toc228121953" w:history="1">
                <w:r w:rsidRPr="001E1C96">
                  <w:rPr>
                    <w:rStyle w:val="Hyperlink"/>
                    <w:rFonts w:ascii="Times New Roman" w:hAnsi="Times New Roman" w:cs="Times New Roman"/>
                    <w:b/>
                    <w:bCs/>
                    <w:noProof/>
                    <w:sz w:val="24"/>
                    <w:szCs w:val="24"/>
                  </w:rPr>
                  <w:t>INTRODUCTION</w:t>
                </w:r>
                <w:r w:rsidRPr="001E1C96">
                  <w:rPr>
                    <w:rFonts w:ascii="Times New Roman" w:hAnsi="Times New Roman" w:cs="Times New Roman"/>
                    <w:b/>
                    <w:bCs/>
                    <w:noProof/>
                    <w:webHidden/>
                    <w:sz w:val="24"/>
                    <w:szCs w:val="24"/>
                  </w:rPr>
                  <w:tab/>
                </w:r>
                <w:r w:rsidRPr="001E1C96">
                  <w:rPr>
                    <w:rFonts w:ascii="Times New Roman" w:hAnsi="Times New Roman" w:cs="Times New Roman"/>
                    <w:b/>
                    <w:bCs/>
                    <w:noProof/>
                    <w:webHidden/>
                    <w:sz w:val="24"/>
                    <w:szCs w:val="24"/>
                  </w:rPr>
                  <w:fldChar w:fldCharType="begin"/>
                </w:r>
                <w:r w:rsidRPr="001E1C96">
                  <w:rPr>
                    <w:rFonts w:ascii="Times New Roman" w:hAnsi="Times New Roman" w:cs="Times New Roman"/>
                    <w:b/>
                    <w:bCs/>
                    <w:noProof/>
                    <w:webHidden/>
                    <w:sz w:val="24"/>
                    <w:szCs w:val="24"/>
                  </w:rPr>
                  <w:instrText xml:space="preserve"> PAGEREF _Toc228121953 \h </w:instrText>
                </w:r>
                <w:r w:rsidRPr="001E1C96">
                  <w:rPr>
                    <w:rFonts w:ascii="Times New Roman" w:hAnsi="Times New Roman" w:cs="Times New Roman"/>
                    <w:b/>
                    <w:bCs/>
                    <w:noProof/>
                    <w:webHidden/>
                    <w:sz w:val="24"/>
                    <w:szCs w:val="24"/>
                  </w:rPr>
                </w:r>
                <w:r w:rsidRPr="001E1C96">
                  <w:rPr>
                    <w:rFonts w:ascii="Times New Roman" w:hAnsi="Times New Roman" w:cs="Times New Roman"/>
                    <w:b/>
                    <w:bCs/>
                    <w:noProof/>
                    <w:webHidden/>
                    <w:sz w:val="24"/>
                    <w:szCs w:val="24"/>
                  </w:rPr>
                  <w:fldChar w:fldCharType="separate"/>
                </w:r>
                <w:r w:rsidRPr="001E1C96">
                  <w:rPr>
                    <w:rFonts w:ascii="Times New Roman" w:hAnsi="Times New Roman" w:cs="Times New Roman"/>
                    <w:b/>
                    <w:bCs/>
                    <w:noProof/>
                    <w:webHidden/>
                    <w:sz w:val="24"/>
                    <w:szCs w:val="24"/>
                  </w:rPr>
                  <w:t>4</w:t>
                </w:r>
                <w:r w:rsidRPr="001E1C96">
                  <w:rPr>
                    <w:rFonts w:ascii="Times New Roman" w:hAnsi="Times New Roman" w:cs="Times New Roman"/>
                    <w:b/>
                    <w:bCs/>
                    <w:noProof/>
                    <w:webHidden/>
                    <w:sz w:val="24"/>
                    <w:szCs w:val="24"/>
                  </w:rPr>
                  <w:fldChar w:fldCharType="end"/>
                </w:r>
              </w:hyperlink>
            </w:p>
            <w:p w14:paraId="266725D5" w14:textId="2FA817C4" w:rsidR="001E1C96" w:rsidRPr="001E1C96" w:rsidRDefault="001E1C96" w:rsidP="001E1C96">
              <w:pPr>
                <w:pStyle w:val="TOC1"/>
                <w:tabs>
                  <w:tab w:val="right" w:leader="dot" w:pos="9016"/>
                </w:tabs>
                <w:spacing w:line="360" w:lineRule="auto"/>
                <w:rPr>
                  <w:rFonts w:ascii="Times New Roman" w:eastAsiaTheme="minorEastAsia" w:hAnsi="Times New Roman" w:cs="Times New Roman"/>
                  <w:b/>
                  <w:bCs/>
                  <w:noProof/>
                  <w:sz w:val="24"/>
                  <w:szCs w:val="24"/>
                  <w:lang w:eastAsia="en-GB"/>
                </w:rPr>
              </w:pPr>
              <w:hyperlink w:anchor="_Toc228121954" w:history="1">
                <w:r w:rsidRPr="001E1C96">
                  <w:rPr>
                    <w:rStyle w:val="Hyperlink"/>
                    <w:rFonts w:ascii="Times New Roman" w:hAnsi="Times New Roman" w:cs="Times New Roman"/>
                    <w:b/>
                    <w:bCs/>
                    <w:noProof/>
                    <w:sz w:val="24"/>
                    <w:szCs w:val="24"/>
                  </w:rPr>
                  <w:t>MAIN FINDINGS</w:t>
                </w:r>
                <w:r w:rsidRPr="001E1C96">
                  <w:rPr>
                    <w:rFonts w:ascii="Times New Roman" w:hAnsi="Times New Roman" w:cs="Times New Roman"/>
                    <w:b/>
                    <w:bCs/>
                    <w:noProof/>
                    <w:webHidden/>
                    <w:sz w:val="24"/>
                    <w:szCs w:val="24"/>
                  </w:rPr>
                  <w:tab/>
                </w:r>
                <w:r w:rsidRPr="001E1C96">
                  <w:rPr>
                    <w:rFonts w:ascii="Times New Roman" w:hAnsi="Times New Roman" w:cs="Times New Roman"/>
                    <w:b/>
                    <w:bCs/>
                    <w:noProof/>
                    <w:webHidden/>
                    <w:sz w:val="24"/>
                    <w:szCs w:val="24"/>
                  </w:rPr>
                  <w:fldChar w:fldCharType="begin"/>
                </w:r>
                <w:r w:rsidRPr="001E1C96">
                  <w:rPr>
                    <w:rFonts w:ascii="Times New Roman" w:hAnsi="Times New Roman" w:cs="Times New Roman"/>
                    <w:b/>
                    <w:bCs/>
                    <w:noProof/>
                    <w:webHidden/>
                    <w:sz w:val="24"/>
                    <w:szCs w:val="24"/>
                  </w:rPr>
                  <w:instrText xml:space="preserve"> PAGEREF _Toc228121954 \h </w:instrText>
                </w:r>
                <w:r w:rsidRPr="001E1C96">
                  <w:rPr>
                    <w:rFonts w:ascii="Times New Roman" w:hAnsi="Times New Roman" w:cs="Times New Roman"/>
                    <w:b/>
                    <w:bCs/>
                    <w:noProof/>
                    <w:webHidden/>
                    <w:sz w:val="24"/>
                    <w:szCs w:val="24"/>
                  </w:rPr>
                </w:r>
                <w:r w:rsidRPr="001E1C96">
                  <w:rPr>
                    <w:rFonts w:ascii="Times New Roman" w:hAnsi="Times New Roman" w:cs="Times New Roman"/>
                    <w:b/>
                    <w:bCs/>
                    <w:noProof/>
                    <w:webHidden/>
                    <w:sz w:val="24"/>
                    <w:szCs w:val="24"/>
                  </w:rPr>
                  <w:fldChar w:fldCharType="separate"/>
                </w:r>
                <w:r w:rsidRPr="001E1C96">
                  <w:rPr>
                    <w:rFonts w:ascii="Times New Roman" w:hAnsi="Times New Roman" w:cs="Times New Roman"/>
                    <w:b/>
                    <w:bCs/>
                    <w:noProof/>
                    <w:webHidden/>
                    <w:sz w:val="24"/>
                    <w:szCs w:val="24"/>
                  </w:rPr>
                  <w:t>6</w:t>
                </w:r>
                <w:r w:rsidRPr="001E1C96">
                  <w:rPr>
                    <w:rFonts w:ascii="Times New Roman" w:hAnsi="Times New Roman" w:cs="Times New Roman"/>
                    <w:b/>
                    <w:bCs/>
                    <w:noProof/>
                    <w:webHidden/>
                    <w:sz w:val="24"/>
                    <w:szCs w:val="24"/>
                  </w:rPr>
                  <w:fldChar w:fldCharType="end"/>
                </w:r>
              </w:hyperlink>
            </w:p>
            <w:p w14:paraId="5E23177F" w14:textId="6BD091D7" w:rsidR="001E1C96" w:rsidRPr="001E1C96" w:rsidRDefault="001E1C96" w:rsidP="001E1C96">
              <w:pPr>
                <w:pStyle w:val="TOC2"/>
                <w:tabs>
                  <w:tab w:val="right" w:leader="dot" w:pos="9016"/>
                </w:tabs>
                <w:spacing w:line="360" w:lineRule="auto"/>
                <w:rPr>
                  <w:rFonts w:ascii="Times New Roman" w:eastAsiaTheme="minorEastAsia" w:hAnsi="Times New Roman" w:cs="Times New Roman"/>
                  <w:b/>
                  <w:bCs/>
                  <w:noProof/>
                  <w:sz w:val="24"/>
                  <w:szCs w:val="24"/>
                  <w:lang w:eastAsia="en-GB"/>
                </w:rPr>
              </w:pPr>
              <w:hyperlink w:anchor="_Toc228121955" w:history="1">
                <w:r w:rsidRPr="001E1C96">
                  <w:rPr>
                    <w:rStyle w:val="Hyperlink"/>
                    <w:rFonts w:ascii="Times New Roman" w:hAnsi="Times New Roman" w:cs="Times New Roman"/>
                    <w:b/>
                    <w:bCs/>
                    <w:noProof/>
                    <w:sz w:val="24"/>
                    <w:szCs w:val="24"/>
                  </w:rPr>
                  <w:t>2.1 REGULATORY ANALYSIS UK VS EU.</w:t>
                </w:r>
                <w:r w:rsidRPr="001E1C96">
                  <w:rPr>
                    <w:rFonts w:ascii="Times New Roman" w:hAnsi="Times New Roman" w:cs="Times New Roman"/>
                    <w:b/>
                    <w:bCs/>
                    <w:noProof/>
                    <w:webHidden/>
                    <w:sz w:val="24"/>
                    <w:szCs w:val="24"/>
                  </w:rPr>
                  <w:tab/>
                </w:r>
                <w:r w:rsidRPr="001E1C96">
                  <w:rPr>
                    <w:rFonts w:ascii="Times New Roman" w:hAnsi="Times New Roman" w:cs="Times New Roman"/>
                    <w:b/>
                    <w:bCs/>
                    <w:noProof/>
                    <w:webHidden/>
                    <w:sz w:val="24"/>
                    <w:szCs w:val="24"/>
                  </w:rPr>
                  <w:fldChar w:fldCharType="begin"/>
                </w:r>
                <w:r w:rsidRPr="001E1C96">
                  <w:rPr>
                    <w:rFonts w:ascii="Times New Roman" w:hAnsi="Times New Roman" w:cs="Times New Roman"/>
                    <w:b/>
                    <w:bCs/>
                    <w:noProof/>
                    <w:webHidden/>
                    <w:sz w:val="24"/>
                    <w:szCs w:val="24"/>
                  </w:rPr>
                  <w:instrText xml:space="preserve"> PAGEREF _Toc228121955 \h </w:instrText>
                </w:r>
                <w:r w:rsidRPr="001E1C96">
                  <w:rPr>
                    <w:rFonts w:ascii="Times New Roman" w:hAnsi="Times New Roman" w:cs="Times New Roman"/>
                    <w:b/>
                    <w:bCs/>
                    <w:noProof/>
                    <w:webHidden/>
                    <w:sz w:val="24"/>
                    <w:szCs w:val="24"/>
                  </w:rPr>
                </w:r>
                <w:r w:rsidRPr="001E1C96">
                  <w:rPr>
                    <w:rFonts w:ascii="Times New Roman" w:hAnsi="Times New Roman" w:cs="Times New Roman"/>
                    <w:b/>
                    <w:bCs/>
                    <w:noProof/>
                    <w:webHidden/>
                    <w:sz w:val="24"/>
                    <w:szCs w:val="24"/>
                  </w:rPr>
                  <w:fldChar w:fldCharType="separate"/>
                </w:r>
                <w:r w:rsidRPr="001E1C96">
                  <w:rPr>
                    <w:rFonts w:ascii="Times New Roman" w:hAnsi="Times New Roman" w:cs="Times New Roman"/>
                    <w:b/>
                    <w:bCs/>
                    <w:noProof/>
                    <w:webHidden/>
                    <w:sz w:val="24"/>
                    <w:szCs w:val="24"/>
                  </w:rPr>
                  <w:t>6</w:t>
                </w:r>
                <w:r w:rsidRPr="001E1C96">
                  <w:rPr>
                    <w:rFonts w:ascii="Times New Roman" w:hAnsi="Times New Roman" w:cs="Times New Roman"/>
                    <w:b/>
                    <w:bCs/>
                    <w:noProof/>
                    <w:webHidden/>
                    <w:sz w:val="24"/>
                    <w:szCs w:val="24"/>
                  </w:rPr>
                  <w:fldChar w:fldCharType="end"/>
                </w:r>
              </w:hyperlink>
            </w:p>
            <w:p w14:paraId="0349490B" w14:textId="4F917CDF" w:rsidR="001E1C96" w:rsidRPr="001E1C96" w:rsidRDefault="001E1C96" w:rsidP="001E1C96">
              <w:pPr>
                <w:pStyle w:val="TOC2"/>
                <w:tabs>
                  <w:tab w:val="right" w:leader="dot" w:pos="9016"/>
                </w:tabs>
                <w:spacing w:line="360" w:lineRule="auto"/>
                <w:rPr>
                  <w:rFonts w:ascii="Times New Roman" w:eastAsiaTheme="minorEastAsia" w:hAnsi="Times New Roman" w:cs="Times New Roman"/>
                  <w:b/>
                  <w:bCs/>
                  <w:noProof/>
                  <w:sz w:val="24"/>
                  <w:szCs w:val="24"/>
                  <w:lang w:eastAsia="en-GB"/>
                </w:rPr>
              </w:pPr>
              <w:hyperlink w:anchor="_Toc228121956" w:history="1">
                <w:r w:rsidRPr="001E1C96">
                  <w:rPr>
                    <w:rStyle w:val="Hyperlink"/>
                    <w:rFonts w:ascii="Times New Roman" w:hAnsi="Times New Roman" w:cs="Times New Roman"/>
                    <w:b/>
                    <w:bCs/>
                    <w:noProof/>
                    <w:sz w:val="24"/>
                    <w:szCs w:val="24"/>
                  </w:rPr>
                  <w:t>2.2 DATA GOVERNANCE AND RISK MANAGEMENT.</w:t>
                </w:r>
                <w:r w:rsidRPr="001E1C96">
                  <w:rPr>
                    <w:rFonts w:ascii="Times New Roman" w:hAnsi="Times New Roman" w:cs="Times New Roman"/>
                    <w:b/>
                    <w:bCs/>
                    <w:noProof/>
                    <w:webHidden/>
                    <w:sz w:val="24"/>
                    <w:szCs w:val="24"/>
                  </w:rPr>
                  <w:tab/>
                </w:r>
                <w:r w:rsidRPr="001E1C96">
                  <w:rPr>
                    <w:rFonts w:ascii="Times New Roman" w:hAnsi="Times New Roman" w:cs="Times New Roman"/>
                    <w:b/>
                    <w:bCs/>
                    <w:noProof/>
                    <w:webHidden/>
                    <w:sz w:val="24"/>
                    <w:szCs w:val="24"/>
                  </w:rPr>
                  <w:fldChar w:fldCharType="begin"/>
                </w:r>
                <w:r w:rsidRPr="001E1C96">
                  <w:rPr>
                    <w:rFonts w:ascii="Times New Roman" w:hAnsi="Times New Roman" w:cs="Times New Roman"/>
                    <w:b/>
                    <w:bCs/>
                    <w:noProof/>
                    <w:webHidden/>
                    <w:sz w:val="24"/>
                    <w:szCs w:val="24"/>
                  </w:rPr>
                  <w:instrText xml:space="preserve"> PAGEREF _Toc228121956 \h </w:instrText>
                </w:r>
                <w:r w:rsidRPr="001E1C96">
                  <w:rPr>
                    <w:rFonts w:ascii="Times New Roman" w:hAnsi="Times New Roman" w:cs="Times New Roman"/>
                    <w:b/>
                    <w:bCs/>
                    <w:noProof/>
                    <w:webHidden/>
                    <w:sz w:val="24"/>
                    <w:szCs w:val="24"/>
                  </w:rPr>
                </w:r>
                <w:r w:rsidRPr="001E1C96">
                  <w:rPr>
                    <w:rFonts w:ascii="Times New Roman" w:hAnsi="Times New Roman" w:cs="Times New Roman"/>
                    <w:b/>
                    <w:bCs/>
                    <w:noProof/>
                    <w:webHidden/>
                    <w:sz w:val="24"/>
                    <w:szCs w:val="24"/>
                  </w:rPr>
                  <w:fldChar w:fldCharType="separate"/>
                </w:r>
                <w:r w:rsidRPr="001E1C96">
                  <w:rPr>
                    <w:rFonts w:ascii="Times New Roman" w:hAnsi="Times New Roman" w:cs="Times New Roman"/>
                    <w:b/>
                    <w:bCs/>
                    <w:noProof/>
                    <w:webHidden/>
                    <w:sz w:val="24"/>
                    <w:szCs w:val="24"/>
                  </w:rPr>
                  <w:t>8</w:t>
                </w:r>
                <w:r w:rsidRPr="001E1C96">
                  <w:rPr>
                    <w:rFonts w:ascii="Times New Roman" w:hAnsi="Times New Roman" w:cs="Times New Roman"/>
                    <w:b/>
                    <w:bCs/>
                    <w:noProof/>
                    <w:webHidden/>
                    <w:sz w:val="24"/>
                    <w:szCs w:val="24"/>
                  </w:rPr>
                  <w:fldChar w:fldCharType="end"/>
                </w:r>
              </w:hyperlink>
            </w:p>
            <w:p w14:paraId="2D83DFAC" w14:textId="1F6B4F3A" w:rsidR="001E1C96" w:rsidRPr="001E1C96" w:rsidRDefault="001E1C96" w:rsidP="001E1C96">
              <w:pPr>
                <w:pStyle w:val="TOC2"/>
                <w:tabs>
                  <w:tab w:val="right" w:leader="dot" w:pos="9016"/>
                </w:tabs>
                <w:spacing w:line="360" w:lineRule="auto"/>
                <w:rPr>
                  <w:rFonts w:ascii="Times New Roman" w:eastAsiaTheme="minorEastAsia" w:hAnsi="Times New Roman" w:cs="Times New Roman"/>
                  <w:b/>
                  <w:bCs/>
                  <w:noProof/>
                  <w:sz w:val="24"/>
                  <w:szCs w:val="24"/>
                  <w:lang w:eastAsia="en-GB"/>
                </w:rPr>
              </w:pPr>
              <w:hyperlink w:anchor="_Toc228121957" w:history="1">
                <w:r w:rsidRPr="001E1C96">
                  <w:rPr>
                    <w:rStyle w:val="Hyperlink"/>
                    <w:rFonts w:ascii="Times New Roman" w:hAnsi="Times New Roman" w:cs="Times New Roman"/>
                    <w:b/>
                    <w:bCs/>
                    <w:noProof/>
                    <w:sz w:val="24"/>
                    <w:szCs w:val="24"/>
                  </w:rPr>
                  <w:t>2.3 ACCOUNTABILITY OF AI AND ALGORITHMS.</w:t>
                </w:r>
                <w:r w:rsidRPr="001E1C96">
                  <w:rPr>
                    <w:rFonts w:ascii="Times New Roman" w:hAnsi="Times New Roman" w:cs="Times New Roman"/>
                    <w:b/>
                    <w:bCs/>
                    <w:noProof/>
                    <w:webHidden/>
                    <w:sz w:val="24"/>
                    <w:szCs w:val="24"/>
                  </w:rPr>
                  <w:tab/>
                </w:r>
                <w:r w:rsidRPr="001E1C96">
                  <w:rPr>
                    <w:rFonts w:ascii="Times New Roman" w:hAnsi="Times New Roman" w:cs="Times New Roman"/>
                    <w:b/>
                    <w:bCs/>
                    <w:noProof/>
                    <w:webHidden/>
                    <w:sz w:val="24"/>
                    <w:szCs w:val="24"/>
                  </w:rPr>
                  <w:fldChar w:fldCharType="begin"/>
                </w:r>
                <w:r w:rsidRPr="001E1C96">
                  <w:rPr>
                    <w:rFonts w:ascii="Times New Roman" w:hAnsi="Times New Roman" w:cs="Times New Roman"/>
                    <w:b/>
                    <w:bCs/>
                    <w:noProof/>
                    <w:webHidden/>
                    <w:sz w:val="24"/>
                    <w:szCs w:val="24"/>
                  </w:rPr>
                  <w:instrText xml:space="preserve"> PAGEREF _Toc228121957 \h </w:instrText>
                </w:r>
                <w:r w:rsidRPr="001E1C96">
                  <w:rPr>
                    <w:rFonts w:ascii="Times New Roman" w:hAnsi="Times New Roman" w:cs="Times New Roman"/>
                    <w:b/>
                    <w:bCs/>
                    <w:noProof/>
                    <w:webHidden/>
                    <w:sz w:val="24"/>
                    <w:szCs w:val="24"/>
                  </w:rPr>
                </w:r>
                <w:r w:rsidRPr="001E1C96">
                  <w:rPr>
                    <w:rFonts w:ascii="Times New Roman" w:hAnsi="Times New Roman" w:cs="Times New Roman"/>
                    <w:b/>
                    <w:bCs/>
                    <w:noProof/>
                    <w:webHidden/>
                    <w:sz w:val="24"/>
                    <w:szCs w:val="24"/>
                  </w:rPr>
                  <w:fldChar w:fldCharType="separate"/>
                </w:r>
                <w:r w:rsidRPr="001E1C96">
                  <w:rPr>
                    <w:rFonts w:ascii="Times New Roman" w:hAnsi="Times New Roman" w:cs="Times New Roman"/>
                    <w:b/>
                    <w:bCs/>
                    <w:noProof/>
                    <w:webHidden/>
                    <w:sz w:val="24"/>
                    <w:szCs w:val="24"/>
                  </w:rPr>
                  <w:t>10</w:t>
                </w:r>
                <w:r w:rsidRPr="001E1C96">
                  <w:rPr>
                    <w:rFonts w:ascii="Times New Roman" w:hAnsi="Times New Roman" w:cs="Times New Roman"/>
                    <w:b/>
                    <w:bCs/>
                    <w:noProof/>
                    <w:webHidden/>
                    <w:sz w:val="24"/>
                    <w:szCs w:val="24"/>
                  </w:rPr>
                  <w:fldChar w:fldCharType="end"/>
                </w:r>
              </w:hyperlink>
            </w:p>
            <w:p w14:paraId="37289790" w14:textId="44D5DE17" w:rsidR="001E1C96" w:rsidRPr="001E1C96" w:rsidRDefault="001E1C96" w:rsidP="001E1C96">
              <w:pPr>
                <w:pStyle w:val="TOC2"/>
                <w:tabs>
                  <w:tab w:val="right" w:leader="dot" w:pos="9016"/>
                </w:tabs>
                <w:spacing w:line="360" w:lineRule="auto"/>
                <w:rPr>
                  <w:rFonts w:ascii="Times New Roman" w:eastAsiaTheme="minorEastAsia" w:hAnsi="Times New Roman" w:cs="Times New Roman"/>
                  <w:b/>
                  <w:bCs/>
                  <w:noProof/>
                  <w:sz w:val="24"/>
                  <w:szCs w:val="24"/>
                  <w:lang w:eastAsia="en-GB"/>
                </w:rPr>
              </w:pPr>
              <w:hyperlink w:anchor="_Toc228121958" w:history="1">
                <w:r w:rsidRPr="001E1C96">
                  <w:rPr>
                    <w:rStyle w:val="Hyperlink"/>
                    <w:rFonts w:ascii="Times New Roman" w:hAnsi="Times New Roman" w:cs="Times New Roman"/>
                    <w:b/>
                    <w:bCs/>
                    <w:noProof/>
                    <w:sz w:val="24"/>
                    <w:szCs w:val="24"/>
                  </w:rPr>
                  <w:t>2.4 CUSTOMER CONFIDENCE AND STAKEHOLDER MANAGEMENT.</w:t>
                </w:r>
                <w:r w:rsidRPr="001E1C96">
                  <w:rPr>
                    <w:rFonts w:ascii="Times New Roman" w:hAnsi="Times New Roman" w:cs="Times New Roman"/>
                    <w:b/>
                    <w:bCs/>
                    <w:noProof/>
                    <w:webHidden/>
                    <w:sz w:val="24"/>
                    <w:szCs w:val="24"/>
                  </w:rPr>
                  <w:tab/>
                </w:r>
                <w:r w:rsidRPr="001E1C96">
                  <w:rPr>
                    <w:rFonts w:ascii="Times New Roman" w:hAnsi="Times New Roman" w:cs="Times New Roman"/>
                    <w:b/>
                    <w:bCs/>
                    <w:noProof/>
                    <w:webHidden/>
                    <w:sz w:val="24"/>
                    <w:szCs w:val="24"/>
                  </w:rPr>
                  <w:fldChar w:fldCharType="begin"/>
                </w:r>
                <w:r w:rsidRPr="001E1C96">
                  <w:rPr>
                    <w:rFonts w:ascii="Times New Roman" w:hAnsi="Times New Roman" w:cs="Times New Roman"/>
                    <w:b/>
                    <w:bCs/>
                    <w:noProof/>
                    <w:webHidden/>
                    <w:sz w:val="24"/>
                    <w:szCs w:val="24"/>
                  </w:rPr>
                  <w:instrText xml:space="preserve"> PAGEREF _Toc228121958 \h </w:instrText>
                </w:r>
                <w:r w:rsidRPr="001E1C96">
                  <w:rPr>
                    <w:rFonts w:ascii="Times New Roman" w:hAnsi="Times New Roman" w:cs="Times New Roman"/>
                    <w:b/>
                    <w:bCs/>
                    <w:noProof/>
                    <w:webHidden/>
                    <w:sz w:val="24"/>
                    <w:szCs w:val="24"/>
                  </w:rPr>
                </w:r>
                <w:r w:rsidRPr="001E1C96">
                  <w:rPr>
                    <w:rFonts w:ascii="Times New Roman" w:hAnsi="Times New Roman" w:cs="Times New Roman"/>
                    <w:b/>
                    <w:bCs/>
                    <w:noProof/>
                    <w:webHidden/>
                    <w:sz w:val="24"/>
                    <w:szCs w:val="24"/>
                  </w:rPr>
                  <w:fldChar w:fldCharType="separate"/>
                </w:r>
                <w:r w:rsidRPr="001E1C96">
                  <w:rPr>
                    <w:rFonts w:ascii="Times New Roman" w:hAnsi="Times New Roman" w:cs="Times New Roman"/>
                    <w:b/>
                    <w:bCs/>
                    <w:noProof/>
                    <w:webHidden/>
                    <w:sz w:val="24"/>
                    <w:szCs w:val="24"/>
                  </w:rPr>
                  <w:t>11</w:t>
                </w:r>
                <w:r w:rsidRPr="001E1C96">
                  <w:rPr>
                    <w:rFonts w:ascii="Times New Roman" w:hAnsi="Times New Roman" w:cs="Times New Roman"/>
                    <w:b/>
                    <w:bCs/>
                    <w:noProof/>
                    <w:webHidden/>
                    <w:sz w:val="24"/>
                    <w:szCs w:val="24"/>
                  </w:rPr>
                  <w:fldChar w:fldCharType="end"/>
                </w:r>
              </w:hyperlink>
            </w:p>
            <w:p w14:paraId="2B4B4422" w14:textId="55F4D8DF" w:rsidR="001E1C96" w:rsidRPr="001E1C96" w:rsidRDefault="001E1C96" w:rsidP="001E1C96">
              <w:pPr>
                <w:pStyle w:val="TOC2"/>
                <w:tabs>
                  <w:tab w:val="right" w:leader="dot" w:pos="9016"/>
                </w:tabs>
                <w:spacing w:line="360" w:lineRule="auto"/>
                <w:rPr>
                  <w:rFonts w:ascii="Times New Roman" w:eastAsiaTheme="minorEastAsia" w:hAnsi="Times New Roman" w:cs="Times New Roman"/>
                  <w:b/>
                  <w:bCs/>
                  <w:noProof/>
                  <w:sz w:val="24"/>
                  <w:szCs w:val="24"/>
                  <w:lang w:eastAsia="en-GB"/>
                </w:rPr>
              </w:pPr>
              <w:hyperlink w:anchor="_Toc228121959" w:history="1">
                <w:r w:rsidRPr="001E1C96">
                  <w:rPr>
                    <w:rStyle w:val="Hyperlink"/>
                    <w:rFonts w:ascii="Times New Roman" w:hAnsi="Times New Roman" w:cs="Times New Roman"/>
                    <w:b/>
                    <w:bCs/>
                    <w:noProof/>
                    <w:sz w:val="24"/>
                    <w:szCs w:val="24"/>
                  </w:rPr>
                  <w:t>2.5 THE MACROECONOMIC AND STRATEGIC CONTEXT (PESTEL ANALYSIS.</w:t>
                </w:r>
                <w:r w:rsidRPr="001E1C96">
                  <w:rPr>
                    <w:rFonts w:ascii="Times New Roman" w:hAnsi="Times New Roman" w:cs="Times New Roman"/>
                    <w:b/>
                    <w:bCs/>
                    <w:noProof/>
                    <w:webHidden/>
                    <w:sz w:val="24"/>
                    <w:szCs w:val="24"/>
                  </w:rPr>
                  <w:tab/>
                </w:r>
                <w:r w:rsidRPr="001E1C96">
                  <w:rPr>
                    <w:rFonts w:ascii="Times New Roman" w:hAnsi="Times New Roman" w:cs="Times New Roman"/>
                    <w:b/>
                    <w:bCs/>
                    <w:noProof/>
                    <w:webHidden/>
                    <w:sz w:val="24"/>
                    <w:szCs w:val="24"/>
                  </w:rPr>
                  <w:fldChar w:fldCharType="begin"/>
                </w:r>
                <w:r w:rsidRPr="001E1C96">
                  <w:rPr>
                    <w:rFonts w:ascii="Times New Roman" w:hAnsi="Times New Roman" w:cs="Times New Roman"/>
                    <w:b/>
                    <w:bCs/>
                    <w:noProof/>
                    <w:webHidden/>
                    <w:sz w:val="24"/>
                    <w:szCs w:val="24"/>
                  </w:rPr>
                  <w:instrText xml:space="preserve"> PAGEREF _Toc228121959 \h </w:instrText>
                </w:r>
                <w:r w:rsidRPr="001E1C96">
                  <w:rPr>
                    <w:rFonts w:ascii="Times New Roman" w:hAnsi="Times New Roman" w:cs="Times New Roman"/>
                    <w:b/>
                    <w:bCs/>
                    <w:noProof/>
                    <w:webHidden/>
                    <w:sz w:val="24"/>
                    <w:szCs w:val="24"/>
                  </w:rPr>
                </w:r>
                <w:r w:rsidRPr="001E1C96">
                  <w:rPr>
                    <w:rFonts w:ascii="Times New Roman" w:hAnsi="Times New Roman" w:cs="Times New Roman"/>
                    <w:b/>
                    <w:bCs/>
                    <w:noProof/>
                    <w:webHidden/>
                    <w:sz w:val="24"/>
                    <w:szCs w:val="24"/>
                  </w:rPr>
                  <w:fldChar w:fldCharType="separate"/>
                </w:r>
                <w:r w:rsidRPr="001E1C96">
                  <w:rPr>
                    <w:rFonts w:ascii="Times New Roman" w:hAnsi="Times New Roman" w:cs="Times New Roman"/>
                    <w:b/>
                    <w:bCs/>
                    <w:noProof/>
                    <w:webHidden/>
                    <w:sz w:val="24"/>
                    <w:szCs w:val="24"/>
                  </w:rPr>
                  <w:t>12</w:t>
                </w:r>
                <w:r w:rsidRPr="001E1C96">
                  <w:rPr>
                    <w:rFonts w:ascii="Times New Roman" w:hAnsi="Times New Roman" w:cs="Times New Roman"/>
                    <w:b/>
                    <w:bCs/>
                    <w:noProof/>
                    <w:webHidden/>
                    <w:sz w:val="24"/>
                    <w:szCs w:val="24"/>
                  </w:rPr>
                  <w:fldChar w:fldCharType="end"/>
                </w:r>
              </w:hyperlink>
            </w:p>
            <w:p w14:paraId="01819782" w14:textId="54BFEB9A" w:rsidR="001E1C96" w:rsidRPr="001E1C96" w:rsidRDefault="001E1C96" w:rsidP="001E1C96">
              <w:pPr>
                <w:pStyle w:val="TOC2"/>
                <w:tabs>
                  <w:tab w:val="right" w:leader="dot" w:pos="9016"/>
                </w:tabs>
                <w:spacing w:line="360" w:lineRule="auto"/>
                <w:rPr>
                  <w:rFonts w:ascii="Times New Roman" w:eastAsiaTheme="minorEastAsia" w:hAnsi="Times New Roman" w:cs="Times New Roman"/>
                  <w:b/>
                  <w:bCs/>
                  <w:noProof/>
                  <w:sz w:val="24"/>
                  <w:szCs w:val="24"/>
                  <w:lang w:eastAsia="en-GB"/>
                </w:rPr>
              </w:pPr>
              <w:hyperlink w:anchor="_Toc228121960" w:history="1">
                <w:r w:rsidRPr="001E1C96">
                  <w:rPr>
                    <w:rStyle w:val="Hyperlink"/>
                    <w:rFonts w:ascii="Times New Roman" w:hAnsi="Times New Roman" w:cs="Times New Roman"/>
                    <w:b/>
                    <w:bCs/>
                    <w:noProof/>
                    <w:sz w:val="24"/>
                    <w:szCs w:val="24"/>
                  </w:rPr>
                  <w:t>2.6. STRATEGIC FRAMEWORK INTEGRATION</w:t>
                </w:r>
                <w:r w:rsidRPr="001E1C96">
                  <w:rPr>
                    <w:rFonts w:ascii="Times New Roman" w:hAnsi="Times New Roman" w:cs="Times New Roman"/>
                    <w:b/>
                    <w:bCs/>
                    <w:noProof/>
                    <w:webHidden/>
                    <w:sz w:val="24"/>
                    <w:szCs w:val="24"/>
                  </w:rPr>
                  <w:tab/>
                </w:r>
                <w:r w:rsidRPr="001E1C96">
                  <w:rPr>
                    <w:rFonts w:ascii="Times New Roman" w:hAnsi="Times New Roman" w:cs="Times New Roman"/>
                    <w:b/>
                    <w:bCs/>
                    <w:noProof/>
                    <w:webHidden/>
                    <w:sz w:val="24"/>
                    <w:szCs w:val="24"/>
                  </w:rPr>
                  <w:fldChar w:fldCharType="begin"/>
                </w:r>
                <w:r w:rsidRPr="001E1C96">
                  <w:rPr>
                    <w:rFonts w:ascii="Times New Roman" w:hAnsi="Times New Roman" w:cs="Times New Roman"/>
                    <w:b/>
                    <w:bCs/>
                    <w:noProof/>
                    <w:webHidden/>
                    <w:sz w:val="24"/>
                    <w:szCs w:val="24"/>
                  </w:rPr>
                  <w:instrText xml:space="preserve"> PAGEREF _Toc228121960 \h </w:instrText>
                </w:r>
                <w:r w:rsidRPr="001E1C96">
                  <w:rPr>
                    <w:rFonts w:ascii="Times New Roman" w:hAnsi="Times New Roman" w:cs="Times New Roman"/>
                    <w:b/>
                    <w:bCs/>
                    <w:noProof/>
                    <w:webHidden/>
                    <w:sz w:val="24"/>
                    <w:szCs w:val="24"/>
                  </w:rPr>
                </w:r>
                <w:r w:rsidRPr="001E1C96">
                  <w:rPr>
                    <w:rFonts w:ascii="Times New Roman" w:hAnsi="Times New Roman" w:cs="Times New Roman"/>
                    <w:b/>
                    <w:bCs/>
                    <w:noProof/>
                    <w:webHidden/>
                    <w:sz w:val="24"/>
                    <w:szCs w:val="24"/>
                  </w:rPr>
                  <w:fldChar w:fldCharType="separate"/>
                </w:r>
                <w:r w:rsidRPr="001E1C96">
                  <w:rPr>
                    <w:rFonts w:ascii="Times New Roman" w:hAnsi="Times New Roman" w:cs="Times New Roman"/>
                    <w:b/>
                    <w:bCs/>
                    <w:noProof/>
                    <w:webHidden/>
                    <w:sz w:val="24"/>
                    <w:szCs w:val="24"/>
                  </w:rPr>
                  <w:t>14</w:t>
                </w:r>
                <w:r w:rsidRPr="001E1C96">
                  <w:rPr>
                    <w:rFonts w:ascii="Times New Roman" w:hAnsi="Times New Roman" w:cs="Times New Roman"/>
                    <w:b/>
                    <w:bCs/>
                    <w:noProof/>
                    <w:webHidden/>
                    <w:sz w:val="24"/>
                    <w:szCs w:val="24"/>
                  </w:rPr>
                  <w:fldChar w:fldCharType="end"/>
                </w:r>
              </w:hyperlink>
            </w:p>
            <w:p w14:paraId="639E10D2" w14:textId="60DEE3D4" w:rsidR="001E1C96" w:rsidRPr="001E1C96" w:rsidRDefault="001E1C96" w:rsidP="001E1C96">
              <w:pPr>
                <w:pStyle w:val="TOC2"/>
                <w:tabs>
                  <w:tab w:val="right" w:leader="dot" w:pos="9016"/>
                </w:tabs>
                <w:spacing w:line="360" w:lineRule="auto"/>
                <w:rPr>
                  <w:rFonts w:ascii="Times New Roman" w:eastAsiaTheme="minorEastAsia" w:hAnsi="Times New Roman" w:cs="Times New Roman"/>
                  <w:b/>
                  <w:bCs/>
                  <w:noProof/>
                  <w:sz w:val="24"/>
                  <w:szCs w:val="24"/>
                  <w:lang w:eastAsia="en-GB"/>
                </w:rPr>
              </w:pPr>
              <w:hyperlink w:anchor="_Toc228121961" w:history="1">
                <w:r w:rsidRPr="001E1C96">
                  <w:rPr>
                    <w:rStyle w:val="Hyperlink"/>
                    <w:rFonts w:ascii="Times New Roman" w:hAnsi="Times New Roman" w:cs="Times New Roman"/>
                    <w:b/>
                    <w:bCs/>
                    <w:noProof/>
                    <w:sz w:val="24"/>
                    <w:szCs w:val="24"/>
                  </w:rPr>
                  <w:t>2.7. IMPLEMENTATION PLAN</w:t>
                </w:r>
                <w:r w:rsidRPr="001E1C96">
                  <w:rPr>
                    <w:rFonts w:ascii="Times New Roman" w:hAnsi="Times New Roman" w:cs="Times New Roman"/>
                    <w:b/>
                    <w:bCs/>
                    <w:noProof/>
                    <w:webHidden/>
                    <w:sz w:val="24"/>
                    <w:szCs w:val="24"/>
                  </w:rPr>
                  <w:tab/>
                </w:r>
                <w:r w:rsidRPr="001E1C96">
                  <w:rPr>
                    <w:rFonts w:ascii="Times New Roman" w:hAnsi="Times New Roman" w:cs="Times New Roman"/>
                    <w:b/>
                    <w:bCs/>
                    <w:noProof/>
                    <w:webHidden/>
                    <w:sz w:val="24"/>
                    <w:szCs w:val="24"/>
                  </w:rPr>
                  <w:fldChar w:fldCharType="begin"/>
                </w:r>
                <w:r w:rsidRPr="001E1C96">
                  <w:rPr>
                    <w:rFonts w:ascii="Times New Roman" w:hAnsi="Times New Roman" w:cs="Times New Roman"/>
                    <w:b/>
                    <w:bCs/>
                    <w:noProof/>
                    <w:webHidden/>
                    <w:sz w:val="24"/>
                    <w:szCs w:val="24"/>
                  </w:rPr>
                  <w:instrText xml:space="preserve"> PAGEREF _Toc228121961 \h </w:instrText>
                </w:r>
                <w:r w:rsidRPr="001E1C96">
                  <w:rPr>
                    <w:rFonts w:ascii="Times New Roman" w:hAnsi="Times New Roman" w:cs="Times New Roman"/>
                    <w:b/>
                    <w:bCs/>
                    <w:noProof/>
                    <w:webHidden/>
                    <w:sz w:val="24"/>
                    <w:szCs w:val="24"/>
                  </w:rPr>
                </w:r>
                <w:r w:rsidRPr="001E1C96">
                  <w:rPr>
                    <w:rFonts w:ascii="Times New Roman" w:hAnsi="Times New Roman" w:cs="Times New Roman"/>
                    <w:b/>
                    <w:bCs/>
                    <w:noProof/>
                    <w:webHidden/>
                    <w:sz w:val="24"/>
                    <w:szCs w:val="24"/>
                  </w:rPr>
                  <w:fldChar w:fldCharType="separate"/>
                </w:r>
                <w:r w:rsidRPr="001E1C96">
                  <w:rPr>
                    <w:rFonts w:ascii="Times New Roman" w:hAnsi="Times New Roman" w:cs="Times New Roman"/>
                    <w:b/>
                    <w:bCs/>
                    <w:noProof/>
                    <w:webHidden/>
                    <w:sz w:val="24"/>
                    <w:szCs w:val="24"/>
                  </w:rPr>
                  <w:t>16</w:t>
                </w:r>
                <w:r w:rsidRPr="001E1C96">
                  <w:rPr>
                    <w:rFonts w:ascii="Times New Roman" w:hAnsi="Times New Roman" w:cs="Times New Roman"/>
                    <w:b/>
                    <w:bCs/>
                    <w:noProof/>
                    <w:webHidden/>
                    <w:sz w:val="24"/>
                    <w:szCs w:val="24"/>
                  </w:rPr>
                  <w:fldChar w:fldCharType="end"/>
                </w:r>
              </w:hyperlink>
            </w:p>
            <w:p w14:paraId="41F823C7" w14:textId="5A0883D5" w:rsidR="001E1C96" w:rsidRPr="001E1C96" w:rsidRDefault="001E1C96" w:rsidP="001E1C96">
              <w:pPr>
                <w:pStyle w:val="TOC1"/>
                <w:tabs>
                  <w:tab w:val="right" w:leader="dot" w:pos="9016"/>
                </w:tabs>
                <w:spacing w:line="360" w:lineRule="auto"/>
                <w:rPr>
                  <w:rFonts w:ascii="Times New Roman" w:eastAsiaTheme="minorEastAsia" w:hAnsi="Times New Roman" w:cs="Times New Roman"/>
                  <w:b/>
                  <w:bCs/>
                  <w:noProof/>
                  <w:sz w:val="24"/>
                  <w:szCs w:val="24"/>
                  <w:lang w:eastAsia="en-GB"/>
                </w:rPr>
              </w:pPr>
              <w:hyperlink w:anchor="_Toc228121962" w:history="1">
                <w:r w:rsidRPr="001E1C96">
                  <w:rPr>
                    <w:rStyle w:val="Hyperlink"/>
                    <w:rFonts w:ascii="Times New Roman" w:hAnsi="Times New Roman" w:cs="Times New Roman"/>
                    <w:b/>
                    <w:bCs/>
                    <w:noProof/>
                    <w:sz w:val="24"/>
                    <w:szCs w:val="24"/>
                  </w:rPr>
                  <w:t>CONCLUSION</w:t>
                </w:r>
                <w:r w:rsidRPr="001E1C96">
                  <w:rPr>
                    <w:rFonts w:ascii="Times New Roman" w:hAnsi="Times New Roman" w:cs="Times New Roman"/>
                    <w:b/>
                    <w:bCs/>
                    <w:noProof/>
                    <w:webHidden/>
                    <w:sz w:val="24"/>
                    <w:szCs w:val="24"/>
                  </w:rPr>
                  <w:tab/>
                </w:r>
                <w:r w:rsidRPr="001E1C96">
                  <w:rPr>
                    <w:rFonts w:ascii="Times New Roman" w:hAnsi="Times New Roman" w:cs="Times New Roman"/>
                    <w:b/>
                    <w:bCs/>
                    <w:noProof/>
                    <w:webHidden/>
                    <w:sz w:val="24"/>
                    <w:szCs w:val="24"/>
                  </w:rPr>
                  <w:fldChar w:fldCharType="begin"/>
                </w:r>
                <w:r w:rsidRPr="001E1C96">
                  <w:rPr>
                    <w:rFonts w:ascii="Times New Roman" w:hAnsi="Times New Roman" w:cs="Times New Roman"/>
                    <w:b/>
                    <w:bCs/>
                    <w:noProof/>
                    <w:webHidden/>
                    <w:sz w:val="24"/>
                    <w:szCs w:val="24"/>
                  </w:rPr>
                  <w:instrText xml:space="preserve"> PAGEREF _Toc228121962 \h </w:instrText>
                </w:r>
                <w:r w:rsidRPr="001E1C96">
                  <w:rPr>
                    <w:rFonts w:ascii="Times New Roman" w:hAnsi="Times New Roman" w:cs="Times New Roman"/>
                    <w:b/>
                    <w:bCs/>
                    <w:noProof/>
                    <w:webHidden/>
                    <w:sz w:val="24"/>
                    <w:szCs w:val="24"/>
                  </w:rPr>
                </w:r>
                <w:r w:rsidRPr="001E1C96">
                  <w:rPr>
                    <w:rFonts w:ascii="Times New Roman" w:hAnsi="Times New Roman" w:cs="Times New Roman"/>
                    <w:b/>
                    <w:bCs/>
                    <w:noProof/>
                    <w:webHidden/>
                    <w:sz w:val="24"/>
                    <w:szCs w:val="24"/>
                  </w:rPr>
                  <w:fldChar w:fldCharType="separate"/>
                </w:r>
                <w:r w:rsidRPr="001E1C96">
                  <w:rPr>
                    <w:rFonts w:ascii="Times New Roman" w:hAnsi="Times New Roman" w:cs="Times New Roman"/>
                    <w:b/>
                    <w:bCs/>
                    <w:noProof/>
                    <w:webHidden/>
                    <w:sz w:val="24"/>
                    <w:szCs w:val="24"/>
                  </w:rPr>
                  <w:t>18</w:t>
                </w:r>
                <w:r w:rsidRPr="001E1C96">
                  <w:rPr>
                    <w:rFonts w:ascii="Times New Roman" w:hAnsi="Times New Roman" w:cs="Times New Roman"/>
                    <w:b/>
                    <w:bCs/>
                    <w:noProof/>
                    <w:webHidden/>
                    <w:sz w:val="24"/>
                    <w:szCs w:val="24"/>
                  </w:rPr>
                  <w:fldChar w:fldCharType="end"/>
                </w:r>
              </w:hyperlink>
            </w:p>
            <w:p w14:paraId="67816647" w14:textId="2535D128" w:rsidR="001E1C96" w:rsidRPr="001E1C96" w:rsidRDefault="001E1C96" w:rsidP="001E1C96">
              <w:pPr>
                <w:pStyle w:val="TOC1"/>
                <w:tabs>
                  <w:tab w:val="right" w:leader="dot" w:pos="9016"/>
                </w:tabs>
                <w:spacing w:line="360" w:lineRule="auto"/>
                <w:rPr>
                  <w:rFonts w:ascii="Times New Roman" w:eastAsiaTheme="minorEastAsia" w:hAnsi="Times New Roman" w:cs="Times New Roman"/>
                  <w:b/>
                  <w:bCs/>
                  <w:noProof/>
                  <w:sz w:val="24"/>
                  <w:szCs w:val="24"/>
                  <w:lang w:eastAsia="en-GB"/>
                </w:rPr>
              </w:pPr>
              <w:hyperlink w:anchor="_Toc228121963" w:history="1">
                <w:r w:rsidRPr="001E1C96">
                  <w:rPr>
                    <w:rStyle w:val="Hyperlink"/>
                    <w:rFonts w:ascii="Times New Roman" w:hAnsi="Times New Roman" w:cs="Times New Roman"/>
                    <w:b/>
                    <w:bCs/>
                    <w:noProof/>
                    <w:sz w:val="24"/>
                    <w:szCs w:val="24"/>
                  </w:rPr>
                  <w:t>BIBLIOGRAPHY</w:t>
                </w:r>
                <w:r w:rsidRPr="001E1C96">
                  <w:rPr>
                    <w:rFonts w:ascii="Times New Roman" w:hAnsi="Times New Roman" w:cs="Times New Roman"/>
                    <w:b/>
                    <w:bCs/>
                    <w:noProof/>
                    <w:webHidden/>
                    <w:sz w:val="24"/>
                    <w:szCs w:val="24"/>
                  </w:rPr>
                  <w:tab/>
                </w:r>
                <w:r w:rsidRPr="001E1C96">
                  <w:rPr>
                    <w:rFonts w:ascii="Times New Roman" w:hAnsi="Times New Roman" w:cs="Times New Roman"/>
                    <w:b/>
                    <w:bCs/>
                    <w:noProof/>
                    <w:webHidden/>
                    <w:sz w:val="24"/>
                    <w:szCs w:val="24"/>
                  </w:rPr>
                  <w:fldChar w:fldCharType="begin"/>
                </w:r>
                <w:r w:rsidRPr="001E1C96">
                  <w:rPr>
                    <w:rFonts w:ascii="Times New Roman" w:hAnsi="Times New Roman" w:cs="Times New Roman"/>
                    <w:b/>
                    <w:bCs/>
                    <w:noProof/>
                    <w:webHidden/>
                    <w:sz w:val="24"/>
                    <w:szCs w:val="24"/>
                  </w:rPr>
                  <w:instrText xml:space="preserve"> PAGEREF _Toc228121963 \h </w:instrText>
                </w:r>
                <w:r w:rsidRPr="001E1C96">
                  <w:rPr>
                    <w:rFonts w:ascii="Times New Roman" w:hAnsi="Times New Roman" w:cs="Times New Roman"/>
                    <w:b/>
                    <w:bCs/>
                    <w:noProof/>
                    <w:webHidden/>
                    <w:sz w:val="24"/>
                    <w:szCs w:val="24"/>
                  </w:rPr>
                </w:r>
                <w:r w:rsidRPr="001E1C96">
                  <w:rPr>
                    <w:rFonts w:ascii="Times New Roman" w:hAnsi="Times New Roman" w:cs="Times New Roman"/>
                    <w:b/>
                    <w:bCs/>
                    <w:noProof/>
                    <w:webHidden/>
                    <w:sz w:val="24"/>
                    <w:szCs w:val="24"/>
                  </w:rPr>
                  <w:fldChar w:fldCharType="separate"/>
                </w:r>
                <w:r w:rsidRPr="001E1C96">
                  <w:rPr>
                    <w:rFonts w:ascii="Times New Roman" w:hAnsi="Times New Roman" w:cs="Times New Roman"/>
                    <w:b/>
                    <w:bCs/>
                    <w:noProof/>
                    <w:webHidden/>
                    <w:sz w:val="24"/>
                    <w:szCs w:val="24"/>
                  </w:rPr>
                  <w:t>20</w:t>
                </w:r>
                <w:r w:rsidRPr="001E1C96">
                  <w:rPr>
                    <w:rFonts w:ascii="Times New Roman" w:hAnsi="Times New Roman" w:cs="Times New Roman"/>
                    <w:b/>
                    <w:bCs/>
                    <w:noProof/>
                    <w:webHidden/>
                    <w:sz w:val="24"/>
                    <w:szCs w:val="24"/>
                  </w:rPr>
                  <w:fldChar w:fldCharType="end"/>
                </w:r>
              </w:hyperlink>
            </w:p>
            <w:p w14:paraId="05194699" w14:textId="05FF57FC" w:rsidR="007D1947" w:rsidRDefault="007D1947" w:rsidP="001E1C96">
              <w:pPr>
                <w:spacing w:line="360" w:lineRule="auto"/>
              </w:pPr>
              <w:r w:rsidRPr="001E1C96">
                <w:rPr>
                  <w:rFonts w:ascii="Times New Roman" w:hAnsi="Times New Roman" w:cs="Times New Roman"/>
                  <w:b/>
                  <w:bCs/>
                  <w:noProof/>
                  <w:sz w:val="24"/>
                  <w:szCs w:val="24"/>
                </w:rPr>
                <w:fldChar w:fldCharType="end"/>
              </w:r>
              <w:r w:rsidR="001E1C96">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5DBAD65B" w14:textId="755D9CF8" w:rsidR="004A11F6" w:rsidRPr="001E1C96" w:rsidRDefault="00ED4D67" w:rsidP="001E1C96">
          <w:pPr>
            <w:pStyle w:val="Heading1"/>
            <w:spacing w:line="360" w:lineRule="auto"/>
            <w:jc w:val="both"/>
            <w:rPr>
              <w:rFonts w:ascii="Times New Roman" w:hAnsi="Times New Roman" w:cs="Times New Roman"/>
              <w:b/>
              <w:bCs/>
              <w:sz w:val="24"/>
              <w:szCs w:val="24"/>
            </w:rPr>
          </w:pPr>
          <w:bookmarkStart w:id="1" w:name="_Toc228121953"/>
          <w:r w:rsidRPr="001E1C96">
            <w:rPr>
              <w:rFonts w:ascii="Times New Roman" w:hAnsi="Times New Roman" w:cs="Times New Roman"/>
              <w:b/>
              <w:bCs/>
              <w:sz w:val="24"/>
              <w:szCs w:val="24"/>
            </w:rPr>
            <w:lastRenderedPageBreak/>
            <w:t>INTRODUCTION</w:t>
          </w:r>
          <w:bookmarkEnd w:id="1"/>
        </w:p>
        <w:p w14:paraId="63BE38B9" w14:textId="39481ED5" w:rsidR="004A11F6" w:rsidRPr="001E1C96" w:rsidRDefault="00494DE4"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 xml:space="preserve">Introduction Artificial intelligence (AI) is a key enabler of change in the global business landscape, and many multinational companies are already using it to transform their business models, strategies and organisational practices. AI technology is increasingly integrated into key business areas like supply chain management, forecasting, customer analysis and targeted marketing. These solutions help companies manage big data more effectively, and make faster, better-informed decisions. But AI's rapid integration and use poses risks related to data governance, regulatory compliance, ethics and trust (McKinsey, 2024; </w:t>
          </w:r>
          <w:proofErr w:type="spellStart"/>
          <w:r w:rsidRPr="001E1C96">
            <w:rPr>
              <w:rFonts w:ascii="Times New Roman" w:hAnsi="Times New Roman" w:cs="Times New Roman"/>
              <w:sz w:val="24"/>
              <w:szCs w:val="24"/>
            </w:rPr>
            <w:t>Brynjolfsson</w:t>
          </w:r>
          <w:proofErr w:type="spellEnd"/>
          <w:r w:rsidRPr="001E1C96">
            <w:rPr>
              <w:rFonts w:ascii="Times New Roman" w:hAnsi="Times New Roman" w:cs="Times New Roman"/>
              <w:sz w:val="24"/>
              <w:szCs w:val="24"/>
            </w:rPr>
            <w:t xml:space="preserve"> </w:t>
          </w:r>
          <w:r w:rsidR="00A75E8F">
            <w:rPr>
              <w:rFonts w:ascii="Times New Roman" w:hAnsi="Times New Roman" w:cs="Times New Roman"/>
              <w:sz w:val="24"/>
              <w:szCs w:val="24"/>
            </w:rPr>
            <w:t>&amp;</w:t>
          </w:r>
          <w:r w:rsidRPr="001E1C96">
            <w:rPr>
              <w:rFonts w:ascii="Times New Roman" w:hAnsi="Times New Roman" w:cs="Times New Roman"/>
              <w:sz w:val="24"/>
              <w:szCs w:val="24"/>
            </w:rPr>
            <w:t xml:space="preserve"> McAfee, 2017). With the growing sophistication and independence of AI systems, governance has become more critical. AI governance ensures AI systems comply with legal, ethical and organisational guidelines, and are transparent and accountable. Failing to manage AI governance can lead to issues such as algorithmic bias, data privacy issues, unexplainable AI, and reputational harm. Consequently, AI governance is increasingly recognised as a key capability that impacts long-term competitiveness, not just a technical or compliance function (</w:t>
          </w:r>
          <w:proofErr w:type="spellStart"/>
          <w:r w:rsidRPr="001E1C96">
            <w:rPr>
              <w:rFonts w:ascii="Times New Roman" w:hAnsi="Times New Roman" w:cs="Times New Roman"/>
              <w:sz w:val="24"/>
              <w:szCs w:val="24"/>
            </w:rPr>
            <w:t>Floridi</w:t>
          </w:r>
          <w:proofErr w:type="spellEnd"/>
          <w:r w:rsidRPr="001E1C96">
            <w:rPr>
              <w:rFonts w:ascii="Times New Roman" w:hAnsi="Times New Roman" w:cs="Times New Roman"/>
              <w:sz w:val="24"/>
              <w:szCs w:val="24"/>
            </w:rPr>
            <w:t xml:space="preserve"> et al., 2018). This report examines Unilever, a consumer goods company with a global presence and operating in various jurisdictions, including the United Kingdom and Europe. Unilever has adopted AI in its supply chain, digital marketing and development of consumer insights. These tools offer benefits in terms of efficiency and responsiveness to market needs but also pose risks in terms of regulatory compliance and ethical issues, especially surrounding personal data use and algorithmic decision-making. One of the challenges is the lack of consistency in regulation. The UK adopts a principles-based approach where existing regulators apply high-level principles to regulate AI innovation (UK Government, 2023). However, the European Union has a binding regulatory framework in place that applies a risk-based approach to AI systems, and mandates compliance with strict regulations including transparency and penalties for non-compliance (European Parliament, 2024). This poses challenges for multinational companies operating in the UK and EU. This report includes five major areas of analysis: regulatory environment, data governance, ethical AI, customer trust and macroeconomic environment. It considers the interplay of these factors in the risk and opportunity of AI in a global business context. The research adopts established theoretical work, such as the Resource-Based View (Barney, 1991), Stakeholder Theory (Freeman, 1984), Institutional Theory (DiMaggio </w:t>
          </w:r>
          <w:r w:rsidR="00A75E8F">
            <w:rPr>
              <w:rFonts w:ascii="Times New Roman" w:hAnsi="Times New Roman" w:cs="Times New Roman"/>
              <w:sz w:val="24"/>
              <w:szCs w:val="24"/>
            </w:rPr>
            <w:t>&amp;</w:t>
          </w:r>
          <w:r w:rsidRPr="001E1C96">
            <w:rPr>
              <w:rFonts w:ascii="Times New Roman" w:hAnsi="Times New Roman" w:cs="Times New Roman"/>
              <w:sz w:val="24"/>
              <w:szCs w:val="24"/>
            </w:rPr>
            <w:t xml:space="preserve"> Powell, 1983) and Information Ethics (</w:t>
          </w:r>
          <w:proofErr w:type="spellStart"/>
          <w:r w:rsidRPr="001E1C96">
            <w:rPr>
              <w:rFonts w:ascii="Times New Roman" w:hAnsi="Times New Roman" w:cs="Times New Roman"/>
              <w:sz w:val="24"/>
              <w:szCs w:val="24"/>
            </w:rPr>
            <w:t>Floridi</w:t>
          </w:r>
          <w:proofErr w:type="spellEnd"/>
          <w:r w:rsidRPr="001E1C96">
            <w:rPr>
              <w:rFonts w:ascii="Times New Roman" w:hAnsi="Times New Roman" w:cs="Times New Roman"/>
              <w:sz w:val="24"/>
              <w:szCs w:val="24"/>
            </w:rPr>
            <w:t xml:space="preserve">, 2019). These theories are utilised to provide more than a descriptive analysis and help inform strategic recommendations. The report suggests that AI governance ought to be viewed as a strategic tool for gaining competitive advantage. By embracing governance practices in line with global </w:t>
          </w:r>
          <w:r w:rsidRPr="001E1C96">
            <w:rPr>
              <w:rFonts w:ascii="Times New Roman" w:hAnsi="Times New Roman" w:cs="Times New Roman"/>
              <w:sz w:val="24"/>
              <w:szCs w:val="24"/>
            </w:rPr>
            <w:lastRenderedPageBreak/>
            <w:t>trends, especially as embodied in the EU AI Act, organisations can build resilience, build trust with stakeholders, and create long-term value.</w:t>
          </w:r>
        </w:p>
        <w:p w14:paraId="1392FEFB" w14:textId="77777777" w:rsidR="004A11F6" w:rsidRPr="001E1C96" w:rsidRDefault="004A11F6" w:rsidP="001E1C96">
          <w:pPr>
            <w:spacing w:line="360" w:lineRule="auto"/>
            <w:jc w:val="both"/>
            <w:rPr>
              <w:rFonts w:ascii="Times New Roman" w:hAnsi="Times New Roman" w:cs="Times New Roman"/>
              <w:sz w:val="24"/>
              <w:szCs w:val="24"/>
            </w:rPr>
          </w:pPr>
        </w:p>
        <w:p w14:paraId="094C9AA2" w14:textId="77777777" w:rsidR="004A11F6" w:rsidRPr="001E1C96" w:rsidRDefault="004A11F6" w:rsidP="001E1C96">
          <w:pPr>
            <w:spacing w:line="360" w:lineRule="auto"/>
            <w:jc w:val="both"/>
            <w:rPr>
              <w:rFonts w:ascii="Times New Roman" w:hAnsi="Times New Roman" w:cs="Times New Roman"/>
              <w:sz w:val="24"/>
              <w:szCs w:val="24"/>
            </w:rPr>
          </w:pPr>
        </w:p>
        <w:p w14:paraId="5AD4FC36" w14:textId="77777777" w:rsidR="004A11F6" w:rsidRPr="001E1C96" w:rsidRDefault="004A11F6" w:rsidP="001E1C96">
          <w:pPr>
            <w:spacing w:line="360" w:lineRule="auto"/>
            <w:jc w:val="both"/>
            <w:rPr>
              <w:rFonts w:ascii="Times New Roman" w:hAnsi="Times New Roman" w:cs="Times New Roman"/>
              <w:sz w:val="24"/>
              <w:szCs w:val="24"/>
            </w:rPr>
          </w:pPr>
        </w:p>
        <w:p w14:paraId="37DC88C5" w14:textId="77777777" w:rsidR="004A11F6" w:rsidRPr="001E1C96" w:rsidRDefault="004A11F6" w:rsidP="001E1C96">
          <w:pPr>
            <w:spacing w:line="360" w:lineRule="auto"/>
            <w:jc w:val="both"/>
            <w:rPr>
              <w:rFonts w:ascii="Times New Roman" w:hAnsi="Times New Roman" w:cs="Times New Roman"/>
              <w:sz w:val="24"/>
              <w:szCs w:val="24"/>
            </w:rPr>
          </w:pPr>
        </w:p>
        <w:p w14:paraId="2277CFA6" w14:textId="77777777" w:rsidR="004A11F6" w:rsidRPr="001E1C96" w:rsidRDefault="004A11F6" w:rsidP="001E1C96">
          <w:pPr>
            <w:spacing w:line="360" w:lineRule="auto"/>
            <w:jc w:val="both"/>
            <w:rPr>
              <w:rFonts w:ascii="Times New Roman" w:hAnsi="Times New Roman" w:cs="Times New Roman"/>
              <w:sz w:val="24"/>
              <w:szCs w:val="24"/>
            </w:rPr>
          </w:pPr>
        </w:p>
        <w:p w14:paraId="6965E43A" w14:textId="77777777" w:rsidR="004A11F6" w:rsidRPr="001E1C96" w:rsidRDefault="004A11F6" w:rsidP="001E1C96">
          <w:pPr>
            <w:spacing w:line="360" w:lineRule="auto"/>
            <w:jc w:val="both"/>
            <w:rPr>
              <w:rFonts w:ascii="Times New Roman" w:hAnsi="Times New Roman" w:cs="Times New Roman"/>
              <w:sz w:val="24"/>
              <w:szCs w:val="24"/>
            </w:rPr>
          </w:pPr>
        </w:p>
        <w:p w14:paraId="04F16582" w14:textId="77777777" w:rsidR="004A11F6" w:rsidRPr="001E1C96" w:rsidRDefault="004A11F6" w:rsidP="001E1C96">
          <w:pPr>
            <w:spacing w:line="360" w:lineRule="auto"/>
            <w:jc w:val="both"/>
            <w:rPr>
              <w:rFonts w:ascii="Times New Roman" w:hAnsi="Times New Roman" w:cs="Times New Roman"/>
              <w:sz w:val="24"/>
              <w:szCs w:val="24"/>
            </w:rPr>
          </w:pPr>
        </w:p>
        <w:p w14:paraId="3BCFD6F0" w14:textId="77777777" w:rsidR="004A11F6" w:rsidRPr="001E1C96" w:rsidRDefault="004A11F6" w:rsidP="001E1C96">
          <w:pPr>
            <w:spacing w:line="360" w:lineRule="auto"/>
            <w:jc w:val="both"/>
            <w:rPr>
              <w:rFonts w:ascii="Times New Roman" w:hAnsi="Times New Roman" w:cs="Times New Roman"/>
              <w:sz w:val="24"/>
              <w:szCs w:val="24"/>
            </w:rPr>
          </w:pPr>
        </w:p>
        <w:p w14:paraId="2F757D32" w14:textId="77777777" w:rsidR="004A11F6" w:rsidRPr="001E1C96" w:rsidRDefault="004A11F6" w:rsidP="001E1C96">
          <w:pPr>
            <w:spacing w:line="360" w:lineRule="auto"/>
            <w:jc w:val="both"/>
            <w:rPr>
              <w:rFonts w:ascii="Times New Roman" w:hAnsi="Times New Roman" w:cs="Times New Roman"/>
              <w:sz w:val="24"/>
              <w:szCs w:val="24"/>
            </w:rPr>
          </w:pPr>
        </w:p>
        <w:p w14:paraId="4950AFFE" w14:textId="77777777" w:rsidR="004A11F6" w:rsidRPr="001E1C96" w:rsidRDefault="004A11F6" w:rsidP="001E1C96">
          <w:pPr>
            <w:spacing w:line="360" w:lineRule="auto"/>
            <w:jc w:val="both"/>
            <w:rPr>
              <w:rFonts w:ascii="Times New Roman" w:hAnsi="Times New Roman" w:cs="Times New Roman"/>
              <w:sz w:val="24"/>
              <w:szCs w:val="24"/>
            </w:rPr>
          </w:pPr>
        </w:p>
        <w:p w14:paraId="377C9265" w14:textId="77777777" w:rsidR="004A11F6" w:rsidRPr="001E1C96" w:rsidRDefault="004A11F6" w:rsidP="001E1C96">
          <w:pPr>
            <w:spacing w:line="360" w:lineRule="auto"/>
            <w:jc w:val="both"/>
            <w:rPr>
              <w:rFonts w:ascii="Times New Roman" w:hAnsi="Times New Roman" w:cs="Times New Roman"/>
              <w:sz w:val="24"/>
              <w:szCs w:val="24"/>
            </w:rPr>
          </w:pPr>
        </w:p>
        <w:p w14:paraId="4108EE7B" w14:textId="77777777" w:rsidR="004A11F6" w:rsidRPr="001E1C96" w:rsidRDefault="004A11F6" w:rsidP="001E1C96">
          <w:pPr>
            <w:spacing w:line="360" w:lineRule="auto"/>
            <w:jc w:val="both"/>
            <w:rPr>
              <w:rFonts w:ascii="Times New Roman" w:hAnsi="Times New Roman" w:cs="Times New Roman"/>
              <w:sz w:val="24"/>
              <w:szCs w:val="24"/>
            </w:rPr>
          </w:pPr>
        </w:p>
        <w:p w14:paraId="0EB1AA98" w14:textId="77777777" w:rsidR="004A11F6" w:rsidRPr="001E1C96" w:rsidRDefault="004A11F6" w:rsidP="001E1C96">
          <w:pPr>
            <w:spacing w:line="360" w:lineRule="auto"/>
            <w:jc w:val="both"/>
            <w:rPr>
              <w:rFonts w:ascii="Times New Roman" w:hAnsi="Times New Roman" w:cs="Times New Roman"/>
              <w:sz w:val="24"/>
              <w:szCs w:val="24"/>
            </w:rPr>
          </w:pPr>
        </w:p>
        <w:p w14:paraId="50EA4EC0" w14:textId="77777777" w:rsidR="004A11F6" w:rsidRPr="001E1C96" w:rsidRDefault="004A11F6" w:rsidP="001E1C96">
          <w:pPr>
            <w:spacing w:line="360" w:lineRule="auto"/>
            <w:jc w:val="both"/>
            <w:rPr>
              <w:rFonts w:ascii="Times New Roman" w:hAnsi="Times New Roman" w:cs="Times New Roman"/>
              <w:sz w:val="24"/>
              <w:szCs w:val="24"/>
            </w:rPr>
          </w:pPr>
        </w:p>
        <w:p w14:paraId="47DC0B2B" w14:textId="77777777" w:rsidR="004A11F6" w:rsidRPr="001E1C96" w:rsidRDefault="004A11F6" w:rsidP="001E1C96">
          <w:pPr>
            <w:spacing w:line="360" w:lineRule="auto"/>
            <w:jc w:val="both"/>
            <w:rPr>
              <w:rFonts w:ascii="Times New Roman" w:hAnsi="Times New Roman" w:cs="Times New Roman"/>
              <w:sz w:val="24"/>
              <w:szCs w:val="24"/>
            </w:rPr>
          </w:pPr>
        </w:p>
        <w:p w14:paraId="5FA54E48" w14:textId="77777777" w:rsidR="004A11F6" w:rsidRPr="001E1C96" w:rsidRDefault="004A11F6" w:rsidP="001E1C96">
          <w:pPr>
            <w:spacing w:line="360" w:lineRule="auto"/>
            <w:jc w:val="both"/>
            <w:rPr>
              <w:rFonts w:ascii="Times New Roman" w:hAnsi="Times New Roman" w:cs="Times New Roman"/>
              <w:sz w:val="24"/>
              <w:szCs w:val="24"/>
            </w:rPr>
          </w:pPr>
        </w:p>
        <w:p w14:paraId="63B8FBF1" w14:textId="77777777" w:rsidR="004A11F6" w:rsidRPr="001E1C96" w:rsidRDefault="004A11F6" w:rsidP="001E1C96">
          <w:pPr>
            <w:spacing w:line="360" w:lineRule="auto"/>
            <w:jc w:val="both"/>
            <w:rPr>
              <w:rFonts w:ascii="Times New Roman" w:hAnsi="Times New Roman" w:cs="Times New Roman"/>
              <w:sz w:val="24"/>
              <w:szCs w:val="24"/>
            </w:rPr>
          </w:pPr>
        </w:p>
        <w:p w14:paraId="4AA639F2" w14:textId="77777777" w:rsidR="004A11F6" w:rsidRPr="001E1C96" w:rsidRDefault="004A11F6" w:rsidP="001E1C96">
          <w:pPr>
            <w:spacing w:line="360" w:lineRule="auto"/>
            <w:jc w:val="both"/>
            <w:rPr>
              <w:rFonts w:ascii="Times New Roman" w:hAnsi="Times New Roman" w:cs="Times New Roman"/>
              <w:sz w:val="24"/>
              <w:szCs w:val="24"/>
            </w:rPr>
          </w:pPr>
        </w:p>
        <w:p w14:paraId="6609DA3E" w14:textId="77777777" w:rsidR="004A11F6" w:rsidRPr="001E1C96" w:rsidRDefault="004A11F6" w:rsidP="001E1C96">
          <w:pPr>
            <w:spacing w:line="360" w:lineRule="auto"/>
            <w:jc w:val="both"/>
            <w:rPr>
              <w:rFonts w:ascii="Times New Roman" w:hAnsi="Times New Roman" w:cs="Times New Roman"/>
              <w:sz w:val="24"/>
              <w:szCs w:val="24"/>
            </w:rPr>
          </w:pPr>
        </w:p>
        <w:p w14:paraId="23067ADB" w14:textId="77777777" w:rsidR="004A11F6" w:rsidRPr="001E1C96" w:rsidRDefault="004A11F6" w:rsidP="001E1C96">
          <w:pPr>
            <w:spacing w:line="360" w:lineRule="auto"/>
            <w:jc w:val="both"/>
            <w:rPr>
              <w:rFonts w:ascii="Times New Roman" w:hAnsi="Times New Roman" w:cs="Times New Roman"/>
              <w:sz w:val="24"/>
              <w:szCs w:val="24"/>
            </w:rPr>
          </w:pPr>
        </w:p>
        <w:p w14:paraId="4AA3E07A" w14:textId="77777777" w:rsidR="004A11F6" w:rsidRPr="001E1C96" w:rsidRDefault="004A11F6" w:rsidP="001E1C96">
          <w:pPr>
            <w:spacing w:line="360" w:lineRule="auto"/>
            <w:jc w:val="both"/>
            <w:rPr>
              <w:rFonts w:ascii="Times New Roman" w:hAnsi="Times New Roman" w:cs="Times New Roman"/>
              <w:sz w:val="24"/>
              <w:szCs w:val="24"/>
            </w:rPr>
          </w:pPr>
        </w:p>
        <w:p w14:paraId="0BE775A6" w14:textId="77777777" w:rsidR="004A11F6" w:rsidRPr="001E1C96" w:rsidRDefault="004A11F6" w:rsidP="001E1C96">
          <w:pPr>
            <w:spacing w:line="360" w:lineRule="auto"/>
            <w:jc w:val="both"/>
            <w:rPr>
              <w:rFonts w:ascii="Times New Roman" w:hAnsi="Times New Roman" w:cs="Times New Roman"/>
              <w:sz w:val="24"/>
              <w:szCs w:val="24"/>
            </w:rPr>
          </w:pPr>
        </w:p>
        <w:p w14:paraId="4999262A" w14:textId="77777777" w:rsidR="004A11F6" w:rsidRPr="001E1C96" w:rsidRDefault="004A11F6" w:rsidP="001E1C96">
          <w:pPr>
            <w:spacing w:line="360" w:lineRule="auto"/>
            <w:jc w:val="both"/>
            <w:rPr>
              <w:rFonts w:ascii="Times New Roman" w:hAnsi="Times New Roman" w:cs="Times New Roman"/>
              <w:sz w:val="24"/>
              <w:szCs w:val="24"/>
            </w:rPr>
          </w:pPr>
        </w:p>
        <w:p w14:paraId="1359F054" w14:textId="77777777" w:rsidR="004A11F6" w:rsidRPr="001E1C96" w:rsidRDefault="004A11F6" w:rsidP="001E1C96">
          <w:pPr>
            <w:spacing w:line="360" w:lineRule="auto"/>
            <w:jc w:val="both"/>
            <w:rPr>
              <w:rFonts w:ascii="Times New Roman" w:hAnsi="Times New Roman" w:cs="Times New Roman"/>
              <w:sz w:val="24"/>
              <w:szCs w:val="24"/>
            </w:rPr>
          </w:pPr>
        </w:p>
        <w:p w14:paraId="7C657C89" w14:textId="77777777" w:rsidR="00AA2A91" w:rsidRPr="001E1C96" w:rsidRDefault="00AA2A91" w:rsidP="001E1C96">
          <w:pPr>
            <w:spacing w:line="360" w:lineRule="auto"/>
            <w:jc w:val="both"/>
            <w:rPr>
              <w:rFonts w:ascii="Times New Roman" w:hAnsi="Times New Roman" w:cs="Times New Roman"/>
              <w:sz w:val="24"/>
              <w:szCs w:val="24"/>
            </w:rPr>
          </w:pPr>
        </w:p>
        <w:p w14:paraId="2E293EB9" w14:textId="335ABAFB" w:rsidR="00480872" w:rsidRPr="001E1C96" w:rsidRDefault="00ED4D67" w:rsidP="001E1C96">
          <w:pPr>
            <w:pStyle w:val="Heading1"/>
            <w:spacing w:line="360" w:lineRule="auto"/>
            <w:jc w:val="both"/>
            <w:rPr>
              <w:rFonts w:ascii="Times New Roman" w:hAnsi="Times New Roman" w:cs="Times New Roman"/>
              <w:b/>
              <w:bCs/>
              <w:sz w:val="24"/>
              <w:szCs w:val="24"/>
            </w:rPr>
          </w:pPr>
          <w:bookmarkStart w:id="2" w:name="_Toc228121954"/>
          <w:r w:rsidRPr="001E1C96">
            <w:rPr>
              <w:rFonts w:ascii="Times New Roman" w:hAnsi="Times New Roman" w:cs="Times New Roman"/>
              <w:b/>
              <w:bCs/>
              <w:sz w:val="24"/>
              <w:szCs w:val="24"/>
            </w:rPr>
            <w:t>MAIN FINDINGS</w:t>
          </w:r>
          <w:bookmarkEnd w:id="2"/>
        </w:p>
        <w:p w14:paraId="50E6D99E" w14:textId="640591C0" w:rsidR="00ED4D67" w:rsidRPr="001E1C96" w:rsidRDefault="001E08C5" w:rsidP="001E1C96">
          <w:pPr>
            <w:pStyle w:val="Heading2"/>
            <w:spacing w:line="360" w:lineRule="auto"/>
            <w:jc w:val="both"/>
            <w:rPr>
              <w:rFonts w:ascii="Times New Roman" w:hAnsi="Times New Roman" w:cs="Times New Roman"/>
              <w:b/>
              <w:bCs/>
              <w:sz w:val="24"/>
              <w:szCs w:val="24"/>
            </w:rPr>
          </w:pPr>
          <w:bookmarkStart w:id="3" w:name="_Toc228121955"/>
          <w:r w:rsidRPr="001E1C96">
            <w:rPr>
              <w:rFonts w:ascii="Times New Roman" w:hAnsi="Times New Roman" w:cs="Times New Roman"/>
              <w:b/>
              <w:bCs/>
              <w:sz w:val="24"/>
              <w:szCs w:val="24"/>
            </w:rPr>
            <w:t xml:space="preserve">2.1 Regulatory Analysis </w:t>
          </w:r>
          <w:r w:rsidR="00ED4D67" w:rsidRPr="001E1C96">
            <w:rPr>
              <w:rFonts w:ascii="Times New Roman" w:hAnsi="Times New Roman" w:cs="Times New Roman"/>
              <w:b/>
              <w:bCs/>
              <w:sz w:val="24"/>
              <w:szCs w:val="24"/>
            </w:rPr>
            <w:t xml:space="preserve">UK </w:t>
          </w:r>
          <w:r w:rsidRPr="001E1C96">
            <w:rPr>
              <w:rFonts w:ascii="Times New Roman" w:hAnsi="Times New Roman" w:cs="Times New Roman"/>
              <w:b/>
              <w:bCs/>
              <w:sz w:val="24"/>
              <w:szCs w:val="24"/>
            </w:rPr>
            <w:t xml:space="preserve">Vs </w:t>
          </w:r>
          <w:r w:rsidR="00ED4D67" w:rsidRPr="001E1C96">
            <w:rPr>
              <w:rFonts w:ascii="Times New Roman" w:hAnsi="Times New Roman" w:cs="Times New Roman"/>
              <w:b/>
              <w:bCs/>
              <w:sz w:val="24"/>
              <w:szCs w:val="24"/>
            </w:rPr>
            <w:t>EU</w:t>
          </w:r>
          <w:r w:rsidRPr="001E1C96">
            <w:rPr>
              <w:rFonts w:ascii="Times New Roman" w:hAnsi="Times New Roman" w:cs="Times New Roman"/>
              <w:b/>
              <w:bCs/>
              <w:sz w:val="24"/>
              <w:szCs w:val="24"/>
            </w:rPr>
            <w:t>.</w:t>
          </w:r>
          <w:bookmarkEnd w:id="3"/>
        </w:p>
        <w:p w14:paraId="43375A97"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 xml:space="preserve">Artificial intelligence regulatory environment is becoming more and more decentralized, as the United Kingdom and European Union take opposing strategies that present both opportunities and challenges to multinational organizations. The UK has been seeking to follow a principles based, pro-innovation policy, as detailed in its AI Regulation White Paper, basing its approach on the existing </w:t>
          </w:r>
          <w:proofErr w:type="spellStart"/>
          <w:r w:rsidRPr="001E1C96">
            <w:rPr>
              <w:rFonts w:ascii="Times New Roman" w:hAnsi="Times New Roman" w:cs="Times New Roman"/>
              <w:sz w:val="24"/>
              <w:szCs w:val="24"/>
            </w:rPr>
            <w:t>sectoral</w:t>
          </w:r>
          <w:proofErr w:type="spellEnd"/>
          <w:r w:rsidRPr="001E1C96">
            <w:rPr>
              <w:rFonts w:ascii="Times New Roman" w:hAnsi="Times New Roman" w:cs="Times New Roman"/>
              <w:sz w:val="24"/>
              <w:szCs w:val="24"/>
            </w:rPr>
            <w:t xml:space="preserve"> regulators, such as the Information Commissioners Office and the Competition and Markets Authority, to interpret and apply high-level principles of fairness, transparency, and accountability (UK Government, 2023). This adaptable structure allows quicker technological integration and less instant compliance pressure, but it also brings regulatory insecurity, with companies needing to figure out the changing direction, without a single and identical legal rule.</w:t>
          </w:r>
        </w:p>
        <w:p w14:paraId="3D9B3024"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Conversely, the European Union has established an all-encompassing and legally binding framework by the EU AI Act. The regulation is risk-based and classifies AI systems as prohibited, high-risk, limited-risk and minimal-risk. Strict requirements apply to high-risk systems like systems impacting employment, credit or safety, including conformity assessments, documentation, human oversight, and transparency requirements. Failure to comply may lead to large monetary fines of up to 7% of annual worldwide turnover, which represents a much harsher enforcement regime as compared to the UK (European Parliament, 2024). This method has the benefit of offering certainty and predictability in the law but it makes compliance and operations more complex among companies that have operations in the EU market.</w:t>
          </w:r>
        </w:p>
        <w:p w14:paraId="0592B464" w14:textId="727B39AD"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analysis of these two regimes sheds light on some of the important strategic trade-offs. The UK is flexible and welcomes innovation and experimentation but does not have the legal certainty of long-term planning. On the other hand, the regulatory assurance offered by the EU minimises uncertainties but increases compliance costs, which may slow down innovation. The two systems are also characterised by enforcement mechanisms: whereas EU has centralised, legally binding penalties, UK has decentralised regulators who apply principles across sectors and therefore, there may be inconsistencies in how these are interpreted and applied</w:t>
          </w:r>
          <w:r w:rsidR="00AC6E06">
            <w:rPr>
              <w:rFonts w:ascii="Times New Roman" w:hAnsi="Times New Roman" w:cs="Times New Roman"/>
              <w:sz w:val="24"/>
              <w:szCs w:val="24"/>
            </w:rPr>
            <w:t xml:space="preserve"> (</w:t>
          </w:r>
          <w:r w:rsidR="00AC6E06" w:rsidRPr="001E1C96">
            <w:rPr>
              <w:rFonts w:ascii="Times New Roman" w:hAnsi="Times New Roman" w:cs="Times New Roman"/>
              <w:sz w:val="24"/>
              <w:szCs w:val="24"/>
            </w:rPr>
            <w:t>European Commission</w:t>
          </w:r>
          <w:r w:rsidR="00AC6E06">
            <w:rPr>
              <w:rFonts w:ascii="Times New Roman" w:hAnsi="Times New Roman" w:cs="Times New Roman"/>
              <w:sz w:val="24"/>
              <w:szCs w:val="24"/>
            </w:rPr>
            <w:t>, 202</w:t>
          </w:r>
          <w:r w:rsidR="00F367D8">
            <w:rPr>
              <w:rFonts w:ascii="Times New Roman" w:hAnsi="Times New Roman" w:cs="Times New Roman"/>
              <w:sz w:val="24"/>
              <w:szCs w:val="24"/>
            </w:rPr>
            <w:t>3</w:t>
          </w:r>
          <w:r w:rsidR="00AC6E06">
            <w:rPr>
              <w:rFonts w:ascii="Times New Roman" w:hAnsi="Times New Roman" w:cs="Times New Roman"/>
              <w:sz w:val="24"/>
              <w:szCs w:val="24"/>
            </w:rPr>
            <w:t>)</w:t>
          </w:r>
          <w:r w:rsidRPr="001E1C96">
            <w:rPr>
              <w:rFonts w:ascii="Times New Roman" w:hAnsi="Times New Roman" w:cs="Times New Roman"/>
              <w:sz w:val="24"/>
              <w:szCs w:val="24"/>
            </w:rPr>
            <w:t>.</w:t>
          </w:r>
        </w:p>
        <w:p w14:paraId="681F159A" w14:textId="2001CD26"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lastRenderedPageBreak/>
            <w:t>In the case of Unilever, such differences pose serious cross-border operation issues. Being an organization with a widespread presence in both jurisdictions, Unilever should make sure that its AI systems are in line with the EU regulations and are flexible enough to meet the changing regulations in the UK</w:t>
          </w:r>
          <w:r w:rsidR="00AC6E06">
            <w:rPr>
              <w:rFonts w:ascii="Times New Roman" w:hAnsi="Times New Roman" w:cs="Times New Roman"/>
              <w:sz w:val="24"/>
              <w:szCs w:val="24"/>
            </w:rPr>
            <w:t xml:space="preserve"> (</w:t>
          </w:r>
          <w:r w:rsidR="00AC6E06" w:rsidRPr="001E1C96">
            <w:rPr>
              <w:rFonts w:ascii="Times New Roman" w:hAnsi="Times New Roman" w:cs="Times New Roman"/>
              <w:sz w:val="24"/>
              <w:szCs w:val="24"/>
            </w:rPr>
            <w:t>European Commission</w:t>
          </w:r>
          <w:r w:rsidR="00AC6E06">
            <w:rPr>
              <w:rFonts w:ascii="Times New Roman" w:hAnsi="Times New Roman" w:cs="Times New Roman"/>
              <w:sz w:val="24"/>
              <w:szCs w:val="24"/>
            </w:rPr>
            <w:t>, 2020)</w:t>
          </w:r>
          <w:r w:rsidRPr="001E1C96">
            <w:rPr>
              <w:rFonts w:ascii="Times New Roman" w:hAnsi="Times New Roman" w:cs="Times New Roman"/>
              <w:sz w:val="24"/>
              <w:szCs w:val="24"/>
            </w:rPr>
            <w:t>. Such dual compliance requirement adds to the administrative costs, governance structure complexity as well as ongoing monitoring of the regulatory developments</w:t>
          </w:r>
          <w:r w:rsidR="007C3A7B" w:rsidRPr="007C3A7B">
            <w:rPr>
              <w:rFonts w:ascii="Times New Roman" w:hAnsi="Times New Roman" w:cs="Times New Roman"/>
              <w:sz w:val="24"/>
              <w:szCs w:val="24"/>
            </w:rPr>
            <w:t xml:space="preserve"> </w:t>
          </w:r>
          <w:r w:rsidR="007C3A7B">
            <w:rPr>
              <w:rFonts w:ascii="Times New Roman" w:hAnsi="Times New Roman" w:cs="Times New Roman"/>
              <w:sz w:val="24"/>
              <w:szCs w:val="24"/>
            </w:rPr>
            <w:t>(</w:t>
          </w:r>
          <w:proofErr w:type="spellStart"/>
          <w:r w:rsidR="007C3A7B" w:rsidRPr="001E1C96">
            <w:rPr>
              <w:rFonts w:ascii="Times New Roman" w:hAnsi="Times New Roman" w:cs="Times New Roman"/>
              <w:sz w:val="24"/>
              <w:szCs w:val="24"/>
            </w:rPr>
            <w:t>Lacity</w:t>
          </w:r>
          <w:proofErr w:type="spellEnd"/>
          <w:r w:rsidR="007C3A7B" w:rsidRPr="001E1C96">
            <w:rPr>
              <w:rFonts w:ascii="Times New Roman" w:hAnsi="Times New Roman" w:cs="Times New Roman"/>
              <w:sz w:val="24"/>
              <w:szCs w:val="24"/>
            </w:rPr>
            <w:t xml:space="preserve">, </w:t>
          </w:r>
          <w:r w:rsidR="007C3A7B">
            <w:rPr>
              <w:rFonts w:ascii="Times New Roman" w:hAnsi="Times New Roman" w:cs="Times New Roman"/>
              <w:sz w:val="24"/>
              <w:szCs w:val="24"/>
            </w:rPr>
            <w:t>&amp;</w:t>
          </w:r>
          <w:r w:rsidR="007C3A7B" w:rsidRPr="001E1C96">
            <w:rPr>
              <w:rFonts w:ascii="Times New Roman" w:hAnsi="Times New Roman" w:cs="Times New Roman"/>
              <w:sz w:val="24"/>
              <w:szCs w:val="24"/>
            </w:rPr>
            <w:t xml:space="preserve"> Willcocks, 2018</w:t>
          </w:r>
          <w:r w:rsidRPr="001E1C96">
            <w:rPr>
              <w:rFonts w:ascii="Times New Roman" w:hAnsi="Times New Roman" w:cs="Times New Roman"/>
              <w:sz w:val="24"/>
              <w:szCs w:val="24"/>
            </w:rPr>
            <w:t>. Furthermore, the presence of discrepancies across jurisdictions may also cause inefficiency when it comes to the implementation of AI systems across the world, especially when data flows and decision-making procedures involve more than one jurisdiction.</w:t>
          </w:r>
        </w:p>
        <w:p w14:paraId="0B8C9468"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These dynamics can be viewed through the prism of the idea of the Brussels Effect. It indicates that strict EU rules tend to become real global norms, with global companies implementing them everywhere to simplify the process and not divide into separate parts (Bradford, 2020). Regarding AI, an extraterritorial nature of the EU AI Act supports this impact because any organisation using AI in the EU marketplace will have to obey it irrespective of its geographic origin.</w:t>
          </w:r>
        </w:p>
        <w:p w14:paraId="727F8CBB" w14:textId="69E551C8"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As an advisor, the best approach towards Unilever is to conform its global AI governance framework to EU regulations. This will help in minimising regulatory risk, simplifying the management of multiple compliance regimes and puts the company in a leading position in the face of the expected tightening of the regulatory regime in other jurisdictions</w:t>
          </w:r>
          <w:r w:rsidR="00AC6E06">
            <w:rPr>
              <w:rFonts w:ascii="Times New Roman" w:hAnsi="Times New Roman" w:cs="Times New Roman"/>
              <w:sz w:val="24"/>
              <w:szCs w:val="24"/>
            </w:rPr>
            <w:t xml:space="preserve"> (</w:t>
          </w:r>
          <w:r w:rsidR="00AC6E06" w:rsidRPr="001E1C96">
            <w:rPr>
              <w:rFonts w:ascii="Times New Roman" w:hAnsi="Times New Roman" w:cs="Times New Roman"/>
              <w:sz w:val="24"/>
              <w:szCs w:val="24"/>
            </w:rPr>
            <w:t>European Commission</w:t>
          </w:r>
          <w:r w:rsidR="00AC6E06">
            <w:rPr>
              <w:rFonts w:ascii="Times New Roman" w:hAnsi="Times New Roman" w:cs="Times New Roman"/>
              <w:sz w:val="24"/>
              <w:szCs w:val="24"/>
            </w:rPr>
            <w:t>, 2020)</w:t>
          </w:r>
          <w:r w:rsidRPr="001E1C96">
            <w:rPr>
              <w:rFonts w:ascii="Times New Roman" w:hAnsi="Times New Roman" w:cs="Times New Roman"/>
              <w:sz w:val="24"/>
              <w:szCs w:val="24"/>
            </w:rPr>
            <w:t>. Although this can be more expensive in the short-term compliance terms, it leads to long-term strategic advantages in creating more legal certainty, stakeholder confidence, and making Unilever a pioneer of responsible AI governance</w:t>
          </w:r>
          <w:r w:rsidR="002405DD">
            <w:rPr>
              <w:rFonts w:ascii="Times New Roman" w:hAnsi="Times New Roman" w:cs="Times New Roman"/>
              <w:sz w:val="24"/>
              <w:szCs w:val="24"/>
            </w:rPr>
            <w:t xml:space="preserve"> (Unilever, 202</w:t>
          </w:r>
          <w:r w:rsidR="00F367D8">
            <w:rPr>
              <w:rFonts w:ascii="Times New Roman" w:hAnsi="Times New Roman" w:cs="Times New Roman"/>
              <w:sz w:val="24"/>
              <w:szCs w:val="24"/>
            </w:rPr>
            <w:t>3</w:t>
          </w:r>
          <w:r w:rsidR="002405DD">
            <w:rPr>
              <w:rFonts w:ascii="Times New Roman" w:hAnsi="Times New Roman" w:cs="Times New Roman"/>
              <w:sz w:val="24"/>
              <w:szCs w:val="24"/>
            </w:rPr>
            <w:t>)</w:t>
          </w:r>
          <w:r w:rsidRPr="001E1C96">
            <w:rPr>
              <w:rFonts w:ascii="Times New Roman" w:hAnsi="Times New Roman" w:cs="Times New Roman"/>
              <w:sz w:val="24"/>
              <w:szCs w:val="24"/>
            </w:rPr>
            <w:t xml:space="preserve">.  </w:t>
          </w:r>
        </w:p>
        <w:p w14:paraId="12EE3B05" w14:textId="75DE36D8" w:rsidR="00ED4D67" w:rsidRPr="00AC6E06" w:rsidRDefault="001E08C5" w:rsidP="00AC6E06">
          <w:pPr>
            <w:pStyle w:val="Heading2"/>
            <w:spacing w:line="360" w:lineRule="auto"/>
            <w:jc w:val="both"/>
            <w:rPr>
              <w:rFonts w:ascii="Times New Roman" w:hAnsi="Times New Roman" w:cs="Times New Roman"/>
              <w:b/>
              <w:bCs/>
              <w:sz w:val="24"/>
              <w:szCs w:val="24"/>
            </w:rPr>
          </w:pPr>
          <w:bookmarkStart w:id="4" w:name="_Toc228121956"/>
          <w:r w:rsidRPr="001E1C96">
            <w:rPr>
              <w:rFonts w:ascii="Times New Roman" w:hAnsi="Times New Roman" w:cs="Times New Roman"/>
              <w:b/>
              <w:bCs/>
              <w:sz w:val="24"/>
              <w:szCs w:val="24"/>
            </w:rPr>
            <w:t xml:space="preserve">2.2 </w:t>
          </w:r>
          <w:r w:rsidR="00ED4D67" w:rsidRPr="001E1C96">
            <w:rPr>
              <w:rFonts w:ascii="Times New Roman" w:hAnsi="Times New Roman" w:cs="Times New Roman"/>
              <w:b/>
              <w:bCs/>
              <w:sz w:val="24"/>
              <w:szCs w:val="24"/>
            </w:rPr>
            <w:t xml:space="preserve">Data Governance </w:t>
          </w:r>
          <w:r w:rsidR="002405DD" w:rsidRPr="001E1C96">
            <w:rPr>
              <w:rFonts w:ascii="Times New Roman" w:hAnsi="Times New Roman" w:cs="Times New Roman"/>
              <w:b/>
              <w:bCs/>
              <w:sz w:val="24"/>
              <w:szCs w:val="24"/>
            </w:rPr>
            <w:t>and</w:t>
          </w:r>
          <w:r w:rsidRPr="001E1C96">
            <w:rPr>
              <w:rFonts w:ascii="Times New Roman" w:hAnsi="Times New Roman" w:cs="Times New Roman"/>
              <w:b/>
              <w:bCs/>
              <w:sz w:val="24"/>
              <w:szCs w:val="24"/>
            </w:rPr>
            <w:t xml:space="preserve"> </w:t>
          </w:r>
          <w:r w:rsidR="00ED4D67" w:rsidRPr="001E1C96">
            <w:rPr>
              <w:rFonts w:ascii="Times New Roman" w:hAnsi="Times New Roman" w:cs="Times New Roman"/>
              <w:b/>
              <w:bCs/>
              <w:sz w:val="24"/>
              <w:szCs w:val="24"/>
            </w:rPr>
            <w:t>Risk Management</w:t>
          </w:r>
          <w:r w:rsidRPr="001E1C96">
            <w:rPr>
              <w:rFonts w:ascii="Times New Roman" w:hAnsi="Times New Roman" w:cs="Times New Roman"/>
              <w:b/>
              <w:bCs/>
              <w:sz w:val="24"/>
              <w:szCs w:val="24"/>
            </w:rPr>
            <w:t>.</w:t>
          </w:r>
          <w:bookmarkEnd w:id="4"/>
        </w:p>
        <w:p w14:paraId="31324E39" w14:textId="68305C8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One of the pillars of successful AI implementation is data governance because the quality and integrity of the data used to build AI systems are inseparable factors that define the performance, reliability and equity of AI systems</w:t>
          </w:r>
          <w:r w:rsidR="002405DD">
            <w:rPr>
              <w:rFonts w:ascii="Times New Roman" w:hAnsi="Times New Roman" w:cs="Times New Roman"/>
              <w:sz w:val="24"/>
              <w:szCs w:val="24"/>
            </w:rPr>
            <w:t xml:space="preserve"> (</w:t>
          </w:r>
          <w:r w:rsidR="002405DD" w:rsidRPr="001E1C96">
            <w:rPr>
              <w:rFonts w:ascii="Times New Roman" w:hAnsi="Times New Roman" w:cs="Times New Roman"/>
              <w:sz w:val="24"/>
              <w:szCs w:val="24"/>
            </w:rPr>
            <w:t>West,</w:t>
          </w:r>
          <w:r w:rsidR="002405DD">
            <w:rPr>
              <w:rFonts w:ascii="Times New Roman" w:hAnsi="Times New Roman" w:cs="Times New Roman"/>
              <w:sz w:val="24"/>
              <w:szCs w:val="24"/>
            </w:rPr>
            <w:t xml:space="preserve"> </w:t>
          </w:r>
          <w:r w:rsidR="002405DD" w:rsidRPr="001E1C96">
            <w:rPr>
              <w:rFonts w:ascii="Times New Roman" w:hAnsi="Times New Roman" w:cs="Times New Roman"/>
              <w:sz w:val="24"/>
              <w:szCs w:val="24"/>
            </w:rPr>
            <w:t>2019)</w:t>
          </w:r>
          <w:r w:rsidRPr="001E1C96">
            <w:rPr>
              <w:rFonts w:ascii="Times New Roman" w:hAnsi="Times New Roman" w:cs="Times New Roman"/>
              <w:sz w:val="24"/>
              <w:szCs w:val="24"/>
            </w:rPr>
            <w:t>. In the case of multinational organisations, the size and complexity of data ecosystems increase the issues of governance, and it is crucial to have the structured oversight of the issues related to compliance, transparency, and operational effectiveness. Lack of data governance does not only compromise AI outputs, but also puts organisations at a great risk of legal, ethical and reputational damages (</w:t>
          </w:r>
          <w:proofErr w:type="spellStart"/>
          <w:r w:rsidRPr="001E1C96">
            <w:rPr>
              <w:rFonts w:ascii="Times New Roman" w:hAnsi="Times New Roman" w:cs="Times New Roman"/>
              <w:sz w:val="24"/>
              <w:szCs w:val="24"/>
            </w:rPr>
            <w:t>Mittelstadt</w:t>
          </w:r>
          <w:proofErr w:type="spellEnd"/>
          <w:r w:rsidRPr="001E1C96">
            <w:rPr>
              <w:rFonts w:ascii="Times New Roman" w:hAnsi="Times New Roman" w:cs="Times New Roman"/>
              <w:sz w:val="24"/>
              <w:szCs w:val="24"/>
            </w:rPr>
            <w:t xml:space="preserve"> et al., 2016).</w:t>
          </w:r>
        </w:p>
        <w:p w14:paraId="115666C1" w14:textId="2103B41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lastRenderedPageBreak/>
            <w:t>Maintaining data quality is one of the main issues of AI data governance. The AI systems are dependent on big data that needs to be accurate, complete, and representative. Data of low quality may lead to biased or unreliable results, especially in customer analytics and decision-making, which can adversely affect the results of the business and trust levels among stakeholders (</w:t>
          </w:r>
          <w:proofErr w:type="spellStart"/>
          <w:r w:rsidRPr="001E1C96">
            <w:rPr>
              <w:rFonts w:ascii="Times New Roman" w:hAnsi="Times New Roman" w:cs="Times New Roman"/>
              <w:sz w:val="24"/>
              <w:szCs w:val="24"/>
            </w:rPr>
            <w:t>Floridi</w:t>
          </w:r>
          <w:proofErr w:type="spellEnd"/>
          <w:r w:rsidRPr="001E1C96">
            <w:rPr>
              <w:rFonts w:ascii="Times New Roman" w:hAnsi="Times New Roman" w:cs="Times New Roman"/>
              <w:sz w:val="24"/>
              <w:szCs w:val="24"/>
            </w:rPr>
            <w:t xml:space="preserve"> et al., 2018). In the case of a global organisation like Unilever, there is a strong need to have uniform data quality of various markets and units of operation.</w:t>
          </w:r>
        </w:p>
        <w:p w14:paraId="12BFA2BB" w14:textId="5CD2A4DE" w:rsidR="00EC2848"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increased complexity of cross-border data flows also brings about a challenge in governance because multinational firms have to deal with different regulatory needs in different jurisdictions</w:t>
          </w:r>
          <w:r w:rsidR="007C3A7B" w:rsidRPr="007C3A7B">
            <w:rPr>
              <w:rFonts w:ascii="Times New Roman" w:hAnsi="Times New Roman" w:cs="Times New Roman"/>
              <w:sz w:val="24"/>
              <w:szCs w:val="24"/>
            </w:rPr>
            <w:t xml:space="preserve"> </w:t>
          </w:r>
          <w:r w:rsidR="007C3A7B">
            <w:rPr>
              <w:rFonts w:ascii="Times New Roman" w:hAnsi="Times New Roman" w:cs="Times New Roman"/>
              <w:sz w:val="24"/>
              <w:szCs w:val="24"/>
            </w:rPr>
            <w:t>(</w:t>
          </w:r>
          <w:proofErr w:type="spellStart"/>
          <w:r w:rsidR="007C3A7B" w:rsidRPr="001E1C96">
            <w:rPr>
              <w:rFonts w:ascii="Times New Roman" w:hAnsi="Times New Roman" w:cs="Times New Roman"/>
              <w:sz w:val="24"/>
              <w:szCs w:val="24"/>
            </w:rPr>
            <w:t>Manyika</w:t>
          </w:r>
          <w:proofErr w:type="spellEnd"/>
          <w:r w:rsidR="007C3A7B">
            <w:rPr>
              <w:rFonts w:ascii="Times New Roman" w:hAnsi="Times New Roman" w:cs="Times New Roman"/>
              <w:sz w:val="24"/>
              <w:szCs w:val="24"/>
            </w:rPr>
            <w:t xml:space="preserve"> et al., 2017)</w:t>
          </w:r>
          <w:r w:rsidRPr="001E1C96">
            <w:rPr>
              <w:rFonts w:ascii="Times New Roman" w:hAnsi="Times New Roman" w:cs="Times New Roman"/>
              <w:sz w:val="24"/>
              <w:szCs w:val="24"/>
            </w:rPr>
            <w:t>. The disparities in the United Kingdom and the European Union in data protection standards and enforcing mechanisms pose operational challenges, especially in the process of transferring personal data between them. It is essential to have effective governance systems and data management guidelines to ensure that data protection laws and regulations are complied with but at the same time, to ensure efficient use of the data (UK Government, 2023).</w:t>
          </w:r>
        </w:p>
        <w:p w14:paraId="4B8380EA" w14:textId="4D53EE2C"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Other important considerations are consent and privacy management. AI systems often utilize personal data, and how consent is acquired, handled, and enforced is of concern. Regulatory frameworks are placing more and more importance on user rights, such as transparency and control of personal data</w:t>
          </w:r>
          <w:r w:rsidR="00AC6E06">
            <w:rPr>
              <w:rFonts w:ascii="Times New Roman" w:hAnsi="Times New Roman" w:cs="Times New Roman"/>
              <w:sz w:val="24"/>
              <w:szCs w:val="24"/>
            </w:rPr>
            <w:t xml:space="preserve"> (</w:t>
          </w:r>
          <w:r w:rsidR="00AC6E06" w:rsidRPr="001E1C96">
            <w:rPr>
              <w:rFonts w:ascii="Times New Roman" w:hAnsi="Times New Roman" w:cs="Times New Roman"/>
              <w:sz w:val="24"/>
              <w:szCs w:val="24"/>
            </w:rPr>
            <w:t xml:space="preserve">Davenport, T.H. </w:t>
          </w:r>
          <w:r w:rsidR="00A75E8F">
            <w:rPr>
              <w:rFonts w:ascii="Times New Roman" w:hAnsi="Times New Roman" w:cs="Times New Roman"/>
              <w:sz w:val="24"/>
              <w:szCs w:val="24"/>
            </w:rPr>
            <w:t>&amp;</w:t>
          </w:r>
          <w:r w:rsidR="00AC6E06" w:rsidRPr="001E1C96">
            <w:rPr>
              <w:rFonts w:ascii="Times New Roman" w:hAnsi="Times New Roman" w:cs="Times New Roman"/>
              <w:sz w:val="24"/>
              <w:szCs w:val="24"/>
            </w:rPr>
            <w:t xml:space="preserve"> </w:t>
          </w:r>
          <w:proofErr w:type="spellStart"/>
          <w:r w:rsidR="00AC6E06" w:rsidRPr="001E1C96">
            <w:rPr>
              <w:rFonts w:ascii="Times New Roman" w:hAnsi="Times New Roman" w:cs="Times New Roman"/>
              <w:sz w:val="24"/>
              <w:szCs w:val="24"/>
            </w:rPr>
            <w:t>Ronanki</w:t>
          </w:r>
          <w:proofErr w:type="spellEnd"/>
          <w:r w:rsidR="00AC6E06">
            <w:rPr>
              <w:rFonts w:ascii="Times New Roman" w:hAnsi="Times New Roman" w:cs="Times New Roman"/>
              <w:sz w:val="24"/>
              <w:szCs w:val="24"/>
            </w:rPr>
            <w:t>, 2018)</w:t>
          </w:r>
          <w:r w:rsidRPr="001E1C96">
            <w:rPr>
              <w:rFonts w:ascii="Times New Roman" w:hAnsi="Times New Roman" w:cs="Times New Roman"/>
              <w:sz w:val="24"/>
              <w:szCs w:val="24"/>
            </w:rPr>
            <w:t>. Lack of compliance in these requirements may result in regulatory fines and a loss of consumer confidence especially in markets where privacy standards are high (European Parliament, 2024).</w:t>
          </w:r>
        </w:p>
        <w:p w14:paraId="7786DEB5" w14:textId="0C92E44E"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Another area of concern is effective data lifecycle management which involves data collection, storage, processing and deletion. The absence of definite lifecycle controls leaves organisations vulnerable to retaining redundant or obsolete data, putting them at greater risk of breaches and non-compliance</w:t>
          </w:r>
          <w:r w:rsidR="002405DD">
            <w:rPr>
              <w:rFonts w:ascii="Times New Roman" w:hAnsi="Times New Roman" w:cs="Times New Roman"/>
              <w:sz w:val="24"/>
              <w:szCs w:val="24"/>
            </w:rPr>
            <w:t xml:space="preserve"> (</w:t>
          </w:r>
          <w:r w:rsidR="002405DD" w:rsidRPr="001E1C96">
            <w:rPr>
              <w:rFonts w:ascii="Times New Roman" w:hAnsi="Times New Roman" w:cs="Times New Roman"/>
              <w:sz w:val="24"/>
              <w:szCs w:val="24"/>
            </w:rPr>
            <w:t xml:space="preserve">Van </w:t>
          </w:r>
          <w:proofErr w:type="spellStart"/>
          <w:r w:rsidR="002405DD" w:rsidRPr="001E1C96">
            <w:rPr>
              <w:rFonts w:ascii="Times New Roman" w:hAnsi="Times New Roman" w:cs="Times New Roman"/>
              <w:sz w:val="24"/>
              <w:szCs w:val="24"/>
            </w:rPr>
            <w:t>Dijck</w:t>
          </w:r>
          <w:proofErr w:type="spellEnd"/>
          <w:r w:rsidR="002405DD" w:rsidRPr="001E1C96">
            <w:rPr>
              <w:rFonts w:ascii="Times New Roman" w:hAnsi="Times New Roman" w:cs="Times New Roman"/>
              <w:sz w:val="24"/>
              <w:szCs w:val="24"/>
            </w:rPr>
            <w:t>,</w:t>
          </w:r>
          <w:r w:rsidR="002405DD">
            <w:rPr>
              <w:rFonts w:ascii="Times New Roman" w:hAnsi="Times New Roman" w:cs="Times New Roman"/>
              <w:sz w:val="24"/>
              <w:szCs w:val="24"/>
            </w:rPr>
            <w:t xml:space="preserve"> </w:t>
          </w:r>
          <w:r w:rsidR="002405DD" w:rsidRPr="001E1C96">
            <w:rPr>
              <w:rFonts w:ascii="Times New Roman" w:hAnsi="Times New Roman" w:cs="Times New Roman"/>
              <w:sz w:val="24"/>
              <w:szCs w:val="24"/>
            </w:rPr>
            <w:t>2020)</w:t>
          </w:r>
          <w:r w:rsidRPr="001E1C96">
            <w:rPr>
              <w:rFonts w:ascii="Times New Roman" w:hAnsi="Times New Roman" w:cs="Times New Roman"/>
              <w:sz w:val="24"/>
              <w:szCs w:val="24"/>
            </w:rPr>
            <w:t>. Being responsible in the lifecycle management of data is paramount in reducing risk and alignment with the expectation of regulations.</w:t>
          </w:r>
        </w:p>
        <w:p w14:paraId="7AFDD02D" w14:textId="2E6E12D0"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These issues create great risks especially in the area of non-compliance and misuse of data. The poor governance framework may result in breaches of the data protection laws that will cause both penalties and losses of reputation</w:t>
          </w:r>
          <w:r w:rsidR="007C3A7B" w:rsidRPr="007C3A7B">
            <w:rPr>
              <w:rFonts w:ascii="Times New Roman" w:hAnsi="Times New Roman" w:cs="Times New Roman"/>
              <w:sz w:val="24"/>
              <w:szCs w:val="24"/>
            </w:rPr>
            <w:t xml:space="preserve"> </w:t>
          </w:r>
          <w:r w:rsidR="007C3A7B">
            <w:rPr>
              <w:rFonts w:ascii="Times New Roman" w:hAnsi="Times New Roman" w:cs="Times New Roman"/>
              <w:sz w:val="24"/>
              <w:szCs w:val="24"/>
            </w:rPr>
            <w:t>(</w:t>
          </w:r>
          <w:proofErr w:type="spellStart"/>
          <w:r w:rsidR="007C3A7B" w:rsidRPr="001E1C96">
            <w:rPr>
              <w:rFonts w:ascii="Times New Roman" w:hAnsi="Times New Roman" w:cs="Times New Roman"/>
              <w:sz w:val="24"/>
              <w:szCs w:val="24"/>
            </w:rPr>
            <w:t>Shneiderman</w:t>
          </w:r>
          <w:proofErr w:type="spellEnd"/>
          <w:r w:rsidR="007C3A7B" w:rsidRPr="001E1C96">
            <w:rPr>
              <w:rFonts w:ascii="Times New Roman" w:hAnsi="Times New Roman" w:cs="Times New Roman"/>
              <w:sz w:val="24"/>
              <w:szCs w:val="24"/>
            </w:rPr>
            <w:t>, 2022)</w:t>
          </w:r>
          <w:r w:rsidRPr="001E1C96">
            <w:rPr>
              <w:rFonts w:ascii="Times New Roman" w:hAnsi="Times New Roman" w:cs="Times New Roman"/>
              <w:sz w:val="24"/>
              <w:szCs w:val="24"/>
            </w:rPr>
            <w:t>. Also, improper use or interpretation of data in the AI systems may yield detrimental results, supporting prejudices or creating inaccurate information about the business choices (</w:t>
          </w:r>
          <w:proofErr w:type="spellStart"/>
          <w:r w:rsidRPr="001E1C96">
            <w:rPr>
              <w:rFonts w:ascii="Times New Roman" w:hAnsi="Times New Roman" w:cs="Times New Roman"/>
              <w:sz w:val="24"/>
              <w:szCs w:val="24"/>
            </w:rPr>
            <w:t>Jobin</w:t>
          </w:r>
          <w:proofErr w:type="spellEnd"/>
          <w:r w:rsidRPr="001E1C96">
            <w:rPr>
              <w:rFonts w:ascii="Times New Roman" w:hAnsi="Times New Roman" w:cs="Times New Roman"/>
              <w:sz w:val="24"/>
              <w:szCs w:val="24"/>
            </w:rPr>
            <w:t xml:space="preserve"> et al., 2019).</w:t>
          </w:r>
        </w:p>
        <w:p w14:paraId="76285704"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 xml:space="preserve">Organisations can use existing models to overcome such risks, one of the models being NIST AI Risk Management Framework that offers a systematic method of identifying, evaluating, </w:t>
          </w:r>
          <w:r w:rsidRPr="001E1C96">
            <w:rPr>
              <w:rFonts w:ascii="Times New Roman" w:hAnsi="Times New Roman" w:cs="Times New Roman"/>
              <w:sz w:val="24"/>
              <w:szCs w:val="24"/>
            </w:rPr>
            <w:lastRenderedPageBreak/>
            <w:t>and reducing the AI risks. The framework highlights governance, mapping, measurement, and risk management, which organisations need to instil in the entire AI lifecycle accountability and transparency (NIST, 2023). Its use helps in a preventive risk management approach, whereby companies can identify and take preventive measures to prevent situations that may arise before they become critical.</w:t>
          </w:r>
        </w:p>
        <w:p w14:paraId="049F1A49" w14:textId="37AB5DE6" w:rsidR="00ED4D67" w:rsidRPr="001E1C96" w:rsidRDefault="00EC2848" w:rsidP="001E1C96">
          <w:pPr>
            <w:spacing w:line="360" w:lineRule="auto"/>
            <w:jc w:val="both"/>
            <w:rPr>
              <w:rFonts w:ascii="Times New Roman" w:hAnsi="Times New Roman" w:cs="Times New Roman"/>
              <w:sz w:val="24"/>
              <w:szCs w:val="24"/>
            </w:rPr>
          </w:pPr>
          <w:r>
            <w:rPr>
              <w:rFonts w:ascii="Times New Roman" w:hAnsi="Times New Roman" w:cs="Times New Roman"/>
              <w:sz w:val="24"/>
              <w:szCs w:val="24"/>
            </w:rPr>
            <w:t>U</w:t>
          </w:r>
          <w:r w:rsidRPr="00EC2848">
            <w:rPr>
              <w:rFonts w:ascii="Times New Roman" w:hAnsi="Times New Roman" w:cs="Times New Roman"/>
              <w:sz w:val="24"/>
              <w:szCs w:val="24"/>
            </w:rPr>
            <w:t xml:space="preserve">nilever's AI strategy involves continuous real-time data streams that connect retail, operational and consumer data across the globe. Sales and stock information are used for demand prediction and supply chain management through AI, while external data sources like social media and weather data improve demand sensing (McKinsey, 2024). Operational data is provided by sensors and </w:t>
          </w:r>
          <w:proofErr w:type="spellStart"/>
          <w:r w:rsidRPr="00EC2848">
            <w:rPr>
              <w:rFonts w:ascii="Times New Roman" w:hAnsi="Times New Roman" w:cs="Times New Roman"/>
              <w:sz w:val="24"/>
              <w:szCs w:val="24"/>
            </w:rPr>
            <w:t>IoT</w:t>
          </w:r>
          <w:proofErr w:type="spellEnd"/>
          <w:r w:rsidRPr="00EC2848">
            <w:rPr>
              <w:rFonts w:ascii="Times New Roman" w:hAnsi="Times New Roman" w:cs="Times New Roman"/>
              <w:sz w:val="24"/>
              <w:szCs w:val="24"/>
            </w:rPr>
            <w:t>-enabled assets in factories for real-time monitoring and optimisation (KPMG, 2023). Marketing strategies are also personalised using consumer data. These data streams improve efficiency, but also pose governance issues regarding data quality, international transfers and privacy protection (</w:t>
          </w:r>
          <w:proofErr w:type="spellStart"/>
          <w:r w:rsidRPr="00EC2848">
            <w:rPr>
              <w:rFonts w:ascii="Times New Roman" w:hAnsi="Times New Roman" w:cs="Times New Roman"/>
              <w:sz w:val="24"/>
              <w:szCs w:val="24"/>
            </w:rPr>
            <w:t>Mittelstadt</w:t>
          </w:r>
          <w:proofErr w:type="spellEnd"/>
          <w:r w:rsidRPr="00EC2848">
            <w:rPr>
              <w:rFonts w:ascii="Times New Roman" w:hAnsi="Times New Roman" w:cs="Times New Roman"/>
              <w:sz w:val="24"/>
              <w:szCs w:val="24"/>
            </w:rPr>
            <w:t xml:space="preserve"> et al., 2016).</w:t>
          </w:r>
        </w:p>
        <w:p w14:paraId="66C0104C" w14:textId="7535E259" w:rsidR="00ED4D67" w:rsidRPr="001E1C96" w:rsidRDefault="001E08C5" w:rsidP="001E1C96">
          <w:pPr>
            <w:pStyle w:val="Heading2"/>
            <w:spacing w:line="360" w:lineRule="auto"/>
            <w:jc w:val="both"/>
            <w:rPr>
              <w:rFonts w:ascii="Times New Roman" w:hAnsi="Times New Roman" w:cs="Times New Roman"/>
              <w:b/>
              <w:bCs/>
              <w:sz w:val="24"/>
              <w:szCs w:val="24"/>
            </w:rPr>
          </w:pPr>
          <w:bookmarkStart w:id="5" w:name="_Toc228121957"/>
          <w:r w:rsidRPr="001E1C96">
            <w:rPr>
              <w:rFonts w:ascii="Times New Roman" w:hAnsi="Times New Roman" w:cs="Times New Roman"/>
              <w:b/>
              <w:bCs/>
              <w:sz w:val="24"/>
              <w:szCs w:val="24"/>
            </w:rPr>
            <w:t xml:space="preserve">2.3 </w:t>
          </w:r>
          <w:r w:rsidR="00ED4D67" w:rsidRPr="001E1C96">
            <w:rPr>
              <w:rFonts w:ascii="Times New Roman" w:hAnsi="Times New Roman" w:cs="Times New Roman"/>
              <w:b/>
              <w:bCs/>
              <w:sz w:val="24"/>
              <w:szCs w:val="24"/>
            </w:rPr>
            <w:t xml:space="preserve">Accountability </w:t>
          </w:r>
          <w:r w:rsidR="00407C83" w:rsidRPr="001E1C96">
            <w:rPr>
              <w:rFonts w:ascii="Times New Roman" w:hAnsi="Times New Roman" w:cs="Times New Roman"/>
              <w:b/>
              <w:bCs/>
              <w:sz w:val="24"/>
              <w:szCs w:val="24"/>
            </w:rPr>
            <w:t>of</w:t>
          </w:r>
          <w:r w:rsidRPr="001E1C96">
            <w:rPr>
              <w:rFonts w:ascii="Times New Roman" w:hAnsi="Times New Roman" w:cs="Times New Roman"/>
              <w:b/>
              <w:bCs/>
              <w:sz w:val="24"/>
              <w:szCs w:val="24"/>
            </w:rPr>
            <w:t xml:space="preserve"> </w:t>
          </w:r>
          <w:r w:rsidR="00ED4D67" w:rsidRPr="001E1C96">
            <w:rPr>
              <w:rFonts w:ascii="Times New Roman" w:hAnsi="Times New Roman" w:cs="Times New Roman"/>
              <w:b/>
              <w:bCs/>
              <w:sz w:val="24"/>
              <w:szCs w:val="24"/>
            </w:rPr>
            <w:t xml:space="preserve">AI </w:t>
          </w:r>
          <w:r w:rsidR="00407C83">
            <w:rPr>
              <w:rFonts w:ascii="Times New Roman" w:hAnsi="Times New Roman" w:cs="Times New Roman"/>
              <w:b/>
              <w:bCs/>
              <w:sz w:val="24"/>
              <w:szCs w:val="24"/>
            </w:rPr>
            <w:t>a</w:t>
          </w:r>
          <w:r w:rsidRPr="001E1C96">
            <w:rPr>
              <w:rFonts w:ascii="Times New Roman" w:hAnsi="Times New Roman" w:cs="Times New Roman"/>
              <w:b/>
              <w:bCs/>
              <w:sz w:val="24"/>
              <w:szCs w:val="24"/>
            </w:rPr>
            <w:t xml:space="preserve">nd </w:t>
          </w:r>
          <w:r w:rsidR="00ED4D67" w:rsidRPr="001E1C96">
            <w:rPr>
              <w:rFonts w:ascii="Times New Roman" w:hAnsi="Times New Roman" w:cs="Times New Roman"/>
              <w:b/>
              <w:bCs/>
              <w:sz w:val="24"/>
              <w:szCs w:val="24"/>
            </w:rPr>
            <w:t>Algorithms</w:t>
          </w:r>
          <w:r w:rsidRPr="001E1C96">
            <w:rPr>
              <w:rFonts w:ascii="Times New Roman" w:hAnsi="Times New Roman" w:cs="Times New Roman"/>
              <w:b/>
              <w:bCs/>
              <w:sz w:val="24"/>
              <w:szCs w:val="24"/>
            </w:rPr>
            <w:t>.</w:t>
          </w:r>
          <w:bookmarkEnd w:id="5"/>
        </w:p>
        <w:p w14:paraId="713E3322" w14:textId="0ED236D6"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With the introduction of artificial intelligence into the organisational decision-making process, one of the most important aspects of governance has become ethical considerations. In addition to technical performance, AI systems should work in a manner that is fair, transparent and accountable</w:t>
          </w:r>
          <w:r w:rsidR="007C3A7B" w:rsidRPr="007C3A7B">
            <w:rPr>
              <w:rFonts w:ascii="Times New Roman" w:hAnsi="Times New Roman" w:cs="Times New Roman"/>
              <w:sz w:val="24"/>
              <w:szCs w:val="24"/>
            </w:rPr>
            <w:t xml:space="preserve"> </w:t>
          </w:r>
          <w:r w:rsidR="007C3A7B">
            <w:rPr>
              <w:rFonts w:ascii="Times New Roman" w:hAnsi="Times New Roman" w:cs="Times New Roman"/>
              <w:sz w:val="24"/>
              <w:szCs w:val="24"/>
            </w:rPr>
            <w:t>(</w:t>
          </w:r>
          <w:r w:rsidR="007C3A7B" w:rsidRPr="001E1C96">
            <w:rPr>
              <w:rFonts w:ascii="Times New Roman" w:hAnsi="Times New Roman" w:cs="Times New Roman"/>
              <w:sz w:val="24"/>
              <w:szCs w:val="24"/>
            </w:rPr>
            <w:t>Russell</w:t>
          </w:r>
          <w:r w:rsidR="007C3A7B">
            <w:rPr>
              <w:rFonts w:ascii="Times New Roman" w:hAnsi="Times New Roman" w:cs="Times New Roman"/>
              <w:sz w:val="24"/>
              <w:szCs w:val="24"/>
            </w:rPr>
            <w:t xml:space="preserve"> &amp;</w:t>
          </w:r>
          <w:r w:rsidR="007C3A7B" w:rsidRPr="001E1C96">
            <w:rPr>
              <w:rFonts w:ascii="Times New Roman" w:hAnsi="Times New Roman" w:cs="Times New Roman"/>
              <w:sz w:val="24"/>
              <w:szCs w:val="24"/>
            </w:rPr>
            <w:t xml:space="preserve"> </w:t>
          </w:r>
          <w:proofErr w:type="spellStart"/>
          <w:r w:rsidR="007C3A7B" w:rsidRPr="001E1C96">
            <w:rPr>
              <w:rFonts w:ascii="Times New Roman" w:hAnsi="Times New Roman" w:cs="Times New Roman"/>
              <w:sz w:val="24"/>
              <w:szCs w:val="24"/>
            </w:rPr>
            <w:t>Norvig</w:t>
          </w:r>
          <w:proofErr w:type="spellEnd"/>
          <w:r w:rsidR="007C3A7B" w:rsidRPr="001E1C96">
            <w:rPr>
              <w:rFonts w:ascii="Times New Roman" w:hAnsi="Times New Roman" w:cs="Times New Roman"/>
              <w:sz w:val="24"/>
              <w:szCs w:val="24"/>
            </w:rPr>
            <w:t>,</w:t>
          </w:r>
          <w:r w:rsidR="007C3A7B">
            <w:rPr>
              <w:rFonts w:ascii="Times New Roman" w:hAnsi="Times New Roman" w:cs="Times New Roman"/>
              <w:sz w:val="24"/>
              <w:szCs w:val="24"/>
            </w:rPr>
            <w:t xml:space="preserve"> </w:t>
          </w:r>
          <w:r w:rsidR="007C3A7B" w:rsidRPr="001E1C96">
            <w:rPr>
              <w:rFonts w:ascii="Times New Roman" w:hAnsi="Times New Roman" w:cs="Times New Roman"/>
              <w:sz w:val="24"/>
              <w:szCs w:val="24"/>
            </w:rPr>
            <w:t>2021)</w:t>
          </w:r>
          <w:r w:rsidRPr="001E1C96">
            <w:rPr>
              <w:rFonts w:ascii="Times New Roman" w:hAnsi="Times New Roman" w:cs="Times New Roman"/>
              <w:sz w:val="24"/>
              <w:szCs w:val="24"/>
            </w:rPr>
            <w:t>. The inability to deal with these ethical aspects may cause high organisational risks, especially concerning the trust of stakeholders and reputational integrity (</w:t>
          </w:r>
          <w:proofErr w:type="spellStart"/>
          <w:r w:rsidRPr="001E1C96">
            <w:rPr>
              <w:rFonts w:ascii="Times New Roman" w:hAnsi="Times New Roman" w:cs="Times New Roman"/>
              <w:sz w:val="24"/>
              <w:szCs w:val="24"/>
            </w:rPr>
            <w:t>Floridi</w:t>
          </w:r>
          <w:proofErr w:type="spellEnd"/>
          <w:r w:rsidRPr="001E1C96">
            <w:rPr>
              <w:rFonts w:ascii="Times New Roman" w:hAnsi="Times New Roman" w:cs="Times New Roman"/>
              <w:sz w:val="24"/>
              <w:szCs w:val="24"/>
            </w:rPr>
            <w:t xml:space="preserve"> et al., 2018). Ethical AI is not an option anymore: it is a strategic requirement of multinational companies that are implementing AI on a large scale.</w:t>
          </w:r>
        </w:p>
        <w:p w14:paraId="03A21240" w14:textId="2CF91A18"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Algorithm’s bias is one of the most outstanding ethical risks. AI systems are learning based on historical data, which can be biased towards the current inequalities in society or structure. Consequently, discriminatory results might be achieved with biased datasets, especially in such fields as recruitment, credit evaluation, or targeted marketing (</w:t>
          </w:r>
          <w:proofErr w:type="spellStart"/>
          <w:r w:rsidRPr="001E1C96">
            <w:rPr>
              <w:rFonts w:ascii="Times New Roman" w:hAnsi="Times New Roman" w:cs="Times New Roman"/>
              <w:sz w:val="24"/>
              <w:szCs w:val="24"/>
            </w:rPr>
            <w:t>Mittelstadt</w:t>
          </w:r>
          <w:proofErr w:type="spellEnd"/>
          <w:r w:rsidRPr="001E1C96">
            <w:rPr>
              <w:rFonts w:ascii="Times New Roman" w:hAnsi="Times New Roman" w:cs="Times New Roman"/>
              <w:sz w:val="24"/>
              <w:szCs w:val="24"/>
            </w:rPr>
            <w:t xml:space="preserve"> et al., 2016). One of the most popular examples is the Amazon recruitment algorithm, which has been discovered to discriminate against female candidates because of biased training data, thus resulting in the system being dumped (</w:t>
          </w:r>
          <w:proofErr w:type="spellStart"/>
          <w:r w:rsidRPr="001E1C96">
            <w:rPr>
              <w:rFonts w:ascii="Times New Roman" w:hAnsi="Times New Roman" w:cs="Times New Roman"/>
              <w:sz w:val="24"/>
              <w:szCs w:val="24"/>
            </w:rPr>
            <w:t>Dastin</w:t>
          </w:r>
          <w:proofErr w:type="spellEnd"/>
          <w:r w:rsidRPr="001E1C96">
            <w:rPr>
              <w:rFonts w:ascii="Times New Roman" w:hAnsi="Times New Roman" w:cs="Times New Roman"/>
              <w:sz w:val="24"/>
              <w:szCs w:val="24"/>
            </w:rPr>
            <w:t>, 2018). These instances demonstrate the potential of bias to arise unintentionally and have major ethical and operational implications.</w:t>
          </w:r>
        </w:p>
        <w:p w14:paraId="7BA2CCC8" w14:textId="63E3A208"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 xml:space="preserve">The second critical problem is that the systems of AI lack </w:t>
          </w:r>
          <w:proofErr w:type="spellStart"/>
          <w:r w:rsidRPr="001E1C96">
            <w:rPr>
              <w:rFonts w:ascii="Times New Roman" w:hAnsi="Times New Roman" w:cs="Times New Roman"/>
              <w:sz w:val="24"/>
              <w:szCs w:val="24"/>
            </w:rPr>
            <w:t>explainability</w:t>
          </w:r>
          <w:proofErr w:type="spellEnd"/>
          <w:r w:rsidRPr="001E1C96">
            <w:rPr>
              <w:rFonts w:ascii="Times New Roman" w:hAnsi="Times New Roman" w:cs="Times New Roman"/>
              <w:sz w:val="24"/>
              <w:szCs w:val="24"/>
            </w:rPr>
            <w:t>. Most of the sophisticated AI models and especially those that are founded on machine learning work as black boxes and it is hard to know how decisions are reached</w:t>
          </w:r>
          <w:r w:rsidR="002405DD">
            <w:rPr>
              <w:rFonts w:ascii="Times New Roman" w:hAnsi="Times New Roman" w:cs="Times New Roman"/>
              <w:sz w:val="24"/>
              <w:szCs w:val="24"/>
            </w:rPr>
            <w:t xml:space="preserve"> </w:t>
          </w:r>
          <w:r w:rsidR="002405DD">
            <w:rPr>
              <w:rFonts w:ascii="Times New Roman" w:hAnsi="Times New Roman" w:cs="Times New Roman"/>
              <w:sz w:val="24"/>
              <w:szCs w:val="24"/>
            </w:rPr>
            <w:br/>
          </w:r>
          <w:r w:rsidR="002405DD">
            <w:rPr>
              <w:rFonts w:ascii="Times New Roman" w:hAnsi="Times New Roman" w:cs="Times New Roman"/>
              <w:sz w:val="24"/>
              <w:szCs w:val="24"/>
            </w:rPr>
            <w:lastRenderedPageBreak/>
            <w:t>(</w:t>
          </w:r>
          <w:r w:rsidR="002405DD" w:rsidRPr="001E1C96">
            <w:rPr>
              <w:rFonts w:ascii="Times New Roman" w:hAnsi="Times New Roman" w:cs="Times New Roman"/>
              <w:sz w:val="24"/>
              <w:szCs w:val="24"/>
            </w:rPr>
            <w:t xml:space="preserve">Veale </w:t>
          </w:r>
          <w:r w:rsidR="002405DD">
            <w:rPr>
              <w:rFonts w:ascii="Times New Roman" w:hAnsi="Times New Roman" w:cs="Times New Roman"/>
              <w:sz w:val="24"/>
              <w:szCs w:val="24"/>
            </w:rPr>
            <w:t>&amp;</w:t>
          </w:r>
          <w:r w:rsidR="002405DD" w:rsidRPr="001E1C96">
            <w:rPr>
              <w:rFonts w:ascii="Times New Roman" w:hAnsi="Times New Roman" w:cs="Times New Roman"/>
              <w:sz w:val="24"/>
              <w:szCs w:val="24"/>
            </w:rPr>
            <w:t xml:space="preserve"> </w:t>
          </w:r>
          <w:proofErr w:type="spellStart"/>
          <w:r w:rsidR="002405DD" w:rsidRPr="001E1C96">
            <w:rPr>
              <w:rFonts w:ascii="Times New Roman" w:hAnsi="Times New Roman" w:cs="Times New Roman"/>
              <w:sz w:val="24"/>
              <w:szCs w:val="24"/>
            </w:rPr>
            <w:t>Borgesius</w:t>
          </w:r>
          <w:proofErr w:type="spellEnd"/>
          <w:r w:rsidR="002405DD">
            <w:rPr>
              <w:rFonts w:ascii="Times New Roman" w:hAnsi="Times New Roman" w:cs="Times New Roman"/>
              <w:sz w:val="24"/>
              <w:szCs w:val="24"/>
            </w:rPr>
            <w:t xml:space="preserve">, </w:t>
          </w:r>
          <w:r w:rsidR="002405DD" w:rsidRPr="001E1C96">
            <w:rPr>
              <w:rFonts w:ascii="Times New Roman" w:hAnsi="Times New Roman" w:cs="Times New Roman"/>
              <w:sz w:val="24"/>
              <w:szCs w:val="24"/>
            </w:rPr>
            <w:t>2021)</w:t>
          </w:r>
          <w:r w:rsidRPr="001E1C96">
            <w:rPr>
              <w:rFonts w:ascii="Times New Roman" w:hAnsi="Times New Roman" w:cs="Times New Roman"/>
              <w:sz w:val="24"/>
              <w:szCs w:val="24"/>
            </w:rPr>
            <w:t>. Such a lack of transparency compromises trust and makes it difficult to comply with regulations, particularly in those jurisdictions that make organisations explain automated decisions (</w:t>
          </w:r>
          <w:proofErr w:type="spellStart"/>
          <w:r w:rsidRPr="001E1C96">
            <w:rPr>
              <w:rFonts w:ascii="Times New Roman" w:hAnsi="Times New Roman" w:cs="Times New Roman"/>
              <w:sz w:val="24"/>
              <w:szCs w:val="24"/>
            </w:rPr>
            <w:t>Glikson</w:t>
          </w:r>
          <w:proofErr w:type="spellEnd"/>
          <w:r w:rsidRPr="001E1C96">
            <w:rPr>
              <w:rFonts w:ascii="Times New Roman" w:hAnsi="Times New Roman" w:cs="Times New Roman"/>
              <w:sz w:val="24"/>
              <w:szCs w:val="24"/>
            </w:rPr>
            <w:t xml:space="preserve"> </w:t>
          </w:r>
          <w:r w:rsidR="00A75E8F">
            <w:rPr>
              <w:rFonts w:ascii="Times New Roman" w:hAnsi="Times New Roman" w:cs="Times New Roman"/>
              <w:sz w:val="24"/>
              <w:szCs w:val="24"/>
            </w:rPr>
            <w:t>&amp;</w:t>
          </w:r>
          <w:r w:rsidRPr="001E1C96">
            <w:rPr>
              <w:rFonts w:ascii="Times New Roman" w:hAnsi="Times New Roman" w:cs="Times New Roman"/>
              <w:sz w:val="24"/>
              <w:szCs w:val="24"/>
            </w:rPr>
            <w:t xml:space="preserve"> Woolley, 2020). Lack of </w:t>
          </w:r>
          <w:proofErr w:type="spellStart"/>
          <w:r w:rsidRPr="001E1C96">
            <w:rPr>
              <w:rFonts w:ascii="Times New Roman" w:hAnsi="Times New Roman" w:cs="Times New Roman"/>
              <w:sz w:val="24"/>
              <w:szCs w:val="24"/>
            </w:rPr>
            <w:t>explainability</w:t>
          </w:r>
          <w:proofErr w:type="spellEnd"/>
          <w:r w:rsidRPr="001E1C96">
            <w:rPr>
              <w:rFonts w:ascii="Times New Roman" w:hAnsi="Times New Roman" w:cs="Times New Roman"/>
              <w:sz w:val="24"/>
              <w:szCs w:val="24"/>
            </w:rPr>
            <w:t xml:space="preserve"> can make organisations hard to identify flaws, mitigating biases, or offer valuable accountability of results.</w:t>
          </w:r>
        </w:p>
        <w:p w14:paraId="2F9702F4" w14:textId="58AD8312"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Lack of accountability also makes ethical governance of AI more difficult. In the conventional decision making one can easily assign responsibility to either individuals or teams. But in the case of AI systems, decisions are frequently spread throughout the data inputs, algorithms and organisational processes and it can be challenging to identify the person to hold responsible in case of errors</w:t>
          </w:r>
          <w:r w:rsidR="00E30381" w:rsidRPr="00E30381">
            <w:rPr>
              <w:rFonts w:ascii="Times New Roman" w:hAnsi="Times New Roman" w:cs="Times New Roman"/>
              <w:sz w:val="24"/>
              <w:szCs w:val="24"/>
            </w:rPr>
            <w:t xml:space="preserve"> </w:t>
          </w:r>
          <w:r w:rsidR="00E30381">
            <w:rPr>
              <w:rFonts w:ascii="Times New Roman" w:hAnsi="Times New Roman" w:cs="Times New Roman"/>
              <w:sz w:val="24"/>
              <w:szCs w:val="24"/>
            </w:rPr>
            <w:t>(</w:t>
          </w:r>
          <w:r w:rsidR="00E30381" w:rsidRPr="00E30381">
            <w:rPr>
              <w:rFonts w:ascii="Times New Roman" w:hAnsi="Times New Roman" w:cs="Times New Roman"/>
              <w:sz w:val="24"/>
              <w:szCs w:val="24"/>
            </w:rPr>
            <w:t>Kaplan</w:t>
          </w:r>
          <w:r w:rsidR="00A75E8F">
            <w:rPr>
              <w:rFonts w:ascii="Times New Roman" w:hAnsi="Times New Roman" w:cs="Times New Roman"/>
              <w:sz w:val="24"/>
              <w:szCs w:val="24"/>
            </w:rPr>
            <w:t xml:space="preserve"> &amp;</w:t>
          </w:r>
          <w:r w:rsidR="00E30381" w:rsidRPr="00E30381">
            <w:rPr>
              <w:rFonts w:ascii="Times New Roman" w:hAnsi="Times New Roman" w:cs="Times New Roman"/>
              <w:sz w:val="24"/>
              <w:szCs w:val="24"/>
            </w:rPr>
            <w:t xml:space="preserve"> </w:t>
          </w:r>
          <w:proofErr w:type="spellStart"/>
          <w:r w:rsidR="00E30381" w:rsidRPr="00E30381">
            <w:rPr>
              <w:rFonts w:ascii="Times New Roman" w:hAnsi="Times New Roman" w:cs="Times New Roman"/>
              <w:sz w:val="24"/>
              <w:szCs w:val="24"/>
            </w:rPr>
            <w:t>Haenlein</w:t>
          </w:r>
          <w:proofErr w:type="spellEnd"/>
          <w:r w:rsidR="00E30381">
            <w:rPr>
              <w:rFonts w:ascii="Times New Roman" w:hAnsi="Times New Roman" w:cs="Times New Roman"/>
              <w:sz w:val="24"/>
              <w:szCs w:val="24"/>
            </w:rPr>
            <w:t>, 20</w:t>
          </w:r>
          <w:r w:rsidR="00F367D8">
            <w:rPr>
              <w:rFonts w:ascii="Times New Roman" w:hAnsi="Times New Roman" w:cs="Times New Roman"/>
              <w:sz w:val="24"/>
              <w:szCs w:val="24"/>
            </w:rPr>
            <w:t>19</w:t>
          </w:r>
          <w:r w:rsidR="00E30381">
            <w:rPr>
              <w:rFonts w:ascii="Times New Roman" w:hAnsi="Times New Roman" w:cs="Times New Roman"/>
              <w:sz w:val="24"/>
              <w:szCs w:val="24"/>
            </w:rPr>
            <w:t>)</w:t>
          </w:r>
          <w:r w:rsidRPr="001E1C96">
            <w:rPr>
              <w:rFonts w:ascii="Times New Roman" w:hAnsi="Times New Roman" w:cs="Times New Roman"/>
              <w:sz w:val="24"/>
              <w:szCs w:val="24"/>
            </w:rPr>
            <w:t>. This decentralisation of risk exposes organisations to more risk and regulators and stakeholders are worried about how this is managed and controlled (</w:t>
          </w:r>
          <w:proofErr w:type="spellStart"/>
          <w:r w:rsidRPr="001E1C96">
            <w:rPr>
              <w:rFonts w:ascii="Times New Roman" w:hAnsi="Times New Roman" w:cs="Times New Roman"/>
              <w:sz w:val="24"/>
              <w:szCs w:val="24"/>
            </w:rPr>
            <w:t>Jobin</w:t>
          </w:r>
          <w:proofErr w:type="spellEnd"/>
          <w:r w:rsidRPr="001E1C96">
            <w:rPr>
              <w:rFonts w:ascii="Times New Roman" w:hAnsi="Times New Roman" w:cs="Times New Roman"/>
              <w:sz w:val="24"/>
              <w:szCs w:val="24"/>
            </w:rPr>
            <w:t xml:space="preserve"> et al., 2019).</w:t>
          </w:r>
        </w:p>
        <w:p w14:paraId="4F590C81"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Information Ethics is an application that can be used to provide a framework to overcome these issues. Information Ethics also focuses on justice, openness, and respect of people in the digital world, and considers data and AI systems to be a subset of an informational ecosystem that has to be responsibly managed (</w:t>
          </w:r>
          <w:proofErr w:type="spellStart"/>
          <w:r w:rsidRPr="001E1C96">
            <w:rPr>
              <w:rFonts w:ascii="Times New Roman" w:hAnsi="Times New Roman" w:cs="Times New Roman"/>
              <w:sz w:val="24"/>
              <w:szCs w:val="24"/>
            </w:rPr>
            <w:t>Floridi</w:t>
          </w:r>
          <w:proofErr w:type="spellEnd"/>
          <w:r w:rsidRPr="001E1C96">
            <w:rPr>
              <w:rFonts w:ascii="Times New Roman" w:hAnsi="Times New Roman" w:cs="Times New Roman"/>
              <w:sz w:val="24"/>
              <w:szCs w:val="24"/>
            </w:rPr>
            <w:t>, 2019). In this respect, organisations should not only follow the rules and regulations as set by law but they also have the moral responsibility to make sure that their AI system does not hurt individuals or the society.</w:t>
          </w:r>
        </w:p>
        <w:p w14:paraId="26417DBE" w14:textId="039AA526"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costs of ethical failures in AI may result in major business consequences, such as reputational harm, consumer mistrust, and monetary losses, especially when it comes to global brands such as Unilever. Organizations can reduce such risks through setting up of systematic AI governance, including the establishment of AI ethics boards to manage decision-making and periodic audits to maintain fairness and ethical standards</w:t>
          </w:r>
          <w:r w:rsidR="002405DD">
            <w:rPr>
              <w:rFonts w:ascii="Times New Roman" w:hAnsi="Times New Roman" w:cs="Times New Roman"/>
              <w:sz w:val="24"/>
              <w:szCs w:val="24"/>
            </w:rPr>
            <w:t xml:space="preserve"> (UNESCO, 2021)</w:t>
          </w:r>
          <w:r w:rsidRPr="001E1C96">
            <w:rPr>
              <w:rFonts w:ascii="Times New Roman" w:hAnsi="Times New Roman" w:cs="Times New Roman"/>
              <w:sz w:val="24"/>
              <w:szCs w:val="24"/>
            </w:rPr>
            <w:t>. Furthermore, the use of explainable AI (XAI) can improve transparency in AI-driven decisions, which means that organizations will have a better vision of how they use AI systems and be able to justify their use</w:t>
          </w:r>
          <w:r w:rsidR="00E30381" w:rsidRPr="00E30381">
            <w:rPr>
              <w:rFonts w:ascii="Times New Roman" w:hAnsi="Times New Roman" w:cs="Times New Roman"/>
              <w:sz w:val="24"/>
              <w:szCs w:val="24"/>
            </w:rPr>
            <w:t xml:space="preserve"> </w:t>
          </w:r>
          <w:r w:rsidR="00E30381">
            <w:rPr>
              <w:rFonts w:ascii="Times New Roman" w:hAnsi="Times New Roman" w:cs="Times New Roman"/>
              <w:sz w:val="24"/>
              <w:szCs w:val="24"/>
            </w:rPr>
            <w:t>(</w:t>
          </w:r>
          <w:r w:rsidR="00E30381" w:rsidRPr="00E30381">
            <w:rPr>
              <w:rFonts w:ascii="Times New Roman" w:hAnsi="Times New Roman" w:cs="Times New Roman"/>
              <w:sz w:val="24"/>
              <w:szCs w:val="24"/>
            </w:rPr>
            <w:t>IBM</w:t>
          </w:r>
          <w:r w:rsidR="00E30381">
            <w:rPr>
              <w:rFonts w:ascii="Times New Roman" w:hAnsi="Times New Roman" w:cs="Times New Roman"/>
              <w:sz w:val="24"/>
              <w:szCs w:val="24"/>
            </w:rPr>
            <w:t>, 2023)</w:t>
          </w:r>
          <w:r w:rsidRPr="001E1C96">
            <w:rPr>
              <w:rFonts w:ascii="Times New Roman" w:hAnsi="Times New Roman" w:cs="Times New Roman"/>
              <w:sz w:val="24"/>
              <w:szCs w:val="24"/>
            </w:rPr>
            <w:t>. A combination of these measures contribute to a proactive attitude towards ethical AI, minimizing the risk and strengthening the trust and responsibility. Implementing the ethical principles in AI governance, Unilever can not only lessen the harm that the AI may cause, but also enhance its status as a responsible and reputable organisation in the ever-growing AI-driven global economy</w:t>
          </w:r>
          <w:r w:rsidR="00CD76A0">
            <w:rPr>
              <w:rFonts w:ascii="Times New Roman" w:hAnsi="Times New Roman" w:cs="Times New Roman"/>
              <w:sz w:val="24"/>
              <w:szCs w:val="24"/>
            </w:rPr>
            <w:t xml:space="preserve"> (Unilever, 2024)</w:t>
          </w:r>
          <w:r w:rsidRPr="001E1C96">
            <w:rPr>
              <w:rFonts w:ascii="Times New Roman" w:hAnsi="Times New Roman" w:cs="Times New Roman"/>
              <w:sz w:val="24"/>
              <w:szCs w:val="24"/>
            </w:rPr>
            <w:t>.</w:t>
          </w:r>
        </w:p>
        <w:p w14:paraId="3981A370" w14:textId="572048FA" w:rsidR="00ED4D67" w:rsidRPr="001E1C96" w:rsidRDefault="001E08C5" w:rsidP="001E1C96">
          <w:pPr>
            <w:pStyle w:val="Heading2"/>
            <w:spacing w:line="360" w:lineRule="auto"/>
            <w:jc w:val="both"/>
            <w:rPr>
              <w:rFonts w:ascii="Times New Roman" w:hAnsi="Times New Roman" w:cs="Times New Roman"/>
              <w:b/>
              <w:bCs/>
              <w:sz w:val="24"/>
              <w:szCs w:val="24"/>
            </w:rPr>
          </w:pPr>
          <w:bookmarkStart w:id="6" w:name="_Toc228121958"/>
          <w:r w:rsidRPr="001E1C96">
            <w:rPr>
              <w:rFonts w:ascii="Times New Roman" w:hAnsi="Times New Roman" w:cs="Times New Roman"/>
              <w:b/>
              <w:bCs/>
              <w:sz w:val="24"/>
              <w:szCs w:val="24"/>
            </w:rPr>
            <w:lastRenderedPageBreak/>
            <w:t xml:space="preserve">2.4 </w:t>
          </w:r>
          <w:r w:rsidR="00ED4D67" w:rsidRPr="001E1C96">
            <w:rPr>
              <w:rFonts w:ascii="Times New Roman" w:hAnsi="Times New Roman" w:cs="Times New Roman"/>
              <w:b/>
              <w:bCs/>
              <w:sz w:val="24"/>
              <w:szCs w:val="24"/>
            </w:rPr>
            <w:t xml:space="preserve">Customer Confidence </w:t>
          </w:r>
          <w:r w:rsidR="00407C83" w:rsidRPr="001E1C96">
            <w:rPr>
              <w:rFonts w:ascii="Times New Roman" w:hAnsi="Times New Roman" w:cs="Times New Roman"/>
              <w:b/>
              <w:bCs/>
              <w:sz w:val="24"/>
              <w:szCs w:val="24"/>
            </w:rPr>
            <w:t>and</w:t>
          </w:r>
          <w:r w:rsidRPr="001E1C96">
            <w:rPr>
              <w:rFonts w:ascii="Times New Roman" w:hAnsi="Times New Roman" w:cs="Times New Roman"/>
              <w:b/>
              <w:bCs/>
              <w:sz w:val="24"/>
              <w:szCs w:val="24"/>
            </w:rPr>
            <w:t xml:space="preserve"> </w:t>
          </w:r>
          <w:r w:rsidR="00ED4D67" w:rsidRPr="001E1C96">
            <w:rPr>
              <w:rFonts w:ascii="Times New Roman" w:hAnsi="Times New Roman" w:cs="Times New Roman"/>
              <w:b/>
              <w:bCs/>
              <w:sz w:val="24"/>
              <w:szCs w:val="24"/>
            </w:rPr>
            <w:t>Stakeholder Management</w:t>
          </w:r>
          <w:r w:rsidRPr="001E1C96">
            <w:rPr>
              <w:rFonts w:ascii="Times New Roman" w:hAnsi="Times New Roman" w:cs="Times New Roman"/>
              <w:b/>
              <w:bCs/>
              <w:sz w:val="24"/>
              <w:szCs w:val="24"/>
            </w:rPr>
            <w:t>.</w:t>
          </w:r>
          <w:bookmarkEnd w:id="6"/>
        </w:p>
        <w:p w14:paraId="519B5E09" w14:textId="4BC7E4FF"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An essential resource in the adoption and scaling of artificial intelligence is trust, especially when AI systems have a role in the customer decisions. With organisations turning to algorithms based on the data they have to provide personalisation, pricing, and products, the perceived fairness and transparency of these systems has a direct impact on the confidence of the stakeholders</w:t>
          </w:r>
          <w:r w:rsidR="00F367D8">
            <w:rPr>
              <w:rFonts w:ascii="Times New Roman" w:hAnsi="Times New Roman" w:cs="Times New Roman"/>
              <w:sz w:val="24"/>
              <w:szCs w:val="24"/>
            </w:rPr>
            <w:t xml:space="preserve"> (</w:t>
          </w:r>
          <w:r w:rsidR="00F367D8" w:rsidRPr="001E1C96">
            <w:rPr>
              <w:rFonts w:ascii="Times New Roman" w:hAnsi="Times New Roman" w:cs="Times New Roman"/>
              <w:sz w:val="24"/>
              <w:szCs w:val="24"/>
            </w:rPr>
            <w:t>World Economic Foru</w:t>
          </w:r>
          <w:r w:rsidR="00F367D8">
            <w:rPr>
              <w:rFonts w:ascii="Times New Roman" w:hAnsi="Times New Roman" w:cs="Times New Roman"/>
              <w:sz w:val="24"/>
              <w:szCs w:val="24"/>
            </w:rPr>
            <w:t xml:space="preserve">m, </w:t>
          </w:r>
          <w:r w:rsidR="00F367D8" w:rsidRPr="001E1C96">
            <w:rPr>
              <w:rFonts w:ascii="Times New Roman" w:hAnsi="Times New Roman" w:cs="Times New Roman"/>
              <w:sz w:val="24"/>
              <w:szCs w:val="24"/>
            </w:rPr>
            <w:t>2024)</w:t>
          </w:r>
          <w:r w:rsidRPr="001E1C96">
            <w:rPr>
              <w:rFonts w:ascii="Times New Roman" w:hAnsi="Times New Roman" w:cs="Times New Roman"/>
              <w:sz w:val="24"/>
              <w:szCs w:val="24"/>
            </w:rPr>
            <w:t>. Trust is not merely an ethical issue in AI-driven settings but a factor to determine the ultimate commercial performance, which determines the loyalty of consumers, brand image, marketing competitiveness (</w:t>
          </w:r>
          <w:proofErr w:type="spellStart"/>
          <w:r w:rsidRPr="001E1C96">
            <w:rPr>
              <w:rFonts w:ascii="Times New Roman" w:hAnsi="Times New Roman" w:cs="Times New Roman"/>
              <w:sz w:val="24"/>
              <w:szCs w:val="24"/>
            </w:rPr>
            <w:t>Glikson</w:t>
          </w:r>
          <w:proofErr w:type="spellEnd"/>
          <w:r w:rsidRPr="001E1C96">
            <w:rPr>
              <w:rFonts w:ascii="Times New Roman" w:hAnsi="Times New Roman" w:cs="Times New Roman"/>
              <w:sz w:val="24"/>
              <w:szCs w:val="24"/>
            </w:rPr>
            <w:t xml:space="preserve"> </w:t>
          </w:r>
          <w:r w:rsidR="00A75E8F">
            <w:rPr>
              <w:rFonts w:ascii="Times New Roman" w:hAnsi="Times New Roman" w:cs="Times New Roman"/>
              <w:sz w:val="24"/>
              <w:szCs w:val="24"/>
            </w:rPr>
            <w:t>&amp;</w:t>
          </w:r>
          <w:r w:rsidRPr="001E1C96">
            <w:rPr>
              <w:rFonts w:ascii="Times New Roman" w:hAnsi="Times New Roman" w:cs="Times New Roman"/>
              <w:sz w:val="24"/>
              <w:szCs w:val="24"/>
            </w:rPr>
            <w:t xml:space="preserve"> Woolley, 2020).</w:t>
          </w:r>
        </w:p>
        <w:p w14:paraId="772256D4" w14:textId="008E71C0"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feedback provided by the Edelman Trust Barometer points to the increasing level of concern among the population about the application of the emerging technologies, such as AI</w:t>
          </w:r>
          <w:r w:rsidR="00AC6E06" w:rsidRPr="00AC6E06">
            <w:rPr>
              <w:rFonts w:ascii="Times New Roman" w:hAnsi="Times New Roman" w:cs="Times New Roman"/>
              <w:sz w:val="24"/>
              <w:szCs w:val="24"/>
            </w:rPr>
            <w:t xml:space="preserve"> </w:t>
          </w:r>
          <w:r w:rsidR="00AC6E06">
            <w:rPr>
              <w:rFonts w:ascii="Times New Roman" w:hAnsi="Times New Roman" w:cs="Times New Roman"/>
              <w:sz w:val="24"/>
              <w:szCs w:val="24"/>
            </w:rPr>
            <w:t>(</w:t>
          </w:r>
          <w:proofErr w:type="spellStart"/>
          <w:r w:rsidR="00AC6E06" w:rsidRPr="001E1C96">
            <w:rPr>
              <w:rFonts w:ascii="Times New Roman" w:hAnsi="Times New Roman" w:cs="Times New Roman"/>
              <w:sz w:val="24"/>
              <w:szCs w:val="24"/>
            </w:rPr>
            <w:t>Atanasov</w:t>
          </w:r>
          <w:proofErr w:type="spellEnd"/>
          <w:r w:rsidR="00AC6E06">
            <w:rPr>
              <w:rFonts w:ascii="Times New Roman" w:hAnsi="Times New Roman" w:cs="Times New Roman"/>
              <w:sz w:val="24"/>
              <w:szCs w:val="24"/>
            </w:rPr>
            <w:t>, 2026)</w:t>
          </w:r>
          <w:r w:rsidRPr="001E1C96">
            <w:rPr>
              <w:rFonts w:ascii="Times New Roman" w:hAnsi="Times New Roman" w:cs="Times New Roman"/>
              <w:sz w:val="24"/>
              <w:szCs w:val="24"/>
            </w:rPr>
            <w:t>. Consumers are now more conscious of the way their data is gathered and used and demand that organisations should be accountable, transparent and ethically responsible. The uncertainty surrounding the AI decision-making will result in scepticism and opposition especially when the results are not clear or may be biased (Edelman, 2024). In the case of multinational companies, the issue of trust must be preserved through a unified set of standards and clear communication on AI practices, across different markets</w:t>
          </w:r>
          <w:r w:rsidR="00CD76A0">
            <w:rPr>
              <w:rFonts w:ascii="Times New Roman" w:hAnsi="Times New Roman" w:cs="Times New Roman"/>
              <w:sz w:val="24"/>
              <w:szCs w:val="24"/>
            </w:rPr>
            <w:t xml:space="preserve"> (Microsoft, 2022)</w:t>
          </w:r>
          <w:r w:rsidRPr="001E1C96">
            <w:rPr>
              <w:rFonts w:ascii="Times New Roman" w:hAnsi="Times New Roman" w:cs="Times New Roman"/>
              <w:sz w:val="24"/>
              <w:szCs w:val="24"/>
            </w:rPr>
            <w:t>.</w:t>
          </w:r>
        </w:p>
        <w:p w14:paraId="2B863E7A" w14:textId="636FC9CB"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Stakeholder Theory makes use of a structured approach to comprehend the impact of AI implementation on various stakeholder groups. In this view, organisations need to strike a balance between the interests of various stakeholders, as opposed to focusing on the short-term shareholder value. In the realm of AI, it means considering that the decisions that algorithms make may have far-reaching consequences on a broad variety of groups, with different expectations and concerns</w:t>
          </w:r>
          <w:r w:rsidR="002405DD">
            <w:rPr>
              <w:rFonts w:ascii="Times New Roman" w:hAnsi="Times New Roman" w:cs="Times New Roman"/>
              <w:sz w:val="24"/>
              <w:szCs w:val="24"/>
            </w:rPr>
            <w:t xml:space="preserve"> (</w:t>
          </w:r>
          <w:proofErr w:type="spellStart"/>
          <w:r w:rsidR="002405DD" w:rsidRPr="001E1C96">
            <w:rPr>
              <w:rFonts w:ascii="Times New Roman" w:hAnsi="Times New Roman" w:cs="Times New Roman"/>
              <w:sz w:val="24"/>
              <w:szCs w:val="24"/>
            </w:rPr>
            <w:t>Zuboff</w:t>
          </w:r>
          <w:proofErr w:type="spellEnd"/>
          <w:r w:rsidR="002405DD">
            <w:rPr>
              <w:rFonts w:ascii="Times New Roman" w:hAnsi="Times New Roman" w:cs="Times New Roman"/>
              <w:sz w:val="24"/>
              <w:szCs w:val="24"/>
            </w:rPr>
            <w:t>, 2019)</w:t>
          </w:r>
          <w:r w:rsidRPr="001E1C96">
            <w:rPr>
              <w:rFonts w:ascii="Times New Roman" w:hAnsi="Times New Roman" w:cs="Times New Roman"/>
              <w:sz w:val="24"/>
              <w:szCs w:val="24"/>
            </w:rPr>
            <w:t>.</w:t>
          </w:r>
        </w:p>
        <w:p w14:paraId="581794AD" w14:textId="056DB670"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stakeholder mapping approach identifies four groups of stakeholders that are pertinent in AI governance. To begin with, the consumers are the direct beneficiaries of the AI-based decisions and, especially, they are sensitive to the matters of privacy, fairness, and transparency</w:t>
          </w:r>
          <w:r w:rsidR="00AC6E06">
            <w:rPr>
              <w:rFonts w:ascii="Times New Roman" w:hAnsi="Times New Roman" w:cs="Times New Roman"/>
              <w:sz w:val="24"/>
              <w:szCs w:val="24"/>
            </w:rPr>
            <w:t xml:space="preserve"> (</w:t>
          </w:r>
          <w:r w:rsidR="00AC6E06" w:rsidRPr="001E1C96">
            <w:rPr>
              <w:rFonts w:ascii="Times New Roman" w:hAnsi="Times New Roman" w:cs="Times New Roman"/>
              <w:sz w:val="24"/>
              <w:szCs w:val="24"/>
            </w:rPr>
            <w:t>CMA</w:t>
          </w:r>
          <w:r w:rsidR="00AC6E06">
            <w:rPr>
              <w:rFonts w:ascii="Times New Roman" w:hAnsi="Times New Roman" w:cs="Times New Roman"/>
              <w:sz w:val="24"/>
              <w:szCs w:val="24"/>
            </w:rPr>
            <w:t>, 2023)</w:t>
          </w:r>
          <w:r w:rsidRPr="001E1C96">
            <w:rPr>
              <w:rFonts w:ascii="Times New Roman" w:hAnsi="Times New Roman" w:cs="Times New Roman"/>
              <w:sz w:val="24"/>
              <w:szCs w:val="24"/>
            </w:rPr>
            <w:t xml:space="preserve">. Even the perception of misuse of information or biased results can very easily undermine the trust and destroy brand perception. Second, regulators have a vital role in defining acceptable practices and imposing compliance, which requires organisations to have accountability and compliance with changing laws. Third, responsible AI practices are becoming a key concern of investors who are paying more attention to environmental, social, and governance (ESG) factors as long-term sustainability indicators and risk management. </w:t>
          </w:r>
          <w:r w:rsidRPr="001E1C96">
            <w:rPr>
              <w:rFonts w:ascii="Times New Roman" w:hAnsi="Times New Roman" w:cs="Times New Roman"/>
              <w:sz w:val="24"/>
              <w:szCs w:val="24"/>
            </w:rPr>
            <w:lastRenderedPageBreak/>
            <w:t>Lastly, employees are consumers and targets of AI systems with issues of job displacement, fairness and transparency potentially affecting organisational culture and productivity (Freeman, 1984).</w:t>
          </w:r>
        </w:p>
        <w:p w14:paraId="1BAFA032" w14:textId="1719498F"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Failure to manage stakeholder relationships may be a costly affair especially in regard to loss of trust. Such aspects as absence of transparency and accountability in AI systems reduce the level of confidence among customers, regulators and investors and affect the brand equity of such global brands as Unilever</w:t>
          </w:r>
          <w:r w:rsidR="002405DD">
            <w:rPr>
              <w:rFonts w:ascii="Times New Roman" w:hAnsi="Times New Roman" w:cs="Times New Roman"/>
              <w:sz w:val="24"/>
              <w:szCs w:val="24"/>
            </w:rPr>
            <w:t xml:space="preserve"> (</w:t>
          </w:r>
          <w:r w:rsidR="002405DD" w:rsidRPr="001E1C96">
            <w:rPr>
              <w:rFonts w:ascii="Times New Roman" w:hAnsi="Times New Roman" w:cs="Times New Roman"/>
              <w:sz w:val="24"/>
              <w:szCs w:val="24"/>
            </w:rPr>
            <w:t>Varian</w:t>
          </w:r>
          <w:r w:rsidR="002405DD">
            <w:rPr>
              <w:rFonts w:ascii="Times New Roman" w:hAnsi="Times New Roman" w:cs="Times New Roman"/>
              <w:sz w:val="24"/>
              <w:szCs w:val="24"/>
            </w:rPr>
            <w:t>, 2019)</w:t>
          </w:r>
          <w:r w:rsidRPr="001E1C96">
            <w:rPr>
              <w:rFonts w:ascii="Times New Roman" w:hAnsi="Times New Roman" w:cs="Times New Roman"/>
              <w:sz w:val="24"/>
              <w:szCs w:val="24"/>
            </w:rPr>
            <w:t>. To fight this, companies are advised to undertake proactive measures to build stakeholder confidence, like stringent transparency laws, efficient explanation of AI procedures, and structured stakeholder interaction plans. Organizations can alleviate the problem of trust and create a responsible image in the AI-driven market through encouraging openness and involvement in AI regulation</w:t>
          </w:r>
          <w:r w:rsidR="00E30381" w:rsidRPr="00E30381">
            <w:rPr>
              <w:rFonts w:ascii="Times New Roman" w:hAnsi="Times New Roman" w:cs="Times New Roman"/>
              <w:sz w:val="24"/>
              <w:szCs w:val="24"/>
            </w:rPr>
            <w:t xml:space="preserve"> </w:t>
          </w:r>
          <w:r w:rsidR="00E30381">
            <w:rPr>
              <w:rFonts w:ascii="Times New Roman" w:hAnsi="Times New Roman" w:cs="Times New Roman"/>
              <w:sz w:val="24"/>
              <w:szCs w:val="24"/>
            </w:rPr>
            <w:t>(</w:t>
          </w:r>
          <w:r w:rsidR="00E30381" w:rsidRPr="00E30381">
            <w:rPr>
              <w:rFonts w:ascii="Times New Roman" w:hAnsi="Times New Roman" w:cs="Times New Roman"/>
              <w:sz w:val="24"/>
              <w:szCs w:val="24"/>
            </w:rPr>
            <w:t>Gartner</w:t>
          </w:r>
          <w:r w:rsidR="00E30381">
            <w:rPr>
              <w:rFonts w:ascii="Times New Roman" w:hAnsi="Times New Roman" w:cs="Times New Roman"/>
              <w:sz w:val="24"/>
              <w:szCs w:val="24"/>
            </w:rPr>
            <w:t>, 2023)</w:t>
          </w:r>
          <w:r w:rsidRPr="001E1C96">
            <w:rPr>
              <w:rFonts w:ascii="Times New Roman" w:hAnsi="Times New Roman" w:cs="Times New Roman"/>
              <w:sz w:val="24"/>
              <w:szCs w:val="24"/>
            </w:rPr>
            <w:t>.</w:t>
          </w:r>
        </w:p>
        <w:p w14:paraId="3BA14E7E" w14:textId="6CA4FC58" w:rsidR="00ED4D67" w:rsidRPr="001E1C96" w:rsidRDefault="001E08C5" w:rsidP="001E1C96">
          <w:pPr>
            <w:pStyle w:val="Heading2"/>
            <w:spacing w:line="360" w:lineRule="auto"/>
            <w:jc w:val="both"/>
            <w:rPr>
              <w:rFonts w:ascii="Times New Roman" w:hAnsi="Times New Roman" w:cs="Times New Roman"/>
              <w:b/>
              <w:bCs/>
              <w:sz w:val="24"/>
              <w:szCs w:val="24"/>
            </w:rPr>
          </w:pPr>
          <w:bookmarkStart w:id="7" w:name="_Toc228121959"/>
          <w:r w:rsidRPr="001E1C96">
            <w:rPr>
              <w:rFonts w:ascii="Times New Roman" w:hAnsi="Times New Roman" w:cs="Times New Roman"/>
              <w:b/>
              <w:bCs/>
              <w:sz w:val="24"/>
              <w:szCs w:val="24"/>
            </w:rPr>
            <w:t xml:space="preserve">2.5 </w:t>
          </w:r>
          <w:r w:rsidR="00ED4D67" w:rsidRPr="001E1C96">
            <w:rPr>
              <w:rFonts w:ascii="Times New Roman" w:hAnsi="Times New Roman" w:cs="Times New Roman"/>
              <w:b/>
              <w:bCs/>
              <w:sz w:val="24"/>
              <w:szCs w:val="24"/>
            </w:rPr>
            <w:t xml:space="preserve">The </w:t>
          </w:r>
          <w:r w:rsidRPr="001E1C96">
            <w:rPr>
              <w:rFonts w:ascii="Times New Roman" w:hAnsi="Times New Roman" w:cs="Times New Roman"/>
              <w:b/>
              <w:bCs/>
              <w:sz w:val="24"/>
              <w:szCs w:val="24"/>
            </w:rPr>
            <w:t xml:space="preserve">Macroeconomic </w:t>
          </w:r>
          <w:r w:rsidR="00407C83" w:rsidRPr="001E1C96">
            <w:rPr>
              <w:rFonts w:ascii="Times New Roman" w:hAnsi="Times New Roman" w:cs="Times New Roman"/>
              <w:b/>
              <w:bCs/>
              <w:sz w:val="24"/>
              <w:szCs w:val="24"/>
            </w:rPr>
            <w:t>and</w:t>
          </w:r>
          <w:r w:rsidRPr="001E1C96">
            <w:rPr>
              <w:rFonts w:ascii="Times New Roman" w:hAnsi="Times New Roman" w:cs="Times New Roman"/>
              <w:b/>
              <w:bCs/>
              <w:sz w:val="24"/>
              <w:szCs w:val="24"/>
            </w:rPr>
            <w:t xml:space="preserve"> Strategic Context (</w:t>
          </w:r>
          <w:r w:rsidR="00ED4D67" w:rsidRPr="001E1C96">
            <w:rPr>
              <w:rFonts w:ascii="Times New Roman" w:hAnsi="Times New Roman" w:cs="Times New Roman"/>
              <w:b/>
              <w:bCs/>
              <w:sz w:val="24"/>
              <w:szCs w:val="24"/>
            </w:rPr>
            <w:t>PESTEL Analysis</w:t>
          </w:r>
          <w:r w:rsidRPr="001E1C96">
            <w:rPr>
              <w:rFonts w:ascii="Times New Roman" w:hAnsi="Times New Roman" w:cs="Times New Roman"/>
              <w:b/>
              <w:bCs/>
              <w:sz w:val="24"/>
              <w:szCs w:val="24"/>
            </w:rPr>
            <w:t>.</w:t>
          </w:r>
          <w:bookmarkEnd w:id="7"/>
        </w:p>
        <w:p w14:paraId="364D17AF" w14:textId="3F90B2CE"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macroeconomic context of artificial intelligence is becoming more complicated, influenced by a fast development of technologies and the divergence of regulatory strategies used globally. A PESTEL analysis gives a systematic perspective of analysing these external forces and their strategic implications on Unilever, especially with regards to AI governance, risk, and competitiveness</w:t>
          </w:r>
          <w:r w:rsidR="007C3A7B">
            <w:rPr>
              <w:rFonts w:ascii="Times New Roman" w:hAnsi="Times New Roman" w:cs="Times New Roman"/>
              <w:sz w:val="24"/>
              <w:szCs w:val="24"/>
            </w:rPr>
            <w:t xml:space="preserve"> (</w:t>
          </w:r>
          <w:r w:rsidR="007C3A7B" w:rsidRPr="001E1C96">
            <w:rPr>
              <w:rFonts w:ascii="Times New Roman" w:hAnsi="Times New Roman" w:cs="Times New Roman"/>
              <w:sz w:val="24"/>
              <w:szCs w:val="24"/>
            </w:rPr>
            <w:t>Smith</w:t>
          </w:r>
          <w:r w:rsidR="007C3A7B">
            <w:rPr>
              <w:rFonts w:ascii="Times New Roman" w:hAnsi="Times New Roman" w:cs="Times New Roman"/>
              <w:sz w:val="24"/>
              <w:szCs w:val="24"/>
            </w:rPr>
            <w:t xml:space="preserve"> &amp;</w:t>
          </w:r>
          <w:r w:rsidR="007C3A7B" w:rsidRPr="001E1C96">
            <w:rPr>
              <w:rFonts w:ascii="Times New Roman" w:hAnsi="Times New Roman" w:cs="Times New Roman"/>
              <w:sz w:val="24"/>
              <w:szCs w:val="24"/>
            </w:rPr>
            <w:t xml:space="preserve"> Shum, 2018)</w:t>
          </w:r>
          <w:r w:rsidRPr="001E1C96">
            <w:rPr>
              <w:rFonts w:ascii="Times New Roman" w:hAnsi="Times New Roman" w:cs="Times New Roman"/>
              <w:sz w:val="24"/>
              <w:szCs w:val="24"/>
            </w:rPr>
            <w:t>.</w:t>
          </w:r>
        </w:p>
        <w:p w14:paraId="77C2CB49" w14:textId="2E1A5820"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main causes of political factors are regulatory fragmentation between jurisdictions. UK remains to pursue a principles-based, flexible approach to regulation, whereas the European Union has a binding framework in the form of the EU AI Act. This split is a mirror of wider geopolitical rivalry in the context of digital sovereignty and data ownership, making it more challenging to multinational companies that conduct operations in a variety of legal jurisdictions (UK Government, 2023; European Parliament, 2024).</w:t>
          </w:r>
        </w:p>
        <w:p w14:paraId="4A59FFD6" w14:textId="538557AF"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Economic issues bring out opportunity and constraint. AI will bring about high productivity and operational efficiency but it will demand a lot of capital investment in data infrastructure, talent acquisition, and compliance systems</w:t>
          </w:r>
          <w:r w:rsidR="007C3A7B" w:rsidRPr="007C3A7B">
            <w:rPr>
              <w:rFonts w:ascii="Times New Roman" w:hAnsi="Times New Roman" w:cs="Times New Roman"/>
              <w:sz w:val="24"/>
              <w:szCs w:val="24"/>
            </w:rPr>
            <w:t xml:space="preserve"> </w:t>
          </w:r>
          <w:r w:rsidR="007C3A7B">
            <w:rPr>
              <w:rFonts w:ascii="Times New Roman" w:hAnsi="Times New Roman" w:cs="Times New Roman"/>
              <w:sz w:val="24"/>
              <w:szCs w:val="24"/>
            </w:rPr>
            <w:t>(</w:t>
          </w:r>
          <w:proofErr w:type="spellStart"/>
          <w:r w:rsidR="007C3A7B" w:rsidRPr="001E1C96">
            <w:rPr>
              <w:rFonts w:ascii="Times New Roman" w:hAnsi="Times New Roman" w:cs="Times New Roman"/>
              <w:sz w:val="24"/>
              <w:szCs w:val="24"/>
            </w:rPr>
            <w:t>Taddeo</w:t>
          </w:r>
          <w:proofErr w:type="spellEnd"/>
          <w:r w:rsidR="007C3A7B" w:rsidRPr="001E1C96">
            <w:rPr>
              <w:rFonts w:ascii="Times New Roman" w:hAnsi="Times New Roman" w:cs="Times New Roman"/>
              <w:sz w:val="24"/>
              <w:szCs w:val="24"/>
            </w:rPr>
            <w:t xml:space="preserve"> </w:t>
          </w:r>
          <w:r w:rsidR="007C3A7B">
            <w:rPr>
              <w:rFonts w:ascii="Times New Roman" w:hAnsi="Times New Roman" w:cs="Times New Roman"/>
              <w:sz w:val="24"/>
              <w:szCs w:val="24"/>
            </w:rPr>
            <w:t>&amp;</w:t>
          </w:r>
          <w:r w:rsidR="007C3A7B" w:rsidRPr="001E1C96">
            <w:rPr>
              <w:rFonts w:ascii="Times New Roman" w:hAnsi="Times New Roman" w:cs="Times New Roman"/>
              <w:sz w:val="24"/>
              <w:szCs w:val="24"/>
            </w:rPr>
            <w:t xml:space="preserve"> Floridi,2018)</w:t>
          </w:r>
          <w:r w:rsidRPr="001E1C96">
            <w:rPr>
              <w:rFonts w:ascii="Times New Roman" w:hAnsi="Times New Roman" w:cs="Times New Roman"/>
              <w:sz w:val="24"/>
              <w:szCs w:val="24"/>
            </w:rPr>
            <w:t>. Increasing inflation and economic uncertainty can decelerate the process of investments, making organisations focus on high-impact AI applications instead of experimental deployments (McKinsey, 2024). Meanwhile, companies that invest wisely in AI governance will tend to realize long-term cost-efficiencies and risk-reductions.</w:t>
          </w:r>
        </w:p>
        <w:p w14:paraId="3A1186FB" w14:textId="543AB130"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 xml:space="preserve">Social factors revolve around raising awareness among the population on AI systems. Consumers are increasingly conscious of the use of algorithms to make decisions, the use of </w:t>
          </w:r>
          <w:r w:rsidRPr="001E1C96">
            <w:rPr>
              <w:rFonts w:ascii="Times New Roman" w:hAnsi="Times New Roman" w:cs="Times New Roman"/>
              <w:sz w:val="24"/>
              <w:szCs w:val="24"/>
            </w:rPr>
            <w:lastRenderedPageBreak/>
            <w:t>data and ethical considerations</w:t>
          </w:r>
          <w:r w:rsidR="00AC6E06">
            <w:rPr>
              <w:rFonts w:ascii="Times New Roman" w:hAnsi="Times New Roman" w:cs="Times New Roman"/>
              <w:sz w:val="24"/>
              <w:szCs w:val="24"/>
            </w:rPr>
            <w:t xml:space="preserve"> (</w:t>
          </w:r>
          <w:proofErr w:type="spellStart"/>
          <w:r w:rsidR="00AC6E06" w:rsidRPr="001E1C96">
            <w:rPr>
              <w:rFonts w:ascii="Times New Roman" w:hAnsi="Times New Roman" w:cs="Times New Roman"/>
              <w:sz w:val="24"/>
              <w:szCs w:val="24"/>
            </w:rPr>
            <w:t>Bughin</w:t>
          </w:r>
          <w:proofErr w:type="spellEnd"/>
          <w:r w:rsidR="00AC6E06">
            <w:rPr>
              <w:rFonts w:ascii="Times New Roman" w:hAnsi="Times New Roman" w:cs="Times New Roman"/>
              <w:sz w:val="24"/>
              <w:szCs w:val="24"/>
            </w:rPr>
            <w:t xml:space="preserve"> et al, </w:t>
          </w:r>
          <w:r w:rsidR="00F367D8">
            <w:rPr>
              <w:rFonts w:ascii="Times New Roman" w:hAnsi="Times New Roman" w:cs="Times New Roman"/>
              <w:sz w:val="24"/>
              <w:szCs w:val="24"/>
            </w:rPr>
            <w:t>2018</w:t>
          </w:r>
          <w:r w:rsidR="00AC6E06">
            <w:rPr>
              <w:rFonts w:ascii="Times New Roman" w:hAnsi="Times New Roman" w:cs="Times New Roman"/>
              <w:sz w:val="24"/>
              <w:szCs w:val="24"/>
            </w:rPr>
            <w:t>)</w:t>
          </w:r>
          <w:r w:rsidRPr="001E1C96">
            <w:rPr>
              <w:rFonts w:ascii="Times New Roman" w:hAnsi="Times New Roman" w:cs="Times New Roman"/>
              <w:sz w:val="24"/>
              <w:szCs w:val="24"/>
            </w:rPr>
            <w:t>. Trust has hence become a very important factor in brand value and organisations are expected to be transparent, fair and accountable in the implementation of AI. The Edelman Trust Barometer insights also show a decrease in trust of institutions that cannot handle the emerging technologies in a responsible manner.</w:t>
          </w:r>
        </w:p>
        <w:p w14:paraId="79FCBD06" w14:textId="0AE97E2F"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Technological factors are marked by fast advances in machine learning, generative AI and explainable AI systems. Though these developments are improving the operational capabilities, they have brought about new governance issues that concern system transparency, model interpretability and cybersecurity threats</w:t>
          </w:r>
          <w:r w:rsidR="00E30381">
            <w:rPr>
              <w:rFonts w:ascii="Times New Roman" w:hAnsi="Times New Roman" w:cs="Times New Roman"/>
              <w:sz w:val="24"/>
              <w:szCs w:val="24"/>
            </w:rPr>
            <w:t>(ICO, 2020)</w:t>
          </w:r>
          <w:r w:rsidRPr="001E1C96">
            <w:rPr>
              <w:rFonts w:ascii="Times New Roman" w:hAnsi="Times New Roman" w:cs="Times New Roman"/>
              <w:sz w:val="24"/>
              <w:szCs w:val="24"/>
            </w:rPr>
            <w:t>. Organisational needs require constant changes in the technological infrastructure of the organisation to keep the organisation competitive and at the same time to enhance responsible deployment.</w:t>
          </w:r>
        </w:p>
        <w:p w14:paraId="5FCFC529" w14:textId="6F14B464"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With the large energy usage in large-scale AI models, environmental considerations are becoming even more pertinent. ESG issues are putting pressure on companies to make their digital activities more sustainable, such as energy-efficient computer use and responsible data centre utilization. It is expected that sustainability will be a component of AI governance among both investors and regulators.</w:t>
          </w:r>
        </w:p>
        <w:p w14:paraId="5D1F27EA" w14:textId="08594410"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Legal drivers are characterized by changing regulations like GDPR, UK data protection legislation, and the EU AI Act. The rules place rigid requirements on the use of data, transparency of algorithms and risk management with harsh penalties against violators. The need to comply with the law is thus one of the pillars of any AI strategy conducting business in any international market.</w:t>
          </w:r>
        </w:p>
        <w:p w14:paraId="5143D877" w14:textId="133BC0F4"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International organisations like the World Economic Forum and the International Monetary Fund highlight that AI will play a major role in driving economic change, as well as posing systemic risks, especially in labour markets and inequality</w:t>
          </w:r>
          <w:r w:rsidR="00E30381" w:rsidRPr="00E30381">
            <w:rPr>
              <w:rFonts w:ascii="Times New Roman" w:hAnsi="Times New Roman" w:cs="Times New Roman"/>
              <w:sz w:val="24"/>
              <w:szCs w:val="24"/>
            </w:rPr>
            <w:t xml:space="preserve"> </w:t>
          </w:r>
          <w:r w:rsidR="00E30381">
            <w:rPr>
              <w:rFonts w:ascii="Times New Roman" w:hAnsi="Times New Roman" w:cs="Times New Roman"/>
              <w:sz w:val="24"/>
              <w:szCs w:val="24"/>
            </w:rPr>
            <w:t>(</w:t>
          </w:r>
          <w:r w:rsidR="00E30381" w:rsidRPr="001E1C96">
            <w:rPr>
              <w:rFonts w:ascii="Times New Roman" w:hAnsi="Times New Roman" w:cs="Times New Roman"/>
              <w:sz w:val="24"/>
              <w:szCs w:val="24"/>
            </w:rPr>
            <w:t>International Monetary Fund</w:t>
          </w:r>
          <w:r w:rsidR="00E30381">
            <w:rPr>
              <w:rFonts w:ascii="Times New Roman" w:hAnsi="Times New Roman" w:cs="Times New Roman"/>
              <w:sz w:val="24"/>
              <w:szCs w:val="24"/>
            </w:rPr>
            <w:t>,</w:t>
          </w:r>
          <w:r w:rsidR="00E30381" w:rsidRPr="001E1C96">
            <w:rPr>
              <w:rFonts w:ascii="Times New Roman" w:hAnsi="Times New Roman" w:cs="Times New Roman"/>
              <w:sz w:val="24"/>
              <w:szCs w:val="24"/>
            </w:rPr>
            <w:t xml:space="preserve"> 2024</w:t>
          </w:r>
          <w:r w:rsidR="00E30381">
            <w:rPr>
              <w:rFonts w:ascii="Times New Roman" w:hAnsi="Times New Roman" w:cs="Times New Roman"/>
              <w:sz w:val="24"/>
              <w:szCs w:val="24"/>
            </w:rPr>
            <w:t>)</w:t>
          </w:r>
          <w:r w:rsidRPr="001E1C96">
            <w:rPr>
              <w:rFonts w:ascii="Times New Roman" w:hAnsi="Times New Roman" w:cs="Times New Roman"/>
              <w:sz w:val="24"/>
              <w:szCs w:val="24"/>
            </w:rPr>
            <w:t>. Their analyses emphasize that the global governance and responsible innovation are necessary.</w:t>
          </w:r>
        </w:p>
        <w:p w14:paraId="111C6181" w14:textId="7204BAA3"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Strategically, these macro forces increase the level of competitive pressures. Companies that cannot adjust to regulatory, technological and social demands, will be left behind by more dynamic companies</w:t>
          </w:r>
          <w:r w:rsidR="00F367D8">
            <w:rPr>
              <w:rFonts w:ascii="Times New Roman" w:hAnsi="Times New Roman" w:cs="Times New Roman"/>
              <w:sz w:val="24"/>
              <w:szCs w:val="24"/>
            </w:rPr>
            <w:t xml:space="preserve"> (</w:t>
          </w:r>
          <w:r w:rsidR="00F367D8" w:rsidRPr="001E1C96">
            <w:rPr>
              <w:rFonts w:ascii="Times New Roman" w:hAnsi="Times New Roman" w:cs="Times New Roman"/>
              <w:sz w:val="24"/>
              <w:szCs w:val="24"/>
            </w:rPr>
            <w:t>World Economic Foru</w:t>
          </w:r>
          <w:r w:rsidR="00F367D8">
            <w:rPr>
              <w:rFonts w:ascii="Times New Roman" w:hAnsi="Times New Roman" w:cs="Times New Roman"/>
              <w:sz w:val="24"/>
              <w:szCs w:val="24"/>
            </w:rPr>
            <w:t xml:space="preserve">m, </w:t>
          </w:r>
          <w:r w:rsidR="00F367D8" w:rsidRPr="001E1C96">
            <w:rPr>
              <w:rFonts w:ascii="Times New Roman" w:hAnsi="Times New Roman" w:cs="Times New Roman"/>
              <w:sz w:val="24"/>
              <w:szCs w:val="24"/>
            </w:rPr>
            <w:t>202</w:t>
          </w:r>
          <w:r w:rsidR="00F367D8">
            <w:rPr>
              <w:rFonts w:ascii="Times New Roman" w:hAnsi="Times New Roman" w:cs="Times New Roman"/>
              <w:sz w:val="24"/>
              <w:szCs w:val="24"/>
            </w:rPr>
            <w:t>3</w:t>
          </w:r>
          <w:r w:rsidR="00F367D8" w:rsidRPr="001E1C96">
            <w:rPr>
              <w:rFonts w:ascii="Times New Roman" w:hAnsi="Times New Roman" w:cs="Times New Roman"/>
              <w:sz w:val="24"/>
              <w:szCs w:val="24"/>
            </w:rPr>
            <w:t>)</w:t>
          </w:r>
          <w:r w:rsidRPr="001E1C96">
            <w:rPr>
              <w:rFonts w:ascii="Times New Roman" w:hAnsi="Times New Roman" w:cs="Times New Roman"/>
              <w:sz w:val="24"/>
              <w:szCs w:val="24"/>
            </w:rPr>
            <w:t>. Hence, the major advisory point is that organisations will have to adjust their AI strategy according to global economic and regulatory changes. In the case of Unilever, it means taking a proactive, globally harmonised governance stance that predicts convergence of regulation, especially to EU standards, whilst keeping operations flexible and stakeholder confidence intact.</w:t>
          </w:r>
        </w:p>
        <w:p w14:paraId="7C474471" w14:textId="59E734C9" w:rsidR="00ED4D67" w:rsidRPr="001E1C96" w:rsidRDefault="001E08C5" w:rsidP="001E1C96">
          <w:pPr>
            <w:pStyle w:val="Heading2"/>
            <w:spacing w:line="360" w:lineRule="auto"/>
            <w:jc w:val="both"/>
            <w:rPr>
              <w:rFonts w:ascii="Times New Roman" w:hAnsi="Times New Roman" w:cs="Times New Roman"/>
              <w:b/>
              <w:bCs/>
              <w:sz w:val="24"/>
              <w:szCs w:val="24"/>
            </w:rPr>
          </w:pPr>
          <w:bookmarkStart w:id="8" w:name="_Toc228121960"/>
          <w:r w:rsidRPr="001E1C96">
            <w:rPr>
              <w:rFonts w:ascii="Times New Roman" w:hAnsi="Times New Roman" w:cs="Times New Roman"/>
              <w:b/>
              <w:bCs/>
              <w:sz w:val="24"/>
              <w:szCs w:val="24"/>
            </w:rPr>
            <w:lastRenderedPageBreak/>
            <w:t>2.6. Strategic Framework Integration</w:t>
          </w:r>
          <w:bookmarkEnd w:id="8"/>
        </w:p>
        <w:p w14:paraId="53090CD3" w14:textId="35005F39"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conceptualisation of a successful AI governance plan needs to incorporate developed theoretical frameworks that can transform analytical knowledge into practical suggestions</w:t>
          </w:r>
          <w:r w:rsidR="007C3A7B" w:rsidRPr="007C3A7B">
            <w:rPr>
              <w:rFonts w:ascii="Times New Roman" w:hAnsi="Times New Roman" w:cs="Times New Roman"/>
              <w:sz w:val="24"/>
              <w:szCs w:val="24"/>
            </w:rPr>
            <w:t xml:space="preserve"> </w:t>
          </w:r>
          <w:r w:rsidR="007C3A7B">
            <w:rPr>
              <w:rFonts w:ascii="Times New Roman" w:hAnsi="Times New Roman" w:cs="Times New Roman"/>
              <w:sz w:val="24"/>
              <w:szCs w:val="24"/>
            </w:rPr>
            <w:t>(</w:t>
          </w:r>
          <w:proofErr w:type="spellStart"/>
          <w:r w:rsidR="007C3A7B" w:rsidRPr="001E1C96">
            <w:rPr>
              <w:rFonts w:ascii="Times New Roman" w:hAnsi="Times New Roman" w:cs="Times New Roman"/>
              <w:sz w:val="24"/>
              <w:szCs w:val="24"/>
            </w:rPr>
            <w:t>Simonite</w:t>
          </w:r>
          <w:proofErr w:type="spellEnd"/>
          <w:r w:rsidR="007C3A7B" w:rsidRPr="001E1C96">
            <w:rPr>
              <w:rFonts w:ascii="Times New Roman" w:hAnsi="Times New Roman" w:cs="Times New Roman"/>
              <w:sz w:val="24"/>
              <w:szCs w:val="24"/>
            </w:rPr>
            <w:t>, 2020)</w:t>
          </w:r>
          <w:r w:rsidRPr="001E1C96">
            <w:rPr>
              <w:rFonts w:ascii="Times New Roman" w:hAnsi="Times New Roman" w:cs="Times New Roman"/>
              <w:sz w:val="24"/>
              <w:szCs w:val="24"/>
            </w:rPr>
            <w:t>. These frameworks, instead of being abstract notions, are a structured basis to understand how organisations may generate value, react to environmental pressures and mediate between competing stakeholder concerns in the face of AI adoption.</w:t>
          </w:r>
        </w:p>
        <w:p w14:paraId="6B29F39F" w14:textId="65A08E8D"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Resource-Based View (RBV) can be used as a critical perspective on the positioning of AI governance as a source of long-term competitive advantage. RBV proposes that valuable, rare, inimitable and non-substitutable organisational capabilities (VRIN) have the potential to bring about long-term performance advantages (Barney, 1991). In this respect, effective AI governance, such as data management, ethical control, and regulatory compliance can be viewed as a strategic resource. In the case of Unilever, investing in a sophisticated infrastructure of governance minimises risk as well as positions the organisation as differentiated due to the increase in trust and reliability in AI-based operations. Such an attitude is in line with the suggestion to make AI governance a strategic capability and not a compliance capability</w:t>
          </w:r>
          <w:r w:rsidR="007C3A7B" w:rsidRPr="007C3A7B">
            <w:rPr>
              <w:rFonts w:ascii="Times New Roman" w:hAnsi="Times New Roman" w:cs="Times New Roman"/>
              <w:sz w:val="24"/>
              <w:szCs w:val="24"/>
            </w:rPr>
            <w:t xml:space="preserve"> </w:t>
          </w:r>
          <w:r w:rsidR="007C3A7B">
            <w:rPr>
              <w:rFonts w:ascii="Times New Roman" w:hAnsi="Times New Roman" w:cs="Times New Roman"/>
              <w:sz w:val="24"/>
              <w:szCs w:val="24"/>
            </w:rPr>
            <w:t>(</w:t>
          </w:r>
          <w:r w:rsidR="007C3A7B" w:rsidRPr="001E1C96">
            <w:rPr>
              <w:rFonts w:ascii="Times New Roman" w:hAnsi="Times New Roman" w:cs="Times New Roman"/>
              <w:sz w:val="24"/>
              <w:szCs w:val="24"/>
            </w:rPr>
            <w:t>Sousa e Silva,</w:t>
          </w:r>
          <w:r w:rsidR="007C3A7B">
            <w:rPr>
              <w:rFonts w:ascii="Times New Roman" w:hAnsi="Times New Roman" w:cs="Times New Roman"/>
              <w:sz w:val="24"/>
              <w:szCs w:val="24"/>
            </w:rPr>
            <w:t xml:space="preserve"> </w:t>
          </w:r>
          <w:r w:rsidR="007C3A7B" w:rsidRPr="001E1C96">
            <w:rPr>
              <w:rFonts w:ascii="Times New Roman" w:hAnsi="Times New Roman" w:cs="Times New Roman"/>
              <w:sz w:val="24"/>
              <w:szCs w:val="24"/>
            </w:rPr>
            <w:t>2024)</w:t>
          </w:r>
          <w:r w:rsidRPr="001E1C96">
            <w:rPr>
              <w:rFonts w:ascii="Times New Roman" w:hAnsi="Times New Roman" w:cs="Times New Roman"/>
              <w:sz w:val="24"/>
              <w:szCs w:val="24"/>
            </w:rPr>
            <w:t>.</w:t>
          </w:r>
        </w:p>
        <w:p w14:paraId="53D19A60" w14:textId="4BBAA54D"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 xml:space="preserve">The Institutional Theory also describes the way organisations react to environmental pressures in the environments that they operate in. Regulations, normative pressures (professional standards) and mimetic pressures (practices of competitors) are coercive, normative and mimetic pressures respectively acting upon firms (DiMaggio </w:t>
          </w:r>
          <w:r w:rsidR="00A75E8F">
            <w:rPr>
              <w:rFonts w:ascii="Times New Roman" w:hAnsi="Times New Roman" w:cs="Times New Roman"/>
              <w:sz w:val="24"/>
              <w:szCs w:val="24"/>
            </w:rPr>
            <w:t>&amp;</w:t>
          </w:r>
          <w:r w:rsidRPr="001E1C96">
            <w:rPr>
              <w:rFonts w:ascii="Times New Roman" w:hAnsi="Times New Roman" w:cs="Times New Roman"/>
              <w:sz w:val="24"/>
              <w:szCs w:val="24"/>
            </w:rPr>
            <w:t xml:space="preserve"> Powell, 1983). Considering AI, regulatory frameworks in the UK and the EU can be viewed as coercive forces, whereas industry standards and best practices are used to form the normative expectations. The presence of competitors with modern AI governance systems, introduces the effects of mimetic pressure on other firms to do the same. In the case of Unilever, all these pressures require an active alignment to emerging regulatory and industry requirements which further support the necessity to have a broad-based governance structures.</w:t>
          </w:r>
        </w:p>
        <w:p w14:paraId="767D6E84" w14:textId="77411A5C"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Stakeholder Theory notes the significance of ensuring that the interests of various stakeholder groups such as consumers, regulators, investors and employees are balanced (Freeman, 1984). The application of AI has a different impact on all these groups and as a result, it may cause conflicts in the areas of innovation, profitability, and ethical responsibility. To ensure that AI systems are transparent, fair and accountable, all organisations need to resolve these competing interests to have effective governance</w:t>
          </w:r>
          <w:r w:rsidR="007C3A7B" w:rsidRPr="007C3A7B">
            <w:rPr>
              <w:rFonts w:ascii="Times New Roman" w:hAnsi="Times New Roman" w:cs="Times New Roman"/>
              <w:sz w:val="24"/>
              <w:szCs w:val="24"/>
            </w:rPr>
            <w:t xml:space="preserve"> </w:t>
          </w:r>
          <w:r w:rsidR="007C3A7B">
            <w:rPr>
              <w:rFonts w:ascii="Times New Roman" w:hAnsi="Times New Roman" w:cs="Times New Roman"/>
              <w:sz w:val="24"/>
              <w:szCs w:val="24"/>
            </w:rPr>
            <w:t>(</w:t>
          </w:r>
          <w:proofErr w:type="spellStart"/>
          <w:r w:rsidR="007C3A7B" w:rsidRPr="001E1C96">
            <w:rPr>
              <w:rFonts w:ascii="Times New Roman" w:hAnsi="Times New Roman" w:cs="Times New Roman"/>
              <w:sz w:val="24"/>
              <w:szCs w:val="24"/>
            </w:rPr>
            <w:t>Stix</w:t>
          </w:r>
          <w:proofErr w:type="spellEnd"/>
          <w:r w:rsidR="007C3A7B" w:rsidRPr="001E1C96">
            <w:rPr>
              <w:rFonts w:ascii="Times New Roman" w:hAnsi="Times New Roman" w:cs="Times New Roman"/>
              <w:sz w:val="24"/>
              <w:szCs w:val="24"/>
            </w:rPr>
            <w:t>,</w:t>
          </w:r>
          <w:r w:rsidR="007C3A7B">
            <w:rPr>
              <w:rFonts w:ascii="Times New Roman" w:hAnsi="Times New Roman" w:cs="Times New Roman"/>
              <w:sz w:val="24"/>
              <w:szCs w:val="24"/>
            </w:rPr>
            <w:t xml:space="preserve"> </w:t>
          </w:r>
          <w:r w:rsidR="007C3A7B" w:rsidRPr="001E1C96">
            <w:rPr>
              <w:rFonts w:ascii="Times New Roman" w:hAnsi="Times New Roman" w:cs="Times New Roman"/>
              <w:sz w:val="24"/>
              <w:szCs w:val="24"/>
            </w:rPr>
            <w:t>2021)</w:t>
          </w:r>
          <w:r w:rsidRPr="001E1C96">
            <w:rPr>
              <w:rFonts w:ascii="Times New Roman" w:hAnsi="Times New Roman" w:cs="Times New Roman"/>
              <w:sz w:val="24"/>
              <w:szCs w:val="24"/>
            </w:rPr>
            <w:t xml:space="preserve">. This framework supports the </w:t>
          </w:r>
          <w:r w:rsidRPr="001E1C96">
            <w:rPr>
              <w:rFonts w:ascii="Times New Roman" w:hAnsi="Times New Roman" w:cs="Times New Roman"/>
              <w:sz w:val="24"/>
              <w:szCs w:val="24"/>
            </w:rPr>
            <w:lastRenderedPageBreak/>
            <w:t>recommendations regarding the stakeholder engagement and trust-building, pointing to the fact that the long-term success will be based on the fact that all major groups will continue to be confident</w:t>
          </w:r>
          <w:r w:rsidR="002405DD">
            <w:rPr>
              <w:rFonts w:ascii="Times New Roman" w:hAnsi="Times New Roman" w:cs="Times New Roman"/>
              <w:sz w:val="24"/>
              <w:szCs w:val="24"/>
            </w:rPr>
            <w:t xml:space="preserve"> </w:t>
          </w:r>
          <w:r w:rsidR="00F367D8">
            <w:rPr>
              <w:rFonts w:ascii="Times New Roman" w:hAnsi="Times New Roman" w:cs="Times New Roman"/>
              <w:sz w:val="24"/>
              <w:szCs w:val="24"/>
            </w:rPr>
            <w:t>(</w:t>
          </w:r>
          <w:proofErr w:type="spellStart"/>
          <w:r w:rsidR="002405DD" w:rsidRPr="001E1C96">
            <w:rPr>
              <w:rFonts w:ascii="Times New Roman" w:hAnsi="Times New Roman" w:cs="Times New Roman"/>
              <w:sz w:val="24"/>
              <w:szCs w:val="24"/>
            </w:rPr>
            <w:t>Vinuesa</w:t>
          </w:r>
          <w:proofErr w:type="spellEnd"/>
          <w:r w:rsidR="002405DD">
            <w:rPr>
              <w:rFonts w:ascii="Times New Roman" w:hAnsi="Times New Roman" w:cs="Times New Roman"/>
              <w:sz w:val="24"/>
              <w:szCs w:val="24"/>
            </w:rPr>
            <w:t xml:space="preserve"> et al, 2020)</w:t>
          </w:r>
          <w:r w:rsidRPr="001E1C96">
            <w:rPr>
              <w:rFonts w:ascii="Times New Roman" w:hAnsi="Times New Roman" w:cs="Times New Roman"/>
              <w:sz w:val="24"/>
              <w:szCs w:val="24"/>
            </w:rPr>
            <w:t>.</w:t>
          </w:r>
        </w:p>
        <w:p w14:paraId="4505B3BE" w14:textId="01D9FC1E"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idea of the Brussels Effect offers the strategic insight on the impact of the European regulation in the world. It implies that strict EU standards tend to be converted into the global standards, since multinationals implement them everywhere to simplify compliance and make things easier (Bradford, 2020). This dynamic is strengthened by the extraterritorial scope of the EU AI Act which is persuading organisations to align their international operations in accordance with EU needs. In the case of Unilever, this reinforces the suggestion to standardise AI governance practice in accordance with EU regulation, which will lead to a decrease in fragmentation and increase in consistency across the markets</w:t>
          </w:r>
          <w:r w:rsidR="00E30381">
            <w:rPr>
              <w:rFonts w:ascii="Times New Roman" w:hAnsi="Times New Roman" w:cs="Times New Roman"/>
              <w:sz w:val="24"/>
              <w:szCs w:val="24"/>
            </w:rPr>
            <w:t>(ICO,2023)</w:t>
          </w:r>
          <w:r w:rsidRPr="001E1C96">
            <w:rPr>
              <w:rFonts w:ascii="Times New Roman" w:hAnsi="Times New Roman" w:cs="Times New Roman"/>
              <w:sz w:val="24"/>
              <w:szCs w:val="24"/>
            </w:rPr>
            <w:t>.</w:t>
          </w:r>
        </w:p>
        <w:p w14:paraId="06CD482F"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synthesis of these frameworks shows that theoretical knowledge can be directly used to make strategic recommendations. Resource-Based View provides a rationale to invest in AI governance as a competitive advantage, Institutional Theory is why it is necessary to react to regulatory and competitive pressures, Stakeholder Theory is why it is essential to ensure trust and equal decision-making, and the Brussels Effect is why it is reasonable to switch to EU standards worldwide. Collectively, these points of view solidify a consistent approach, where AI governance is placed as a source of resilience, trust, and competitive sustainability.</w:t>
          </w:r>
        </w:p>
        <w:p w14:paraId="734F6D98" w14:textId="34B1A42E" w:rsidR="00B01C7C" w:rsidRPr="001E1C96" w:rsidRDefault="001E08C5" w:rsidP="001E1C96">
          <w:pPr>
            <w:pStyle w:val="Heading2"/>
            <w:spacing w:line="360" w:lineRule="auto"/>
            <w:jc w:val="both"/>
            <w:rPr>
              <w:rFonts w:ascii="Times New Roman" w:hAnsi="Times New Roman" w:cs="Times New Roman"/>
              <w:b/>
              <w:bCs/>
              <w:sz w:val="24"/>
              <w:szCs w:val="24"/>
            </w:rPr>
          </w:pPr>
          <w:bookmarkStart w:id="9" w:name="_Toc228121961"/>
          <w:r w:rsidRPr="001E1C96">
            <w:rPr>
              <w:rFonts w:ascii="Times New Roman" w:hAnsi="Times New Roman" w:cs="Times New Roman"/>
              <w:b/>
              <w:bCs/>
              <w:sz w:val="24"/>
              <w:szCs w:val="24"/>
            </w:rPr>
            <w:t>2.7. Implementation Plan</w:t>
          </w:r>
          <w:bookmarkEnd w:id="9"/>
        </w:p>
        <w:p w14:paraId="7C61A632"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 xml:space="preserve">An efficient AI governance model in the case of Unilever should be based on a gradual implementation plan, which gradually develops the capacity, </w:t>
          </w:r>
          <w:proofErr w:type="spellStart"/>
          <w:r w:rsidRPr="001E1C96">
            <w:rPr>
              <w:rFonts w:ascii="Times New Roman" w:hAnsi="Times New Roman" w:cs="Times New Roman"/>
              <w:sz w:val="24"/>
              <w:szCs w:val="24"/>
            </w:rPr>
            <w:t>instills</w:t>
          </w:r>
          <w:proofErr w:type="spellEnd"/>
          <w:r w:rsidRPr="001E1C96">
            <w:rPr>
              <w:rFonts w:ascii="Times New Roman" w:hAnsi="Times New Roman" w:cs="Times New Roman"/>
              <w:sz w:val="24"/>
              <w:szCs w:val="24"/>
            </w:rPr>
            <w:t xml:space="preserve"> responsibility, and provides a credibility level. This makes sure that the governance is no longer internal risk control but a developed mature system of governance and strategy at the organisational level in line with the global expectation of governance, such as the EU AI Act.</w:t>
          </w:r>
        </w:p>
        <w:p w14:paraId="4931B510" w14:textId="77777777" w:rsidR="00ED4D67" w:rsidRPr="001E1C96" w:rsidRDefault="00ED4D67" w:rsidP="001E1C96">
          <w:pPr>
            <w:spacing w:line="360" w:lineRule="auto"/>
            <w:jc w:val="both"/>
            <w:rPr>
              <w:rFonts w:ascii="Times New Roman" w:hAnsi="Times New Roman" w:cs="Times New Roman"/>
              <w:b/>
              <w:bCs/>
              <w:color w:val="2E74B5" w:themeColor="accent1" w:themeShade="BF"/>
              <w:sz w:val="24"/>
              <w:szCs w:val="24"/>
            </w:rPr>
          </w:pPr>
          <w:r w:rsidRPr="001E1C96">
            <w:rPr>
              <w:rFonts w:ascii="Times New Roman" w:hAnsi="Times New Roman" w:cs="Times New Roman"/>
              <w:b/>
              <w:bCs/>
              <w:color w:val="2E74B5" w:themeColor="accent1" w:themeShade="BF"/>
              <w:sz w:val="24"/>
              <w:szCs w:val="24"/>
            </w:rPr>
            <w:t xml:space="preserve">Phase 1: Foundation (0–6 </w:t>
          </w:r>
          <w:r w:rsidRPr="001E1C96">
            <w:rPr>
              <w:rFonts w:ascii="Times New Roman" w:eastAsiaTheme="majorEastAsia" w:hAnsi="Times New Roman" w:cs="Times New Roman"/>
              <w:b/>
              <w:bCs/>
              <w:color w:val="2E74B5" w:themeColor="accent1" w:themeShade="BF"/>
              <w:sz w:val="24"/>
              <w:szCs w:val="24"/>
            </w:rPr>
            <w:t>months</w:t>
          </w:r>
          <w:r w:rsidRPr="001E1C96">
            <w:rPr>
              <w:rFonts w:ascii="Times New Roman" w:hAnsi="Times New Roman" w:cs="Times New Roman"/>
              <w:b/>
              <w:bCs/>
              <w:color w:val="2E74B5" w:themeColor="accent1" w:themeShade="BF"/>
              <w:sz w:val="24"/>
              <w:szCs w:val="24"/>
            </w:rPr>
            <w:t>)</w:t>
          </w:r>
        </w:p>
        <w:p w14:paraId="12FC0C0B"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establishment stage involves setting up of the basic governance infrastructure. There should be an AI governance committee that is constituted by senior stakeholders representing legal, data, technology and compliance functions to have cross-functional oversight and accountability.</w:t>
          </w:r>
        </w:p>
        <w:p w14:paraId="6A66C4AE"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 xml:space="preserve">A system inventory of all AI applications in business units has to be created on an organisation-wide basis to determine all the existing AI applications. This is critical towards visibility and </w:t>
          </w:r>
          <w:r w:rsidRPr="001E1C96">
            <w:rPr>
              <w:rFonts w:ascii="Times New Roman" w:hAnsi="Times New Roman" w:cs="Times New Roman"/>
              <w:sz w:val="24"/>
              <w:szCs w:val="24"/>
            </w:rPr>
            <w:lastRenderedPageBreak/>
            <w:t>identification of risks. In conjunction with this, a regulatory gap analysis is to evaluate the present practices against UK regulatory expectations, and EU AI Act requirements. An overall review of data audit should be done to check on the data quality, integrity and the compliance preparedness.</w:t>
          </w:r>
        </w:p>
        <w:p w14:paraId="03943A61"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Lastly, the roles and responsibility of governance should be clearly spelt out with accountability on the AI risk management, compliance, ethical management.</w:t>
          </w:r>
        </w:p>
        <w:p w14:paraId="689055AE" w14:textId="77777777" w:rsidR="00ED4D67" w:rsidRPr="001E1C96" w:rsidRDefault="00ED4D67" w:rsidP="001E1C96">
          <w:pPr>
            <w:spacing w:line="360" w:lineRule="auto"/>
            <w:jc w:val="both"/>
            <w:rPr>
              <w:rFonts w:ascii="Times New Roman" w:hAnsi="Times New Roman" w:cs="Times New Roman"/>
              <w:b/>
              <w:bCs/>
              <w:color w:val="2E74B5" w:themeColor="accent1" w:themeShade="BF"/>
              <w:sz w:val="24"/>
              <w:szCs w:val="24"/>
            </w:rPr>
          </w:pPr>
          <w:r w:rsidRPr="001E1C96">
            <w:rPr>
              <w:rFonts w:ascii="Times New Roman" w:hAnsi="Times New Roman" w:cs="Times New Roman"/>
              <w:b/>
              <w:bCs/>
              <w:color w:val="2E74B5" w:themeColor="accent1" w:themeShade="BF"/>
              <w:sz w:val="24"/>
              <w:szCs w:val="24"/>
            </w:rPr>
            <w:t>Phase 2: Build (6–18 months)</w:t>
          </w:r>
        </w:p>
        <w:p w14:paraId="565CED63" w14:textId="3B91F93C"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Build phase entails instilling governance in operational systems. Explainable AI (XAI) systems ought to be adopted in order to enhance transparency and make AI-driven decisions transparent and explainable, especially when the use of AI is of high impact.</w:t>
          </w:r>
        </w:p>
        <w:p w14:paraId="509E706B" w14:textId="32E01B0E"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On a regulatory and ethical risk basis, a framework of classification of AI risks needs to be implemented and systems grouped. A separate ethics review committee ought to be created, as well, to screen high-risk AI applications and make sure that they comply with responsible AI principles</w:t>
          </w:r>
          <w:r w:rsidR="007C3A7B">
            <w:rPr>
              <w:rFonts w:ascii="Times New Roman" w:hAnsi="Times New Roman" w:cs="Times New Roman"/>
              <w:sz w:val="24"/>
              <w:szCs w:val="24"/>
            </w:rPr>
            <w:t xml:space="preserve"> (OECD, 2023)</w:t>
          </w:r>
          <w:r w:rsidRPr="001E1C96">
            <w:rPr>
              <w:rFonts w:ascii="Times New Roman" w:hAnsi="Times New Roman" w:cs="Times New Roman"/>
              <w:sz w:val="24"/>
              <w:szCs w:val="24"/>
            </w:rPr>
            <w:t>.</w:t>
          </w:r>
        </w:p>
        <w:p w14:paraId="694B86B8"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Simultaneously, organisation-wide staff training programmes must be established to develop AI literacy and make the staff aware of their governing roles and ethical issues when using AI.</w:t>
          </w:r>
        </w:p>
        <w:p w14:paraId="117C367C" w14:textId="77777777" w:rsidR="00ED4D67" w:rsidRPr="001E1C96" w:rsidRDefault="00ED4D67" w:rsidP="001E1C96">
          <w:pPr>
            <w:spacing w:line="360" w:lineRule="auto"/>
            <w:jc w:val="both"/>
            <w:rPr>
              <w:rFonts w:ascii="Times New Roman" w:hAnsi="Times New Roman" w:cs="Times New Roman"/>
              <w:b/>
              <w:bCs/>
              <w:color w:val="2E74B5" w:themeColor="accent1" w:themeShade="BF"/>
              <w:sz w:val="24"/>
              <w:szCs w:val="24"/>
            </w:rPr>
          </w:pPr>
          <w:r w:rsidRPr="001E1C96">
            <w:rPr>
              <w:rFonts w:ascii="Times New Roman" w:hAnsi="Times New Roman" w:cs="Times New Roman"/>
              <w:b/>
              <w:bCs/>
              <w:color w:val="2E74B5" w:themeColor="accent1" w:themeShade="BF"/>
              <w:sz w:val="24"/>
              <w:szCs w:val="24"/>
            </w:rPr>
            <w:t>Phase 3: Lead (18–24 months)</w:t>
          </w:r>
        </w:p>
        <w:p w14:paraId="6542ED44"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 lead stage is concerned with the positioning outside and constant improvement. An open Responsible AI Report ought to be released to show transparency and responsibility, enhancing confidence among the stakeholders.</w:t>
          </w:r>
        </w:p>
        <w:p w14:paraId="539528B6"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An active proactive regulatory engagement policy needs to be created in order to keep the continuous communication with the regulators and to make sure that we adapt progressively to the changes in the policy. The introduction of customer trust initiatives is also needed with attention paid to the transparency of AI usage and providing ways of how AI affects decisions.</w:t>
          </w:r>
        </w:p>
        <w:p w14:paraId="1C47B43F"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There should also be external independent reviews to determine the effectiveness of governance and performance which is relative to the industry benchmarking.</w:t>
          </w:r>
        </w:p>
        <w:p w14:paraId="05DA9E78" w14:textId="77777777" w:rsidR="00ED4D67" w:rsidRPr="001E1C96" w:rsidRDefault="00ED4D67" w:rsidP="001E1C96">
          <w:pPr>
            <w:spacing w:line="360" w:lineRule="auto"/>
            <w:jc w:val="both"/>
            <w:rPr>
              <w:rFonts w:ascii="Times New Roman" w:hAnsi="Times New Roman" w:cs="Times New Roman"/>
              <w:b/>
              <w:bCs/>
              <w:color w:val="2E74B5" w:themeColor="accent1" w:themeShade="BF"/>
              <w:sz w:val="24"/>
              <w:szCs w:val="24"/>
            </w:rPr>
          </w:pPr>
          <w:r w:rsidRPr="001E1C96">
            <w:rPr>
              <w:rFonts w:ascii="Times New Roman" w:hAnsi="Times New Roman" w:cs="Times New Roman"/>
              <w:b/>
              <w:bCs/>
              <w:color w:val="2E74B5" w:themeColor="accent1" w:themeShade="BF"/>
              <w:sz w:val="24"/>
              <w:szCs w:val="24"/>
            </w:rPr>
            <w:t>Performance and Control</w:t>
          </w:r>
        </w:p>
        <w:p w14:paraId="2EFE234F" w14:textId="77777777" w:rsidR="00ED4D67"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 xml:space="preserve">The KPIs have to be measurable to support each stage, including the proportion of AI systems mapped, compliance rates, and the level of training completion, as well as customer trust </w:t>
          </w:r>
          <w:r w:rsidRPr="001E1C96">
            <w:rPr>
              <w:rFonts w:ascii="Times New Roman" w:hAnsi="Times New Roman" w:cs="Times New Roman"/>
              <w:sz w:val="24"/>
              <w:szCs w:val="24"/>
            </w:rPr>
            <w:lastRenderedPageBreak/>
            <w:t>metrics. They should incorporate cost controls so as to make investments effective and the resources should be prioritised on risk exposure and impact to business.</w:t>
          </w:r>
        </w:p>
        <w:p w14:paraId="1E9805A1" w14:textId="72F1B4AE" w:rsidR="00B01C7C" w:rsidRPr="001E1C96" w:rsidRDefault="00ED4D67" w:rsidP="001E1C96">
          <w:pPr>
            <w:spacing w:line="360" w:lineRule="auto"/>
            <w:jc w:val="both"/>
            <w:rPr>
              <w:rFonts w:ascii="Times New Roman" w:hAnsi="Times New Roman" w:cs="Times New Roman"/>
              <w:sz w:val="24"/>
              <w:szCs w:val="24"/>
            </w:rPr>
          </w:pPr>
          <w:r w:rsidRPr="001E1C96">
            <w:rPr>
              <w:rFonts w:ascii="Times New Roman" w:hAnsi="Times New Roman" w:cs="Times New Roman"/>
              <w:sz w:val="24"/>
              <w:szCs w:val="24"/>
            </w:rPr>
            <w:t>A senior position should be in charge of overall governance, like a Chief AI Ethics Officer who would coordinate, be accountable, and align AI strategy and organisational goals.</w:t>
          </w:r>
          <w:r w:rsidR="00B01C7C" w:rsidRPr="001E1C96">
            <w:rPr>
              <w:rFonts w:ascii="Times New Roman" w:hAnsi="Times New Roman" w:cs="Times New Roman"/>
              <w:b/>
              <w:bCs/>
              <w:sz w:val="24"/>
              <w:szCs w:val="24"/>
            </w:rPr>
            <w:br w:type="page"/>
          </w:r>
        </w:p>
        <w:p w14:paraId="6AA8B230" w14:textId="7BC08FA8" w:rsidR="00494DE4" w:rsidRPr="001E1C96" w:rsidRDefault="00ED4D67" w:rsidP="001E1C96">
          <w:pPr>
            <w:pStyle w:val="Heading1"/>
            <w:spacing w:line="360" w:lineRule="auto"/>
            <w:jc w:val="both"/>
            <w:rPr>
              <w:rFonts w:ascii="Times New Roman" w:hAnsi="Times New Roman" w:cs="Times New Roman"/>
              <w:b/>
              <w:bCs/>
              <w:sz w:val="24"/>
              <w:szCs w:val="24"/>
            </w:rPr>
          </w:pPr>
          <w:bookmarkStart w:id="10" w:name="_Toc228121962"/>
          <w:r w:rsidRPr="001E1C96">
            <w:rPr>
              <w:rFonts w:ascii="Times New Roman" w:hAnsi="Times New Roman" w:cs="Times New Roman"/>
              <w:b/>
              <w:bCs/>
              <w:sz w:val="24"/>
              <w:szCs w:val="24"/>
            </w:rPr>
            <w:lastRenderedPageBreak/>
            <w:t>CONCLUSION</w:t>
          </w:r>
          <w:bookmarkEnd w:id="10"/>
          <w:r w:rsidRPr="001E1C96">
            <w:rPr>
              <w:rFonts w:ascii="Times New Roman" w:hAnsi="Times New Roman" w:cs="Times New Roman"/>
              <w:b/>
              <w:bCs/>
              <w:sz w:val="24"/>
              <w:szCs w:val="24"/>
            </w:rPr>
            <w:t xml:space="preserve"> </w:t>
          </w:r>
        </w:p>
        <w:p w14:paraId="735EB39C" w14:textId="567266D8" w:rsidR="00AA2A91" w:rsidRPr="001E08C5" w:rsidRDefault="001E08C5" w:rsidP="001E08C5">
          <w:pPr>
            <w:spacing w:line="360" w:lineRule="auto"/>
            <w:jc w:val="both"/>
            <w:rPr>
              <w:rFonts w:ascii="Times New Roman" w:hAnsi="Times New Roman" w:cs="Times New Roman"/>
              <w:sz w:val="24"/>
              <w:szCs w:val="24"/>
            </w:rPr>
          </w:pPr>
          <w:r w:rsidRPr="001E08C5">
            <w:rPr>
              <w:rFonts w:ascii="Times New Roman" w:hAnsi="Times New Roman" w:cs="Times New Roman"/>
              <w:sz w:val="24"/>
              <w:szCs w:val="24"/>
            </w:rPr>
            <w:t>This report explores governance of artificial intelligence (AI) in corporations, with particular attention being given to businesses like Unilever. The study shows that AI governance is not just about regulatory compliance, but also a critical element to achieve long-term prosperity and trust in the business environment. In particular, the report underscores the evolving regulatory framework in the field of AI, pointing to differences between the UK and the European Union. While the UK's more permissive standards stimulate innovation, the EU's comprehensive approach offers guidance on acceptable AI practices</w:t>
          </w:r>
          <w:r>
            <w:rPr>
              <w:rFonts w:ascii="Times New Roman" w:hAnsi="Times New Roman" w:cs="Times New Roman"/>
              <w:sz w:val="24"/>
              <w:szCs w:val="24"/>
            </w:rPr>
            <w:t>,</w:t>
          </w:r>
          <w:r w:rsidRPr="001E08C5">
            <w:rPr>
              <w:rFonts w:ascii="Times New Roman" w:hAnsi="Times New Roman" w:cs="Times New Roman"/>
              <w:sz w:val="24"/>
              <w:szCs w:val="24"/>
            </w:rPr>
            <w:br/>
            <w:t>The regulatory divergence presents a challenge to global corporations, but also provides insights into best practices for AI. The link between regulatory compliance, trust and competitiveness is highlighted; compliance not only meets legal requirements but also builds consumer and investor confidence, as well as government trust. Such adherence promotes transparency and builds trust with stakeholders, essential for brand retention and growth.</w:t>
          </w:r>
          <w:r w:rsidRPr="001E08C5">
            <w:rPr>
              <w:rFonts w:ascii="Times New Roman" w:hAnsi="Times New Roman" w:cs="Times New Roman"/>
              <w:sz w:val="24"/>
              <w:szCs w:val="24"/>
            </w:rPr>
            <w:br/>
            <w:t>And companies are encouraged to adopt ethical AI strategies to mitigate the risk of reputational damage arising from biases, lack of transparency and accountability of AI systems. The report also examines the adoption of AI in relation to regulatory, Environmental, Social and Governance (ESG) differences, technological advances and global investment trends. The World Economic Forum and International Monetary Fund warn of the risks associated with poorly governed AI and the need for robust governance practices.</w:t>
          </w:r>
          <w:r w:rsidRPr="001E08C5">
            <w:rPr>
              <w:rFonts w:ascii="Times New Roman" w:hAnsi="Times New Roman" w:cs="Times New Roman"/>
              <w:sz w:val="24"/>
              <w:szCs w:val="24"/>
            </w:rPr>
            <w:br/>
            <w:t>T</w:t>
          </w:r>
          <w:r>
            <w:rPr>
              <w:rFonts w:ascii="Times New Roman" w:hAnsi="Times New Roman" w:cs="Times New Roman"/>
              <w:sz w:val="24"/>
              <w:szCs w:val="24"/>
            </w:rPr>
            <w:t>h</w:t>
          </w:r>
          <w:r w:rsidRPr="001E08C5">
            <w:rPr>
              <w:rFonts w:ascii="Times New Roman" w:hAnsi="Times New Roman" w:cs="Times New Roman"/>
              <w:sz w:val="24"/>
              <w:szCs w:val="24"/>
            </w:rPr>
            <w:t>e key takeaway from this discussion is that companies overlook AI governance as a core element of their strategy at their own peril, as they risk being swarmed by more responsive and compliant rivals. In contrast, firms taking a proactive approach to governance can use it to their advantage, for differentiation and value creation. Compliance with existing standards, such as those inherent in the EU framework, can help reduce uncertainty and ensure operational consistency.</w:t>
          </w:r>
          <w:r w:rsidRPr="001E08C5">
            <w:rPr>
              <w:rFonts w:ascii="Times New Roman" w:hAnsi="Times New Roman" w:cs="Times New Roman"/>
              <w:sz w:val="24"/>
              <w:szCs w:val="24"/>
            </w:rPr>
            <w:br/>
            <w:t>In conclusion, AI governance is a complex area where regulatory standards, ethics and strategic protocols intersect. For firms such as Unilever, active AI governance is not only crucial for avoiding risks but also for gaining a competitive advantage in a complex and AI-powered marketplace. Through a focus on AI governance, companies can address the risks and opportunities presented by AI development and make it a strategic resource for resilience and growth</w:t>
          </w:r>
          <w:r>
            <w:rPr>
              <w:rFonts w:ascii="Times New Roman" w:hAnsi="Times New Roman" w:cs="Times New Roman"/>
              <w:sz w:val="24"/>
              <w:szCs w:val="24"/>
            </w:rPr>
            <w:t>.</w:t>
          </w:r>
        </w:p>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7202FDFC" w14:textId="2BE864DA" w:rsidR="00AA2A91" w:rsidRPr="001E1C96" w:rsidRDefault="001E1C96" w:rsidP="001E1C96">
          <w:pPr>
            <w:pStyle w:val="Heading1"/>
            <w:jc w:val="both"/>
            <w:rPr>
              <w:rFonts w:ascii="Times New Roman" w:hAnsi="Times New Roman" w:cs="Times New Roman"/>
              <w:sz w:val="24"/>
              <w:szCs w:val="24"/>
            </w:rPr>
          </w:pPr>
          <w:bookmarkStart w:id="11" w:name="_Toc228121963"/>
          <w:r w:rsidRPr="001E1C96">
            <w:rPr>
              <w:rFonts w:ascii="Times New Roman" w:hAnsi="Times New Roman" w:cs="Times New Roman"/>
              <w:sz w:val="24"/>
              <w:szCs w:val="24"/>
            </w:rPr>
            <w:t>BIBLIOGRAPHY</w:t>
          </w:r>
          <w:bookmarkEnd w:id="11"/>
        </w:p>
        <w:p w14:paraId="7901820A"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Atanasov</w:t>
          </w:r>
          <w:proofErr w:type="spellEnd"/>
          <w:r w:rsidRPr="001E1C96">
            <w:rPr>
              <w:rFonts w:ascii="Times New Roman" w:hAnsi="Times New Roman" w:cs="Times New Roman"/>
              <w:sz w:val="24"/>
              <w:szCs w:val="24"/>
            </w:rPr>
            <w:t xml:space="preserve">, V.A. (2026) </w:t>
          </w:r>
          <w:r w:rsidRPr="001E1C96">
            <w:rPr>
              <w:rFonts w:ascii="Times New Roman" w:hAnsi="Times New Roman" w:cs="Times New Roman"/>
              <w:i/>
              <w:iCs/>
              <w:sz w:val="24"/>
              <w:szCs w:val="24"/>
            </w:rPr>
            <w:t>Early Settlements of Construction Disputes in Public Projects</w:t>
          </w:r>
          <w:r w:rsidRPr="001E1C96">
            <w:rPr>
              <w:rFonts w:ascii="Times New Roman" w:hAnsi="Times New Roman" w:cs="Times New Roman"/>
              <w:sz w:val="24"/>
              <w:szCs w:val="24"/>
            </w:rPr>
            <w:t>. Buildings, 16(3), p.597.</w:t>
          </w:r>
        </w:p>
        <w:p w14:paraId="49E6ADC5"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Barney, J. (1991) ‘Firm Resources and Sustained Competitive Advantage’, </w:t>
          </w:r>
          <w:r w:rsidRPr="001E1C96">
            <w:rPr>
              <w:rFonts w:ascii="Times New Roman" w:hAnsi="Times New Roman" w:cs="Times New Roman"/>
              <w:i/>
              <w:iCs/>
              <w:sz w:val="24"/>
              <w:szCs w:val="24"/>
            </w:rPr>
            <w:t>Journal of Management</w:t>
          </w:r>
          <w:r w:rsidRPr="001E1C96">
            <w:rPr>
              <w:rFonts w:ascii="Times New Roman" w:hAnsi="Times New Roman" w:cs="Times New Roman"/>
              <w:sz w:val="24"/>
              <w:szCs w:val="24"/>
            </w:rPr>
            <w:t>, 17(1), pp. 99–120.</w:t>
          </w:r>
        </w:p>
        <w:p w14:paraId="31A54D63"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Bradford, A. (2020) </w:t>
          </w:r>
          <w:r w:rsidRPr="001E1C96">
            <w:rPr>
              <w:rFonts w:ascii="Times New Roman" w:hAnsi="Times New Roman" w:cs="Times New Roman"/>
              <w:i/>
              <w:iCs/>
              <w:sz w:val="24"/>
              <w:szCs w:val="24"/>
            </w:rPr>
            <w:t>The Brussels Effect: How the European Union Rules the World</w:t>
          </w:r>
          <w:r w:rsidRPr="001E1C96">
            <w:rPr>
              <w:rFonts w:ascii="Times New Roman" w:hAnsi="Times New Roman" w:cs="Times New Roman"/>
              <w:sz w:val="24"/>
              <w:szCs w:val="24"/>
            </w:rPr>
            <w:t>. Oxford: Oxford University Press.</w:t>
          </w:r>
        </w:p>
        <w:p w14:paraId="2D969B3E" w14:textId="65DF08A0"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Brynjolfsson</w:t>
          </w:r>
          <w:proofErr w:type="spellEnd"/>
          <w:r w:rsidRPr="001E1C96">
            <w:rPr>
              <w:rFonts w:ascii="Times New Roman" w:hAnsi="Times New Roman" w:cs="Times New Roman"/>
              <w:sz w:val="24"/>
              <w:szCs w:val="24"/>
            </w:rPr>
            <w:t xml:space="preserve">, E. </w:t>
          </w:r>
          <w:r w:rsidR="00262CEB">
            <w:rPr>
              <w:rFonts w:ascii="Times New Roman" w:hAnsi="Times New Roman" w:cs="Times New Roman"/>
              <w:sz w:val="24"/>
              <w:szCs w:val="24"/>
            </w:rPr>
            <w:t>&amp;</w:t>
          </w:r>
          <w:r w:rsidRPr="001E1C96">
            <w:rPr>
              <w:rFonts w:ascii="Times New Roman" w:hAnsi="Times New Roman" w:cs="Times New Roman"/>
              <w:sz w:val="24"/>
              <w:szCs w:val="24"/>
            </w:rPr>
            <w:t xml:space="preserve"> McAfee, A. (2017) </w:t>
          </w:r>
          <w:r w:rsidRPr="001E1C96">
            <w:rPr>
              <w:rFonts w:ascii="Times New Roman" w:hAnsi="Times New Roman" w:cs="Times New Roman"/>
              <w:i/>
              <w:iCs/>
              <w:sz w:val="24"/>
              <w:szCs w:val="24"/>
            </w:rPr>
            <w:t>Machine, Platform, Crowd</w:t>
          </w:r>
          <w:r w:rsidRPr="001E1C96">
            <w:rPr>
              <w:rFonts w:ascii="Times New Roman" w:hAnsi="Times New Roman" w:cs="Times New Roman"/>
              <w:sz w:val="24"/>
              <w:szCs w:val="24"/>
            </w:rPr>
            <w:t>. New York: W.W. Norton.</w:t>
          </w:r>
        </w:p>
        <w:p w14:paraId="05CE6FEB"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Bughin</w:t>
          </w:r>
          <w:proofErr w:type="spellEnd"/>
          <w:r w:rsidRPr="001E1C96">
            <w:rPr>
              <w:rFonts w:ascii="Times New Roman" w:hAnsi="Times New Roman" w:cs="Times New Roman"/>
              <w:sz w:val="24"/>
              <w:szCs w:val="24"/>
            </w:rPr>
            <w:t xml:space="preserve">, J. et al. (2018) ‘Notes from the AI Frontier’, </w:t>
          </w:r>
          <w:r w:rsidRPr="001E1C96">
            <w:rPr>
              <w:rFonts w:ascii="Times New Roman" w:hAnsi="Times New Roman" w:cs="Times New Roman"/>
              <w:i/>
              <w:iCs/>
              <w:sz w:val="24"/>
              <w:szCs w:val="24"/>
            </w:rPr>
            <w:t>McKinsey Global Institute</w:t>
          </w:r>
          <w:r w:rsidRPr="001E1C96">
            <w:rPr>
              <w:rFonts w:ascii="Times New Roman" w:hAnsi="Times New Roman" w:cs="Times New Roman"/>
              <w:sz w:val="24"/>
              <w:szCs w:val="24"/>
            </w:rPr>
            <w:t>.</w:t>
          </w:r>
        </w:p>
        <w:p w14:paraId="5BA84E68"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CMA (2023) </w:t>
          </w:r>
          <w:r w:rsidRPr="001E1C96">
            <w:rPr>
              <w:rFonts w:ascii="Times New Roman" w:hAnsi="Times New Roman" w:cs="Times New Roman"/>
              <w:i/>
              <w:iCs/>
              <w:sz w:val="24"/>
              <w:szCs w:val="24"/>
            </w:rPr>
            <w:t>AI Foundation Models Initial Review</w:t>
          </w:r>
          <w:r w:rsidRPr="001E1C96">
            <w:rPr>
              <w:rFonts w:ascii="Times New Roman" w:hAnsi="Times New Roman" w:cs="Times New Roman"/>
              <w:sz w:val="24"/>
              <w:szCs w:val="24"/>
            </w:rPr>
            <w:t>. London: Competition and Markets Authority.</w:t>
          </w:r>
        </w:p>
        <w:p w14:paraId="62D4C2EC" w14:textId="0FD7D724"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Davenport, T.H. </w:t>
          </w:r>
          <w:r w:rsidR="00262CEB">
            <w:rPr>
              <w:rFonts w:ascii="Times New Roman" w:hAnsi="Times New Roman" w:cs="Times New Roman"/>
              <w:sz w:val="24"/>
              <w:szCs w:val="24"/>
            </w:rPr>
            <w:t>&amp;</w:t>
          </w:r>
          <w:r w:rsidRPr="001E1C96">
            <w:rPr>
              <w:rFonts w:ascii="Times New Roman" w:hAnsi="Times New Roman" w:cs="Times New Roman"/>
              <w:sz w:val="24"/>
              <w:szCs w:val="24"/>
            </w:rPr>
            <w:t xml:space="preserve"> </w:t>
          </w:r>
          <w:proofErr w:type="spellStart"/>
          <w:r w:rsidRPr="001E1C96">
            <w:rPr>
              <w:rFonts w:ascii="Times New Roman" w:hAnsi="Times New Roman" w:cs="Times New Roman"/>
              <w:sz w:val="24"/>
              <w:szCs w:val="24"/>
            </w:rPr>
            <w:t>Ronanki</w:t>
          </w:r>
          <w:proofErr w:type="spellEnd"/>
          <w:r w:rsidRPr="001E1C96">
            <w:rPr>
              <w:rFonts w:ascii="Times New Roman" w:hAnsi="Times New Roman" w:cs="Times New Roman"/>
              <w:sz w:val="24"/>
              <w:szCs w:val="24"/>
            </w:rPr>
            <w:t xml:space="preserve">, R. (2018) ‘Artificial Intelligence for the Real World’, </w:t>
          </w:r>
          <w:r w:rsidRPr="001E1C96">
            <w:rPr>
              <w:rFonts w:ascii="Times New Roman" w:hAnsi="Times New Roman" w:cs="Times New Roman"/>
              <w:i/>
              <w:iCs/>
              <w:sz w:val="24"/>
              <w:szCs w:val="24"/>
            </w:rPr>
            <w:t>Harvard Business Review</w:t>
          </w:r>
          <w:r w:rsidRPr="001E1C96">
            <w:rPr>
              <w:rFonts w:ascii="Times New Roman" w:hAnsi="Times New Roman" w:cs="Times New Roman"/>
              <w:sz w:val="24"/>
              <w:szCs w:val="24"/>
            </w:rPr>
            <w:t>, 96(1), pp. 108–116.</w:t>
          </w:r>
        </w:p>
        <w:p w14:paraId="1746BB18" w14:textId="55B68664"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DiMaggio, P.J. </w:t>
          </w:r>
          <w:r w:rsidR="00262CEB">
            <w:rPr>
              <w:rFonts w:ascii="Times New Roman" w:hAnsi="Times New Roman" w:cs="Times New Roman"/>
              <w:sz w:val="24"/>
              <w:szCs w:val="24"/>
            </w:rPr>
            <w:t>&amp;</w:t>
          </w:r>
          <w:r w:rsidRPr="001E1C96">
            <w:rPr>
              <w:rFonts w:ascii="Times New Roman" w:hAnsi="Times New Roman" w:cs="Times New Roman"/>
              <w:sz w:val="24"/>
              <w:szCs w:val="24"/>
            </w:rPr>
            <w:t xml:space="preserve"> Powell, W.W. (1983) ‘The Iron Cage Revisited’, </w:t>
          </w:r>
          <w:r w:rsidRPr="001E1C96">
            <w:rPr>
              <w:rFonts w:ascii="Times New Roman" w:hAnsi="Times New Roman" w:cs="Times New Roman"/>
              <w:i/>
              <w:iCs/>
              <w:sz w:val="24"/>
              <w:szCs w:val="24"/>
            </w:rPr>
            <w:t>American Sociological Review</w:t>
          </w:r>
          <w:r w:rsidRPr="001E1C96">
            <w:rPr>
              <w:rFonts w:ascii="Times New Roman" w:hAnsi="Times New Roman" w:cs="Times New Roman"/>
              <w:sz w:val="24"/>
              <w:szCs w:val="24"/>
            </w:rPr>
            <w:t>, 48(2), pp. 147–160.</w:t>
          </w:r>
        </w:p>
        <w:p w14:paraId="0F8435A7"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Edelman (2024) </w:t>
          </w:r>
          <w:r w:rsidRPr="001E1C96">
            <w:rPr>
              <w:rFonts w:ascii="Times New Roman" w:hAnsi="Times New Roman" w:cs="Times New Roman"/>
              <w:i/>
              <w:iCs/>
              <w:sz w:val="24"/>
              <w:szCs w:val="24"/>
            </w:rPr>
            <w:t>Edelman Trust Barometer 2024</w:t>
          </w:r>
          <w:r w:rsidRPr="001E1C96">
            <w:rPr>
              <w:rFonts w:ascii="Times New Roman" w:hAnsi="Times New Roman" w:cs="Times New Roman"/>
              <w:sz w:val="24"/>
              <w:szCs w:val="24"/>
            </w:rPr>
            <w:t>.</w:t>
          </w:r>
        </w:p>
        <w:p w14:paraId="5E0B0868"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European Commission (2020) </w:t>
          </w:r>
          <w:r w:rsidRPr="001E1C96">
            <w:rPr>
              <w:rFonts w:ascii="Times New Roman" w:hAnsi="Times New Roman" w:cs="Times New Roman"/>
              <w:i/>
              <w:iCs/>
              <w:sz w:val="24"/>
              <w:szCs w:val="24"/>
            </w:rPr>
            <w:t>White Paper on Artificial Intelligence</w:t>
          </w:r>
          <w:r w:rsidRPr="001E1C96">
            <w:rPr>
              <w:rFonts w:ascii="Times New Roman" w:hAnsi="Times New Roman" w:cs="Times New Roman"/>
              <w:sz w:val="24"/>
              <w:szCs w:val="24"/>
            </w:rPr>
            <w:t>.</w:t>
          </w:r>
        </w:p>
        <w:p w14:paraId="684E5538"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European Commission (2023) </w:t>
          </w:r>
          <w:r w:rsidRPr="001E1C96">
            <w:rPr>
              <w:rFonts w:ascii="Times New Roman" w:hAnsi="Times New Roman" w:cs="Times New Roman"/>
              <w:i/>
              <w:iCs/>
              <w:sz w:val="24"/>
              <w:szCs w:val="24"/>
            </w:rPr>
            <w:t>Ethics Guidelines for Trustworthy AI</w:t>
          </w:r>
          <w:r w:rsidRPr="001E1C96">
            <w:rPr>
              <w:rFonts w:ascii="Times New Roman" w:hAnsi="Times New Roman" w:cs="Times New Roman"/>
              <w:sz w:val="24"/>
              <w:szCs w:val="24"/>
            </w:rPr>
            <w:t>.</w:t>
          </w:r>
        </w:p>
        <w:p w14:paraId="20284493"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European Parliament (2024) </w:t>
          </w:r>
          <w:r w:rsidRPr="001E1C96">
            <w:rPr>
              <w:rFonts w:ascii="Times New Roman" w:hAnsi="Times New Roman" w:cs="Times New Roman"/>
              <w:i/>
              <w:iCs/>
              <w:sz w:val="24"/>
              <w:szCs w:val="24"/>
            </w:rPr>
            <w:t>Artificial Intelligence Act (EU) 2024/1689</w:t>
          </w:r>
          <w:r w:rsidRPr="001E1C96">
            <w:rPr>
              <w:rFonts w:ascii="Times New Roman" w:hAnsi="Times New Roman" w:cs="Times New Roman"/>
              <w:sz w:val="24"/>
              <w:szCs w:val="24"/>
            </w:rPr>
            <w:t>.</w:t>
          </w:r>
        </w:p>
        <w:p w14:paraId="43DB7F36"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Floridi</w:t>
          </w:r>
          <w:proofErr w:type="spellEnd"/>
          <w:r w:rsidRPr="001E1C96">
            <w:rPr>
              <w:rFonts w:ascii="Times New Roman" w:hAnsi="Times New Roman" w:cs="Times New Roman"/>
              <w:sz w:val="24"/>
              <w:szCs w:val="24"/>
            </w:rPr>
            <w:t xml:space="preserve">, L. (2019) </w:t>
          </w:r>
          <w:r w:rsidRPr="001E1C96">
            <w:rPr>
              <w:rFonts w:ascii="Times New Roman" w:hAnsi="Times New Roman" w:cs="Times New Roman"/>
              <w:i/>
              <w:iCs/>
              <w:sz w:val="24"/>
              <w:szCs w:val="24"/>
            </w:rPr>
            <w:t>Establishing the Rules for Building Trustworthy AI</w:t>
          </w:r>
          <w:r w:rsidRPr="001E1C96">
            <w:rPr>
              <w:rFonts w:ascii="Times New Roman" w:hAnsi="Times New Roman" w:cs="Times New Roman"/>
              <w:sz w:val="24"/>
              <w:szCs w:val="24"/>
            </w:rPr>
            <w:t xml:space="preserve">, </w:t>
          </w:r>
          <w:r w:rsidRPr="001E1C96">
            <w:rPr>
              <w:rFonts w:ascii="Times New Roman" w:hAnsi="Times New Roman" w:cs="Times New Roman"/>
              <w:i/>
              <w:iCs/>
              <w:sz w:val="24"/>
              <w:szCs w:val="24"/>
            </w:rPr>
            <w:t>Nature Machine Intelligence</w:t>
          </w:r>
          <w:r w:rsidRPr="001E1C96">
            <w:rPr>
              <w:rFonts w:ascii="Times New Roman" w:hAnsi="Times New Roman" w:cs="Times New Roman"/>
              <w:sz w:val="24"/>
              <w:szCs w:val="24"/>
            </w:rPr>
            <w:t>, 1(6), pp. 261–262.</w:t>
          </w:r>
        </w:p>
        <w:p w14:paraId="56AC2337"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Floridi</w:t>
          </w:r>
          <w:proofErr w:type="spellEnd"/>
          <w:r w:rsidRPr="001E1C96">
            <w:rPr>
              <w:rFonts w:ascii="Times New Roman" w:hAnsi="Times New Roman" w:cs="Times New Roman"/>
              <w:sz w:val="24"/>
              <w:szCs w:val="24"/>
            </w:rPr>
            <w:t xml:space="preserve">, L. et al. (2018) ‘AI4People—An Ethical Framework’, </w:t>
          </w:r>
          <w:r w:rsidRPr="001E1C96">
            <w:rPr>
              <w:rFonts w:ascii="Times New Roman" w:hAnsi="Times New Roman" w:cs="Times New Roman"/>
              <w:i/>
              <w:iCs/>
              <w:sz w:val="24"/>
              <w:szCs w:val="24"/>
            </w:rPr>
            <w:t>Minds and Machines</w:t>
          </w:r>
          <w:r w:rsidRPr="001E1C96">
            <w:rPr>
              <w:rFonts w:ascii="Times New Roman" w:hAnsi="Times New Roman" w:cs="Times New Roman"/>
              <w:sz w:val="24"/>
              <w:szCs w:val="24"/>
            </w:rPr>
            <w:t>, 28(4), pp. 689–707.</w:t>
          </w:r>
        </w:p>
        <w:p w14:paraId="24CFE4B3"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Freeman, R.E. (1984) </w:t>
          </w:r>
          <w:r w:rsidRPr="001E1C96">
            <w:rPr>
              <w:rFonts w:ascii="Times New Roman" w:hAnsi="Times New Roman" w:cs="Times New Roman"/>
              <w:i/>
              <w:iCs/>
              <w:sz w:val="24"/>
              <w:szCs w:val="24"/>
            </w:rPr>
            <w:t>Strategic Management: A Stakeholder Approach</w:t>
          </w:r>
          <w:r w:rsidRPr="001E1C96">
            <w:rPr>
              <w:rFonts w:ascii="Times New Roman" w:hAnsi="Times New Roman" w:cs="Times New Roman"/>
              <w:sz w:val="24"/>
              <w:szCs w:val="24"/>
            </w:rPr>
            <w:t>. Boston: Pitman.</w:t>
          </w:r>
        </w:p>
        <w:p w14:paraId="56857A32" w14:textId="77777777" w:rsidR="001E1C96" w:rsidRPr="001E1C96" w:rsidRDefault="001E1C96" w:rsidP="001E1C96">
          <w:pPr>
            <w:jc w:val="both"/>
            <w:rPr>
              <w:rFonts w:ascii="Times New Roman" w:hAnsi="Times New Roman" w:cs="Times New Roman"/>
              <w:sz w:val="24"/>
              <w:szCs w:val="24"/>
            </w:rPr>
          </w:pPr>
          <w:bookmarkStart w:id="12" w:name="_Hlk228124871"/>
          <w:r w:rsidRPr="001E1C96">
            <w:rPr>
              <w:rFonts w:ascii="Times New Roman" w:hAnsi="Times New Roman" w:cs="Times New Roman"/>
              <w:sz w:val="24"/>
              <w:szCs w:val="24"/>
            </w:rPr>
            <w:t>Gartner</w:t>
          </w:r>
          <w:bookmarkEnd w:id="12"/>
          <w:r w:rsidRPr="001E1C96">
            <w:rPr>
              <w:rFonts w:ascii="Times New Roman" w:hAnsi="Times New Roman" w:cs="Times New Roman"/>
              <w:sz w:val="24"/>
              <w:szCs w:val="24"/>
            </w:rPr>
            <w:t xml:space="preserve"> (2023) </w:t>
          </w:r>
          <w:r w:rsidRPr="001E1C96">
            <w:rPr>
              <w:rFonts w:ascii="Times New Roman" w:hAnsi="Times New Roman" w:cs="Times New Roman"/>
              <w:i/>
              <w:iCs/>
              <w:sz w:val="24"/>
              <w:szCs w:val="24"/>
            </w:rPr>
            <w:t>Top Strategic Technology Trends</w:t>
          </w:r>
          <w:r w:rsidRPr="001E1C96">
            <w:rPr>
              <w:rFonts w:ascii="Times New Roman" w:hAnsi="Times New Roman" w:cs="Times New Roman"/>
              <w:sz w:val="24"/>
              <w:szCs w:val="24"/>
            </w:rPr>
            <w:t>.</w:t>
          </w:r>
        </w:p>
        <w:p w14:paraId="59ADC1D4" w14:textId="2016D5EE"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Glikson</w:t>
          </w:r>
          <w:proofErr w:type="spellEnd"/>
          <w:r w:rsidRPr="001E1C96">
            <w:rPr>
              <w:rFonts w:ascii="Times New Roman" w:hAnsi="Times New Roman" w:cs="Times New Roman"/>
              <w:sz w:val="24"/>
              <w:szCs w:val="24"/>
            </w:rPr>
            <w:t xml:space="preserve">, E. </w:t>
          </w:r>
          <w:r w:rsidR="00262CEB">
            <w:rPr>
              <w:rFonts w:ascii="Times New Roman" w:hAnsi="Times New Roman" w:cs="Times New Roman"/>
              <w:sz w:val="24"/>
              <w:szCs w:val="24"/>
            </w:rPr>
            <w:t>&amp;</w:t>
          </w:r>
          <w:r w:rsidRPr="001E1C96">
            <w:rPr>
              <w:rFonts w:ascii="Times New Roman" w:hAnsi="Times New Roman" w:cs="Times New Roman"/>
              <w:sz w:val="24"/>
              <w:szCs w:val="24"/>
            </w:rPr>
            <w:t xml:space="preserve"> Woolley, A.W. (2020) ‘Human Trust in AI’, </w:t>
          </w:r>
          <w:r w:rsidRPr="001E1C96">
            <w:rPr>
              <w:rFonts w:ascii="Times New Roman" w:hAnsi="Times New Roman" w:cs="Times New Roman"/>
              <w:i/>
              <w:iCs/>
              <w:sz w:val="24"/>
              <w:szCs w:val="24"/>
            </w:rPr>
            <w:t>Academy of Management Annals</w:t>
          </w:r>
          <w:r w:rsidRPr="001E1C96">
            <w:rPr>
              <w:rFonts w:ascii="Times New Roman" w:hAnsi="Times New Roman" w:cs="Times New Roman"/>
              <w:sz w:val="24"/>
              <w:szCs w:val="24"/>
            </w:rPr>
            <w:t>, 14(2), pp. 627–660.</w:t>
          </w:r>
        </w:p>
        <w:p w14:paraId="79F1D0E8"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lastRenderedPageBreak/>
            <w:t xml:space="preserve">IBM (2023) </w:t>
          </w:r>
          <w:r w:rsidRPr="001E1C96">
            <w:rPr>
              <w:rFonts w:ascii="Times New Roman" w:hAnsi="Times New Roman" w:cs="Times New Roman"/>
              <w:i/>
              <w:iCs/>
              <w:sz w:val="24"/>
              <w:szCs w:val="24"/>
            </w:rPr>
            <w:t>Global AI Adoption Index</w:t>
          </w:r>
          <w:r w:rsidRPr="001E1C96">
            <w:rPr>
              <w:rFonts w:ascii="Times New Roman" w:hAnsi="Times New Roman" w:cs="Times New Roman"/>
              <w:sz w:val="24"/>
              <w:szCs w:val="24"/>
            </w:rPr>
            <w:t>.</w:t>
          </w:r>
        </w:p>
        <w:p w14:paraId="4CE84DE4"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ICO (2020) </w:t>
          </w:r>
          <w:r w:rsidRPr="001E1C96">
            <w:rPr>
              <w:rFonts w:ascii="Times New Roman" w:hAnsi="Times New Roman" w:cs="Times New Roman"/>
              <w:i/>
              <w:iCs/>
              <w:sz w:val="24"/>
              <w:szCs w:val="24"/>
            </w:rPr>
            <w:t>Explaining Decisions Made with AI</w:t>
          </w:r>
          <w:r w:rsidRPr="001E1C96">
            <w:rPr>
              <w:rFonts w:ascii="Times New Roman" w:hAnsi="Times New Roman" w:cs="Times New Roman"/>
              <w:sz w:val="24"/>
              <w:szCs w:val="24"/>
            </w:rPr>
            <w:t>. London: Information Commissioner’s Office.</w:t>
          </w:r>
        </w:p>
        <w:p w14:paraId="0700F62E"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ICO (2023) </w:t>
          </w:r>
          <w:r w:rsidRPr="001E1C96">
            <w:rPr>
              <w:rFonts w:ascii="Times New Roman" w:hAnsi="Times New Roman" w:cs="Times New Roman"/>
              <w:i/>
              <w:iCs/>
              <w:sz w:val="24"/>
              <w:szCs w:val="24"/>
            </w:rPr>
            <w:t>AI and Data Protection Risk Toolkit</w:t>
          </w:r>
          <w:r w:rsidRPr="001E1C96">
            <w:rPr>
              <w:rFonts w:ascii="Times New Roman" w:hAnsi="Times New Roman" w:cs="Times New Roman"/>
              <w:sz w:val="24"/>
              <w:szCs w:val="24"/>
            </w:rPr>
            <w:t>.</w:t>
          </w:r>
        </w:p>
        <w:p w14:paraId="4AF0E7BA"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International Monetary Fund (2024) </w:t>
          </w:r>
          <w:r w:rsidRPr="001E1C96">
            <w:rPr>
              <w:rFonts w:ascii="Times New Roman" w:hAnsi="Times New Roman" w:cs="Times New Roman"/>
              <w:i/>
              <w:iCs/>
              <w:sz w:val="24"/>
              <w:szCs w:val="24"/>
            </w:rPr>
            <w:t>World Economic Outlook</w:t>
          </w:r>
          <w:r w:rsidRPr="001E1C96">
            <w:rPr>
              <w:rFonts w:ascii="Times New Roman" w:hAnsi="Times New Roman" w:cs="Times New Roman"/>
              <w:sz w:val="24"/>
              <w:szCs w:val="24"/>
            </w:rPr>
            <w:t>.</w:t>
          </w:r>
        </w:p>
        <w:p w14:paraId="16F69A12"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Jobin</w:t>
          </w:r>
          <w:proofErr w:type="spellEnd"/>
          <w:r w:rsidRPr="001E1C96">
            <w:rPr>
              <w:rFonts w:ascii="Times New Roman" w:hAnsi="Times New Roman" w:cs="Times New Roman"/>
              <w:sz w:val="24"/>
              <w:szCs w:val="24"/>
            </w:rPr>
            <w:t xml:space="preserve">, A., </w:t>
          </w:r>
          <w:proofErr w:type="spellStart"/>
          <w:r w:rsidRPr="001E1C96">
            <w:rPr>
              <w:rFonts w:ascii="Times New Roman" w:hAnsi="Times New Roman" w:cs="Times New Roman"/>
              <w:sz w:val="24"/>
              <w:szCs w:val="24"/>
            </w:rPr>
            <w:t>Ienca</w:t>
          </w:r>
          <w:proofErr w:type="spellEnd"/>
          <w:r w:rsidRPr="001E1C96">
            <w:rPr>
              <w:rFonts w:ascii="Times New Roman" w:hAnsi="Times New Roman" w:cs="Times New Roman"/>
              <w:sz w:val="24"/>
              <w:szCs w:val="24"/>
            </w:rPr>
            <w:t xml:space="preserve">, M. and </w:t>
          </w:r>
          <w:proofErr w:type="spellStart"/>
          <w:r w:rsidRPr="001E1C96">
            <w:rPr>
              <w:rFonts w:ascii="Times New Roman" w:hAnsi="Times New Roman" w:cs="Times New Roman"/>
              <w:sz w:val="24"/>
              <w:szCs w:val="24"/>
            </w:rPr>
            <w:t>Vayena</w:t>
          </w:r>
          <w:proofErr w:type="spellEnd"/>
          <w:r w:rsidRPr="001E1C96">
            <w:rPr>
              <w:rFonts w:ascii="Times New Roman" w:hAnsi="Times New Roman" w:cs="Times New Roman"/>
              <w:sz w:val="24"/>
              <w:szCs w:val="24"/>
            </w:rPr>
            <w:t xml:space="preserve">, E. (2019) ‘Global Landscape of AI Ethics Guidelines’, </w:t>
          </w:r>
          <w:r w:rsidRPr="001E1C96">
            <w:rPr>
              <w:rFonts w:ascii="Times New Roman" w:hAnsi="Times New Roman" w:cs="Times New Roman"/>
              <w:i/>
              <w:iCs/>
              <w:sz w:val="24"/>
              <w:szCs w:val="24"/>
            </w:rPr>
            <w:t>Nature Machine Intelligence</w:t>
          </w:r>
          <w:r w:rsidRPr="001E1C96">
            <w:rPr>
              <w:rFonts w:ascii="Times New Roman" w:hAnsi="Times New Roman" w:cs="Times New Roman"/>
              <w:sz w:val="24"/>
              <w:szCs w:val="24"/>
            </w:rPr>
            <w:t>, 1(9), pp. 389–399.</w:t>
          </w:r>
        </w:p>
        <w:p w14:paraId="0D8173AB" w14:textId="23513CC1"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Kaplan, A. </w:t>
          </w:r>
          <w:r w:rsidR="00262CEB">
            <w:rPr>
              <w:rFonts w:ascii="Times New Roman" w:hAnsi="Times New Roman" w:cs="Times New Roman"/>
              <w:sz w:val="24"/>
              <w:szCs w:val="24"/>
            </w:rPr>
            <w:t>&amp;</w:t>
          </w:r>
          <w:r w:rsidRPr="001E1C96">
            <w:rPr>
              <w:rFonts w:ascii="Times New Roman" w:hAnsi="Times New Roman" w:cs="Times New Roman"/>
              <w:sz w:val="24"/>
              <w:szCs w:val="24"/>
            </w:rPr>
            <w:t xml:space="preserve"> </w:t>
          </w:r>
          <w:proofErr w:type="spellStart"/>
          <w:r w:rsidRPr="001E1C96">
            <w:rPr>
              <w:rFonts w:ascii="Times New Roman" w:hAnsi="Times New Roman" w:cs="Times New Roman"/>
              <w:sz w:val="24"/>
              <w:szCs w:val="24"/>
            </w:rPr>
            <w:t>Haenlein</w:t>
          </w:r>
          <w:proofErr w:type="spellEnd"/>
          <w:r w:rsidRPr="001E1C96">
            <w:rPr>
              <w:rFonts w:ascii="Times New Roman" w:hAnsi="Times New Roman" w:cs="Times New Roman"/>
              <w:sz w:val="24"/>
              <w:szCs w:val="24"/>
            </w:rPr>
            <w:t xml:space="preserve">, M. (2019) ‘Siri, Siri…’, </w:t>
          </w:r>
          <w:r w:rsidRPr="001E1C96">
            <w:rPr>
              <w:rFonts w:ascii="Times New Roman" w:hAnsi="Times New Roman" w:cs="Times New Roman"/>
              <w:i/>
              <w:iCs/>
              <w:sz w:val="24"/>
              <w:szCs w:val="24"/>
            </w:rPr>
            <w:t>Business Horizons</w:t>
          </w:r>
          <w:r w:rsidRPr="001E1C96">
            <w:rPr>
              <w:rFonts w:ascii="Times New Roman" w:hAnsi="Times New Roman" w:cs="Times New Roman"/>
              <w:sz w:val="24"/>
              <w:szCs w:val="24"/>
            </w:rPr>
            <w:t>, 62(1), pp. 15–25.</w:t>
          </w:r>
        </w:p>
        <w:p w14:paraId="20D83DAC" w14:textId="246552AD"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Lacity</w:t>
          </w:r>
          <w:proofErr w:type="spellEnd"/>
          <w:r w:rsidRPr="001E1C96">
            <w:rPr>
              <w:rFonts w:ascii="Times New Roman" w:hAnsi="Times New Roman" w:cs="Times New Roman"/>
              <w:sz w:val="24"/>
              <w:szCs w:val="24"/>
            </w:rPr>
            <w:t xml:space="preserve">, M. </w:t>
          </w:r>
          <w:r w:rsidR="00262CEB">
            <w:rPr>
              <w:rFonts w:ascii="Times New Roman" w:hAnsi="Times New Roman" w:cs="Times New Roman"/>
              <w:sz w:val="24"/>
              <w:szCs w:val="24"/>
            </w:rPr>
            <w:t>&amp;</w:t>
          </w:r>
          <w:r w:rsidRPr="001E1C96">
            <w:rPr>
              <w:rFonts w:ascii="Times New Roman" w:hAnsi="Times New Roman" w:cs="Times New Roman"/>
              <w:sz w:val="24"/>
              <w:szCs w:val="24"/>
            </w:rPr>
            <w:t xml:space="preserve"> Willcocks, L. (2018) </w:t>
          </w:r>
          <w:r w:rsidRPr="001E1C96">
            <w:rPr>
              <w:rFonts w:ascii="Times New Roman" w:hAnsi="Times New Roman" w:cs="Times New Roman"/>
              <w:i/>
              <w:iCs/>
              <w:sz w:val="24"/>
              <w:szCs w:val="24"/>
            </w:rPr>
            <w:t>Robotic Process Automation and Risk Mitigation</w:t>
          </w:r>
          <w:r w:rsidRPr="001E1C96">
            <w:rPr>
              <w:rFonts w:ascii="Times New Roman" w:hAnsi="Times New Roman" w:cs="Times New Roman"/>
              <w:sz w:val="24"/>
              <w:szCs w:val="24"/>
            </w:rPr>
            <w:t>.</w:t>
          </w:r>
        </w:p>
        <w:p w14:paraId="22C2AE80"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Manyika</w:t>
          </w:r>
          <w:proofErr w:type="spellEnd"/>
          <w:r w:rsidRPr="001E1C96">
            <w:rPr>
              <w:rFonts w:ascii="Times New Roman" w:hAnsi="Times New Roman" w:cs="Times New Roman"/>
              <w:sz w:val="24"/>
              <w:szCs w:val="24"/>
            </w:rPr>
            <w:t xml:space="preserve">, J. et al. (2017) ‘A Future That Works’, </w:t>
          </w:r>
          <w:r w:rsidRPr="001E1C96">
            <w:rPr>
              <w:rFonts w:ascii="Times New Roman" w:hAnsi="Times New Roman" w:cs="Times New Roman"/>
              <w:i/>
              <w:iCs/>
              <w:sz w:val="24"/>
              <w:szCs w:val="24"/>
            </w:rPr>
            <w:t>McKinsey Global Institute</w:t>
          </w:r>
          <w:r w:rsidRPr="001E1C96">
            <w:rPr>
              <w:rFonts w:ascii="Times New Roman" w:hAnsi="Times New Roman" w:cs="Times New Roman"/>
              <w:sz w:val="24"/>
              <w:szCs w:val="24"/>
            </w:rPr>
            <w:t>.</w:t>
          </w:r>
        </w:p>
        <w:p w14:paraId="21AD3520"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McKinsey (2024) </w:t>
          </w:r>
          <w:r w:rsidRPr="001E1C96">
            <w:rPr>
              <w:rFonts w:ascii="Times New Roman" w:hAnsi="Times New Roman" w:cs="Times New Roman"/>
              <w:i/>
              <w:iCs/>
              <w:sz w:val="24"/>
              <w:szCs w:val="24"/>
            </w:rPr>
            <w:t>The State of AI in 2024</w:t>
          </w:r>
          <w:r w:rsidRPr="001E1C96">
            <w:rPr>
              <w:rFonts w:ascii="Times New Roman" w:hAnsi="Times New Roman" w:cs="Times New Roman"/>
              <w:sz w:val="24"/>
              <w:szCs w:val="24"/>
            </w:rPr>
            <w:t>.</w:t>
          </w:r>
        </w:p>
        <w:p w14:paraId="0CDBD130"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Microsoft (2022) </w:t>
          </w:r>
          <w:r w:rsidRPr="001E1C96">
            <w:rPr>
              <w:rFonts w:ascii="Times New Roman" w:hAnsi="Times New Roman" w:cs="Times New Roman"/>
              <w:i/>
              <w:iCs/>
              <w:sz w:val="24"/>
              <w:szCs w:val="24"/>
            </w:rPr>
            <w:t>Responsible AI Standard</w:t>
          </w:r>
          <w:r w:rsidRPr="001E1C96">
            <w:rPr>
              <w:rFonts w:ascii="Times New Roman" w:hAnsi="Times New Roman" w:cs="Times New Roman"/>
              <w:sz w:val="24"/>
              <w:szCs w:val="24"/>
            </w:rPr>
            <w:t>.</w:t>
          </w:r>
        </w:p>
        <w:p w14:paraId="67F4D9A1"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Mittelstadt</w:t>
          </w:r>
          <w:proofErr w:type="spellEnd"/>
          <w:r w:rsidRPr="001E1C96">
            <w:rPr>
              <w:rFonts w:ascii="Times New Roman" w:hAnsi="Times New Roman" w:cs="Times New Roman"/>
              <w:sz w:val="24"/>
              <w:szCs w:val="24"/>
            </w:rPr>
            <w:t xml:space="preserve">, B.D. et al. (2016) ‘Ethics of Algorithms’, </w:t>
          </w:r>
          <w:r w:rsidRPr="001E1C96">
            <w:rPr>
              <w:rFonts w:ascii="Times New Roman" w:hAnsi="Times New Roman" w:cs="Times New Roman"/>
              <w:i/>
              <w:iCs/>
              <w:sz w:val="24"/>
              <w:szCs w:val="24"/>
            </w:rPr>
            <w:t>Big Data &amp; Society</w:t>
          </w:r>
          <w:r w:rsidRPr="001E1C96">
            <w:rPr>
              <w:rFonts w:ascii="Times New Roman" w:hAnsi="Times New Roman" w:cs="Times New Roman"/>
              <w:sz w:val="24"/>
              <w:szCs w:val="24"/>
            </w:rPr>
            <w:t>, 3(2).</w:t>
          </w:r>
        </w:p>
        <w:p w14:paraId="374DE25C"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NIST (2023) </w:t>
          </w:r>
          <w:r w:rsidRPr="001E1C96">
            <w:rPr>
              <w:rFonts w:ascii="Times New Roman" w:hAnsi="Times New Roman" w:cs="Times New Roman"/>
              <w:i/>
              <w:iCs/>
              <w:sz w:val="24"/>
              <w:szCs w:val="24"/>
            </w:rPr>
            <w:t>AI Risk Management Framework (AI RMF 1.0)</w:t>
          </w:r>
          <w:r w:rsidRPr="001E1C96">
            <w:rPr>
              <w:rFonts w:ascii="Times New Roman" w:hAnsi="Times New Roman" w:cs="Times New Roman"/>
              <w:sz w:val="24"/>
              <w:szCs w:val="24"/>
            </w:rPr>
            <w:t>.</w:t>
          </w:r>
        </w:p>
        <w:p w14:paraId="41F1BA57"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OECD (2023) </w:t>
          </w:r>
          <w:r w:rsidRPr="001E1C96">
            <w:rPr>
              <w:rFonts w:ascii="Times New Roman" w:hAnsi="Times New Roman" w:cs="Times New Roman"/>
              <w:i/>
              <w:iCs/>
              <w:sz w:val="24"/>
              <w:szCs w:val="24"/>
            </w:rPr>
            <w:t>OECD AI Principles</w:t>
          </w:r>
          <w:r w:rsidRPr="001E1C96">
            <w:rPr>
              <w:rFonts w:ascii="Times New Roman" w:hAnsi="Times New Roman" w:cs="Times New Roman"/>
              <w:sz w:val="24"/>
              <w:szCs w:val="24"/>
            </w:rPr>
            <w:t>.</w:t>
          </w:r>
        </w:p>
        <w:p w14:paraId="1D5B0E27" w14:textId="47769018"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Russell, S. </w:t>
          </w:r>
          <w:r w:rsidR="00262CEB">
            <w:rPr>
              <w:rFonts w:ascii="Times New Roman" w:hAnsi="Times New Roman" w:cs="Times New Roman"/>
              <w:sz w:val="24"/>
              <w:szCs w:val="24"/>
            </w:rPr>
            <w:t>&amp;</w:t>
          </w:r>
          <w:r w:rsidRPr="001E1C96">
            <w:rPr>
              <w:rFonts w:ascii="Times New Roman" w:hAnsi="Times New Roman" w:cs="Times New Roman"/>
              <w:sz w:val="24"/>
              <w:szCs w:val="24"/>
            </w:rPr>
            <w:t xml:space="preserve"> </w:t>
          </w:r>
          <w:proofErr w:type="spellStart"/>
          <w:r w:rsidRPr="001E1C96">
            <w:rPr>
              <w:rFonts w:ascii="Times New Roman" w:hAnsi="Times New Roman" w:cs="Times New Roman"/>
              <w:sz w:val="24"/>
              <w:szCs w:val="24"/>
            </w:rPr>
            <w:t>Norvig</w:t>
          </w:r>
          <w:proofErr w:type="spellEnd"/>
          <w:r w:rsidRPr="001E1C96">
            <w:rPr>
              <w:rFonts w:ascii="Times New Roman" w:hAnsi="Times New Roman" w:cs="Times New Roman"/>
              <w:sz w:val="24"/>
              <w:szCs w:val="24"/>
            </w:rPr>
            <w:t xml:space="preserve">, P. (2021) </w:t>
          </w:r>
          <w:r w:rsidRPr="001E1C96">
            <w:rPr>
              <w:rFonts w:ascii="Times New Roman" w:hAnsi="Times New Roman" w:cs="Times New Roman"/>
              <w:i/>
              <w:iCs/>
              <w:sz w:val="24"/>
              <w:szCs w:val="24"/>
            </w:rPr>
            <w:t>Artificial Intelligence: A Modern Approach</w:t>
          </w:r>
          <w:r w:rsidRPr="001E1C96">
            <w:rPr>
              <w:rFonts w:ascii="Times New Roman" w:hAnsi="Times New Roman" w:cs="Times New Roman"/>
              <w:sz w:val="24"/>
              <w:szCs w:val="24"/>
            </w:rPr>
            <w:t>.</w:t>
          </w:r>
        </w:p>
        <w:p w14:paraId="493AB7BF"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Schwab, K. (2023) </w:t>
          </w:r>
          <w:r w:rsidRPr="001E1C96">
            <w:rPr>
              <w:rFonts w:ascii="Times New Roman" w:hAnsi="Times New Roman" w:cs="Times New Roman"/>
              <w:i/>
              <w:iCs/>
              <w:sz w:val="24"/>
              <w:szCs w:val="24"/>
            </w:rPr>
            <w:t>The Global Risks Report</w:t>
          </w:r>
          <w:r w:rsidRPr="001E1C96">
            <w:rPr>
              <w:rFonts w:ascii="Times New Roman" w:hAnsi="Times New Roman" w:cs="Times New Roman"/>
              <w:sz w:val="24"/>
              <w:szCs w:val="24"/>
            </w:rPr>
            <w:t>. World Economic Forum.</w:t>
          </w:r>
        </w:p>
        <w:p w14:paraId="6CA80276"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Shneiderman</w:t>
          </w:r>
          <w:proofErr w:type="spellEnd"/>
          <w:r w:rsidRPr="001E1C96">
            <w:rPr>
              <w:rFonts w:ascii="Times New Roman" w:hAnsi="Times New Roman" w:cs="Times New Roman"/>
              <w:sz w:val="24"/>
              <w:szCs w:val="24"/>
            </w:rPr>
            <w:t xml:space="preserve">, B. (2022) </w:t>
          </w:r>
          <w:r w:rsidRPr="001E1C96">
            <w:rPr>
              <w:rFonts w:ascii="Times New Roman" w:hAnsi="Times New Roman" w:cs="Times New Roman"/>
              <w:i/>
              <w:iCs/>
              <w:sz w:val="24"/>
              <w:szCs w:val="24"/>
            </w:rPr>
            <w:t>Human-</w:t>
          </w:r>
          <w:proofErr w:type="spellStart"/>
          <w:r w:rsidRPr="001E1C96">
            <w:rPr>
              <w:rFonts w:ascii="Times New Roman" w:hAnsi="Times New Roman" w:cs="Times New Roman"/>
              <w:i/>
              <w:iCs/>
              <w:sz w:val="24"/>
              <w:szCs w:val="24"/>
            </w:rPr>
            <w:t>Centered</w:t>
          </w:r>
          <w:proofErr w:type="spellEnd"/>
          <w:r w:rsidRPr="001E1C96">
            <w:rPr>
              <w:rFonts w:ascii="Times New Roman" w:hAnsi="Times New Roman" w:cs="Times New Roman"/>
              <w:i/>
              <w:iCs/>
              <w:sz w:val="24"/>
              <w:szCs w:val="24"/>
            </w:rPr>
            <w:t xml:space="preserve"> AI</w:t>
          </w:r>
          <w:r w:rsidRPr="001E1C96">
            <w:rPr>
              <w:rFonts w:ascii="Times New Roman" w:hAnsi="Times New Roman" w:cs="Times New Roman"/>
              <w:sz w:val="24"/>
              <w:szCs w:val="24"/>
            </w:rPr>
            <w:t>. Oxford University Press.</w:t>
          </w:r>
        </w:p>
        <w:p w14:paraId="04734E2D"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Simonite</w:t>
          </w:r>
          <w:proofErr w:type="spellEnd"/>
          <w:r w:rsidRPr="001E1C96">
            <w:rPr>
              <w:rFonts w:ascii="Times New Roman" w:hAnsi="Times New Roman" w:cs="Times New Roman"/>
              <w:sz w:val="24"/>
              <w:szCs w:val="24"/>
            </w:rPr>
            <w:t xml:space="preserve">, T. (2020) ‘AI Bias Problem’, </w:t>
          </w:r>
          <w:r w:rsidRPr="001E1C96">
            <w:rPr>
              <w:rFonts w:ascii="Times New Roman" w:hAnsi="Times New Roman" w:cs="Times New Roman"/>
              <w:i/>
              <w:iCs/>
              <w:sz w:val="24"/>
              <w:szCs w:val="24"/>
            </w:rPr>
            <w:t>MIT Technology Review</w:t>
          </w:r>
          <w:r w:rsidRPr="001E1C96">
            <w:rPr>
              <w:rFonts w:ascii="Times New Roman" w:hAnsi="Times New Roman" w:cs="Times New Roman"/>
              <w:sz w:val="24"/>
              <w:szCs w:val="24"/>
            </w:rPr>
            <w:t>.</w:t>
          </w:r>
        </w:p>
        <w:p w14:paraId="568AB7A3" w14:textId="758B7853"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Smith, B. </w:t>
          </w:r>
          <w:r w:rsidR="00262CEB">
            <w:rPr>
              <w:rFonts w:ascii="Times New Roman" w:hAnsi="Times New Roman" w:cs="Times New Roman"/>
              <w:sz w:val="24"/>
              <w:szCs w:val="24"/>
            </w:rPr>
            <w:t>&amp;</w:t>
          </w:r>
          <w:r w:rsidRPr="001E1C96">
            <w:rPr>
              <w:rFonts w:ascii="Times New Roman" w:hAnsi="Times New Roman" w:cs="Times New Roman"/>
              <w:sz w:val="24"/>
              <w:szCs w:val="24"/>
            </w:rPr>
            <w:t xml:space="preserve"> Shum, H. (2018) ‘The Future Computed’, Microsoft.</w:t>
          </w:r>
        </w:p>
        <w:p w14:paraId="22B3D743"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Sousa e Silva, N. (2024) ‘The Artificial Intelligence Act: Critical Overview’, </w:t>
          </w:r>
          <w:proofErr w:type="spellStart"/>
          <w:r w:rsidRPr="001E1C96">
            <w:rPr>
              <w:rFonts w:ascii="Times New Roman" w:hAnsi="Times New Roman" w:cs="Times New Roman"/>
              <w:i/>
              <w:iCs/>
              <w:sz w:val="24"/>
              <w:szCs w:val="24"/>
            </w:rPr>
            <w:t>arXiv</w:t>
          </w:r>
          <w:proofErr w:type="spellEnd"/>
          <w:r w:rsidRPr="001E1C96">
            <w:rPr>
              <w:rFonts w:ascii="Times New Roman" w:hAnsi="Times New Roman" w:cs="Times New Roman"/>
              <w:sz w:val="24"/>
              <w:szCs w:val="24"/>
            </w:rPr>
            <w:t>.</w:t>
          </w:r>
        </w:p>
        <w:p w14:paraId="6855E028"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Stix</w:t>
          </w:r>
          <w:proofErr w:type="spellEnd"/>
          <w:r w:rsidRPr="001E1C96">
            <w:rPr>
              <w:rFonts w:ascii="Times New Roman" w:hAnsi="Times New Roman" w:cs="Times New Roman"/>
              <w:sz w:val="24"/>
              <w:szCs w:val="24"/>
            </w:rPr>
            <w:t xml:space="preserve">, C. (2021) ‘Actionable Principles for AI Governance’, </w:t>
          </w:r>
          <w:r w:rsidRPr="001E1C96">
            <w:rPr>
              <w:rFonts w:ascii="Times New Roman" w:hAnsi="Times New Roman" w:cs="Times New Roman"/>
              <w:i/>
              <w:iCs/>
              <w:sz w:val="24"/>
              <w:szCs w:val="24"/>
            </w:rPr>
            <w:t>AI &amp; Society</w:t>
          </w:r>
          <w:r w:rsidRPr="001E1C96">
            <w:rPr>
              <w:rFonts w:ascii="Times New Roman" w:hAnsi="Times New Roman" w:cs="Times New Roman"/>
              <w:sz w:val="24"/>
              <w:szCs w:val="24"/>
            </w:rPr>
            <w:t>, 36(2), pp. 673–684.</w:t>
          </w:r>
        </w:p>
        <w:p w14:paraId="41854EED" w14:textId="0392E280"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Taddeo</w:t>
          </w:r>
          <w:proofErr w:type="spellEnd"/>
          <w:r w:rsidRPr="001E1C96">
            <w:rPr>
              <w:rFonts w:ascii="Times New Roman" w:hAnsi="Times New Roman" w:cs="Times New Roman"/>
              <w:sz w:val="24"/>
              <w:szCs w:val="24"/>
            </w:rPr>
            <w:t xml:space="preserve">, M. </w:t>
          </w:r>
          <w:r w:rsidR="00262CEB">
            <w:rPr>
              <w:rFonts w:ascii="Times New Roman" w:hAnsi="Times New Roman" w:cs="Times New Roman"/>
              <w:sz w:val="24"/>
              <w:szCs w:val="24"/>
            </w:rPr>
            <w:t>&amp;</w:t>
          </w:r>
          <w:r w:rsidRPr="001E1C96">
            <w:rPr>
              <w:rFonts w:ascii="Times New Roman" w:hAnsi="Times New Roman" w:cs="Times New Roman"/>
              <w:sz w:val="24"/>
              <w:szCs w:val="24"/>
            </w:rPr>
            <w:t xml:space="preserve"> </w:t>
          </w:r>
          <w:proofErr w:type="spellStart"/>
          <w:r w:rsidRPr="001E1C96">
            <w:rPr>
              <w:rFonts w:ascii="Times New Roman" w:hAnsi="Times New Roman" w:cs="Times New Roman"/>
              <w:sz w:val="24"/>
              <w:szCs w:val="24"/>
            </w:rPr>
            <w:t>Floridi</w:t>
          </w:r>
          <w:proofErr w:type="spellEnd"/>
          <w:r w:rsidRPr="001E1C96">
            <w:rPr>
              <w:rFonts w:ascii="Times New Roman" w:hAnsi="Times New Roman" w:cs="Times New Roman"/>
              <w:sz w:val="24"/>
              <w:szCs w:val="24"/>
            </w:rPr>
            <w:t xml:space="preserve">, L. (2018) ‘How AI Can Be a Force for Good’, </w:t>
          </w:r>
          <w:r w:rsidRPr="001E1C96">
            <w:rPr>
              <w:rFonts w:ascii="Times New Roman" w:hAnsi="Times New Roman" w:cs="Times New Roman"/>
              <w:i/>
              <w:iCs/>
              <w:sz w:val="24"/>
              <w:szCs w:val="24"/>
            </w:rPr>
            <w:t>Science</w:t>
          </w:r>
          <w:r w:rsidRPr="001E1C96">
            <w:rPr>
              <w:rFonts w:ascii="Times New Roman" w:hAnsi="Times New Roman" w:cs="Times New Roman"/>
              <w:sz w:val="24"/>
              <w:szCs w:val="24"/>
            </w:rPr>
            <w:t>, 361(6404), pp. 751–752.</w:t>
          </w:r>
        </w:p>
        <w:p w14:paraId="7CD8DA7C"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UNESCO (2021) </w:t>
          </w:r>
          <w:r w:rsidRPr="001E1C96">
            <w:rPr>
              <w:rFonts w:ascii="Times New Roman" w:hAnsi="Times New Roman" w:cs="Times New Roman"/>
              <w:i/>
              <w:iCs/>
              <w:sz w:val="24"/>
              <w:szCs w:val="24"/>
            </w:rPr>
            <w:t>Recommendation on the Ethics of Artificial Intelligence</w:t>
          </w:r>
          <w:r w:rsidRPr="001E1C96">
            <w:rPr>
              <w:rFonts w:ascii="Times New Roman" w:hAnsi="Times New Roman" w:cs="Times New Roman"/>
              <w:sz w:val="24"/>
              <w:szCs w:val="24"/>
            </w:rPr>
            <w:t>.</w:t>
          </w:r>
        </w:p>
        <w:p w14:paraId="2642C753" w14:textId="5671E710"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Unilever (2024) </w:t>
          </w:r>
          <w:r w:rsidRPr="001E1C96">
            <w:rPr>
              <w:rFonts w:ascii="Times New Roman" w:hAnsi="Times New Roman" w:cs="Times New Roman"/>
              <w:i/>
              <w:iCs/>
              <w:sz w:val="24"/>
              <w:szCs w:val="24"/>
            </w:rPr>
            <w:t>Annual Report and Accounts</w:t>
          </w:r>
          <w:r w:rsidRPr="001E1C96">
            <w:rPr>
              <w:rFonts w:ascii="Times New Roman" w:hAnsi="Times New Roman" w:cs="Times New Roman"/>
              <w:sz w:val="24"/>
              <w:szCs w:val="24"/>
            </w:rPr>
            <w:t>.</w:t>
          </w:r>
        </w:p>
        <w:p w14:paraId="6AE593CA" w14:textId="038194A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Unilever (202</w:t>
          </w:r>
          <w:r w:rsidR="00F367D8">
            <w:rPr>
              <w:rFonts w:ascii="Times New Roman" w:hAnsi="Times New Roman" w:cs="Times New Roman"/>
              <w:sz w:val="24"/>
              <w:szCs w:val="24"/>
            </w:rPr>
            <w:t>3</w:t>
          </w:r>
          <w:r w:rsidRPr="001E1C96">
            <w:rPr>
              <w:rFonts w:ascii="Times New Roman" w:hAnsi="Times New Roman" w:cs="Times New Roman"/>
              <w:sz w:val="24"/>
              <w:szCs w:val="24"/>
            </w:rPr>
            <w:t xml:space="preserve">) </w:t>
          </w:r>
          <w:r w:rsidRPr="001E1C96">
            <w:rPr>
              <w:rFonts w:ascii="Times New Roman" w:hAnsi="Times New Roman" w:cs="Times New Roman"/>
              <w:i/>
              <w:iCs/>
              <w:sz w:val="24"/>
              <w:szCs w:val="24"/>
            </w:rPr>
            <w:t>Sustainability Report</w:t>
          </w:r>
          <w:r w:rsidRPr="001E1C96">
            <w:rPr>
              <w:rFonts w:ascii="Times New Roman" w:hAnsi="Times New Roman" w:cs="Times New Roman"/>
              <w:sz w:val="24"/>
              <w:szCs w:val="24"/>
            </w:rPr>
            <w:t>.</w:t>
          </w:r>
        </w:p>
        <w:p w14:paraId="0463A805"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Van </w:t>
          </w:r>
          <w:proofErr w:type="spellStart"/>
          <w:r w:rsidRPr="001E1C96">
            <w:rPr>
              <w:rFonts w:ascii="Times New Roman" w:hAnsi="Times New Roman" w:cs="Times New Roman"/>
              <w:sz w:val="24"/>
              <w:szCs w:val="24"/>
            </w:rPr>
            <w:t>Dijck</w:t>
          </w:r>
          <w:proofErr w:type="spellEnd"/>
          <w:r w:rsidRPr="001E1C96">
            <w:rPr>
              <w:rFonts w:ascii="Times New Roman" w:hAnsi="Times New Roman" w:cs="Times New Roman"/>
              <w:sz w:val="24"/>
              <w:szCs w:val="24"/>
            </w:rPr>
            <w:t xml:space="preserve">, J. (2020) </w:t>
          </w:r>
          <w:r w:rsidRPr="001E1C96">
            <w:rPr>
              <w:rFonts w:ascii="Times New Roman" w:hAnsi="Times New Roman" w:cs="Times New Roman"/>
              <w:i/>
              <w:iCs/>
              <w:sz w:val="24"/>
              <w:szCs w:val="24"/>
            </w:rPr>
            <w:t>The Platform Society</w:t>
          </w:r>
          <w:r w:rsidRPr="001E1C96">
            <w:rPr>
              <w:rFonts w:ascii="Times New Roman" w:hAnsi="Times New Roman" w:cs="Times New Roman"/>
              <w:sz w:val="24"/>
              <w:szCs w:val="24"/>
            </w:rPr>
            <w:t>. Oxford University Press.</w:t>
          </w:r>
        </w:p>
        <w:p w14:paraId="7E317033"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Varian, H.R. (2019) ‘Artificial Intelligence, Economics, and Industrial Organization’, </w:t>
          </w:r>
          <w:r w:rsidRPr="001E1C96">
            <w:rPr>
              <w:rFonts w:ascii="Times New Roman" w:hAnsi="Times New Roman" w:cs="Times New Roman"/>
              <w:i/>
              <w:iCs/>
              <w:sz w:val="24"/>
              <w:szCs w:val="24"/>
            </w:rPr>
            <w:t>NBER</w:t>
          </w:r>
          <w:r w:rsidRPr="001E1C96">
            <w:rPr>
              <w:rFonts w:ascii="Times New Roman" w:hAnsi="Times New Roman" w:cs="Times New Roman"/>
              <w:sz w:val="24"/>
              <w:szCs w:val="24"/>
            </w:rPr>
            <w:t>.</w:t>
          </w:r>
        </w:p>
        <w:p w14:paraId="49AA510F" w14:textId="0DC23558"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Veale, M. </w:t>
          </w:r>
          <w:r w:rsidR="00262CEB">
            <w:rPr>
              <w:rFonts w:ascii="Times New Roman" w:hAnsi="Times New Roman" w:cs="Times New Roman"/>
              <w:sz w:val="24"/>
              <w:szCs w:val="24"/>
            </w:rPr>
            <w:t>&amp;</w:t>
          </w:r>
          <w:r w:rsidRPr="001E1C96">
            <w:rPr>
              <w:rFonts w:ascii="Times New Roman" w:hAnsi="Times New Roman" w:cs="Times New Roman"/>
              <w:sz w:val="24"/>
              <w:szCs w:val="24"/>
            </w:rPr>
            <w:t xml:space="preserve"> </w:t>
          </w:r>
          <w:proofErr w:type="spellStart"/>
          <w:r w:rsidRPr="001E1C96">
            <w:rPr>
              <w:rFonts w:ascii="Times New Roman" w:hAnsi="Times New Roman" w:cs="Times New Roman"/>
              <w:sz w:val="24"/>
              <w:szCs w:val="24"/>
            </w:rPr>
            <w:t>Borgesius</w:t>
          </w:r>
          <w:proofErr w:type="spellEnd"/>
          <w:r w:rsidRPr="001E1C96">
            <w:rPr>
              <w:rFonts w:ascii="Times New Roman" w:hAnsi="Times New Roman" w:cs="Times New Roman"/>
              <w:sz w:val="24"/>
              <w:szCs w:val="24"/>
            </w:rPr>
            <w:t xml:space="preserve">, F.Z. (2021) ‘Demystifying the Draft EU AI Act’, </w:t>
          </w:r>
          <w:r w:rsidRPr="001E1C96">
            <w:rPr>
              <w:rFonts w:ascii="Times New Roman" w:hAnsi="Times New Roman" w:cs="Times New Roman"/>
              <w:i/>
              <w:iCs/>
              <w:sz w:val="24"/>
              <w:szCs w:val="24"/>
            </w:rPr>
            <w:t>Computer Law Review</w:t>
          </w:r>
          <w:r w:rsidRPr="001E1C96">
            <w:rPr>
              <w:rFonts w:ascii="Times New Roman" w:hAnsi="Times New Roman" w:cs="Times New Roman"/>
              <w:sz w:val="24"/>
              <w:szCs w:val="24"/>
            </w:rPr>
            <w:t>.</w:t>
          </w:r>
        </w:p>
        <w:p w14:paraId="25F48218"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Vinuesa</w:t>
          </w:r>
          <w:proofErr w:type="spellEnd"/>
          <w:r w:rsidRPr="001E1C96">
            <w:rPr>
              <w:rFonts w:ascii="Times New Roman" w:hAnsi="Times New Roman" w:cs="Times New Roman"/>
              <w:sz w:val="24"/>
              <w:szCs w:val="24"/>
            </w:rPr>
            <w:t xml:space="preserve">, R. et al. (2020) ‘The Role of AI in Achieving SDGs’, </w:t>
          </w:r>
          <w:r w:rsidRPr="001E1C96">
            <w:rPr>
              <w:rFonts w:ascii="Times New Roman" w:hAnsi="Times New Roman" w:cs="Times New Roman"/>
              <w:i/>
              <w:iCs/>
              <w:sz w:val="24"/>
              <w:szCs w:val="24"/>
            </w:rPr>
            <w:t>Nature Communications</w:t>
          </w:r>
          <w:r w:rsidRPr="001E1C96">
            <w:rPr>
              <w:rFonts w:ascii="Times New Roman" w:hAnsi="Times New Roman" w:cs="Times New Roman"/>
              <w:sz w:val="24"/>
              <w:szCs w:val="24"/>
            </w:rPr>
            <w:t>, 11(233).</w:t>
          </w:r>
        </w:p>
        <w:p w14:paraId="302F9DCC"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lastRenderedPageBreak/>
            <w:t xml:space="preserve">West, D.M. et al. (2019) </w:t>
          </w:r>
          <w:r w:rsidRPr="001E1C96">
            <w:rPr>
              <w:rFonts w:ascii="Times New Roman" w:hAnsi="Times New Roman" w:cs="Times New Roman"/>
              <w:i/>
              <w:iCs/>
              <w:sz w:val="24"/>
              <w:szCs w:val="24"/>
            </w:rPr>
            <w:t>How Artificial Intelligence is Transforming the World</w:t>
          </w:r>
          <w:r w:rsidRPr="001E1C96">
            <w:rPr>
              <w:rFonts w:ascii="Times New Roman" w:hAnsi="Times New Roman" w:cs="Times New Roman"/>
              <w:sz w:val="24"/>
              <w:szCs w:val="24"/>
            </w:rPr>
            <w:t>. Brookings Institution.</w:t>
          </w:r>
        </w:p>
        <w:p w14:paraId="2DC5751A"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World Economic Forum (2024) </w:t>
          </w:r>
          <w:r w:rsidRPr="001E1C96">
            <w:rPr>
              <w:rFonts w:ascii="Times New Roman" w:hAnsi="Times New Roman" w:cs="Times New Roman"/>
              <w:i/>
              <w:iCs/>
              <w:sz w:val="24"/>
              <w:szCs w:val="24"/>
            </w:rPr>
            <w:t>Global Risks Report 2024</w:t>
          </w:r>
          <w:r w:rsidRPr="001E1C96">
            <w:rPr>
              <w:rFonts w:ascii="Times New Roman" w:hAnsi="Times New Roman" w:cs="Times New Roman"/>
              <w:sz w:val="24"/>
              <w:szCs w:val="24"/>
            </w:rPr>
            <w:t>.</w:t>
          </w:r>
        </w:p>
        <w:p w14:paraId="0B2A1FB2" w14:textId="77777777" w:rsidR="001E1C96" w:rsidRPr="001E1C96" w:rsidRDefault="001E1C96" w:rsidP="001E1C96">
          <w:pPr>
            <w:jc w:val="both"/>
            <w:rPr>
              <w:rFonts w:ascii="Times New Roman" w:hAnsi="Times New Roman" w:cs="Times New Roman"/>
              <w:sz w:val="24"/>
              <w:szCs w:val="24"/>
            </w:rPr>
          </w:pPr>
          <w:r w:rsidRPr="001E1C96">
            <w:rPr>
              <w:rFonts w:ascii="Times New Roman" w:hAnsi="Times New Roman" w:cs="Times New Roman"/>
              <w:sz w:val="24"/>
              <w:szCs w:val="24"/>
            </w:rPr>
            <w:t xml:space="preserve">World Economic Forum (2023) </w:t>
          </w:r>
          <w:r w:rsidRPr="001E1C96">
            <w:rPr>
              <w:rFonts w:ascii="Times New Roman" w:hAnsi="Times New Roman" w:cs="Times New Roman"/>
              <w:i/>
              <w:iCs/>
              <w:sz w:val="24"/>
              <w:szCs w:val="24"/>
            </w:rPr>
            <w:t>AI Governance Alliance Report</w:t>
          </w:r>
          <w:r w:rsidRPr="001E1C96">
            <w:rPr>
              <w:rFonts w:ascii="Times New Roman" w:hAnsi="Times New Roman" w:cs="Times New Roman"/>
              <w:sz w:val="24"/>
              <w:szCs w:val="24"/>
            </w:rPr>
            <w:t>.</w:t>
          </w:r>
        </w:p>
        <w:p w14:paraId="6A0E9A72" w14:textId="77777777" w:rsidR="001E1C96" w:rsidRPr="001E1C96" w:rsidRDefault="001E1C96" w:rsidP="001E1C96">
          <w:pPr>
            <w:jc w:val="both"/>
            <w:rPr>
              <w:rFonts w:ascii="Times New Roman" w:hAnsi="Times New Roman" w:cs="Times New Roman"/>
              <w:sz w:val="24"/>
              <w:szCs w:val="24"/>
            </w:rPr>
          </w:pPr>
          <w:proofErr w:type="spellStart"/>
          <w:r w:rsidRPr="001E1C96">
            <w:rPr>
              <w:rFonts w:ascii="Times New Roman" w:hAnsi="Times New Roman" w:cs="Times New Roman"/>
              <w:sz w:val="24"/>
              <w:szCs w:val="24"/>
            </w:rPr>
            <w:t>Zuboff</w:t>
          </w:r>
          <w:proofErr w:type="spellEnd"/>
          <w:r w:rsidRPr="001E1C96">
            <w:rPr>
              <w:rFonts w:ascii="Times New Roman" w:hAnsi="Times New Roman" w:cs="Times New Roman"/>
              <w:sz w:val="24"/>
              <w:szCs w:val="24"/>
            </w:rPr>
            <w:t xml:space="preserve">, S. (2019) </w:t>
          </w:r>
          <w:r w:rsidRPr="001E1C96">
            <w:rPr>
              <w:rFonts w:ascii="Times New Roman" w:hAnsi="Times New Roman" w:cs="Times New Roman"/>
              <w:i/>
              <w:iCs/>
              <w:sz w:val="24"/>
              <w:szCs w:val="24"/>
            </w:rPr>
            <w:t>The Age of Surveillance Capitalism</w:t>
          </w:r>
          <w:r w:rsidRPr="001E1C96">
            <w:rPr>
              <w:rFonts w:ascii="Times New Roman" w:hAnsi="Times New Roman" w:cs="Times New Roman"/>
              <w:sz w:val="24"/>
              <w:szCs w:val="24"/>
            </w:rPr>
            <w:t>.</w:t>
          </w:r>
        </w:p>
        <w:p w14:paraId="77D69E6F" w14:textId="77777777" w:rsidR="004A11F6" w:rsidRPr="007D1947" w:rsidRDefault="004A11F6" w:rsidP="007D1947"/>
        <w:p w14:paraId="7F890C1F" w14:textId="77777777" w:rsidR="00CA09F3" w:rsidRDefault="0081202B"/>
      </w:sdtContent>
    </w:sdt>
    <w:sectPr w:rsidR="00CA09F3" w:rsidSect="007D194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78D8C" w14:textId="77777777" w:rsidR="00B85821" w:rsidRDefault="00B85821" w:rsidP="00E25F7C">
      <w:pPr>
        <w:spacing w:after="0" w:line="240" w:lineRule="auto"/>
      </w:pPr>
      <w:r>
        <w:separator/>
      </w:r>
    </w:p>
  </w:endnote>
  <w:endnote w:type="continuationSeparator" w:id="0">
    <w:p w14:paraId="711AB8E9" w14:textId="77777777" w:rsidR="00B85821" w:rsidRDefault="00B85821" w:rsidP="00E25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985B72" w14:textId="77777777" w:rsidR="00E25F7C" w:rsidRDefault="00E25F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6539271"/>
      <w:docPartObj>
        <w:docPartGallery w:val="Page Numbers (Bottom of Page)"/>
        <w:docPartUnique/>
      </w:docPartObj>
    </w:sdtPr>
    <w:sdtEndPr>
      <w:rPr>
        <w:noProof/>
      </w:rPr>
    </w:sdtEndPr>
    <w:sdtContent>
      <w:p w14:paraId="02FCC169" w14:textId="1F9B7929" w:rsidR="00E25F7C" w:rsidRDefault="00E25F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5C1686" w14:textId="77777777" w:rsidR="00E25F7C" w:rsidRDefault="00E25F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8386D" w14:textId="77777777" w:rsidR="00E25F7C" w:rsidRDefault="00E25F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EFFDB" w14:textId="77777777" w:rsidR="00B85821" w:rsidRDefault="00B85821" w:rsidP="00E25F7C">
      <w:pPr>
        <w:spacing w:after="0" w:line="240" w:lineRule="auto"/>
      </w:pPr>
      <w:r>
        <w:separator/>
      </w:r>
    </w:p>
  </w:footnote>
  <w:footnote w:type="continuationSeparator" w:id="0">
    <w:p w14:paraId="7072090A" w14:textId="77777777" w:rsidR="00B85821" w:rsidRDefault="00B85821" w:rsidP="00E25F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F74480" w14:textId="77777777" w:rsidR="00E25F7C" w:rsidRDefault="00E25F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0FC07" w14:textId="77777777" w:rsidR="00E25F7C" w:rsidRDefault="00E25F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656A1" w14:textId="77777777" w:rsidR="00E25F7C" w:rsidRDefault="00E25F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6EBB"/>
    <w:rsid w:val="0009461F"/>
    <w:rsid w:val="00107936"/>
    <w:rsid w:val="00115B96"/>
    <w:rsid w:val="001E08C5"/>
    <w:rsid w:val="001E1C96"/>
    <w:rsid w:val="002405DD"/>
    <w:rsid w:val="00262CEB"/>
    <w:rsid w:val="00296D2C"/>
    <w:rsid w:val="002E25E9"/>
    <w:rsid w:val="00324CCD"/>
    <w:rsid w:val="00407C83"/>
    <w:rsid w:val="00480872"/>
    <w:rsid w:val="00494DE4"/>
    <w:rsid w:val="004A11F6"/>
    <w:rsid w:val="004D519C"/>
    <w:rsid w:val="00523A3E"/>
    <w:rsid w:val="00586F60"/>
    <w:rsid w:val="00691315"/>
    <w:rsid w:val="00730B04"/>
    <w:rsid w:val="00750BA5"/>
    <w:rsid w:val="007C3A7B"/>
    <w:rsid w:val="007D1947"/>
    <w:rsid w:val="007F6EF9"/>
    <w:rsid w:val="0081202B"/>
    <w:rsid w:val="00931CAA"/>
    <w:rsid w:val="009C1C40"/>
    <w:rsid w:val="00A12B58"/>
    <w:rsid w:val="00A75E8F"/>
    <w:rsid w:val="00AA2A91"/>
    <w:rsid w:val="00AC6E06"/>
    <w:rsid w:val="00AF6FE2"/>
    <w:rsid w:val="00B01C7C"/>
    <w:rsid w:val="00B85821"/>
    <w:rsid w:val="00CA09F3"/>
    <w:rsid w:val="00CD1C88"/>
    <w:rsid w:val="00CD76A0"/>
    <w:rsid w:val="00CE6A37"/>
    <w:rsid w:val="00D854A5"/>
    <w:rsid w:val="00D8639D"/>
    <w:rsid w:val="00E15338"/>
    <w:rsid w:val="00E25F7C"/>
    <w:rsid w:val="00E30381"/>
    <w:rsid w:val="00EC2848"/>
    <w:rsid w:val="00ED4D67"/>
    <w:rsid w:val="00F367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1E1C96"/>
    <w:rPr>
      <w:rFonts w:ascii="Times New Roman" w:hAnsi="Times New Roman" w:cs="Times New Roman"/>
      <w:sz w:val="24"/>
      <w:szCs w:val="24"/>
    </w:rPr>
  </w:style>
  <w:style w:type="paragraph" w:styleId="ListParagraph">
    <w:name w:val="List Paragraph"/>
    <w:basedOn w:val="Normal"/>
    <w:uiPriority w:val="34"/>
    <w:qFormat/>
    <w:rsid w:val="00AC6E06"/>
    <w:pPr>
      <w:ind w:left="720"/>
      <w:contextualSpacing/>
    </w:pPr>
  </w:style>
  <w:style w:type="paragraph" w:styleId="Header">
    <w:name w:val="header"/>
    <w:basedOn w:val="Normal"/>
    <w:link w:val="HeaderChar"/>
    <w:uiPriority w:val="99"/>
    <w:unhideWhenUsed/>
    <w:rsid w:val="00E25F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5F7C"/>
  </w:style>
  <w:style w:type="paragraph" w:styleId="Footer">
    <w:name w:val="footer"/>
    <w:basedOn w:val="Normal"/>
    <w:link w:val="FooterChar"/>
    <w:uiPriority w:val="99"/>
    <w:unhideWhenUsed/>
    <w:rsid w:val="00E25F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5F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150435">
      <w:bodyDiv w:val="1"/>
      <w:marLeft w:val="0"/>
      <w:marRight w:val="0"/>
      <w:marTop w:val="0"/>
      <w:marBottom w:val="0"/>
      <w:divBdr>
        <w:top w:val="none" w:sz="0" w:space="0" w:color="auto"/>
        <w:left w:val="none" w:sz="0" w:space="0" w:color="auto"/>
        <w:bottom w:val="none" w:sz="0" w:space="0" w:color="auto"/>
        <w:right w:val="none" w:sz="0" w:space="0" w:color="auto"/>
      </w:divBdr>
    </w:div>
    <w:div w:id="711424764">
      <w:bodyDiv w:val="1"/>
      <w:marLeft w:val="0"/>
      <w:marRight w:val="0"/>
      <w:marTop w:val="0"/>
      <w:marBottom w:val="0"/>
      <w:divBdr>
        <w:top w:val="none" w:sz="0" w:space="0" w:color="auto"/>
        <w:left w:val="none" w:sz="0" w:space="0" w:color="auto"/>
        <w:bottom w:val="none" w:sz="0" w:space="0" w:color="auto"/>
        <w:right w:val="none" w:sz="0" w:space="0" w:color="auto"/>
      </w:divBdr>
    </w:div>
    <w:div w:id="1414860650">
      <w:bodyDiv w:val="1"/>
      <w:marLeft w:val="0"/>
      <w:marRight w:val="0"/>
      <w:marTop w:val="0"/>
      <w:marBottom w:val="0"/>
      <w:divBdr>
        <w:top w:val="none" w:sz="0" w:space="0" w:color="auto"/>
        <w:left w:val="none" w:sz="0" w:space="0" w:color="auto"/>
        <w:bottom w:val="none" w:sz="0" w:space="0" w:color="auto"/>
        <w:right w:val="none" w:sz="0" w:space="0" w:color="auto"/>
      </w:divBdr>
    </w:div>
    <w:div w:id="2040667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2.xm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glossaryDocument" Target="glossary/document.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3.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rPr>
              <w:rFonts w:hint="eastAsia"/>
            </w:rPr>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3A13"/>
    <w:rsid w:val="00072BBE"/>
    <w:rsid w:val="0009461F"/>
    <w:rsid w:val="00145AD8"/>
    <w:rsid w:val="001556D1"/>
    <w:rsid w:val="00242260"/>
    <w:rsid w:val="002450A7"/>
    <w:rsid w:val="00295CA5"/>
    <w:rsid w:val="003203C2"/>
    <w:rsid w:val="003829F2"/>
    <w:rsid w:val="004355C9"/>
    <w:rsid w:val="004D25D2"/>
    <w:rsid w:val="00523A3E"/>
    <w:rsid w:val="009C1C40"/>
    <w:rsid w:val="00A34C42"/>
    <w:rsid w:val="00BA72F8"/>
    <w:rsid w:val="00BC1251"/>
    <w:rsid w:val="00C67429"/>
    <w:rsid w:val="00CE7735"/>
    <w:rsid w:val="00E326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27/04/2020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6280</Words>
  <Characters>35802</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Challenges</dc:title>
  <dc:subject>AI Governance, Risk and Trust Strategy: Advisory Report for Unilever</dc:subject>
  <dc:creator>Marie Pitson</dc:creator>
  <cp:keywords/>
  <dc:description/>
  <cp:lastModifiedBy>hani rosteenmehr</cp:lastModifiedBy>
  <cp:revision>2</cp:revision>
  <dcterms:created xsi:type="dcterms:W3CDTF">2026-04-27T21:22:00Z</dcterms:created>
  <dcterms:modified xsi:type="dcterms:W3CDTF">2026-04-27T21:22:00Z</dcterms:modified>
</cp:coreProperties>
</file>