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widowControl w:val="0"/>
        <w:pBdr>
          <w:top w:val="none" w:color="auto" w:sz="0" w:space="0"/>
          <w:left w:val="none" w:color="auto" w:sz="0" w:space="0"/>
          <w:bottom w:val="none" w:color="auto" w:sz="0" w:space="0"/>
          <w:right w:val="none" w:color="auto" w:sz="0" w:space="0"/>
          <w:between w:val="none" w:color="auto" w:sz="0" w:space="0"/>
        </w:pBdr>
        <w:spacing w:line="240" w:lineRule="auto"/>
        <w:rPr>
          <w:color w:val="000000"/>
        </w:rPr>
      </w:pPr>
      <w:r>
        <w:rPr>
          <w:color w:val="000000"/>
        </w:rPr>
        <w:drawing>
          <wp:inline distT="19050" distB="19050" distL="19050" distR="19050">
            <wp:extent cx="2066290" cy="88392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8"/>
                    <a:srcRect/>
                    <a:stretch>
                      <a:fillRect/>
                    </a:stretch>
                  </pic:blipFill>
                  <pic:spPr>
                    <a:xfrm>
                      <a:off x="0" y="0"/>
                      <a:ext cx="2066290" cy="883920"/>
                    </a:xfrm>
                    <a:prstGeom prst="rect">
                      <a:avLst/>
                    </a:prstGeom>
                  </pic:spPr>
                </pic:pic>
              </a:graphicData>
            </a:graphic>
          </wp:inline>
        </w:drawing>
      </w:r>
    </w:p>
    <w:p w14:paraId="00000002">
      <w:pPr>
        <w:widowControl w:val="0"/>
        <w:pBdr>
          <w:top w:val="none" w:color="auto" w:sz="0" w:space="0"/>
          <w:left w:val="none" w:color="auto" w:sz="0" w:space="0"/>
          <w:bottom w:val="none" w:color="auto" w:sz="0" w:space="0"/>
          <w:right w:val="none" w:color="auto" w:sz="0" w:space="0"/>
          <w:between w:val="none" w:color="auto" w:sz="0" w:space="0"/>
        </w:pBdr>
        <w:spacing w:before="1508" w:line="240" w:lineRule="auto"/>
        <w:rPr>
          <w:b/>
          <w:bCs/>
          <w:color w:val="000000"/>
          <w:sz w:val="28"/>
          <w:szCs w:val="28"/>
        </w:rPr>
        <w:sectPr>
          <w:footerReference r:id="rId5" w:type="default"/>
          <w:pgSz w:w="12240" w:h="15840"/>
          <w:pgMar w:top="1425" w:right="1436" w:bottom="905" w:left="1440" w:header="0" w:footer="720" w:gutter="0"/>
          <w:pgNumType w:start="1"/>
          <w:cols w:equalWidth="0" w:num="2">
            <w:col w:w="4682" w:space="0"/>
            <w:col w:w="4682"/>
          </w:cols>
        </w:sectPr>
      </w:pPr>
      <w:r>
        <w:rPr>
          <w:b/>
          <w:bCs/>
          <w:color w:val="000000"/>
          <w:sz w:val="28"/>
          <w:szCs w:val="28"/>
          <w:rtl w:val="0"/>
        </w:rPr>
        <w:t xml:space="preserve">APPENDIX GA36a </w:t>
      </w:r>
    </w:p>
    <w:p w14:paraId="00000003">
      <w:pPr>
        <w:widowControl w:val="0"/>
        <w:pBdr>
          <w:top w:val="none" w:color="auto" w:sz="0" w:space="0"/>
          <w:left w:val="none" w:color="auto" w:sz="0" w:space="0"/>
          <w:bottom w:val="none" w:color="auto" w:sz="0" w:space="0"/>
          <w:right w:val="none" w:color="auto" w:sz="0" w:space="0"/>
          <w:between w:val="none" w:color="auto" w:sz="0" w:space="0"/>
        </w:pBdr>
        <w:spacing w:before="313" w:line="240" w:lineRule="auto"/>
        <w:ind w:left="636" w:firstLine="0"/>
        <w:rPr>
          <w:b/>
          <w:bCs/>
          <w:color w:val="000000"/>
          <w:sz w:val="40"/>
          <w:szCs w:val="40"/>
        </w:rPr>
      </w:pPr>
      <w:r>
        <w:rPr>
          <w:b/>
          <w:bCs/>
          <w:color w:val="000000"/>
          <w:sz w:val="40"/>
          <w:szCs w:val="40"/>
          <w:rtl w:val="0"/>
        </w:rPr>
        <w:t xml:space="preserve">LEVEL 7 ASSESSMENT SPECIFICATION </w:t>
      </w:r>
    </w:p>
    <w:tbl>
      <w:tblPr>
        <w:tblStyle w:val="28"/>
        <w:tblW w:w="8613" w:type="dxa"/>
        <w:tblInd w:w="39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891"/>
        <w:gridCol w:w="2732"/>
        <w:gridCol w:w="2010"/>
        <w:gridCol w:w="1980"/>
      </w:tblGrid>
      <w:tr w14:paraId="77A9EF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0" w:hRule="atLeast"/>
        </w:trPr>
        <w:tc>
          <w:tcPr>
            <w:tcMar>
              <w:top w:w="100" w:type="dxa"/>
              <w:left w:w="100" w:type="dxa"/>
              <w:bottom w:w="100" w:type="dxa"/>
              <w:right w:w="100" w:type="dxa"/>
            </w:tcMar>
          </w:tcPr>
          <w:p w14:paraId="00000004">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23" w:firstLine="0"/>
              <w:rPr>
                <w:b/>
                <w:bCs/>
                <w:color w:val="000000"/>
                <w:sz w:val="24"/>
                <w:szCs w:val="24"/>
              </w:rPr>
            </w:pPr>
            <w:r>
              <w:rPr>
                <w:b/>
                <w:bCs/>
                <w:color w:val="000000"/>
                <w:sz w:val="24"/>
                <w:szCs w:val="24"/>
                <w:rtl w:val="0"/>
              </w:rPr>
              <w:t xml:space="preserve">Student  </w:t>
            </w:r>
          </w:p>
          <w:p w14:paraId="00000005">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32" w:firstLine="0"/>
              <w:rPr>
                <w:b/>
                <w:bCs/>
                <w:color w:val="000000"/>
                <w:sz w:val="24"/>
                <w:szCs w:val="24"/>
              </w:rPr>
            </w:pPr>
            <w:r>
              <w:rPr>
                <w:b/>
                <w:bCs/>
                <w:color w:val="000000"/>
                <w:sz w:val="24"/>
                <w:szCs w:val="24"/>
                <w:rtl w:val="0"/>
              </w:rPr>
              <w:t>name:</w:t>
            </w:r>
          </w:p>
        </w:tc>
        <w:tc>
          <w:tcPr>
            <w:tcMar>
              <w:top w:w="100" w:type="dxa"/>
              <w:left w:w="100" w:type="dxa"/>
              <w:bottom w:w="100" w:type="dxa"/>
              <w:right w:w="100" w:type="dxa"/>
            </w:tcMar>
          </w:tcPr>
          <w:p w14:paraId="00000006">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267" w:firstLine="0"/>
              <w:rPr>
                <w:b/>
                <w:bCs/>
                <w:color w:val="000000"/>
                <w:sz w:val="24"/>
                <w:szCs w:val="24"/>
              </w:rPr>
            </w:pPr>
            <w:r>
              <w:rPr>
                <w:b/>
                <w:bCs/>
                <w:color w:val="000000"/>
                <w:sz w:val="24"/>
                <w:szCs w:val="24"/>
                <w:rtl w:val="0"/>
              </w:rPr>
              <w:t xml:space="preserve">Md Saiful Islam </w:t>
            </w:r>
          </w:p>
        </w:tc>
        <w:tc>
          <w:tcPr>
            <w:tcMar>
              <w:top w:w="100" w:type="dxa"/>
              <w:left w:w="100" w:type="dxa"/>
              <w:bottom w:w="100" w:type="dxa"/>
              <w:right w:w="100" w:type="dxa"/>
            </w:tcMar>
          </w:tcPr>
          <w:p w14:paraId="00000007">
            <w:pPr>
              <w:widowControl w:val="0"/>
              <w:pBdr>
                <w:top w:val="none" w:color="auto" w:sz="0" w:space="0"/>
                <w:left w:val="none" w:color="auto" w:sz="0" w:space="0"/>
                <w:bottom w:val="none" w:color="auto" w:sz="0" w:space="0"/>
                <w:right w:val="none" w:color="auto" w:sz="0" w:space="0"/>
                <w:between w:val="none" w:color="auto" w:sz="0" w:space="0"/>
              </w:pBdr>
              <w:spacing w:line="229" w:lineRule="auto"/>
              <w:ind w:left="132" w:right="29" w:hanging="8"/>
              <w:rPr>
                <w:b/>
                <w:bCs/>
                <w:color w:val="000000"/>
                <w:sz w:val="24"/>
                <w:szCs w:val="24"/>
                <w:shd w:val="clear" w:fill="D9D9D9"/>
              </w:rPr>
            </w:pPr>
            <w:r>
              <w:rPr>
                <w:b/>
                <w:bCs/>
                <w:color w:val="000000"/>
                <w:sz w:val="24"/>
                <w:szCs w:val="24"/>
                <w:shd w:val="clear" w:fill="D9D9D9"/>
                <w:rtl w:val="0"/>
              </w:rPr>
              <w:t xml:space="preserve">Student ID </w:t>
            </w:r>
            <w:r>
              <w:rPr>
                <w:b/>
                <w:bCs/>
                <w:color w:val="000000"/>
                <w:sz w:val="24"/>
                <w:szCs w:val="24"/>
                <w:rtl w:val="0"/>
              </w:rPr>
              <w:t xml:space="preserve"> </w:t>
            </w:r>
            <w:r>
              <w:rPr>
                <w:b/>
                <w:bCs/>
                <w:color w:val="000000"/>
                <w:sz w:val="24"/>
                <w:szCs w:val="24"/>
                <w:shd w:val="clear" w:fill="D9D9D9"/>
                <w:rtl w:val="0"/>
              </w:rPr>
              <w:t>number:</w:t>
            </w:r>
          </w:p>
        </w:tc>
        <w:tc>
          <w:tcPr>
            <w:tcMar>
              <w:top w:w="100" w:type="dxa"/>
              <w:left w:w="100" w:type="dxa"/>
              <w:bottom w:w="100" w:type="dxa"/>
              <w:right w:w="100" w:type="dxa"/>
            </w:tcMar>
          </w:tcPr>
          <w:p w14:paraId="00000008">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86" w:firstLine="0"/>
              <w:rPr>
                <w:color w:val="000000"/>
                <w:sz w:val="24"/>
                <w:szCs w:val="24"/>
              </w:rPr>
            </w:pPr>
            <w:r>
              <w:rPr>
                <w:color w:val="000000"/>
                <w:sz w:val="24"/>
                <w:szCs w:val="24"/>
                <w:rtl w:val="0"/>
              </w:rPr>
              <w:t>2418665</w:t>
            </w:r>
          </w:p>
        </w:tc>
      </w:tr>
      <w:tr w14:paraId="79DD04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5" w:hRule="atLeast"/>
        </w:trPr>
        <w:tc>
          <w:tcPr>
            <w:tcMar>
              <w:top w:w="100" w:type="dxa"/>
              <w:left w:w="100" w:type="dxa"/>
              <w:bottom w:w="100" w:type="dxa"/>
              <w:right w:w="100" w:type="dxa"/>
            </w:tcMar>
          </w:tcPr>
          <w:p w14:paraId="00000009">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32" w:firstLine="0"/>
              <w:rPr>
                <w:b/>
                <w:bCs/>
                <w:color w:val="000000"/>
                <w:sz w:val="24"/>
                <w:szCs w:val="24"/>
              </w:rPr>
            </w:pPr>
            <w:r>
              <w:rPr>
                <w:b/>
                <w:bCs/>
                <w:color w:val="000000"/>
                <w:sz w:val="24"/>
                <w:szCs w:val="24"/>
                <w:rtl w:val="0"/>
              </w:rPr>
              <w:t xml:space="preserve">Programme: </w:t>
            </w:r>
          </w:p>
        </w:tc>
        <w:tc>
          <w:tcPr>
            <w:gridSpan w:val="3"/>
            <w:tcMar>
              <w:top w:w="100" w:type="dxa"/>
              <w:left w:w="100" w:type="dxa"/>
              <w:bottom w:w="100" w:type="dxa"/>
              <w:right w:w="100" w:type="dxa"/>
            </w:tcMar>
          </w:tcPr>
          <w:p w14:paraId="0000000A">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32" w:firstLine="0"/>
              <w:rPr>
                <w:b/>
                <w:bCs/>
                <w:color w:val="000000"/>
                <w:sz w:val="24"/>
                <w:szCs w:val="24"/>
              </w:rPr>
            </w:pPr>
            <w:r>
              <w:rPr>
                <w:b/>
                <w:bCs/>
                <w:color w:val="000000"/>
                <w:sz w:val="24"/>
                <w:szCs w:val="24"/>
                <w:rtl w:val="0"/>
              </w:rPr>
              <w:t>MSC Engineering Project Management</w:t>
            </w:r>
          </w:p>
        </w:tc>
      </w:tr>
      <w:tr w14:paraId="0622A6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5" w:hRule="atLeast"/>
        </w:trPr>
        <w:tc>
          <w:tcPr>
            <w:tcMar>
              <w:top w:w="100" w:type="dxa"/>
              <w:left w:w="100" w:type="dxa"/>
              <w:bottom w:w="100" w:type="dxa"/>
              <w:right w:w="100" w:type="dxa"/>
            </w:tcMar>
          </w:tcPr>
          <w:p w14:paraId="0000000D">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32" w:firstLine="0"/>
              <w:rPr>
                <w:b/>
                <w:bCs/>
                <w:color w:val="000000"/>
                <w:sz w:val="24"/>
                <w:szCs w:val="24"/>
              </w:rPr>
            </w:pPr>
            <w:r>
              <w:rPr>
                <w:b/>
                <w:bCs/>
                <w:color w:val="000000"/>
                <w:sz w:val="24"/>
                <w:szCs w:val="24"/>
                <w:rtl w:val="0"/>
              </w:rPr>
              <w:t xml:space="preserve">Module: </w:t>
            </w:r>
          </w:p>
        </w:tc>
        <w:tc>
          <w:tcPr>
            <w:gridSpan w:val="3"/>
            <w:tcMar>
              <w:top w:w="100" w:type="dxa"/>
              <w:left w:w="100" w:type="dxa"/>
              <w:bottom w:w="100" w:type="dxa"/>
              <w:right w:w="100" w:type="dxa"/>
            </w:tcMar>
          </w:tcPr>
          <w:p w14:paraId="0000000E">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9" w:firstLine="0"/>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Resourcing and Financial Management for Projects</w:t>
            </w:r>
          </w:p>
        </w:tc>
      </w:tr>
      <w:tr w14:paraId="4F64E3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15" w:hRule="atLeast"/>
        </w:trPr>
        <w:tc>
          <w:tcPr>
            <w:tcMar>
              <w:top w:w="100" w:type="dxa"/>
              <w:left w:w="100" w:type="dxa"/>
              <w:bottom w:w="100" w:type="dxa"/>
              <w:right w:w="100" w:type="dxa"/>
            </w:tcMar>
          </w:tcPr>
          <w:p w14:paraId="00000011">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32" w:firstLine="0"/>
              <w:rPr>
                <w:b/>
                <w:bCs/>
                <w:color w:val="000000"/>
                <w:sz w:val="24"/>
                <w:szCs w:val="24"/>
              </w:rPr>
            </w:pPr>
            <w:r>
              <w:rPr>
                <w:b/>
                <w:bCs/>
                <w:color w:val="000000"/>
                <w:sz w:val="24"/>
                <w:szCs w:val="24"/>
                <w:rtl w:val="0"/>
              </w:rPr>
              <w:t xml:space="preserve">Module code: </w:t>
            </w:r>
          </w:p>
        </w:tc>
        <w:tc>
          <w:tcPr>
            <w:tcMar>
              <w:top w:w="100" w:type="dxa"/>
              <w:left w:w="100" w:type="dxa"/>
              <w:bottom w:w="100" w:type="dxa"/>
              <w:right w:w="100" w:type="dxa"/>
            </w:tcMar>
          </w:tcPr>
          <w:p w14:paraId="00000012">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6" w:firstLine="0"/>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ACHA 7028 </w:t>
            </w:r>
          </w:p>
        </w:tc>
        <w:tc>
          <w:tcPr>
            <w:tcMar>
              <w:top w:w="100" w:type="dxa"/>
              <w:left w:w="100" w:type="dxa"/>
              <w:bottom w:w="100" w:type="dxa"/>
              <w:right w:w="100" w:type="dxa"/>
            </w:tcMar>
          </w:tcPr>
          <w:p w14:paraId="00000013">
            <w:pPr>
              <w:widowControl w:val="0"/>
              <w:pBdr>
                <w:top w:val="none" w:color="auto" w:sz="0" w:space="0"/>
                <w:left w:val="none" w:color="auto" w:sz="0" w:space="0"/>
                <w:bottom w:val="none" w:color="auto" w:sz="0" w:space="0"/>
                <w:right w:val="none" w:color="auto" w:sz="0" w:space="0"/>
                <w:between w:val="none" w:color="auto" w:sz="0" w:space="0"/>
              </w:pBdr>
              <w:spacing w:line="229" w:lineRule="auto"/>
              <w:ind w:left="115" w:right="30" w:firstLine="10"/>
              <w:jc w:val="both"/>
              <w:rPr>
                <w:b/>
                <w:bCs/>
                <w:color w:val="000000"/>
                <w:sz w:val="24"/>
                <w:szCs w:val="24"/>
              </w:rPr>
            </w:pPr>
            <w:r>
              <w:rPr>
                <w:b/>
                <w:bCs/>
                <w:color w:val="000000"/>
                <w:sz w:val="24"/>
                <w:szCs w:val="24"/>
                <w:shd w:val="clear" w:fill="D9D9D9"/>
                <w:rtl w:val="0"/>
              </w:rPr>
              <w:t xml:space="preserve">Contribution to </w:t>
            </w:r>
            <w:r>
              <w:rPr>
                <w:b/>
                <w:bCs/>
                <w:color w:val="000000"/>
                <w:sz w:val="24"/>
                <w:szCs w:val="24"/>
                <w:rtl w:val="0"/>
              </w:rPr>
              <w:t xml:space="preserve"> </w:t>
            </w:r>
            <w:r>
              <w:rPr>
                <w:b/>
                <w:bCs/>
                <w:color w:val="000000"/>
                <w:sz w:val="24"/>
                <w:szCs w:val="24"/>
                <w:shd w:val="clear" w:fill="D9D9D9"/>
                <w:rtl w:val="0"/>
              </w:rPr>
              <w:t xml:space="preserve">Overall Module </w:t>
            </w:r>
            <w:r>
              <w:rPr>
                <w:b/>
                <w:bCs/>
                <w:color w:val="000000"/>
                <w:sz w:val="24"/>
                <w:szCs w:val="24"/>
                <w:rtl w:val="0"/>
              </w:rPr>
              <w:t xml:space="preserve"> </w:t>
            </w:r>
            <w:r>
              <w:rPr>
                <w:b/>
                <w:bCs/>
                <w:color w:val="000000"/>
                <w:sz w:val="24"/>
                <w:szCs w:val="24"/>
                <w:shd w:val="clear" w:fill="D9D9D9"/>
                <w:rtl w:val="0"/>
              </w:rPr>
              <w:t xml:space="preserve">Assessment </w:t>
            </w:r>
            <w:r>
              <w:rPr>
                <w:b/>
                <w:bCs/>
                <w:color w:val="000000"/>
                <w:sz w:val="24"/>
                <w:szCs w:val="24"/>
                <w:rtl w:val="0"/>
              </w:rPr>
              <w:t xml:space="preserve"> </w:t>
            </w:r>
          </w:p>
          <w:p w14:paraId="00000014">
            <w:pPr>
              <w:widowControl w:val="0"/>
              <w:pBdr>
                <w:top w:val="none" w:color="auto" w:sz="0" w:space="0"/>
                <w:left w:val="none" w:color="auto" w:sz="0" w:space="0"/>
                <w:bottom w:val="none" w:color="auto" w:sz="0" w:space="0"/>
                <w:right w:val="none" w:color="auto" w:sz="0" w:space="0"/>
                <w:between w:val="none" w:color="auto" w:sz="0" w:space="0"/>
              </w:pBdr>
              <w:spacing w:before="5" w:line="240" w:lineRule="auto"/>
              <w:ind w:left="127" w:firstLine="0"/>
              <w:rPr>
                <w:b/>
                <w:bCs/>
                <w:color w:val="000000"/>
                <w:sz w:val="24"/>
                <w:szCs w:val="24"/>
                <w:shd w:val="clear" w:fill="D9D9D9"/>
              </w:rPr>
            </w:pPr>
            <w:r>
              <w:rPr>
                <w:b/>
                <w:bCs/>
                <w:color w:val="000000"/>
                <w:sz w:val="24"/>
                <w:szCs w:val="24"/>
                <w:shd w:val="clear" w:fill="D9D9D9"/>
                <w:rtl w:val="0"/>
              </w:rPr>
              <w:t>(%):</w:t>
            </w:r>
          </w:p>
        </w:tc>
        <w:tc>
          <w:tcPr>
            <w:tcMar>
              <w:top w:w="100" w:type="dxa"/>
              <w:left w:w="100" w:type="dxa"/>
              <w:bottom w:w="100" w:type="dxa"/>
              <w:right w:w="100" w:type="dxa"/>
            </w:tcMar>
          </w:tcPr>
          <w:p w14:paraId="00000015">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25" w:firstLine="0"/>
              <w:rPr>
                <w:b/>
                <w:bCs/>
                <w:color w:val="000000"/>
                <w:sz w:val="24"/>
                <w:szCs w:val="24"/>
              </w:rPr>
            </w:pPr>
            <w:r>
              <w:rPr>
                <w:b/>
                <w:bCs/>
                <w:color w:val="000000"/>
                <w:sz w:val="24"/>
                <w:szCs w:val="24"/>
                <w:rtl w:val="0"/>
              </w:rPr>
              <w:t>50%</w:t>
            </w:r>
          </w:p>
        </w:tc>
      </w:tr>
      <w:tr w14:paraId="137A62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0" w:hRule="atLeast"/>
        </w:trPr>
        <w:tc>
          <w:tcPr>
            <w:tcMar>
              <w:top w:w="100" w:type="dxa"/>
              <w:left w:w="100" w:type="dxa"/>
              <w:bottom w:w="100" w:type="dxa"/>
              <w:right w:w="100" w:type="dxa"/>
            </w:tcMar>
          </w:tcPr>
          <w:p w14:paraId="00000016">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33" w:firstLine="0"/>
              <w:rPr>
                <w:b/>
                <w:bCs/>
                <w:color w:val="000000"/>
                <w:sz w:val="24"/>
                <w:szCs w:val="24"/>
              </w:rPr>
            </w:pPr>
            <w:r>
              <w:rPr>
                <w:b/>
                <w:bCs/>
                <w:color w:val="000000"/>
                <w:sz w:val="24"/>
                <w:szCs w:val="24"/>
                <w:rtl w:val="0"/>
              </w:rPr>
              <w:t xml:space="preserve">Lecturer: </w:t>
            </w:r>
          </w:p>
        </w:tc>
        <w:tc>
          <w:tcPr>
            <w:tcMar>
              <w:top w:w="100" w:type="dxa"/>
              <w:left w:w="100" w:type="dxa"/>
              <w:bottom w:w="100" w:type="dxa"/>
              <w:right w:w="100" w:type="dxa"/>
            </w:tcMar>
          </w:tcPr>
          <w:p w14:paraId="00000017">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32" w:firstLine="0"/>
              <w:rPr>
                <w:b/>
                <w:bCs/>
                <w:color w:val="000000"/>
                <w:sz w:val="24"/>
                <w:szCs w:val="24"/>
              </w:rPr>
            </w:pPr>
            <w:r>
              <w:rPr>
                <w:b/>
                <w:bCs/>
                <w:color w:val="000000"/>
                <w:sz w:val="24"/>
                <w:szCs w:val="24"/>
                <w:rtl w:val="0"/>
              </w:rPr>
              <w:t xml:space="preserve">Dr Moutushi Tanha </w:t>
            </w:r>
          </w:p>
        </w:tc>
        <w:tc>
          <w:tcPr>
            <w:tcMar>
              <w:top w:w="100" w:type="dxa"/>
              <w:left w:w="100" w:type="dxa"/>
              <w:bottom w:w="100" w:type="dxa"/>
              <w:right w:w="100" w:type="dxa"/>
            </w:tcMar>
          </w:tcPr>
          <w:p w14:paraId="00000018">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31" w:firstLine="0"/>
              <w:rPr>
                <w:b/>
                <w:bCs/>
                <w:color w:val="000000"/>
                <w:sz w:val="24"/>
                <w:szCs w:val="24"/>
              </w:rPr>
            </w:pPr>
            <w:r>
              <w:rPr>
                <w:b/>
                <w:bCs/>
                <w:color w:val="000000"/>
                <w:sz w:val="24"/>
                <w:szCs w:val="24"/>
                <w:shd w:val="clear" w:fill="D9D9D9"/>
                <w:rtl w:val="0"/>
              </w:rPr>
              <w:t xml:space="preserve">Internal </w:t>
            </w:r>
            <w:r>
              <w:rPr>
                <w:b/>
                <w:bCs/>
                <w:color w:val="000000"/>
                <w:sz w:val="24"/>
                <w:szCs w:val="24"/>
                <w:rtl w:val="0"/>
              </w:rPr>
              <w:t xml:space="preserve"> </w:t>
            </w:r>
          </w:p>
          <w:p w14:paraId="00000019">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5" w:firstLine="0"/>
              <w:rPr>
                <w:b/>
                <w:bCs/>
                <w:color w:val="000000"/>
                <w:sz w:val="24"/>
                <w:szCs w:val="24"/>
                <w:shd w:val="clear" w:fill="D9D9D9"/>
              </w:rPr>
            </w:pPr>
            <w:r>
              <w:rPr>
                <w:b/>
                <w:bCs/>
                <w:color w:val="000000"/>
                <w:sz w:val="24"/>
                <w:szCs w:val="24"/>
                <w:shd w:val="clear" w:fill="D9D9D9"/>
                <w:rtl w:val="0"/>
              </w:rPr>
              <w:t>Verifier:</w:t>
            </w:r>
          </w:p>
        </w:tc>
        <w:tc>
          <w:tcPr>
            <w:tcMar>
              <w:top w:w="100" w:type="dxa"/>
              <w:left w:w="100" w:type="dxa"/>
              <w:bottom w:w="100" w:type="dxa"/>
              <w:right w:w="100" w:type="dxa"/>
            </w:tcMar>
          </w:tcPr>
          <w:p w14:paraId="0000001A">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4" w:firstLine="0"/>
              <w:rPr>
                <w:b/>
                <w:bCs/>
                <w:color w:val="000000"/>
                <w:sz w:val="24"/>
                <w:szCs w:val="24"/>
              </w:rPr>
            </w:pPr>
            <w:r>
              <w:rPr>
                <w:b/>
                <w:bCs/>
                <w:color w:val="000000"/>
                <w:sz w:val="24"/>
                <w:szCs w:val="24"/>
                <w:rtl w:val="0"/>
              </w:rPr>
              <w:t>Andrew Thorn</w:t>
            </w:r>
          </w:p>
        </w:tc>
      </w:tr>
      <w:tr w14:paraId="7EBA12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5" w:hRule="atLeast"/>
        </w:trPr>
        <w:tc>
          <w:tcPr>
            <w:tcMar>
              <w:top w:w="100" w:type="dxa"/>
              <w:left w:w="100" w:type="dxa"/>
              <w:bottom w:w="100" w:type="dxa"/>
              <w:right w:w="100" w:type="dxa"/>
            </w:tcMar>
          </w:tcPr>
          <w:p w14:paraId="0000001B">
            <w:pPr>
              <w:widowControl w:val="0"/>
              <w:pBdr>
                <w:top w:val="none" w:color="auto" w:sz="0" w:space="0"/>
                <w:left w:val="none" w:color="auto" w:sz="0" w:space="0"/>
                <w:bottom w:val="none" w:color="auto" w:sz="0" w:space="0"/>
                <w:right w:val="none" w:color="auto" w:sz="0" w:space="0"/>
                <w:between w:val="none" w:color="auto" w:sz="0" w:space="0"/>
              </w:pBdr>
              <w:spacing w:line="229" w:lineRule="auto"/>
              <w:ind w:left="120" w:right="334" w:hanging="5"/>
              <w:rPr>
                <w:b/>
                <w:bCs/>
                <w:color w:val="000000"/>
                <w:sz w:val="24"/>
                <w:szCs w:val="24"/>
              </w:rPr>
            </w:pPr>
            <w:r>
              <w:rPr>
                <w:b/>
                <w:bCs/>
                <w:color w:val="000000"/>
                <w:sz w:val="24"/>
                <w:szCs w:val="24"/>
                <w:rtl w:val="0"/>
              </w:rPr>
              <w:t>Assignment  Title:</w:t>
            </w:r>
          </w:p>
        </w:tc>
        <w:tc>
          <w:tcPr>
            <w:tcMar>
              <w:top w:w="100" w:type="dxa"/>
              <w:left w:w="100" w:type="dxa"/>
              <w:bottom w:w="100" w:type="dxa"/>
              <w:right w:w="100" w:type="dxa"/>
            </w:tcMar>
          </w:tcPr>
          <w:p w14:paraId="0000001C">
            <w:pPr>
              <w:widowControl w:val="0"/>
              <w:pBdr>
                <w:top w:val="none" w:color="auto" w:sz="0" w:space="0"/>
                <w:left w:val="none" w:color="auto" w:sz="0" w:space="0"/>
                <w:bottom w:val="none" w:color="auto" w:sz="0" w:space="0"/>
                <w:right w:val="none" w:color="auto" w:sz="0" w:space="0"/>
                <w:between w:val="none" w:color="auto" w:sz="0" w:space="0"/>
              </w:pBdr>
              <w:spacing w:line="233" w:lineRule="auto"/>
              <w:ind w:left="117" w:right="40" w:firstLine="15"/>
              <w:rPr>
                <w:b/>
                <w:bCs/>
                <w:color w:val="000000"/>
                <w:sz w:val="20"/>
                <w:szCs w:val="20"/>
              </w:rPr>
            </w:pPr>
            <w:r>
              <w:rPr>
                <w:b/>
                <w:bCs/>
                <w:color w:val="000000"/>
                <w:sz w:val="24"/>
                <w:szCs w:val="24"/>
                <w:rtl w:val="0"/>
              </w:rPr>
              <w:t>Financial M</w:t>
            </w:r>
            <w:r>
              <w:rPr>
                <w:b/>
                <w:bCs/>
                <w:color w:val="000000"/>
                <w:sz w:val="20"/>
                <w:szCs w:val="20"/>
                <w:rtl w:val="0"/>
              </w:rPr>
              <w:t xml:space="preserve">anagement  for </w:t>
            </w:r>
            <w:r>
              <w:rPr>
                <w:b/>
                <w:bCs/>
                <w:sz w:val="20"/>
                <w:szCs w:val="20"/>
                <w:rtl w:val="0"/>
              </w:rPr>
              <w:t xml:space="preserve">a </w:t>
            </w:r>
            <w:r>
              <w:rPr>
                <w:b/>
                <w:bCs/>
                <w:color w:val="000000"/>
                <w:sz w:val="20"/>
                <w:szCs w:val="20"/>
                <w:rtl w:val="0"/>
              </w:rPr>
              <w:t xml:space="preserve">Project </w:t>
            </w:r>
          </w:p>
        </w:tc>
        <w:tc>
          <w:tcPr>
            <w:tcMar>
              <w:top w:w="100" w:type="dxa"/>
              <w:left w:w="100" w:type="dxa"/>
              <w:bottom w:w="100" w:type="dxa"/>
              <w:right w:w="100" w:type="dxa"/>
            </w:tcMar>
          </w:tcPr>
          <w:p w14:paraId="0000001D">
            <w:pPr>
              <w:widowControl w:val="0"/>
              <w:pBdr>
                <w:top w:val="none" w:color="auto" w:sz="0" w:space="0"/>
                <w:left w:val="none" w:color="auto" w:sz="0" w:space="0"/>
                <w:bottom w:val="none" w:color="auto" w:sz="0" w:space="0"/>
                <w:right w:val="none" w:color="auto" w:sz="0" w:space="0"/>
                <w:between w:val="none" w:color="auto" w:sz="0" w:space="0"/>
              </w:pBdr>
              <w:spacing w:line="229" w:lineRule="auto"/>
              <w:ind w:left="122" w:right="30" w:hanging="5"/>
              <w:rPr>
                <w:b/>
                <w:bCs/>
                <w:color w:val="000000"/>
                <w:sz w:val="24"/>
                <w:szCs w:val="24"/>
              </w:rPr>
            </w:pPr>
            <w:r>
              <w:rPr>
                <w:b/>
                <w:bCs/>
                <w:color w:val="000000"/>
                <w:sz w:val="24"/>
                <w:szCs w:val="24"/>
                <w:rtl w:val="0"/>
              </w:rPr>
              <w:t>Word count (or  equivalent):</w:t>
            </w:r>
          </w:p>
        </w:tc>
        <w:tc>
          <w:tcPr>
            <w:tcMar>
              <w:top w:w="100" w:type="dxa"/>
              <w:left w:w="100" w:type="dxa"/>
              <w:bottom w:w="100" w:type="dxa"/>
              <w:right w:w="100" w:type="dxa"/>
            </w:tcMar>
          </w:tcPr>
          <w:p w14:paraId="0000001E">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20" w:firstLine="0"/>
              <w:rPr>
                <w:b/>
                <w:bCs/>
                <w:color w:val="000000"/>
                <w:sz w:val="24"/>
                <w:szCs w:val="24"/>
              </w:rPr>
            </w:pPr>
            <w:r>
              <w:rPr>
                <w:b/>
                <w:bCs/>
                <w:color w:val="000000"/>
                <w:sz w:val="24"/>
                <w:szCs w:val="24"/>
                <w:rtl w:val="0"/>
              </w:rPr>
              <w:t>2500 words</w:t>
            </w:r>
          </w:p>
        </w:tc>
      </w:tr>
      <w:tr w14:paraId="3F02A4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0" w:hRule="atLeast"/>
        </w:trPr>
        <w:tc>
          <w:tcPr>
            <w:tcMar>
              <w:top w:w="100" w:type="dxa"/>
              <w:left w:w="100" w:type="dxa"/>
              <w:bottom w:w="100" w:type="dxa"/>
              <w:right w:w="100" w:type="dxa"/>
            </w:tcMar>
          </w:tcPr>
          <w:p w14:paraId="0000001F">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23" w:firstLine="0"/>
              <w:rPr>
                <w:b/>
                <w:bCs/>
                <w:color w:val="000000"/>
                <w:sz w:val="24"/>
                <w:szCs w:val="24"/>
              </w:rPr>
            </w:pPr>
            <w:r>
              <w:rPr>
                <w:b/>
                <w:bCs/>
                <w:color w:val="000000"/>
                <w:sz w:val="24"/>
                <w:szCs w:val="24"/>
                <w:rtl w:val="0"/>
              </w:rPr>
              <w:t xml:space="preserve">Submission  </w:t>
            </w:r>
          </w:p>
          <w:p w14:paraId="00000020">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24" w:firstLine="0"/>
              <w:rPr>
                <w:b/>
                <w:bCs/>
                <w:color w:val="000000"/>
                <w:sz w:val="24"/>
                <w:szCs w:val="24"/>
              </w:rPr>
            </w:pPr>
            <w:r>
              <w:rPr>
                <w:b/>
                <w:bCs/>
                <w:color w:val="000000"/>
                <w:sz w:val="24"/>
                <w:szCs w:val="24"/>
                <w:rtl w:val="0"/>
              </w:rPr>
              <w:t>deadline:</w:t>
            </w:r>
          </w:p>
        </w:tc>
        <w:tc>
          <w:tcPr>
            <w:tcMar>
              <w:top w:w="100" w:type="dxa"/>
              <w:left w:w="100" w:type="dxa"/>
              <w:bottom w:w="100" w:type="dxa"/>
              <w:right w:w="100" w:type="dxa"/>
            </w:tcMar>
          </w:tcPr>
          <w:p w14:paraId="00000021">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21" w:firstLine="0"/>
              <w:rPr>
                <w:b/>
                <w:bCs/>
                <w:color w:val="000000"/>
                <w:sz w:val="24"/>
                <w:szCs w:val="24"/>
              </w:rPr>
            </w:pPr>
            <w:r>
              <w:rPr>
                <w:b/>
                <w:bCs/>
                <w:color w:val="000000"/>
                <w:sz w:val="24"/>
                <w:szCs w:val="24"/>
                <w:rtl w:val="0"/>
              </w:rPr>
              <w:t>23</w:t>
            </w:r>
            <w:r>
              <w:rPr>
                <w:b/>
                <w:bCs/>
                <w:color w:val="000000"/>
                <w:sz w:val="26"/>
                <w:szCs w:val="26"/>
                <w:vertAlign w:val="superscript"/>
                <w:rtl w:val="0"/>
              </w:rPr>
              <w:t xml:space="preserve">rd </w:t>
            </w:r>
            <w:r>
              <w:rPr>
                <w:b/>
                <w:bCs/>
                <w:color w:val="000000"/>
                <w:sz w:val="24"/>
                <w:szCs w:val="24"/>
                <w:rtl w:val="0"/>
              </w:rPr>
              <w:t>of March, 2026</w:t>
            </w:r>
          </w:p>
        </w:tc>
        <w:tc>
          <w:tcPr>
            <w:tcMar>
              <w:top w:w="100" w:type="dxa"/>
              <w:left w:w="100" w:type="dxa"/>
              <w:bottom w:w="100" w:type="dxa"/>
              <w:right w:w="100" w:type="dxa"/>
            </w:tcMar>
          </w:tcPr>
          <w:p w14:paraId="00000022">
            <w:pPr>
              <w:widowControl w:val="0"/>
              <w:pBdr>
                <w:top w:val="none" w:color="auto" w:sz="0" w:space="0"/>
                <w:left w:val="none" w:color="auto" w:sz="0" w:space="0"/>
                <w:bottom w:val="none" w:color="auto" w:sz="0" w:space="0"/>
                <w:right w:val="none" w:color="auto" w:sz="0" w:space="0"/>
                <w:between w:val="none" w:color="auto" w:sz="0" w:space="0"/>
              </w:pBdr>
              <w:rPr>
                <w:b/>
                <w:bCs/>
                <w:color w:val="000000"/>
                <w:sz w:val="24"/>
                <w:szCs w:val="24"/>
              </w:rPr>
            </w:pPr>
          </w:p>
        </w:tc>
        <w:tc>
          <w:tcPr>
            <w:tcMar>
              <w:top w:w="100" w:type="dxa"/>
              <w:left w:w="100" w:type="dxa"/>
              <w:bottom w:w="100" w:type="dxa"/>
              <w:right w:w="100" w:type="dxa"/>
            </w:tcMar>
          </w:tcPr>
          <w:p w14:paraId="00000023">
            <w:pPr>
              <w:widowControl w:val="0"/>
              <w:pBdr>
                <w:top w:val="none" w:color="auto" w:sz="0" w:space="0"/>
                <w:left w:val="none" w:color="auto" w:sz="0" w:space="0"/>
                <w:bottom w:val="none" w:color="auto" w:sz="0" w:space="0"/>
                <w:right w:val="none" w:color="auto" w:sz="0" w:space="0"/>
                <w:between w:val="none" w:color="auto" w:sz="0" w:space="0"/>
              </w:pBdr>
              <w:rPr>
                <w:b/>
                <w:bCs/>
                <w:color w:val="000000"/>
                <w:sz w:val="24"/>
                <w:szCs w:val="24"/>
              </w:rPr>
            </w:pPr>
          </w:p>
        </w:tc>
      </w:tr>
    </w:tbl>
    <w:p w14:paraId="00000024">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025">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026">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711" w:firstLine="0"/>
        <w:rPr>
          <w:b/>
          <w:bCs/>
          <w:color w:val="000000"/>
        </w:rPr>
      </w:pPr>
      <w:r>
        <w:rPr>
          <w:b/>
          <w:bCs/>
          <w:color w:val="000000"/>
          <w:rtl w:val="0"/>
        </w:rPr>
        <w:t xml:space="preserve">Use of Generative AI in Assessment </w:t>
      </w:r>
    </w:p>
    <w:p w14:paraId="00000027">
      <w:pPr>
        <w:widowControl w:val="0"/>
        <w:pBdr>
          <w:top w:val="none" w:color="auto" w:sz="0" w:space="0"/>
          <w:left w:val="none" w:color="auto" w:sz="0" w:space="0"/>
          <w:bottom w:val="none" w:color="auto" w:sz="0" w:space="0"/>
          <w:right w:val="none" w:color="auto" w:sz="0" w:space="0"/>
          <w:between w:val="none" w:color="auto" w:sz="0" w:space="0"/>
        </w:pBdr>
        <w:spacing w:line="240" w:lineRule="auto"/>
        <w:ind w:right="730"/>
        <w:jc w:val="right"/>
        <w:rPr>
          <w:b/>
          <w:bCs/>
          <w:color w:val="000000"/>
        </w:rPr>
      </w:pPr>
      <w:r>
        <w:rPr>
          <w:b/>
          <w:bCs/>
          <w:color w:val="000000"/>
          <w:rtl w:val="0"/>
        </w:rPr>
        <w:t xml:space="preserve"> </w:t>
      </w:r>
    </w:p>
    <w:tbl>
      <w:tblPr>
        <w:tblStyle w:val="29"/>
        <w:tblW w:w="8743" w:type="dxa"/>
        <w:tblInd w:w="60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2446"/>
        <w:gridCol w:w="4817"/>
        <w:gridCol w:w="1480"/>
      </w:tblGrid>
      <w:tr w14:paraId="1C0FEA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30" w:hRule="atLeast"/>
        </w:trPr>
        <w:tc>
          <w:tcPr>
            <w:tcMar>
              <w:top w:w="100" w:type="dxa"/>
              <w:left w:w="100" w:type="dxa"/>
              <w:bottom w:w="100" w:type="dxa"/>
              <w:right w:w="100" w:type="dxa"/>
            </w:tcMar>
          </w:tcPr>
          <w:p w14:paraId="00000028">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7" w:firstLine="0"/>
              <w:rPr>
                <w:color w:val="000000"/>
              </w:rPr>
            </w:pPr>
            <w:r>
              <w:rPr>
                <w:color w:val="000000"/>
                <w:rtl w:val="0"/>
              </w:rPr>
              <w:t xml:space="preserve">RESEARCH </w:t>
            </w:r>
          </w:p>
        </w:tc>
        <w:tc>
          <w:tcPr>
            <w:tcMar>
              <w:top w:w="100" w:type="dxa"/>
              <w:left w:w="100" w:type="dxa"/>
              <w:bottom w:w="100" w:type="dxa"/>
              <w:right w:w="100" w:type="dxa"/>
            </w:tcMar>
          </w:tcPr>
          <w:p w14:paraId="00000029">
            <w:pPr>
              <w:widowControl w:val="0"/>
              <w:pBdr>
                <w:top w:val="none" w:color="auto" w:sz="0" w:space="0"/>
                <w:left w:val="none" w:color="auto" w:sz="0" w:space="0"/>
                <w:bottom w:val="none" w:color="auto" w:sz="0" w:space="0"/>
                <w:right w:val="none" w:color="auto" w:sz="0" w:space="0"/>
                <w:between w:val="none" w:color="auto" w:sz="0" w:space="0"/>
              </w:pBdr>
              <w:spacing w:line="230" w:lineRule="auto"/>
              <w:ind w:left="101" w:right="25" w:firstLine="15"/>
              <w:jc w:val="both"/>
              <w:rPr>
                <w:color w:val="000000"/>
              </w:rPr>
            </w:pPr>
            <w:r>
              <w:rPr>
                <w:color w:val="000000"/>
                <w:rtl w:val="0"/>
              </w:rPr>
              <w:t>For this assessment, you can use Generative AI  to support you in research, including searching</w:t>
            </w:r>
            <w:r>
              <w:rPr>
                <w:rtl w:val="0"/>
              </w:rPr>
              <w:t xml:space="preserve"> </w:t>
            </w:r>
            <w:r>
              <w:rPr>
                <w:color w:val="000000"/>
                <w:rtl w:val="0"/>
              </w:rPr>
              <w:t xml:space="preserve">for bibliography, using tools to summarise,  compare and interrogate materials. </w:t>
            </w:r>
          </w:p>
        </w:tc>
        <w:tc>
          <w:tcPr>
            <w:tcMar>
              <w:top w:w="100" w:type="dxa"/>
              <w:left w:w="100" w:type="dxa"/>
              <w:bottom w:w="100" w:type="dxa"/>
              <w:right w:w="100" w:type="dxa"/>
            </w:tcMar>
          </w:tcPr>
          <w:p w14:paraId="0000002A">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00" w:firstLine="0"/>
              <w:rPr>
                <w:rFonts w:ascii="MS Gothic" w:hAnsi="MS Gothic" w:eastAsia="MS Gothic" w:cs="MS Gothic"/>
                <w:color w:val="000000"/>
              </w:rPr>
            </w:pPr>
            <w:r>
              <w:rPr>
                <w:color w:val="000000"/>
                <w:rtl w:val="0"/>
              </w:rPr>
              <w:t xml:space="preserve">Yes </w:t>
            </w:r>
            <w:r>
              <w:rPr>
                <w:rFonts w:ascii="MS Gothic" w:hAnsi="MS Gothic" w:eastAsia="MS Gothic" w:cs="MS Gothic"/>
                <w:color w:val="000000"/>
                <w:rtl w:val="0"/>
              </w:rPr>
              <w:t xml:space="preserve">☒  </w:t>
            </w:r>
          </w:p>
          <w:p w14:paraId="0000002B">
            <w:pPr>
              <w:widowControl w:val="0"/>
              <w:pBdr>
                <w:top w:val="none" w:color="auto" w:sz="0" w:space="0"/>
                <w:left w:val="none" w:color="auto" w:sz="0" w:space="0"/>
                <w:bottom w:val="none" w:color="auto" w:sz="0" w:space="0"/>
                <w:right w:val="none" w:color="auto" w:sz="0" w:space="0"/>
                <w:between w:val="none" w:color="auto" w:sz="0" w:space="0"/>
              </w:pBdr>
              <w:spacing w:before="18" w:line="240" w:lineRule="auto"/>
              <w:ind w:left="100" w:firstLine="0"/>
              <w:rPr>
                <w:rFonts w:ascii="MS Gothic" w:hAnsi="MS Gothic" w:eastAsia="MS Gothic" w:cs="MS Gothic"/>
                <w:color w:val="000000"/>
              </w:rPr>
            </w:pPr>
            <w:r>
              <w:rPr>
                <w:rFonts w:ascii="MS Gothic" w:hAnsi="MS Gothic" w:eastAsia="MS Gothic" w:cs="MS Gothic"/>
                <w:color w:val="000000"/>
                <w:rtl w:val="0"/>
              </w:rPr>
              <w:t xml:space="preserve">  </w:t>
            </w:r>
          </w:p>
          <w:p w14:paraId="0000002C">
            <w:pPr>
              <w:widowControl w:val="0"/>
              <w:pBdr>
                <w:top w:val="none" w:color="auto" w:sz="0" w:space="0"/>
                <w:left w:val="none" w:color="auto" w:sz="0" w:space="0"/>
                <w:bottom w:val="none" w:color="auto" w:sz="0" w:space="0"/>
                <w:right w:val="none" w:color="auto" w:sz="0" w:space="0"/>
                <w:between w:val="none" w:color="auto" w:sz="0" w:space="0"/>
              </w:pBdr>
              <w:spacing w:before="8" w:line="240" w:lineRule="auto"/>
              <w:ind w:left="116" w:firstLine="0"/>
              <w:rPr>
                <w:rFonts w:ascii="MS Gothic" w:hAnsi="MS Gothic" w:eastAsia="MS Gothic" w:cs="MS Gothic"/>
                <w:color w:val="000000"/>
              </w:rPr>
            </w:pPr>
            <w:r>
              <w:rPr>
                <w:color w:val="000000"/>
                <w:rtl w:val="0"/>
              </w:rPr>
              <w:t xml:space="preserve">No </w:t>
            </w:r>
            <w:r>
              <w:rPr>
                <w:rFonts w:ascii="MS Gothic" w:hAnsi="MS Gothic" w:eastAsia="MS Gothic" w:cs="MS Gothic"/>
                <w:color w:val="000000"/>
                <w:rtl w:val="0"/>
              </w:rPr>
              <w:t xml:space="preserve">☐ </w:t>
            </w:r>
          </w:p>
        </w:tc>
      </w:tr>
      <w:tr w14:paraId="0D16DD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25" w:hRule="atLeast"/>
        </w:trPr>
        <w:tc>
          <w:tcPr>
            <w:tcMar>
              <w:top w:w="100" w:type="dxa"/>
              <w:left w:w="100" w:type="dxa"/>
              <w:bottom w:w="100" w:type="dxa"/>
              <w:right w:w="100" w:type="dxa"/>
            </w:tcMar>
          </w:tcPr>
          <w:p w14:paraId="0000002D">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09" w:firstLine="0"/>
              <w:rPr>
                <w:color w:val="000000"/>
              </w:rPr>
            </w:pPr>
            <w:r>
              <w:rPr>
                <w:color w:val="000000"/>
                <w:rtl w:val="0"/>
              </w:rPr>
              <w:t xml:space="preserve">STRUCTURE </w:t>
            </w:r>
          </w:p>
        </w:tc>
        <w:tc>
          <w:tcPr>
            <w:tcMar>
              <w:top w:w="100" w:type="dxa"/>
              <w:left w:w="100" w:type="dxa"/>
              <w:bottom w:w="100" w:type="dxa"/>
              <w:right w:w="100" w:type="dxa"/>
            </w:tcMar>
          </w:tcPr>
          <w:p w14:paraId="0000002E">
            <w:pPr>
              <w:widowControl w:val="0"/>
              <w:pBdr>
                <w:top w:val="none" w:color="auto" w:sz="0" w:space="0"/>
                <w:left w:val="none" w:color="auto" w:sz="0" w:space="0"/>
                <w:bottom w:val="none" w:color="auto" w:sz="0" w:space="0"/>
                <w:right w:val="none" w:color="auto" w:sz="0" w:space="0"/>
                <w:between w:val="none" w:color="auto" w:sz="0" w:space="0"/>
              </w:pBdr>
              <w:spacing w:line="230" w:lineRule="auto"/>
              <w:ind w:left="103" w:right="25" w:firstLine="14"/>
              <w:jc w:val="both"/>
              <w:rPr>
                <w:color w:val="000000"/>
              </w:rPr>
            </w:pPr>
            <w:r>
              <w:rPr>
                <w:color w:val="000000"/>
                <w:rtl w:val="0"/>
              </w:rPr>
              <w:t xml:space="preserve">For this assessment, you can use Generative AI  to support you in structuring your submission,  including creating a draft argument structure,  identifying parts and headings, etc. </w:t>
            </w:r>
          </w:p>
        </w:tc>
        <w:tc>
          <w:tcPr>
            <w:tcMar>
              <w:top w:w="100" w:type="dxa"/>
              <w:left w:w="100" w:type="dxa"/>
              <w:bottom w:w="100" w:type="dxa"/>
              <w:right w:w="100" w:type="dxa"/>
            </w:tcMar>
          </w:tcPr>
          <w:p w14:paraId="0000002F">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00" w:firstLine="0"/>
              <w:rPr>
                <w:rFonts w:ascii="MS Gothic" w:hAnsi="MS Gothic" w:eastAsia="MS Gothic" w:cs="MS Gothic"/>
                <w:color w:val="000000"/>
              </w:rPr>
            </w:pPr>
            <w:r>
              <w:rPr>
                <w:color w:val="000000"/>
                <w:rtl w:val="0"/>
              </w:rPr>
              <w:t xml:space="preserve">Yes </w:t>
            </w:r>
            <w:r>
              <w:rPr>
                <w:rFonts w:ascii="MS Gothic" w:hAnsi="MS Gothic" w:eastAsia="MS Gothic" w:cs="MS Gothic"/>
                <w:color w:val="000000"/>
                <w:rtl w:val="0"/>
              </w:rPr>
              <w:t xml:space="preserve">☒  </w:t>
            </w:r>
          </w:p>
          <w:p w14:paraId="00000030">
            <w:pPr>
              <w:widowControl w:val="0"/>
              <w:pBdr>
                <w:top w:val="none" w:color="auto" w:sz="0" w:space="0"/>
                <w:left w:val="none" w:color="auto" w:sz="0" w:space="0"/>
                <w:bottom w:val="none" w:color="auto" w:sz="0" w:space="0"/>
                <w:right w:val="none" w:color="auto" w:sz="0" w:space="0"/>
                <w:between w:val="none" w:color="auto" w:sz="0" w:space="0"/>
              </w:pBdr>
              <w:spacing w:before="18" w:line="240" w:lineRule="auto"/>
              <w:ind w:left="100" w:firstLine="0"/>
              <w:rPr>
                <w:rFonts w:ascii="MS Gothic" w:hAnsi="MS Gothic" w:eastAsia="MS Gothic" w:cs="MS Gothic"/>
                <w:color w:val="000000"/>
              </w:rPr>
            </w:pPr>
            <w:r>
              <w:rPr>
                <w:rFonts w:ascii="MS Gothic" w:hAnsi="MS Gothic" w:eastAsia="MS Gothic" w:cs="MS Gothic"/>
                <w:color w:val="000000"/>
                <w:rtl w:val="0"/>
              </w:rPr>
              <w:t xml:space="preserve">  </w:t>
            </w:r>
          </w:p>
          <w:p w14:paraId="00000031">
            <w:pPr>
              <w:widowControl w:val="0"/>
              <w:pBdr>
                <w:top w:val="none" w:color="auto" w:sz="0" w:space="0"/>
                <w:left w:val="none" w:color="auto" w:sz="0" w:space="0"/>
                <w:bottom w:val="none" w:color="auto" w:sz="0" w:space="0"/>
                <w:right w:val="none" w:color="auto" w:sz="0" w:space="0"/>
                <w:between w:val="none" w:color="auto" w:sz="0" w:space="0"/>
              </w:pBdr>
              <w:spacing w:before="8" w:line="240" w:lineRule="auto"/>
              <w:ind w:left="116" w:firstLine="0"/>
              <w:rPr>
                <w:rFonts w:ascii="MS Gothic" w:hAnsi="MS Gothic" w:eastAsia="MS Gothic" w:cs="MS Gothic"/>
                <w:color w:val="000000"/>
              </w:rPr>
            </w:pPr>
            <w:r>
              <w:rPr>
                <w:color w:val="000000"/>
                <w:rtl w:val="0"/>
              </w:rPr>
              <w:t xml:space="preserve">No </w:t>
            </w:r>
            <w:r>
              <w:rPr>
                <w:rFonts w:ascii="MS Gothic" w:hAnsi="MS Gothic" w:eastAsia="MS Gothic" w:cs="MS Gothic"/>
                <w:color w:val="000000"/>
                <w:rtl w:val="0"/>
              </w:rPr>
              <w:t xml:space="preserve">☐ </w:t>
            </w:r>
          </w:p>
        </w:tc>
      </w:tr>
      <w:tr w14:paraId="7B48FA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4" w:hRule="atLeast"/>
        </w:trPr>
        <w:tc>
          <w:tcPr>
            <w:tcMar>
              <w:top w:w="100" w:type="dxa"/>
              <w:left w:w="100" w:type="dxa"/>
              <w:bottom w:w="100" w:type="dxa"/>
              <w:right w:w="100" w:type="dxa"/>
            </w:tcMar>
          </w:tcPr>
          <w:p w14:paraId="00000032">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6" w:firstLine="0"/>
              <w:rPr>
                <w:color w:val="000000"/>
              </w:rPr>
            </w:pPr>
            <w:r>
              <w:rPr>
                <w:color w:val="000000"/>
                <w:rtl w:val="0"/>
              </w:rPr>
              <w:t xml:space="preserve">PROOFREADING </w:t>
            </w:r>
          </w:p>
        </w:tc>
        <w:tc>
          <w:tcPr>
            <w:tcMar>
              <w:top w:w="100" w:type="dxa"/>
              <w:left w:w="100" w:type="dxa"/>
              <w:bottom w:w="100" w:type="dxa"/>
              <w:right w:w="100" w:type="dxa"/>
            </w:tcMar>
          </w:tcPr>
          <w:p w14:paraId="00000033">
            <w:pPr>
              <w:widowControl w:val="0"/>
              <w:pBdr>
                <w:top w:val="none" w:color="auto" w:sz="0" w:space="0"/>
                <w:left w:val="none" w:color="auto" w:sz="0" w:space="0"/>
                <w:bottom w:val="none" w:color="auto" w:sz="0" w:space="0"/>
                <w:right w:val="none" w:color="auto" w:sz="0" w:space="0"/>
                <w:between w:val="none" w:color="auto" w:sz="0" w:space="0"/>
              </w:pBdr>
              <w:spacing w:line="227" w:lineRule="auto"/>
              <w:ind w:left="103" w:right="25" w:firstLine="14"/>
              <w:rPr>
                <w:color w:val="000000"/>
              </w:rPr>
            </w:pPr>
            <w:r>
              <w:rPr>
                <w:color w:val="000000"/>
                <w:rtl w:val="0"/>
              </w:rPr>
              <w:t xml:space="preserve">For this assessment, you can use Generative AI  to check your own text/creation for grammatical </w:t>
            </w:r>
          </w:p>
        </w:tc>
        <w:tc>
          <w:tcPr>
            <w:tcMar>
              <w:top w:w="100" w:type="dxa"/>
              <w:left w:w="100" w:type="dxa"/>
              <w:bottom w:w="100" w:type="dxa"/>
              <w:right w:w="100" w:type="dxa"/>
            </w:tcMar>
          </w:tcPr>
          <w:p w14:paraId="00000034">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00" w:firstLine="0"/>
              <w:rPr>
                <w:rFonts w:ascii="MS Gothic" w:hAnsi="MS Gothic" w:eastAsia="MS Gothic" w:cs="MS Gothic"/>
                <w:color w:val="000000"/>
              </w:rPr>
            </w:pPr>
            <w:r>
              <w:rPr>
                <w:color w:val="000000"/>
                <w:rtl w:val="0"/>
              </w:rPr>
              <w:t xml:space="preserve">Yes </w:t>
            </w:r>
            <w:r>
              <w:rPr>
                <w:rFonts w:ascii="MS Gothic" w:hAnsi="MS Gothic" w:eastAsia="MS Gothic" w:cs="MS Gothic"/>
                <w:color w:val="000000"/>
                <w:rtl w:val="0"/>
              </w:rPr>
              <w:t xml:space="preserve">☒  </w:t>
            </w:r>
          </w:p>
          <w:p w14:paraId="00000035">
            <w:pPr>
              <w:widowControl w:val="0"/>
              <w:pBdr>
                <w:top w:val="none" w:color="auto" w:sz="0" w:space="0"/>
                <w:left w:val="none" w:color="auto" w:sz="0" w:space="0"/>
                <w:bottom w:val="none" w:color="auto" w:sz="0" w:space="0"/>
                <w:right w:val="none" w:color="auto" w:sz="0" w:space="0"/>
                <w:between w:val="none" w:color="auto" w:sz="0" w:space="0"/>
              </w:pBdr>
              <w:spacing w:before="18" w:line="240" w:lineRule="auto"/>
              <w:ind w:left="100" w:firstLine="0"/>
              <w:rPr>
                <w:rFonts w:ascii="MS Gothic" w:hAnsi="MS Gothic" w:eastAsia="MS Gothic" w:cs="MS Gothic"/>
                <w:color w:val="000000"/>
              </w:rPr>
            </w:pPr>
            <w:r>
              <w:rPr>
                <w:rFonts w:ascii="MS Gothic" w:hAnsi="MS Gothic" w:eastAsia="MS Gothic" w:cs="MS Gothic"/>
                <w:color w:val="000000"/>
                <w:rtl w:val="0"/>
              </w:rPr>
              <w:t xml:space="preserve"> </w:t>
            </w:r>
          </w:p>
        </w:tc>
      </w:tr>
    </w:tbl>
    <w:p w14:paraId="00000036">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037">
      <w:pPr>
        <w:widowControl w:val="0"/>
        <w:pBdr>
          <w:top w:val="none" w:color="auto" w:sz="0" w:space="0"/>
          <w:left w:val="none" w:color="auto" w:sz="0" w:space="0"/>
          <w:bottom w:val="none" w:color="auto" w:sz="0" w:space="0"/>
          <w:right w:val="none" w:color="auto" w:sz="0" w:space="0"/>
          <w:between w:val="none" w:color="auto" w:sz="0" w:space="0"/>
        </w:pBdr>
        <w:rPr>
          <w:color w:val="000000"/>
        </w:rPr>
      </w:pPr>
    </w:p>
    <w:tbl>
      <w:tblPr>
        <w:tblStyle w:val="30"/>
        <w:tblW w:w="8743" w:type="dxa"/>
        <w:tblInd w:w="60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2446"/>
        <w:gridCol w:w="4817"/>
        <w:gridCol w:w="1480"/>
      </w:tblGrid>
      <w:tr w14:paraId="4B993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20" w:hRule="atLeast"/>
        </w:trPr>
        <w:tc>
          <w:tcPr>
            <w:tcMar>
              <w:top w:w="100" w:type="dxa"/>
              <w:left w:w="100" w:type="dxa"/>
              <w:bottom w:w="100" w:type="dxa"/>
              <w:right w:w="100" w:type="dxa"/>
            </w:tcMar>
          </w:tcPr>
          <w:p w14:paraId="00000038">
            <w:pPr>
              <w:widowControl w:val="0"/>
              <w:pBdr>
                <w:top w:val="none" w:color="auto" w:sz="0" w:space="0"/>
                <w:left w:val="none" w:color="auto" w:sz="0" w:space="0"/>
                <w:bottom w:val="none" w:color="auto" w:sz="0" w:space="0"/>
                <w:right w:val="none" w:color="auto" w:sz="0" w:space="0"/>
                <w:between w:val="none" w:color="auto" w:sz="0" w:space="0"/>
              </w:pBdr>
              <w:rPr>
                <w:color w:val="000000"/>
              </w:rPr>
            </w:pPr>
          </w:p>
        </w:tc>
        <w:tc>
          <w:tcPr>
            <w:tcMar>
              <w:top w:w="100" w:type="dxa"/>
              <w:left w:w="100" w:type="dxa"/>
              <w:bottom w:w="100" w:type="dxa"/>
              <w:right w:w="100" w:type="dxa"/>
            </w:tcMar>
          </w:tcPr>
          <w:p w14:paraId="00000039">
            <w:pPr>
              <w:widowControl w:val="0"/>
              <w:pBdr>
                <w:top w:val="none" w:color="auto" w:sz="0" w:space="0"/>
                <w:left w:val="none" w:color="auto" w:sz="0" w:space="0"/>
                <w:bottom w:val="none" w:color="auto" w:sz="0" w:space="0"/>
                <w:right w:val="none" w:color="auto" w:sz="0" w:space="0"/>
                <w:between w:val="none" w:color="auto" w:sz="0" w:space="0"/>
              </w:pBdr>
              <w:spacing w:line="227" w:lineRule="auto"/>
              <w:ind w:left="107" w:right="26" w:firstLine="0"/>
              <w:rPr>
                <w:color w:val="000000"/>
              </w:rPr>
            </w:pPr>
            <w:r>
              <w:rPr>
                <w:color w:val="000000"/>
                <w:rtl w:val="0"/>
              </w:rPr>
              <w:t>and syntactical mistakes, including rephrasing</w:t>
            </w:r>
            <w:r>
              <w:rPr>
                <w:rtl w:val="0"/>
              </w:rPr>
              <w:t xml:space="preserve"> </w:t>
            </w:r>
            <w:r>
              <w:rPr>
                <w:color w:val="000000"/>
                <w:rtl w:val="0"/>
              </w:rPr>
              <w:t xml:space="preserve">of your own work within specific standards. </w:t>
            </w:r>
          </w:p>
        </w:tc>
        <w:tc>
          <w:tcPr>
            <w:tcMar>
              <w:top w:w="100" w:type="dxa"/>
              <w:left w:w="100" w:type="dxa"/>
              <w:bottom w:w="100" w:type="dxa"/>
              <w:right w:w="100" w:type="dxa"/>
            </w:tcMar>
          </w:tcPr>
          <w:p w14:paraId="0000003A">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6" w:firstLine="0"/>
              <w:rPr>
                <w:rFonts w:ascii="MS Gothic" w:hAnsi="MS Gothic" w:eastAsia="MS Gothic" w:cs="MS Gothic"/>
                <w:color w:val="000000"/>
              </w:rPr>
            </w:pPr>
            <w:r>
              <w:rPr>
                <w:color w:val="000000"/>
                <w:rtl w:val="0"/>
              </w:rPr>
              <w:t xml:space="preserve">No </w:t>
            </w:r>
            <w:r>
              <w:rPr>
                <w:rFonts w:ascii="MS Gothic" w:hAnsi="MS Gothic" w:eastAsia="MS Gothic" w:cs="MS Gothic"/>
                <w:color w:val="000000"/>
                <w:rtl w:val="0"/>
              </w:rPr>
              <w:t xml:space="preserve">☐ </w:t>
            </w:r>
          </w:p>
        </w:tc>
      </w:tr>
      <w:tr w14:paraId="0B66D3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40" w:hRule="atLeast"/>
        </w:trPr>
        <w:tc>
          <w:tcPr>
            <w:tcMar>
              <w:top w:w="100" w:type="dxa"/>
              <w:left w:w="100" w:type="dxa"/>
              <w:bottom w:w="100" w:type="dxa"/>
              <w:right w:w="100" w:type="dxa"/>
            </w:tcMar>
          </w:tcPr>
          <w:p w14:paraId="0000003B">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02" w:firstLine="0"/>
              <w:rPr>
                <w:color w:val="000000"/>
              </w:rPr>
            </w:pPr>
            <w:r>
              <w:rPr>
                <w:color w:val="000000"/>
                <w:rtl w:val="0"/>
              </w:rPr>
              <w:t xml:space="preserve">WRITING </w:t>
            </w:r>
          </w:p>
        </w:tc>
        <w:tc>
          <w:tcPr>
            <w:tcMar>
              <w:top w:w="100" w:type="dxa"/>
              <w:left w:w="100" w:type="dxa"/>
              <w:bottom w:w="100" w:type="dxa"/>
              <w:right w:w="100" w:type="dxa"/>
            </w:tcMar>
          </w:tcPr>
          <w:p w14:paraId="0000003C">
            <w:pPr>
              <w:widowControl w:val="0"/>
              <w:pBdr>
                <w:top w:val="none" w:color="auto" w:sz="0" w:space="0"/>
                <w:left w:val="none" w:color="auto" w:sz="0" w:space="0"/>
                <w:bottom w:val="none" w:color="auto" w:sz="0" w:space="0"/>
                <w:right w:val="none" w:color="auto" w:sz="0" w:space="0"/>
                <w:between w:val="none" w:color="auto" w:sz="0" w:space="0"/>
              </w:pBdr>
              <w:spacing w:line="227" w:lineRule="auto"/>
              <w:ind w:left="103" w:right="25" w:firstLine="14"/>
              <w:rPr>
                <w:color w:val="000000"/>
              </w:rPr>
            </w:pPr>
            <w:r>
              <w:rPr>
                <w:color w:val="000000"/>
                <w:rtl w:val="0"/>
              </w:rPr>
              <w:t xml:space="preserve">For this assessment, you can use Generative AI  to create text for submission. </w:t>
            </w:r>
          </w:p>
        </w:tc>
        <w:tc>
          <w:tcPr>
            <w:tcMar>
              <w:top w:w="100" w:type="dxa"/>
              <w:left w:w="100" w:type="dxa"/>
              <w:bottom w:w="100" w:type="dxa"/>
              <w:right w:w="100" w:type="dxa"/>
            </w:tcMar>
          </w:tcPr>
          <w:p w14:paraId="0000003D">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00" w:firstLine="0"/>
              <w:rPr>
                <w:rFonts w:ascii="MS Gothic" w:hAnsi="MS Gothic" w:eastAsia="MS Gothic" w:cs="MS Gothic"/>
                <w:color w:val="000000"/>
              </w:rPr>
            </w:pPr>
            <w:r>
              <w:rPr>
                <w:color w:val="000000"/>
                <w:rtl w:val="0"/>
              </w:rPr>
              <w:t xml:space="preserve">Yes </w:t>
            </w:r>
            <w:r>
              <w:rPr>
                <w:rFonts w:ascii="MS Gothic" w:hAnsi="MS Gothic" w:eastAsia="MS Gothic" w:cs="MS Gothic"/>
                <w:color w:val="000000"/>
                <w:rtl w:val="0"/>
              </w:rPr>
              <w:t xml:space="preserve">☐  </w:t>
            </w:r>
          </w:p>
          <w:p w14:paraId="0000003E">
            <w:pPr>
              <w:widowControl w:val="0"/>
              <w:pBdr>
                <w:top w:val="none" w:color="auto" w:sz="0" w:space="0"/>
                <w:left w:val="none" w:color="auto" w:sz="0" w:space="0"/>
                <w:bottom w:val="none" w:color="auto" w:sz="0" w:space="0"/>
                <w:right w:val="none" w:color="auto" w:sz="0" w:space="0"/>
                <w:between w:val="none" w:color="auto" w:sz="0" w:space="0"/>
              </w:pBdr>
              <w:spacing w:before="18" w:line="240" w:lineRule="auto"/>
              <w:ind w:left="100" w:firstLine="0"/>
              <w:rPr>
                <w:rFonts w:ascii="MS Gothic" w:hAnsi="MS Gothic" w:eastAsia="MS Gothic" w:cs="MS Gothic"/>
                <w:color w:val="000000"/>
              </w:rPr>
            </w:pPr>
            <w:r>
              <w:rPr>
                <w:rFonts w:ascii="MS Gothic" w:hAnsi="MS Gothic" w:eastAsia="MS Gothic" w:cs="MS Gothic"/>
                <w:color w:val="000000"/>
                <w:rtl w:val="0"/>
              </w:rPr>
              <w:t xml:space="preserve">  </w:t>
            </w:r>
          </w:p>
          <w:p w14:paraId="0000003F">
            <w:pPr>
              <w:widowControl w:val="0"/>
              <w:pBdr>
                <w:top w:val="none" w:color="auto" w:sz="0" w:space="0"/>
                <w:left w:val="none" w:color="auto" w:sz="0" w:space="0"/>
                <w:bottom w:val="none" w:color="auto" w:sz="0" w:space="0"/>
                <w:right w:val="none" w:color="auto" w:sz="0" w:space="0"/>
                <w:between w:val="none" w:color="auto" w:sz="0" w:space="0"/>
              </w:pBdr>
              <w:spacing w:before="8" w:line="240" w:lineRule="auto"/>
              <w:ind w:left="116" w:firstLine="0"/>
              <w:rPr>
                <w:rFonts w:ascii="MS Gothic" w:hAnsi="MS Gothic" w:eastAsia="MS Gothic" w:cs="MS Gothic"/>
                <w:color w:val="000000"/>
              </w:rPr>
            </w:pPr>
            <w:r>
              <w:rPr>
                <w:color w:val="000000"/>
                <w:rtl w:val="0"/>
              </w:rPr>
              <w:t xml:space="preserve">No </w:t>
            </w:r>
            <w:r>
              <w:rPr>
                <w:rFonts w:ascii="MS Gothic" w:hAnsi="MS Gothic" w:eastAsia="MS Gothic" w:cs="MS Gothic"/>
                <w:color w:val="000000"/>
                <w:rtl w:val="0"/>
              </w:rPr>
              <w:t xml:space="preserve">☒ </w:t>
            </w:r>
          </w:p>
        </w:tc>
      </w:tr>
      <w:tr w14:paraId="128C8A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40" w:hRule="atLeast"/>
        </w:trPr>
        <w:tc>
          <w:tcPr>
            <w:tcMar>
              <w:top w:w="100" w:type="dxa"/>
              <w:left w:w="100" w:type="dxa"/>
              <w:bottom w:w="100" w:type="dxa"/>
              <w:right w:w="100" w:type="dxa"/>
            </w:tcMar>
          </w:tcPr>
          <w:p w14:paraId="00000040">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1" w:firstLine="0"/>
              <w:rPr>
                <w:color w:val="000000"/>
              </w:rPr>
            </w:pPr>
            <w:r>
              <w:rPr>
                <w:color w:val="000000"/>
                <w:rtl w:val="0"/>
              </w:rPr>
              <w:t xml:space="preserve">CREATIVE </w:t>
            </w:r>
          </w:p>
        </w:tc>
        <w:tc>
          <w:tcPr>
            <w:tcMar>
              <w:top w:w="100" w:type="dxa"/>
              <w:left w:w="100" w:type="dxa"/>
              <w:bottom w:w="100" w:type="dxa"/>
              <w:right w:w="100" w:type="dxa"/>
            </w:tcMar>
          </w:tcPr>
          <w:p w14:paraId="00000041">
            <w:pPr>
              <w:widowControl w:val="0"/>
              <w:pBdr>
                <w:top w:val="none" w:color="auto" w:sz="0" w:space="0"/>
                <w:left w:val="none" w:color="auto" w:sz="0" w:space="0"/>
                <w:bottom w:val="none" w:color="auto" w:sz="0" w:space="0"/>
                <w:right w:val="none" w:color="auto" w:sz="0" w:space="0"/>
                <w:between w:val="none" w:color="auto" w:sz="0" w:space="0"/>
              </w:pBdr>
              <w:spacing w:line="227" w:lineRule="auto"/>
              <w:ind w:left="103" w:right="25" w:firstLine="14"/>
              <w:rPr>
                <w:color w:val="000000"/>
              </w:rPr>
            </w:pPr>
            <w:r>
              <w:rPr>
                <w:color w:val="000000"/>
                <w:rtl w:val="0"/>
              </w:rPr>
              <w:t xml:space="preserve">For this assessment, you can use Generative AI  to create creative materials, such as images. </w:t>
            </w:r>
          </w:p>
        </w:tc>
        <w:tc>
          <w:tcPr>
            <w:tcMar>
              <w:top w:w="100" w:type="dxa"/>
              <w:left w:w="100" w:type="dxa"/>
              <w:bottom w:w="100" w:type="dxa"/>
              <w:right w:w="100" w:type="dxa"/>
            </w:tcMar>
          </w:tcPr>
          <w:p w14:paraId="00000042">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00" w:firstLine="0"/>
              <w:rPr>
                <w:rFonts w:ascii="MS Gothic" w:hAnsi="MS Gothic" w:eastAsia="MS Gothic" w:cs="MS Gothic"/>
                <w:color w:val="000000"/>
              </w:rPr>
            </w:pPr>
            <w:r>
              <w:rPr>
                <w:color w:val="000000"/>
                <w:rtl w:val="0"/>
              </w:rPr>
              <w:t xml:space="preserve">Yes </w:t>
            </w:r>
            <w:r>
              <w:rPr>
                <w:rFonts w:ascii="MS Gothic" w:hAnsi="MS Gothic" w:eastAsia="MS Gothic" w:cs="MS Gothic"/>
                <w:color w:val="000000"/>
                <w:rtl w:val="0"/>
              </w:rPr>
              <w:t xml:space="preserve">☐  </w:t>
            </w:r>
          </w:p>
          <w:p w14:paraId="00000043">
            <w:pPr>
              <w:widowControl w:val="0"/>
              <w:pBdr>
                <w:top w:val="none" w:color="auto" w:sz="0" w:space="0"/>
                <w:left w:val="none" w:color="auto" w:sz="0" w:space="0"/>
                <w:bottom w:val="none" w:color="auto" w:sz="0" w:space="0"/>
                <w:right w:val="none" w:color="auto" w:sz="0" w:space="0"/>
                <w:between w:val="none" w:color="auto" w:sz="0" w:space="0"/>
              </w:pBdr>
              <w:spacing w:before="18" w:line="240" w:lineRule="auto"/>
              <w:ind w:left="100" w:firstLine="0"/>
              <w:rPr>
                <w:rFonts w:ascii="MS Gothic" w:hAnsi="MS Gothic" w:eastAsia="MS Gothic" w:cs="MS Gothic"/>
                <w:color w:val="000000"/>
              </w:rPr>
            </w:pPr>
            <w:r>
              <w:rPr>
                <w:rFonts w:ascii="MS Gothic" w:hAnsi="MS Gothic" w:eastAsia="MS Gothic" w:cs="MS Gothic"/>
                <w:color w:val="000000"/>
                <w:rtl w:val="0"/>
              </w:rPr>
              <w:t xml:space="preserve">  </w:t>
            </w:r>
          </w:p>
          <w:p w14:paraId="00000044">
            <w:pPr>
              <w:widowControl w:val="0"/>
              <w:pBdr>
                <w:top w:val="none" w:color="auto" w:sz="0" w:space="0"/>
                <w:left w:val="none" w:color="auto" w:sz="0" w:space="0"/>
                <w:bottom w:val="none" w:color="auto" w:sz="0" w:space="0"/>
                <w:right w:val="none" w:color="auto" w:sz="0" w:space="0"/>
                <w:between w:val="none" w:color="auto" w:sz="0" w:space="0"/>
              </w:pBdr>
              <w:spacing w:before="8" w:line="240" w:lineRule="auto"/>
              <w:ind w:left="116" w:firstLine="0"/>
              <w:rPr>
                <w:rFonts w:ascii="MS Gothic" w:hAnsi="MS Gothic" w:eastAsia="MS Gothic" w:cs="MS Gothic"/>
                <w:color w:val="000000"/>
              </w:rPr>
            </w:pPr>
            <w:r>
              <w:rPr>
                <w:color w:val="000000"/>
                <w:rtl w:val="0"/>
              </w:rPr>
              <w:t xml:space="preserve">No </w:t>
            </w:r>
            <w:r>
              <w:rPr>
                <w:rFonts w:ascii="MS Gothic" w:hAnsi="MS Gothic" w:eastAsia="MS Gothic" w:cs="MS Gothic"/>
                <w:color w:val="000000"/>
                <w:rtl w:val="0"/>
              </w:rPr>
              <w:t xml:space="preserve">☒ </w:t>
            </w:r>
          </w:p>
        </w:tc>
      </w:tr>
      <w:tr w14:paraId="2D92A2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35" w:hRule="atLeast"/>
        </w:trPr>
        <w:tc>
          <w:tcPr>
            <w:tcMar>
              <w:top w:w="100" w:type="dxa"/>
              <w:left w:w="100" w:type="dxa"/>
              <w:bottom w:w="100" w:type="dxa"/>
              <w:right w:w="100" w:type="dxa"/>
            </w:tcMar>
          </w:tcPr>
          <w:p w14:paraId="00000045">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6" w:firstLine="0"/>
              <w:rPr>
                <w:color w:val="000000"/>
              </w:rPr>
            </w:pPr>
            <w:r>
              <w:rPr>
                <w:color w:val="000000"/>
                <w:rtl w:val="0"/>
              </w:rPr>
              <w:t xml:space="preserve">PROGRAMING </w:t>
            </w:r>
          </w:p>
        </w:tc>
        <w:tc>
          <w:tcPr>
            <w:tcMar>
              <w:top w:w="100" w:type="dxa"/>
              <w:left w:w="100" w:type="dxa"/>
              <w:bottom w:w="100" w:type="dxa"/>
              <w:right w:w="100" w:type="dxa"/>
            </w:tcMar>
          </w:tcPr>
          <w:p w14:paraId="00000046">
            <w:pPr>
              <w:widowControl w:val="0"/>
              <w:pBdr>
                <w:top w:val="none" w:color="auto" w:sz="0" w:space="0"/>
                <w:left w:val="none" w:color="auto" w:sz="0" w:space="0"/>
                <w:bottom w:val="none" w:color="auto" w:sz="0" w:space="0"/>
                <w:right w:val="none" w:color="auto" w:sz="0" w:space="0"/>
                <w:between w:val="none" w:color="auto" w:sz="0" w:space="0"/>
              </w:pBdr>
              <w:spacing w:line="232" w:lineRule="auto"/>
              <w:ind w:left="103" w:right="25" w:firstLine="14"/>
              <w:rPr>
                <w:color w:val="000000"/>
              </w:rPr>
            </w:pPr>
            <w:r>
              <w:rPr>
                <w:color w:val="000000"/>
                <w:rtl w:val="0"/>
              </w:rPr>
              <w:t xml:space="preserve">For this assessment, you can use Generative AI  to create and check code. </w:t>
            </w:r>
          </w:p>
        </w:tc>
        <w:tc>
          <w:tcPr>
            <w:tcMar>
              <w:top w:w="100" w:type="dxa"/>
              <w:left w:w="100" w:type="dxa"/>
              <w:bottom w:w="100" w:type="dxa"/>
              <w:right w:w="100" w:type="dxa"/>
            </w:tcMar>
          </w:tcPr>
          <w:p w14:paraId="00000047">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00" w:firstLine="0"/>
              <w:rPr>
                <w:rFonts w:ascii="MS Gothic" w:hAnsi="MS Gothic" w:eastAsia="MS Gothic" w:cs="MS Gothic"/>
                <w:color w:val="000000"/>
              </w:rPr>
            </w:pPr>
            <w:r>
              <w:rPr>
                <w:color w:val="000000"/>
                <w:rtl w:val="0"/>
              </w:rPr>
              <w:t xml:space="preserve">Yes </w:t>
            </w:r>
            <w:r>
              <w:rPr>
                <w:rFonts w:ascii="MS Gothic" w:hAnsi="MS Gothic" w:eastAsia="MS Gothic" w:cs="MS Gothic"/>
                <w:color w:val="000000"/>
                <w:rtl w:val="0"/>
              </w:rPr>
              <w:t xml:space="preserve">☐  </w:t>
            </w:r>
          </w:p>
          <w:p w14:paraId="00000048">
            <w:pPr>
              <w:widowControl w:val="0"/>
              <w:pBdr>
                <w:top w:val="none" w:color="auto" w:sz="0" w:space="0"/>
                <w:left w:val="none" w:color="auto" w:sz="0" w:space="0"/>
                <w:bottom w:val="none" w:color="auto" w:sz="0" w:space="0"/>
                <w:right w:val="none" w:color="auto" w:sz="0" w:space="0"/>
                <w:between w:val="none" w:color="auto" w:sz="0" w:space="0"/>
              </w:pBdr>
              <w:spacing w:before="13" w:line="240" w:lineRule="auto"/>
              <w:ind w:left="100" w:firstLine="0"/>
              <w:rPr>
                <w:rFonts w:ascii="MS Gothic" w:hAnsi="MS Gothic" w:eastAsia="MS Gothic" w:cs="MS Gothic"/>
                <w:color w:val="000000"/>
              </w:rPr>
            </w:pPr>
            <w:r>
              <w:rPr>
                <w:rFonts w:ascii="MS Gothic" w:hAnsi="MS Gothic" w:eastAsia="MS Gothic" w:cs="MS Gothic"/>
                <w:color w:val="000000"/>
                <w:rtl w:val="0"/>
              </w:rPr>
              <w:t xml:space="preserve">  </w:t>
            </w:r>
          </w:p>
          <w:p w14:paraId="00000049">
            <w:pPr>
              <w:widowControl w:val="0"/>
              <w:pBdr>
                <w:top w:val="none" w:color="auto" w:sz="0" w:space="0"/>
                <w:left w:val="none" w:color="auto" w:sz="0" w:space="0"/>
                <w:bottom w:val="none" w:color="auto" w:sz="0" w:space="0"/>
                <w:right w:val="none" w:color="auto" w:sz="0" w:space="0"/>
                <w:between w:val="none" w:color="auto" w:sz="0" w:space="0"/>
              </w:pBdr>
              <w:spacing w:before="8" w:line="240" w:lineRule="auto"/>
              <w:ind w:left="116" w:firstLine="0"/>
              <w:rPr>
                <w:rFonts w:ascii="MS Gothic" w:hAnsi="MS Gothic" w:eastAsia="MS Gothic" w:cs="MS Gothic"/>
                <w:color w:val="000000"/>
              </w:rPr>
            </w:pPr>
            <w:r>
              <w:rPr>
                <w:color w:val="000000"/>
                <w:rtl w:val="0"/>
              </w:rPr>
              <w:t xml:space="preserve">No </w:t>
            </w:r>
            <w:r>
              <w:rPr>
                <w:rFonts w:ascii="MS Gothic" w:hAnsi="MS Gothic" w:eastAsia="MS Gothic" w:cs="MS Gothic"/>
                <w:color w:val="000000"/>
                <w:rtl w:val="0"/>
              </w:rPr>
              <w:t xml:space="preserve">☒ </w:t>
            </w:r>
          </w:p>
        </w:tc>
      </w:tr>
      <w:tr w14:paraId="674516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80" w:hRule="atLeast"/>
        </w:trPr>
        <w:tc>
          <w:tcPr>
            <w:tcMar>
              <w:top w:w="100" w:type="dxa"/>
              <w:left w:w="100" w:type="dxa"/>
              <w:bottom w:w="100" w:type="dxa"/>
              <w:right w:w="100" w:type="dxa"/>
            </w:tcMar>
          </w:tcPr>
          <w:p w14:paraId="0000004A">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16" w:firstLine="0"/>
              <w:rPr>
                <w:color w:val="000000"/>
              </w:rPr>
            </w:pPr>
            <w:r>
              <w:rPr>
                <w:color w:val="000000"/>
                <w:rtl w:val="0"/>
              </w:rPr>
              <w:t xml:space="preserve">NONE </w:t>
            </w:r>
          </w:p>
        </w:tc>
        <w:tc>
          <w:tcPr>
            <w:tcMar>
              <w:top w:w="100" w:type="dxa"/>
              <w:left w:w="100" w:type="dxa"/>
              <w:bottom w:w="100" w:type="dxa"/>
              <w:right w:w="100" w:type="dxa"/>
            </w:tcMar>
          </w:tcPr>
          <w:p w14:paraId="0000004B">
            <w:pPr>
              <w:widowControl w:val="0"/>
              <w:pBdr>
                <w:top w:val="none" w:color="auto" w:sz="0" w:space="0"/>
                <w:left w:val="none" w:color="auto" w:sz="0" w:space="0"/>
                <w:bottom w:val="none" w:color="auto" w:sz="0" w:space="0"/>
                <w:right w:val="none" w:color="auto" w:sz="0" w:space="0"/>
                <w:between w:val="none" w:color="auto" w:sz="0" w:space="0"/>
              </w:pBdr>
              <w:spacing w:line="229" w:lineRule="auto"/>
              <w:ind w:left="100" w:right="25" w:firstLine="16"/>
              <w:jc w:val="both"/>
              <w:rPr>
                <w:color w:val="000000"/>
              </w:rPr>
            </w:pPr>
            <w:r>
              <w:rPr>
                <w:color w:val="000000"/>
                <w:rtl w:val="0"/>
              </w:rPr>
              <w:t>For this assessment, you are not allowed to use</w:t>
            </w:r>
            <w:r>
              <w:rPr>
                <w:rtl w:val="0"/>
              </w:rPr>
              <w:t xml:space="preserve"> any</w:t>
            </w:r>
            <w:r>
              <w:rPr>
                <w:b/>
                <w:bCs/>
                <w:color w:val="000000"/>
                <w:rtl w:val="0"/>
              </w:rPr>
              <w:t xml:space="preserve"> </w:t>
            </w:r>
            <w:r>
              <w:rPr>
                <w:color w:val="000000"/>
                <w:rtl w:val="0"/>
              </w:rPr>
              <w:t>type of Generative AI support. This include</w:t>
            </w:r>
            <w:r>
              <w:rPr>
                <w:rtl w:val="0"/>
              </w:rPr>
              <w:t xml:space="preserve"> researchh</w:t>
            </w:r>
            <w:r>
              <w:rPr>
                <w:color w:val="000000"/>
                <w:rtl w:val="0"/>
              </w:rPr>
              <w:t xml:space="preserve">h support, structure support,  writing/proofreading support and </w:t>
            </w:r>
            <w:r>
              <w:rPr>
                <w:rtl w:val="0"/>
              </w:rPr>
              <w:t xml:space="preserve">creative support </w:t>
            </w:r>
            <w:r>
              <w:rPr>
                <w:color w:val="000000"/>
                <w:rtl w:val="0"/>
              </w:rPr>
              <w:t xml:space="preserve">rt. </w:t>
            </w:r>
          </w:p>
        </w:tc>
        <w:tc>
          <w:tcPr>
            <w:tcMar>
              <w:top w:w="100" w:type="dxa"/>
              <w:left w:w="100" w:type="dxa"/>
              <w:bottom w:w="100" w:type="dxa"/>
              <w:right w:w="100" w:type="dxa"/>
            </w:tcMar>
          </w:tcPr>
          <w:p w14:paraId="0000004C">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100" w:firstLine="0"/>
              <w:rPr>
                <w:rFonts w:ascii="MS Gothic" w:hAnsi="MS Gothic" w:eastAsia="MS Gothic" w:cs="MS Gothic"/>
                <w:color w:val="000000"/>
              </w:rPr>
            </w:pPr>
            <w:r>
              <w:rPr>
                <w:color w:val="000000"/>
                <w:rtl w:val="0"/>
              </w:rPr>
              <w:t xml:space="preserve">Yes </w:t>
            </w:r>
            <w:r>
              <w:rPr>
                <w:rFonts w:ascii="MS Gothic" w:hAnsi="MS Gothic" w:eastAsia="MS Gothic" w:cs="MS Gothic"/>
                <w:color w:val="000000"/>
                <w:rtl w:val="0"/>
              </w:rPr>
              <w:t xml:space="preserve">☐  </w:t>
            </w:r>
          </w:p>
          <w:p w14:paraId="0000004D">
            <w:pPr>
              <w:widowControl w:val="0"/>
              <w:pBdr>
                <w:top w:val="none" w:color="auto" w:sz="0" w:space="0"/>
                <w:left w:val="none" w:color="auto" w:sz="0" w:space="0"/>
                <w:bottom w:val="none" w:color="auto" w:sz="0" w:space="0"/>
                <w:right w:val="none" w:color="auto" w:sz="0" w:space="0"/>
                <w:between w:val="none" w:color="auto" w:sz="0" w:space="0"/>
              </w:pBdr>
              <w:spacing w:before="18" w:line="240" w:lineRule="auto"/>
              <w:ind w:left="100" w:firstLine="0"/>
              <w:rPr>
                <w:rFonts w:ascii="MS Gothic" w:hAnsi="MS Gothic" w:eastAsia="MS Gothic" w:cs="MS Gothic"/>
                <w:color w:val="000000"/>
              </w:rPr>
            </w:pPr>
            <w:r>
              <w:rPr>
                <w:rFonts w:ascii="MS Gothic" w:hAnsi="MS Gothic" w:eastAsia="MS Gothic" w:cs="MS Gothic"/>
                <w:color w:val="000000"/>
                <w:rtl w:val="0"/>
              </w:rPr>
              <w:t xml:space="preserve">  </w:t>
            </w:r>
          </w:p>
          <w:p w14:paraId="0000004E">
            <w:pPr>
              <w:widowControl w:val="0"/>
              <w:pBdr>
                <w:top w:val="none" w:color="auto" w:sz="0" w:space="0"/>
                <w:left w:val="none" w:color="auto" w:sz="0" w:space="0"/>
                <w:bottom w:val="none" w:color="auto" w:sz="0" w:space="0"/>
                <w:right w:val="none" w:color="auto" w:sz="0" w:space="0"/>
                <w:between w:val="none" w:color="auto" w:sz="0" w:space="0"/>
              </w:pBdr>
              <w:spacing w:before="8" w:line="240" w:lineRule="auto"/>
              <w:ind w:left="116" w:firstLine="0"/>
              <w:rPr>
                <w:rFonts w:ascii="MS Gothic" w:hAnsi="MS Gothic" w:eastAsia="MS Gothic" w:cs="MS Gothic"/>
                <w:color w:val="000000"/>
              </w:rPr>
            </w:pPr>
            <w:r>
              <w:rPr>
                <w:color w:val="000000"/>
                <w:rtl w:val="0"/>
              </w:rPr>
              <w:t xml:space="preserve">No </w:t>
            </w:r>
            <w:r>
              <w:rPr>
                <w:rFonts w:ascii="MS Gothic" w:hAnsi="MS Gothic" w:eastAsia="MS Gothic" w:cs="MS Gothic"/>
                <w:color w:val="000000"/>
                <w:rtl w:val="0"/>
              </w:rPr>
              <w:t xml:space="preserve">☒ </w:t>
            </w:r>
          </w:p>
        </w:tc>
      </w:tr>
    </w:tbl>
    <w:p w14:paraId="0000004F">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050">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051">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5" w:firstLine="0"/>
        <w:rPr>
          <w:rFonts w:ascii="MS Gothic" w:hAnsi="MS Gothic" w:eastAsia="MS Gothic" w:cs="MS Gothic"/>
          <w:color w:val="000000"/>
        </w:rPr>
      </w:pPr>
      <w:r>
        <w:rPr>
          <w:rFonts w:ascii="MS Gothic" w:hAnsi="MS Gothic" w:eastAsia="MS Gothic" w:cs="MS Gothic"/>
          <w:color w:val="000000"/>
          <w:rtl w:val="0"/>
        </w:rPr>
        <w:t xml:space="preserve">  </w:t>
      </w:r>
    </w:p>
    <w:p w14:paraId="00000052">
      <w:pPr>
        <w:widowControl w:val="0"/>
        <w:pBdr>
          <w:top w:val="none" w:color="auto" w:sz="0" w:space="0"/>
          <w:left w:val="none" w:color="auto" w:sz="0" w:space="0"/>
          <w:bottom w:val="none" w:color="auto" w:sz="0" w:space="0"/>
          <w:right w:val="none" w:color="auto" w:sz="0" w:space="0"/>
          <w:between w:val="none" w:color="auto" w:sz="0" w:space="0"/>
        </w:pBdr>
        <w:spacing w:before="274" w:line="240" w:lineRule="auto"/>
        <w:ind w:left="70" w:firstLine="0"/>
        <w:rPr>
          <w:color w:val="000000"/>
          <w:sz w:val="24"/>
          <w:szCs w:val="24"/>
        </w:rPr>
      </w:pPr>
      <w:r>
        <w:rPr>
          <w:color w:val="000000"/>
          <w:sz w:val="24"/>
          <w:szCs w:val="24"/>
          <w:rtl w:val="0"/>
        </w:rPr>
        <w:t xml:space="preserve">AI Acknowledgement </w:t>
      </w:r>
    </w:p>
    <w:p w14:paraId="00000053">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725" w:firstLine="0"/>
        <w:rPr>
          <w:color w:val="000000"/>
          <w:sz w:val="24"/>
          <w:szCs w:val="24"/>
        </w:rPr>
      </w:pPr>
      <w:r>
        <w:rPr>
          <w:color w:val="000000"/>
          <w:sz w:val="24"/>
          <w:szCs w:val="24"/>
          <w:rtl w:val="0"/>
        </w:rPr>
        <w:t xml:space="preserve">  </w:t>
      </w:r>
    </w:p>
    <w:p w14:paraId="00000054">
      <w:pPr>
        <w:widowControl w:val="0"/>
        <w:pBdr>
          <w:top w:val="none" w:color="auto" w:sz="0" w:space="0"/>
          <w:left w:val="none" w:color="auto" w:sz="0" w:space="0"/>
          <w:bottom w:val="none" w:color="auto" w:sz="0" w:space="0"/>
          <w:right w:val="none" w:color="auto" w:sz="0" w:space="0"/>
          <w:between w:val="none" w:color="auto" w:sz="0" w:space="0"/>
        </w:pBdr>
        <w:spacing w:line="229" w:lineRule="auto"/>
        <w:ind w:left="729" w:firstLine="17"/>
        <w:rPr>
          <w:color w:val="000000"/>
          <w:sz w:val="24"/>
          <w:szCs w:val="24"/>
        </w:rPr>
      </w:pPr>
      <w:r>
        <w:rPr>
          <w:color w:val="000000"/>
          <w:sz w:val="24"/>
          <w:szCs w:val="24"/>
          <w:rtl w:val="0"/>
        </w:rPr>
        <w:t xml:space="preserve">I confirm that I have not </w:t>
      </w:r>
      <w:r>
        <w:rPr>
          <w:sz w:val="24"/>
          <w:szCs w:val="24"/>
          <w:rtl w:val="0"/>
        </w:rPr>
        <w:t>presented</w:t>
      </w:r>
      <w:r>
        <w:rPr>
          <w:color w:val="000000"/>
          <w:sz w:val="24"/>
          <w:szCs w:val="24"/>
          <w:rtl w:val="0"/>
        </w:rPr>
        <w:t xml:space="preserve"> any AI-generated materials as my own work in</w:t>
      </w:r>
      <w:r>
        <w:rPr>
          <w:sz w:val="24"/>
          <w:szCs w:val="24"/>
          <w:rtl w:val="0"/>
        </w:rPr>
        <w:t xml:space="preserve"> </w:t>
      </w:r>
      <w:r>
        <w:rPr>
          <w:color w:val="000000"/>
          <w:sz w:val="24"/>
          <w:szCs w:val="24"/>
          <w:rtl w:val="0"/>
        </w:rPr>
        <w:t xml:space="preserve">his portfolio. </w:t>
      </w:r>
    </w:p>
    <w:p w14:paraId="00000055">
      <w:pPr>
        <w:widowControl w:val="0"/>
        <w:pBdr>
          <w:top w:val="none" w:color="auto" w:sz="0" w:space="0"/>
          <w:left w:val="none" w:color="auto" w:sz="0" w:space="0"/>
          <w:bottom w:val="none" w:color="auto" w:sz="0" w:space="0"/>
          <w:right w:val="none" w:color="auto" w:sz="0" w:space="0"/>
          <w:between w:val="none" w:color="auto" w:sz="0" w:space="0"/>
        </w:pBdr>
        <w:spacing w:before="10" w:line="240" w:lineRule="auto"/>
        <w:ind w:left="725" w:firstLine="0"/>
        <w:rPr>
          <w:color w:val="000000"/>
          <w:sz w:val="24"/>
          <w:szCs w:val="24"/>
        </w:rPr>
      </w:pPr>
      <w:r>
        <w:rPr>
          <w:color w:val="000000"/>
          <w:sz w:val="24"/>
          <w:szCs w:val="24"/>
          <w:rtl w:val="0"/>
        </w:rPr>
        <w:t xml:space="preserve">  </w:t>
      </w:r>
    </w:p>
    <w:p w14:paraId="00000056">
      <w:pPr>
        <w:widowControl w:val="0"/>
        <w:pBdr>
          <w:top w:val="none" w:color="auto" w:sz="0" w:space="0"/>
          <w:left w:val="none" w:color="auto" w:sz="0" w:space="0"/>
          <w:bottom w:val="none" w:color="auto" w:sz="0" w:space="0"/>
          <w:right w:val="none" w:color="auto" w:sz="0" w:space="0"/>
          <w:between w:val="none" w:color="auto" w:sz="0" w:space="0"/>
        </w:pBdr>
        <w:spacing w:line="229" w:lineRule="auto"/>
        <w:ind w:left="734" w:right="2" w:firstLine="10"/>
        <w:rPr>
          <w:color w:val="000000"/>
          <w:sz w:val="24"/>
          <w:szCs w:val="24"/>
        </w:rPr>
      </w:pPr>
      <w:r>
        <w:rPr>
          <w:color w:val="000000"/>
          <w:sz w:val="24"/>
          <w:szCs w:val="24"/>
          <w:rtl w:val="0"/>
        </w:rPr>
        <w:t>However, I acknowledge that I have used or may have used the AI in the research</w:t>
      </w:r>
      <w:r>
        <w:rPr>
          <w:sz w:val="24"/>
          <w:szCs w:val="24"/>
          <w:rtl w:val="0"/>
        </w:rPr>
        <w:t xml:space="preserve"> </w:t>
      </w:r>
      <w:r>
        <w:rPr>
          <w:color w:val="000000"/>
          <w:sz w:val="24"/>
          <w:szCs w:val="24"/>
          <w:rtl w:val="0"/>
        </w:rPr>
        <w:t xml:space="preserve">and proofreading of my portfolio. </w:t>
      </w:r>
    </w:p>
    <w:p w14:paraId="00000057">
      <w:pPr>
        <w:widowControl w:val="0"/>
        <w:pBdr>
          <w:top w:val="none" w:color="auto" w:sz="0" w:space="0"/>
          <w:left w:val="none" w:color="auto" w:sz="0" w:space="0"/>
          <w:bottom w:val="none" w:color="auto" w:sz="0" w:space="0"/>
          <w:right w:val="none" w:color="auto" w:sz="0" w:space="0"/>
          <w:between w:val="none" w:color="auto" w:sz="0" w:space="0"/>
        </w:pBdr>
        <w:spacing w:before="5" w:line="240" w:lineRule="auto"/>
        <w:ind w:left="725" w:firstLine="0"/>
        <w:rPr>
          <w:color w:val="000000"/>
          <w:sz w:val="24"/>
          <w:szCs w:val="24"/>
        </w:rPr>
      </w:pPr>
      <w:r>
        <w:rPr>
          <w:color w:val="000000"/>
          <w:sz w:val="24"/>
          <w:szCs w:val="24"/>
          <w:rtl w:val="0"/>
        </w:rPr>
        <w:t xml:space="preserve">  </w:t>
      </w:r>
    </w:p>
    <w:p w14:paraId="00000058">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743" w:firstLine="0"/>
        <w:rPr>
          <w:color w:val="000000"/>
          <w:sz w:val="24"/>
          <w:szCs w:val="24"/>
        </w:rPr>
      </w:pPr>
      <w:r>
        <w:rPr>
          <w:color w:val="000000"/>
          <w:sz w:val="24"/>
          <w:szCs w:val="24"/>
          <w:rtl w:val="0"/>
        </w:rPr>
        <w:t xml:space="preserve">Name: Md Saiful Islam </w:t>
      </w:r>
    </w:p>
    <w:p w14:paraId="00000059">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736" w:firstLine="0"/>
        <w:rPr>
          <w:color w:val="000000"/>
          <w:sz w:val="24"/>
          <w:szCs w:val="24"/>
        </w:rPr>
      </w:pPr>
      <w:r>
        <w:rPr>
          <w:color w:val="000000"/>
          <w:sz w:val="24"/>
          <w:szCs w:val="24"/>
          <w:rtl w:val="0"/>
        </w:rPr>
        <w:t>Student ID 2418665</w:t>
      </w:r>
    </w:p>
    <w:p w14:paraId="3E6E5B21">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9" w:firstLine="0"/>
        <w:jc w:val="center"/>
        <w:rPr>
          <w:rFonts w:ascii="Times New Roman" w:hAnsi="Times New Roman" w:eastAsia="Times New Roman" w:cs="Times New Roman"/>
          <w:b/>
          <w:bCs/>
          <w:color w:val="000000"/>
          <w:sz w:val="24"/>
          <w:szCs w:val="24"/>
          <w:rtl w:val="0"/>
        </w:rPr>
        <w:sectPr>
          <w:type w:val="continuous"/>
          <w:pgSz w:w="12240" w:h="15840"/>
          <w:pgMar w:top="1425" w:right="1375" w:bottom="905" w:left="1435" w:header="0" w:footer="720" w:gutter="0"/>
          <w:pgNumType w:start="1"/>
          <w:cols w:space="720" w:num="1"/>
        </w:sectPr>
      </w:pPr>
    </w:p>
    <w:p w14:paraId="0000005B">
      <w:pPr>
        <w:pStyle w:val="2"/>
        <w:bidi w:val="0"/>
        <w:rPr>
          <w:rtl w:val="0"/>
        </w:rPr>
      </w:pPr>
      <w:bookmarkStart w:id="0" w:name="_Toc27073"/>
      <w:r>
        <w:rPr>
          <w:rtl w:val="0"/>
        </w:rPr>
        <w:t>Executive Summary</w:t>
      </w:r>
      <w:bookmarkEnd w:id="0"/>
      <w:r>
        <w:rPr>
          <w:rtl w:val="0"/>
        </w:rPr>
        <w:t xml:space="preserve"> </w:t>
      </w:r>
    </w:p>
    <w:p w14:paraId="19E2D829"/>
    <w:p w14:paraId="0000005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This is a report to assess the financial viability of a capital investment project of 50 million pounds to develop an automated logistics distribution centre. The analysis evaluates financing choices, investment feasibility, cost management systems and financial reporting systems to make informed choices. </w:t>
      </w:r>
    </w:p>
    <w:p w14:paraId="0000005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outcome of the capital budgeting shows that the project is viable in terms of finance. Net Present Value (NPV) is positive, which is equal to 3.67 million pounds, implying that the project will create returns that exceed its initial investment. The cost of capital is estimated at per cent, and therefore,  if the approved returns are above the estimated cost of capital of 8 percent being 10 per cent. It is projected that the payback period is 6.25 years, and the profitability index (PI) of 1.07 is yet another indication that the project has the potential to generate value.</w:t>
      </w:r>
    </w:p>
    <w:p w14:paraId="0000005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Commercial bank loans, corporate bonds and green financing instruments were considered as three financing options. According to the cost, risk and long-term sustainability, a mix of corporate bonds and green financing is said to be the most appropriate solution because it will allow access to cheaper capital and at the same time help to achieve environmental goals.</w:t>
      </w:r>
    </w:p>
    <w:p w14:paraId="0000005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project is, however, exposed to risks like uncertainty on demand, cost variations, and operational difficulties which can impact the forecasted cash flows. Thus, financial discipline is necessary, and this is achieved by using appropriate cost control systems such as contingency budgeting and earned value management.</w:t>
      </w:r>
    </w:p>
    <w:p w14:paraId="00000060">
      <w:pPr>
        <w:spacing w:line="360" w:lineRule="auto"/>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sz w:val="24"/>
          <w:szCs w:val="24"/>
          <w:rtl w:val="0"/>
        </w:rPr>
        <w:t>In general, the project is expected to be approved, though strong financial controls and control systems should be established in order to control the risks and improve long-term performance.</w:t>
      </w:r>
    </w:p>
    <w:p w14:paraId="00000061">
      <w:pPr>
        <w:widowControl w:val="0"/>
        <w:pBdr>
          <w:top w:val="none" w:color="auto" w:sz="0" w:space="0"/>
          <w:left w:val="none" w:color="auto" w:sz="0" w:space="0"/>
          <w:bottom w:val="none" w:color="auto" w:sz="0" w:space="0"/>
          <w:right w:val="none" w:color="auto" w:sz="0" w:space="0"/>
          <w:between w:val="none" w:color="auto" w:sz="0" w:space="0"/>
        </w:pBdr>
        <w:spacing w:before="134" w:line="344" w:lineRule="auto"/>
        <w:ind w:left="4" w:firstLine="6"/>
        <w:jc w:val="both"/>
        <w:rPr>
          <w:rFonts w:ascii="Times New Roman" w:hAnsi="Times New Roman" w:eastAsia="Times New Roman" w:cs="Times New Roman"/>
          <w:sz w:val="24"/>
          <w:szCs w:val="24"/>
        </w:rPr>
      </w:pPr>
    </w:p>
    <w:p w14:paraId="0000006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sz w:val="24"/>
          <w:szCs w:val="24"/>
        </w:rPr>
      </w:pPr>
      <w:r>
        <w:br w:type="page"/>
      </w:r>
    </w:p>
    <w:p w14:paraId="0000006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Table of contents </w:t>
      </w:r>
    </w:p>
    <w:p w14:paraId="0000006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sz w:val="24"/>
          <w:szCs w:val="24"/>
        </w:rPr>
      </w:pPr>
    </w:p>
    <w:sdt>
      <w:sdtPr>
        <w:id w:val="-808232482"/>
        <w:docPartObj>
          <w:docPartGallery w:val="Table of Contents"/>
          <w:docPartUnique/>
        </w:docPartObj>
      </w:sdtPr>
      <w:sdtEndPr>
        <w:rPr>
          <w:rFonts w:hint="default" w:ascii="Times New Roman" w:hAnsi="Times New Roman" w:cs="Times New Roman"/>
          <w:sz w:val="24"/>
          <w:szCs w:val="24"/>
        </w:rPr>
      </w:sdtEndPr>
      <w:sdtContent>
        <w:p w14:paraId="7AAD04E3">
          <w:pPr>
            <w:widowControl w:val="0"/>
            <w:tabs>
              <w:tab w:val="right" w:pos="12000"/>
            </w:tabs>
            <w:spacing w:before="60" w:line="240" w:lineRule="auto"/>
            <w:rPr>
              <w:rFonts w:hint="default" w:ascii="Times New Roman" w:hAnsi="Times New Roman" w:eastAsia="Arial" w:cs="Times New Roman"/>
              <w:sz w:val="24"/>
              <w:szCs w:val="24"/>
              <w:lang w:val="en-I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\h \u \z \t "Heading 1,1,Heading 2,2,Heading 3,3,Heading 4,4,Heading 5,5,Heading 6,6,"</w:instrText>
          </w:r>
          <w:r>
            <w:rPr>
              <w:rFonts w:hint="default" w:ascii="Times New Roman" w:hAnsi="Times New Roman" w:cs="Times New Roman"/>
              <w:sz w:val="24"/>
              <w:szCs w:val="24"/>
            </w:rPr>
            <w:fldChar w:fldCharType="separate"/>
          </w:r>
        </w:p>
        <w:p w14:paraId="646D2375">
          <w:pPr>
            <w:pStyle w:val="14"/>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_Toc27073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_Toc27073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7030B52">
          <w:pPr>
            <w:pStyle w:val="14"/>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_Toc23688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Introduction and Project Overview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_Toc23688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2FF7291">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_Toc25521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Background of the Organisation: Amazon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_Toc25521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0C7159C">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_Toc31594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Description of the Proposed Capital Project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_Toc31594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3E937C0">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Purpose of the Financial Evaluation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F87C3F9">
          <w:pPr>
            <w:pStyle w:val="14"/>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Main body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5CD6452">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_Toc21838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Section A: Sources of Financing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_Toc21838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16C06B0">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_Toc1478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1.1 Overview of Project Financing Requirements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_Toc1478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C3568E6">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_Toc5411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1.2 Financing Option 1: Commercial Bank Loans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_Toc5411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A1D7E08">
          <w:pPr>
            <w:pStyle w:val="16"/>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_Toc3312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1.2.1 Description and Advantages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_Toc3312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56EE8AE">
          <w:pPr>
            <w:pStyle w:val="16"/>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_Toc23374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1.2.2 Cost of Capital, Risks and Example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_Toc23374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1E6E5C0">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_Toc6288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1.3 Financing Option 2: Corporate Bonds / Project Bonds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_Toc6288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AF0C56C">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_Toc19111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1.4 Financing Option 3: Green Financing Instruments / Government Grants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_Toc19111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7B44696">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_Toc3583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1.5 Comparative Evaluation of Financing Options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_Toc3583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24BE07B">
          <w:pPr>
            <w:pStyle w:val="14"/>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_Toc12691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Section B: Capital Investment Appraisal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_Toc12691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13113E8">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_Toc20145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2.1 Key Financial Assumptions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_Toc20145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53ADFBE">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_Toc11704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2.2 Net Present Value (NPV)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_Toc11704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6478542">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_Toc17331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2.3 Internal Rate of Return (IRR)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_Toc17331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7576B63">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_Toc9726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2.4 Payback Period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_Toc9726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661B80F">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_Toc6675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2.5 Profitability Index (PI)</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_Toc6675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F159AAD">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_Toc5604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2.6 Scenario Analysis (Base, Best, Worst Case)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_Toc5604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07BF267">
          <w:pPr>
            <w:pStyle w:val="16"/>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_Toc24434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2.6.1 Scenario Comparison (Base, Best, and Worst Case)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_Toc24434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DAE38FF">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_Toc15413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2.6.2 Impact of Uncertainty on Financial Outcomes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_Toc15413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2F94119">
          <w:pPr>
            <w:pStyle w:val="14"/>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_Toc26713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Section C: Cost Control Plan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_Toc26713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A364843">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_Toc4249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3.1 Importance of Cost Control in Capital Projects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_Toc4249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EB916A7">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_Toc30214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3.2 Contingency Budgeting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_Toc30214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E238A18">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_Toc16035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3.3 Earned Value Management (EVM) Indicators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_Toc16035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106CF15">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_Toc32717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3.4 Cost Monitoring and Procurement Controls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_Toc32717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02F339A">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_Toc6722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3.5 Risk Mitigation Strategies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_Toc6722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DCA0212">
          <w:pPr>
            <w:pStyle w:val="14"/>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_Toc25657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Section D: Project Financial Reporting Framework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_Toc25657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F49867D">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_Toc24768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4.1 Types and Frequency of Financial Reports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_Toc24768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FF99A1E">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4.2 Key Financial KPIs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_Toc10393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D5915CD">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_Toc29363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4.3 Governance and Reporting Structure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_Toc29363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DB5CB95">
          <w:pPr>
            <w:pStyle w:val="15"/>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_Toc24994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4.4 Use of Financial Software Tools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_Toc24994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87B9738">
          <w:pPr>
            <w:pStyle w:val="14"/>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_Toc22162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Conclusion and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_Toc22162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F3921EF">
          <w:pPr>
            <w:pStyle w:val="14"/>
            <w:tabs>
              <w:tab w:val="right" w:leader="dot" w:pos="943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_Toc30267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tl w:val="0"/>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_Toc30267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0000085">
          <w:pPr>
            <w:widowControl w:val="0"/>
            <w:tabs>
              <w:tab w:val="right" w:pos="12000"/>
            </w:tabs>
            <w:spacing w:before="60" w:line="240" w:lineRule="auto"/>
            <w:rPr>
              <w:rFonts w:hint="default" w:ascii="Times New Roman" w:hAnsi="Times New Roman" w:cs="Times New Roman"/>
              <w:b/>
              <w:bCs/>
              <w:color w:val="000000"/>
              <w:sz w:val="24"/>
              <w:szCs w:val="24"/>
              <w:u w:val="none"/>
            </w:rPr>
          </w:pPr>
          <w:r>
            <w:rPr>
              <w:rFonts w:hint="default" w:ascii="Times New Roman" w:hAnsi="Times New Roman" w:cs="Times New Roman"/>
              <w:sz w:val="24"/>
              <w:szCs w:val="24"/>
            </w:rPr>
            <w:fldChar w:fldCharType="end"/>
          </w:r>
        </w:p>
      </w:sdtContent>
    </w:sdt>
    <w:p w14:paraId="00000086">
      <w:pPr>
        <w:widowControl w:val="0"/>
        <w:pBdr>
          <w:top w:val="none" w:color="auto" w:sz="0" w:space="0"/>
          <w:left w:val="none" w:color="auto" w:sz="0" w:space="0"/>
          <w:bottom w:val="none" w:color="auto" w:sz="0" w:space="0"/>
          <w:right w:val="none" w:color="auto" w:sz="0" w:space="0"/>
          <w:between w:val="none" w:color="auto" w:sz="0" w:space="0"/>
        </w:pBdr>
        <w:spacing w:line="345" w:lineRule="auto"/>
        <w:ind w:left="9" w:right="60" w:firstLine="0"/>
        <w:jc w:val="center"/>
        <w:rPr>
          <w:rFonts w:hint="default" w:ascii="Times New Roman" w:hAnsi="Times New Roman" w:eastAsia="Times New Roman" w:cs="Times New Roman"/>
          <w:sz w:val="24"/>
          <w:szCs w:val="24"/>
        </w:rPr>
      </w:pPr>
    </w:p>
    <w:p w14:paraId="00000087">
      <w:pPr>
        <w:widowControl w:val="0"/>
        <w:pBdr>
          <w:top w:val="none" w:color="auto" w:sz="0" w:space="0"/>
          <w:left w:val="none" w:color="auto" w:sz="0" w:space="0"/>
          <w:bottom w:val="none" w:color="auto" w:sz="0" w:space="0"/>
          <w:right w:val="none" w:color="auto" w:sz="0" w:space="0"/>
          <w:between w:val="none" w:color="auto" w:sz="0" w:space="0"/>
        </w:pBdr>
        <w:spacing w:line="345" w:lineRule="auto"/>
        <w:ind w:left="9" w:right="60" w:firstLine="0"/>
        <w:jc w:val="left"/>
        <w:rPr>
          <w:rFonts w:hint="default" w:ascii="Times New Roman" w:hAnsi="Times New Roman" w:eastAsia="Times New Roman" w:cs="Times New Roman"/>
          <w:sz w:val="24"/>
          <w:szCs w:val="24"/>
        </w:rPr>
      </w:pPr>
    </w:p>
    <w:p w14:paraId="00000088">
      <w:pPr>
        <w:widowControl w:val="0"/>
        <w:pBdr>
          <w:top w:val="none" w:color="auto" w:sz="0" w:space="0"/>
          <w:left w:val="none" w:color="auto" w:sz="0" w:space="0"/>
          <w:bottom w:val="none" w:color="auto" w:sz="0" w:space="0"/>
          <w:right w:val="none" w:color="auto" w:sz="0" w:space="0"/>
          <w:between w:val="none" w:color="auto" w:sz="0" w:space="0"/>
        </w:pBdr>
        <w:spacing w:before="9982" w:line="240" w:lineRule="auto"/>
        <w:ind w:right="60"/>
        <w:jc w:val="left"/>
        <w:rPr>
          <w:rFonts w:ascii="Times New Roman" w:hAnsi="Times New Roman" w:eastAsia="Times New Roman" w:cs="Times New Roman"/>
          <w:color w:val="000000"/>
          <w:sz w:val="24"/>
          <w:szCs w:val="24"/>
        </w:rPr>
      </w:pPr>
    </w:p>
    <w:p w14:paraId="00000089">
      <w:pPr>
        <w:pStyle w:val="2"/>
        <w:widowControl w:val="0"/>
        <w:spacing w:line="240" w:lineRule="auto"/>
        <w:ind w:left="0" w:firstLine="0"/>
      </w:pPr>
      <w:bookmarkStart w:id="1" w:name="_Toc23688"/>
      <w:r>
        <w:rPr>
          <w:rtl w:val="0"/>
        </w:rPr>
        <w:t>Introduction and Project Overview</w:t>
      </w:r>
      <w:bookmarkEnd w:id="1"/>
      <w:r>
        <w:rPr>
          <w:rtl w:val="0"/>
        </w:rPr>
        <w:t xml:space="preserve"> </w:t>
      </w:r>
    </w:p>
    <w:p w14:paraId="0000008A">
      <w:pPr>
        <w:pStyle w:val="3"/>
        <w:widowControl w:val="0"/>
        <w:spacing w:before="134" w:line="240" w:lineRule="auto"/>
        <w:ind w:left="10" w:firstLine="0"/>
      </w:pPr>
      <w:bookmarkStart w:id="2" w:name="_Toc25521"/>
      <w:r>
        <w:rPr>
          <w:rtl w:val="0"/>
        </w:rPr>
        <w:t>Background of the Organisation: Amazon</w:t>
      </w:r>
      <w:bookmarkEnd w:id="2"/>
      <w:r>
        <w:rPr>
          <w:rtl w:val="0"/>
        </w:rPr>
        <w:t xml:space="preserve"> </w:t>
      </w:r>
    </w:p>
    <w:p w14:paraId="0000008B">
      <w:pPr>
        <w:widowControl w:val="0"/>
        <w:pBdr>
          <w:top w:val="none" w:color="auto" w:sz="0" w:space="0"/>
          <w:left w:val="none" w:color="auto" w:sz="0" w:space="0"/>
          <w:bottom w:val="none" w:color="auto" w:sz="0" w:space="0"/>
          <w:right w:val="none" w:color="auto" w:sz="0" w:space="0"/>
          <w:between w:val="none" w:color="auto" w:sz="0" w:space="0"/>
        </w:pBdr>
        <w:spacing w:before="134" w:line="345" w:lineRule="auto"/>
        <w:ind w:left="4" w:right="4" w:firstLine="2"/>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Amazon is an e-commerce and a large worldwide technology company. Jeff Bezos is the founder</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of the company, a</w:t>
      </w:r>
      <w:bookmarkStart w:id="39" w:name="_GoBack"/>
      <w:bookmarkEnd w:id="39"/>
      <w:r>
        <w:rPr>
          <w:rFonts w:ascii="Times New Roman" w:hAnsi="Times New Roman" w:eastAsia="Times New Roman" w:cs="Times New Roman"/>
          <w:color w:val="000000"/>
          <w:sz w:val="24"/>
          <w:szCs w:val="24"/>
          <w:rtl w:val="0"/>
        </w:rPr>
        <w:t>nd the company was established in 1994. Amazon initially began as an online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bookstore. It subsequently grew to a broad assortment of digital and retail services (Awati and  Yasar, 2025). The company deals with e-commerce, cloud computing, digital streaming and</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logistic services. </w:t>
      </w:r>
      <w:r>
        <w:rPr>
          <w:rFonts w:ascii="Times New Roman" w:hAnsi="Times New Roman" w:eastAsia="Times New Roman" w:cs="Times New Roman"/>
          <w:sz w:val="24"/>
          <w:szCs w:val="24"/>
          <w:rtl w:val="0"/>
        </w:rPr>
        <w:t>The investments in automated distribution centres are strategically important at Amazon because of its powerful global logistics infrastructure and the growing need in the company to use faster services to deliver goods. The project is in line with the goal of the company to enhance efficiency in operations and gain a competitive edge.</w:t>
      </w:r>
    </w:p>
    <w:p w14:paraId="0000008C">
      <w:pPr>
        <w:pStyle w:val="3"/>
        <w:widowControl w:val="0"/>
        <w:spacing w:before="29" w:line="240" w:lineRule="auto"/>
        <w:ind w:left="8" w:firstLine="0"/>
      </w:pPr>
      <w:bookmarkStart w:id="3" w:name="_Toc31594"/>
      <w:r>
        <w:rPr>
          <w:rtl w:val="0"/>
        </w:rPr>
        <w:t>Description of the Proposed Capital Project</w:t>
      </w:r>
      <w:bookmarkEnd w:id="3"/>
      <w:r>
        <w:rPr>
          <w:rtl w:val="0"/>
        </w:rPr>
        <w:t xml:space="preserve"> </w:t>
      </w:r>
    </w:p>
    <w:p w14:paraId="0000008D">
      <w:pPr>
        <w:widowControl w:val="0"/>
        <w:pBdr>
          <w:top w:val="none" w:color="auto" w:sz="0" w:space="0"/>
          <w:left w:val="none" w:color="auto" w:sz="0" w:space="0"/>
          <w:bottom w:val="none" w:color="auto" w:sz="0" w:space="0"/>
          <w:right w:val="none" w:color="auto" w:sz="0" w:space="0"/>
          <w:between w:val="none" w:color="auto" w:sz="0" w:space="0"/>
        </w:pBdr>
        <w:spacing w:before="129" w:line="345" w:lineRule="auto"/>
        <w:ind w:left="4" w:right="3" w:firstLine="7"/>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 xml:space="preserve">The suggested initiative includes the development of a new automated logistics distribution centre </w:t>
      </w:r>
      <w:r>
        <w:rPr>
          <w:rFonts w:ascii="Times New Roman" w:hAnsi="Times New Roman" w:eastAsia="Times New Roman" w:cs="Times New Roman"/>
          <w:sz w:val="24"/>
          <w:szCs w:val="24"/>
          <w:rtl w:val="0"/>
        </w:rPr>
        <w:t xml:space="preserve"> by Amazon</w:t>
      </w:r>
      <w:r>
        <w:rPr>
          <w:rFonts w:ascii="Times New Roman" w:hAnsi="Times New Roman" w:eastAsia="Times New Roman" w:cs="Times New Roman"/>
          <w:color w:val="000000"/>
          <w:sz w:val="24"/>
          <w:szCs w:val="24"/>
          <w:rtl w:val="0"/>
        </w:rPr>
        <w:t xml:space="preserve">. It is estimated that the project will cost around 50m of investment. The plant will  assist in the growing e-commerce activities of the company. The distribution centre will entail the  automation of storage and a high-tech sorting facility. The project will enhance the capacity of the  warehouse. </w:t>
      </w:r>
      <w:r>
        <w:rPr>
          <w:rFonts w:ascii="Times New Roman" w:hAnsi="Times New Roman" w:eastAsia="Times New Roman" w:cs="Times New Roman"/>
          <w:sz w:val="24"/>
          <w:szCs w:val="24"/>
          <w:rtl w:val="0"/>
        </w:rPr>
        <w:t>This investment will have a positive impact on the efficiency of the supply chain, the decrease in delivery time, and the sustainability of revenue growth in the long run. Nonetheless, the financial risks brought about by the scale of investment are also important factors that should be properly considered.</w:t>
      </w:r>
    </w:p>
    <w:p w14:paraId="0000008E">
      <w:pPr>
        <w:pStyle w:val="3"/>
        <w:widowControl w:val="0"/>
        <w:spacing w:before="29" w:line="240" w:lineRule="auto"/>
        <w:ind w:left="11" w:firstLine="0"/>
      </w:pPr>
      <w:bookmarkStart w:id="4" w:name="_Toc2454"/>
      <w:r>
        <w:rPr>
          <w:rtl w:val="0"/>
        </w:rPr>
        <w:t>Purpose of the Financial Evaluation</w:t>
      </w:r>
      <w:bookmarkEnd w:id="4"/>
      <w:r>
        <w:rPr>
          <w:rtl w:val="0"/>
        </w:rPr>
        <w:t xml:space="preserve"> </w:t>
      </w:r>
    </w:p>
    <w:p w14:paraId="0000008F">
      <w:pPr>
        <w:widowControl w:val="0"/>
        <w:pBdr>
          <w:top w:val="none" w:color="auto" w:sz="0" w:space="0"/>
          <w:left w:val="none" w:color="auto" w:sz="0" w:space="0"/>
          <w:bottom w:val="none" w:color="auto" w:sz="0" w:space="0"/>
          <w:right w:val="none" w:color="auto" w:sz="0" w:space="0"/>
          <w:between w:val="none" w:color="auto" w:sz="0" w:space="0"/>
        </w:pBdr>
        <w:spacing w:before="134" w:line="345" w:lineRule="auto"/>
        <w:ind w:left="4" w:right="3" w:firstLine="5"/>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sz w:val="24"/>
          <w:szCs w:val="24"/>
          <w:rtl w:val="0"/>
        </w:rPr>
        <w:t xml:space="preserve">The fast development of e-commerce has promoted the idea of advanced logistics infrastructure, and companies are tempted to invest in automated distribution systems. </w:t>
      </w:r>
      <w:r>
        <w:rPr>
          <w:rFonts w:ascii="Times New Roman" w:hAnsi="Times New Roman" w:eastAsia="Times New Roman" w:cs="Times New Roman"/>
          <w:color w:val="000000"/>
          <w:sz w:val="24"/>
          <w:szCs w:val="24"/>
          <w:rtl w:val="0"/>
        </w:rPr>
        <w:t>Large capital investments should not be given out without a financial assessment. The investment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needed to be made in the proposed project will amount to almost 50 million. It is therefore up to</w:t>
      </w:r>
      <w:r>
        <w:rPr>
          <w:rFonts w:ascii="Times New Roman" w:hAnsi="Times New Roman" w:eastAsia="Times New Roman" w:cs="Times New Roman"/>
          <w:sz w:val="24"/>
          <w:szCs w:val="24"/>
          <w:rtl w:val="0"/>
        </w:rPr>
        <w:t xml:space="preserve"> the</w:t>
      </w:r>
      <w:r>
        <w:rPr>
          <w:rFonts w:ascii="Times New Roman" w:hAnsi="Times New Roman" w:eastAsia="Times New Roman" w:cs="Times New Roman"/>
          <w:color w:val="000000"/>
          <w:sz w:val="24"/>
          <w:szCs w:val="24"/>
          <w:rtl w:val="0"/>
        </w:rPr>
        <w:t xml:space="preserve"> management to determine its financial feasibility. The analysis assists in knowing whether the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project will bring about adequate returns. The expected cash flows will be analysed with the help</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of capital budgeting techniques. They are Net Present Value, Internal rate of return, Payback period</w:t>
      </w:r>
      <w:r>
        <w:rPr>
          <w:rFonts w:ascii="Times New Roman" w:hAnsi="Times New Roman" w:eastAsia="Times New Roman" w:cs="Times New Roman"/>
          <w:sz w:val="24"/>
          <w:szCs w:val="24"/>
          <w:rtl w:val="0"/>
        </w:rPr>
        <w:t xml:space="preserve"> and profitability</w:t>
      </w:r>
      <w:r>
        <w:rPr>
          <w:rFonts w:ascii="Times New Roman" w:hAnsi="Times New Roman" w:eastAsia="Times New Roman" w:cs="Times New Roman"/>
          <w:color w:val="000000"/>
          <w:sz w:val="24"/>
          <w:szCs w:val="24"/>
          <w:rtl w:val="0"/>
        </w:rPr>
        <w:t xml:space="preserve"> index. </w:t>
      </w:r>
      <w:r>
        <w:rPr>
          <w:rFonts w:ascii="Times New Roman" w:hAnsi="Times New Roman" w:eastAsia="Times New Roman" w:cs="Times New Roman"/>
          <w:sz w:val="24"/>
          <w:szCs w:val="24"/>
          <w:rtl w:val="0"/>
        </w:rPr>
        <w:t>This evaluation will be done as a financial analyst to examine the financial viability of the proposed investment and aid the senior management in making decisions.</w:t>
      </w:r>
    </w:p>
    <w:p w14:paraId="00000090">
      <w:pPr>
        <w:pStyle w:val="2"/>
        <w:widowControl w:val="0"/>
        <w:spacing w:before="439" w:line="240" w:lineRule="auto"/>
        <w:ind w:left="9" w:firstLine="0"/>
      </w:pPr>
      <w:bookmarkStart w:id="5" w:name="_Toc2104"/>
      <w:r>
        <w:rPr>
          <w:rtl w:val="0"/>
        </w:rPr>
        <w:t>Main body</w:t>
      </w:r>
      <w:bookmarkEnd w:id="5"/>
      <w:r>
        <w:rPr>
          <w:rtl w:val="0"/>
        </w:rPr>
        <w:t xml:space="preserve"> </w:t>
      </w:r>
    </w:p>
    <w:p w14:paraId="00000091">
      <w:pPr>
        <w:pStyle w:val="3"/>
        <w:widowControl w:val="0"/>
        <w:spacing w:before="135" w:line="240" w:lineRule="auto"/>
        <w:ind w:left="17" w:firstLine="0"/>
      </w:pPr>
      <w:bookmarkStart w:id="6" w:name="_Toc21838"/>
      <w:r>
        <w:rPr>
          <w:rtl w:val="0"/>
        </w:rPr>
        <w:t>Section A: Sources of Financing</w:t>
      </w:r>
      <w:bookmarkEnd w:id="6"/>
      <w:r>
        <w:rPr>
          <w:rtl w:val="0"/>
        </w:rPr>
        <w:t xml:space="preserve"> </w:t>
      </w:r>
    </w:p>
    <w:p w14:paraId="00000092">
      <w:pPr>
        <w:pStyle w:val="3"/>
        <w:widowControl w:val="0"/>
        <w:spacing w:before="135"/>
      </w:pPr>
      <w:bookmarkStart w:id="7" w:name="_Toc1478"/>
      <w:r>
        <w:rPr>
          <w:rtl w:val="0"/>
        </w:rPr>
        <w:t>1.1 Overview of Project Financing Requirements</w:t>
      </w:r>
      <w:bookmarkEnd w:id="7"/>
      <w:r>
        <w:rPr>
          <w:rtl w:val="0"/>
        </w:rPr>
        <w:t xml:space="preserve"> </w:t>
      </w:r>
    </w:p>
    <w:p w14:paraId="00000093">
      <w:pPr>
        <w:widowControl w:val="0"/>
        <w:pBdr>
          <w:top w:val="none" w:color="auto" w:sz="0" w:space="0"/>
          <w:left w:val="none" w:color="auto" w:sz="0" w:space="0"/>
          <w:bottom w:val="none" w:color="auto" w:sz="0" w:space="0"/>
          <w:right w:val="none" w:color="auto" w:sz="0" w:space="0"/>
          <w:between w:val="none" w:color="auto" w:sz="0" w:space="0"/>
        </w:pBdr>
        <w:spacing w:line="345" w:lineRule="auto"/>
        <w:ind w:left="4" w:right="5" w:firstLine="7"/>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The project of the logistics distribution centre will need an investment of 50 m. The investment</w:t>
      </w:r>
      <w:r>
        <w:rPr>
          <w:rFonts w:ascii="Times New Roman" w:hAnsi="Times New Roman" w:eastAsia="Times New Roman" w:cs="Times New Roman"/>
          <w:sz w:val="24"/>
          <w:szCs w:val="24"/>
          <w:rtl w:val="0"/>
        </w:rPr>
        <w:t xml:space="preserve"> will</w:t>
      </w:r>
      <w:r>
        <w:rPr>
          <w:rFonts w:ascii="Times New Roman" w:hAnsi="Times New Roman" w:eastAsia="Times New Roman" w:cs="Times New Roman"/>
          <w:color w:val="000000"/>
          <w:sz w:val="24"/>
          <w:szCs w:val="24"/>
          <w:rtl w:val="0"/>
        </w:rPr>
        <w:t xml:space="preserve"> cater to several construction and operational costs. Other significant expenses are the purchase</w:t>
      </w:r>
      <w:r>
        <w:rPr>
          <w:rFonts w:ascii="Times New Roman" w:hAnsi="Times New Roman" w:eastAsia="Times New Roman" w:cs="Times New Roman"/>
          <w:sz w:val="24"/>
          <w:szCs w:val="24"/>
          <w:rtl w:val="0"/>
        </w:rPr>
        <w:t xml:space="preserve"> of land</w:t>
      </w:r>
      <w:r>
        <w:rPr>
          <w:rFonts w:ascii="Times New Roman" w:hAnsi="Times New Roman" w:eastAsia="Times New Roman" w:cs="Times New Roman"/>
          <w:color w:val="000000"/>
          <w:sz w:val="24"/>
          <w:szCs w:val="24"/>
          <w:rtl w:val="0"/>
        </w:rPr>
        <w:t>, construction of the buildings and infrastructure of the warehouse. Automated systems of</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storage and logistics technology need additional financing. Financial resources will also be</w:t>
      </w:r>
      <w:r>
        <w:rPr>
          <w:rFonts w:ascii="Times New Roman" w:hAnsi="Times New Roman" w:eastAsia="Times New Roman" w:cs="Times New Roman"/>
          <w:sz w:val="24"/>
          <w:szCs w:val="24"/>
          <w:rtl w:val="0"/>
        </w:rPr>
        <w:t xml:space="preserve"> necessary</w:t>
      </w:r>
      <w:r>
        <w:rPr>
          <w:rFonts w:ascii="Times New Roman" w:hAnsi="Times New Roman" w:eastAsia="Times New Roman" w:cs="Times New Roman"/>
          <w:color w:val="000000"/>
          <w:sz w:val="24"/>
          <w:szCs w:val="24"/>
          <w:rtl w:val="0"/>
        </w:rPr>
        <w:t xml:space="preserve"> on installation of equipment and IT systems. Under the construction phase, labour and</w:t>
      </w:r>
      <w:r>
        <w:rPr>
          <w:rFonts w:ascii="Times New Roman" w:hAnsi="Times New Roman" w:eastAsia="Times New Roman" w:cs="Times New Roman"/>
          <w:sz w:val="24"/>
          <w:szCs w:val="24"/>
          <w:rtl w:val="0"/>
        </w:rPr>
        <w:t xml:space="preserve"> object management</w:t>
      </w:r>
      <w:r>
        <w:rPr>
          <w:rFonts w:ascii="Times New Roman" w:hAnsi="Times New Roman" w:eastAsia="Times New Roman" w:cs="Times New Roman"/>
          <w:color w:val="000000"/>
          <w:sz w:val="24"/>
          <w:szCs w:val="24"/>
          <w:rtl w:val="0"/>
        </w:rPr>
        <w:t xml:space="preserve"> costs will be incorporated. There will also be the need for contingency funds</w:t>
      </w:r>
      <w:r>
        <w:rPr>
          <w:rFonts w:ascii="Times New Roman" w:hAnsi="Times New Roman" w:eastAsia="Times New Roman" w:cs="Times New Roman"/>
          <w:sz w:val="24"/>
          <w:szCs w:val="24"/>
          <w:rtl w:val="0"/>
        </w:rPr>
        <w:t xml:space="preserve"> to cater</w:t>
      </w:r>
      <w:r>
        <w:rPr>
          <w:rFonts w:ascii="Times New Roman" w:hAnsi="Times New Roman" w:eastAsia="Times New Roman" w:cs="Times New Roman"/>
          <w:color w:val="000000"/>
          <w:sz w:val="24"/>
          <w:szCs w:val="24"/>
          <w:rtl w:val="0"/>
        </w:rPr>
        <w:t xml:space="preserve"> to </w:t>
      </w:r>
      <w:r>
        <w:rPr>
          <w:rFonts w:ascii="Times New Roman" w:hAnsi="Times New Roman" w:eastAsia="Times New Roman" w:cs="Times New Roman"/>
          <w:sz w:val="24"/>
          <w:szCs w:val="24"/>
          <w:rtl w:val="0"/>
        </w:rPr>
        <w:t>cover unforeseen</w:t>
      </w:r>
      <w:r>
        <w:rPr>
          <w:rFonts w:ascii="Times New Roman" w:hAnsi="Times New Roman" w:eastAsia="Times New Roman" w:cs="Times New Roman"/>
          <w:color w:val="000000"/>
          <w:sz w:val="24"/>
          <w:szCs w:val="24"/>
          <w:rtl w:val="0"/>
        </w:rPr>
        <w:t xml:space="preserve"> costs of the project. Amazon will therefore be required to obtain credible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sources of finance.  </w:t>
      </w:r>
    </w:p>
    <w:p w14:paraId="00000094">
      <w:pPr>
        <w:pStyle w:val="3"/>
        <w:widowControl w:val="0"/>
        <w:spacing w:before="24" w:line="240" w:lineRule="auto"/>
        <w:ind w:left="20" w:firstLine="0"/>
      </w:pPr>
      <w:bookmarkStart w:id="8" w:name="_Toc5411"/>
      <w:r>
        <w:rPr>
          <w:rtl w:val="0"/>
        </w:rPr>
        <w:t>1.2 Financing Option 1: Commercial Bank Loans</w:t>
      </w:r>
      <w:bookmarkEnd w:id="8"/>
      <w:r>
        <w:rPr>
          <w:rtl w:val="0"/>
        </w:rPr>
        <w:t xml:space="preserve"> </w:t>
      </w:r>
    </w:p>
    <w:p w14:paraId="00000095">
      <w:pPr>
        <w:pStyle w:val="4"/>
        <w:widowControl w:val="0"/>
        <w:spacing w:before="134" w:line="240" w:lineRule="auto"/>
        <w:ind w:left="20" w:firstLine="0"/>
      </w:pPr>
      <w:bookmarkStart w:id="9" w:name="_Toc3312"/>
      <w:r>
        <w:rPr>
          <w:rtl w:val="0"/>
        </w:rPr>
        <w:t>1.2.1 Description and Advantages</w:t>
      </w:r>
      <w:bookmarkEnd w:id="9"/>
      <w:r>
        <w:rPr>
          <w:rtl w:val="0"/>
        </w:rPr>
        <w:t xml:space="preserve"> </w:t>
      </w:r>
    </w:p>
    <w:p w14:paraId="00000096">
      <w:pPr>
        <w:widowControl w:val="0"/>
        <w:pBdr>
          <w:top w:val="none" w:color="auto" w:sz="0" w:space="0"/>
          <w:left w:val="none" w:color="auto" w:sz="0" w:space="0"/>
          <w:bottom w:val="none" w:color="auto" w:sz="0" w:space="0"/>
          <w:right w:val="none" w:color="auto" w:sz="0" w:space="0"/>
          <w:between w:val="none" w:color="auto" w:sz="0" w:space="0"/>
        </w:pBdr>
        <w:spacing w:before="135" w:line="345" w:lineRule="auto"/>
        <w:ind w:left="4" w:right="2" w:firstLine="4"/>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Financing of big infrastructure projects is usually by commercial bank loans. Businesses take loans</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from a bank over a specified time. The borrower is willing to pay back the principal balance in the</w:t>
      </w:r>
      <w:r>
        <w:rPr>
          <w:rFonts w:ascii="Times New Roman" w:hAnsi="Times New Roman" w:eastAsia="Times New Roman" w:cs="Times New Roman"/>
          <w:sz w:val="24"/>
          <w:szCs w:val="24"/>
          <w:rtl w:val="0"/>
        </w:rPr>
        <w:t xml:space="preserve"> form</w:t>
      </w:r>
      <w:r>
        <w:rPr>
          <w:rFonts w:ascii="Times New Roman" w:hAnsi="Times New Roman" w:eastAsia="Times New Roman" w:cs="Times New Roman"/>
          <w:color w:val="000000"/>
          <w:sz w:val="24"/>
          <w:szCs w:val="24"/>
          <w:rtl w:val="0"/>
        </w:rPr>
        <w:t xml:space="preserve"> of interest (Gatti, 2023). The repayments are normally done in </w:t>
      </w:r>
      <w:r>
        <w:rPr>
          <w:rFonts w:ascii="Times New Roman" w:hAnsi="Times New Roman" w:eastAsia="Times New Roman" w:cs="Times New Roman"/>
          <w:sz w:val="24"/>
          <w:szCs w:val="24"/>
          <w:rtl w:val="0"/>
        </w:rPr>
        <w:t>installments</w:t>
      </w:r>
      <w:r>
        <w:rPr>
          <w:rFonts w:ascii="Times New Roman" w:hAnsi="Times New Roman" w:eastAsia="Times New Roman" w:cs="Times New Roman"/>
          <w:color w:val="000000"/>
          <w:sz w:val="24"/>
          <w:szCs w:val="24"/>
          <w:rtl w:val="0"/>
        </w:rPr>
        <w:t>. The rate of</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interest and repayment period are also stipulated in the loan contract. </w:t>
      </w:r>
      <w:r>
        <w:rPr>
          <w:rFonts w:ascii="Times New Roman" w:hAnsi="Times New Roman" w:eastAsia="Times New Roman" w:cs="Times New Roman"/>
          <w:sz w:val="24"/>
          <w:szCs w:val="24"/>
          <w:rtl w:val="0"/>
        </w:rPr>
        <w:t>Nevertheless, the bank loans subject the company to interest rate risks, especially when the variable rates are charged. This may cause uncertainty in financial terms and strain in interest payments in the long term infrastructure projects, particularly where project cash flows are not stable.</w:t>
      </w:r>
    </w:p>
    <w:p w14:paraId="00000097">
      <w:pPr>
        <w:pStyle w:val="4"/>
        <w:widowControl w:val="0"/>
        <w:spacing w:before="25" w:line="240" w:lineRule="auto"/>
        <w:ind w:left="20" w:firstLine="0"/>
      </w:pPr>
      <w:bookmarkStart w:id="10" w:name="_Toc23374"/>
      <w:r>
        <w:rPr>
          <w:rtl w:val="0"/>
        </w:rPr>
        <w:t>1.2.2 Cost of Capital, Risks and Example</w:t>
      </w:r>
      <w:bookmarkEnd w:id="10"/>
      <w:r>
        <w:rPr>
          <w:rtl w:val="0"/>
        </w:rPr>
        <w:t xml:space="preserve"> </w:t>
      </w:r>
    </w:p>
    <w:p w14:paraId="00000098">
      <w:pPr>
        <w:widowControl w:val="0"/>
        <w:pBdr>
          <w:top w:val="none" w:color="auto" w:sz="0" w:space="0"/>
          <w:left w:val="none" w:color="auto" w:sz="0" w:space="0"/>
          <w:bottom w:val="none" w:color="auto" w:sz="0" w:space="0"/>
          <w:right w:val="none" w:color="auto" w:sz="0" w:space="0"/>
          <w:between w:val="none" w:color="auto" w:sz="0" w:space="0"/>
        </w:pBdr>
        <w:spacing w:before="134" w:line="345" w:lineRule="auto"/>
        <w:ind w:left="4" w:right="2" w:firstLine="4"/>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Bank loans come with a cost of capital, which determines the interest rate charged by the lender.  The borrower should make interest repayments to the lender throughout the borrowing period.  Such repayments make the company create long-term financial liabilities (RBA, 2025). When the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loan has a variable interest rate, the cost of borrowing money can go up when the market rates rise.  This generates interest rate risk. </w:t>
      </w:r>
    </w:p>
    <w:p w14:paraId="00000099">
      <w:pPr>
        <w:pStyle w:val="3"/>
        <w:widowControl w:val="0"/>
        <w:spacing w:before="30" w:line="240" w:lineRule="auto"/>
        <w:ind w:left="20" w:firstLine="0"/>
      </w:pPr>
      <w:bookmarkStart w:id="11" w:name="_Toc6288"/>
      <w:r>
        <w:rPr>
          <w:rtl w:val="0"/>
        </w:rPr>
        <w:t>1.3 Financing Option 2: Corporate Bonds / Project Bonds</w:t>
      </w:r>
      <w:bookmarkEnd w:id="11"/>
      <w:r>
        <w:rPr>
          <w:rtl w:val="0"/>
        </w:rPr>
        <w:t xml:space="preserve"> </w:t>
      </w:r>
    </w:p>
    <w:p w14:paraId="0000009A">
      <w:pPr>
        <w:widowControl w:val="0"/>
        <w:pBdr>
          <w:top w:val="none" w:color="auto" w:sz="0" w:space="0"/>
          <w:left w:val="none" w:color="auto" w:sz="0" w:space="0"/>
          <w:bottom w:val="none" w:color="auto" w:sz="0" w:space="0"/>
          <w:right w:val="none" w:color="auto" w:sz="0" w:space="0"/>
          <w:between w:val="none" w:color="auto" w:sz="0" w:space="0"/>
        </w:pBdr>
        <w:spacing w:before="134" w:line="344" w:lineRule="auto"/>
        <w:ind w:left="4" w:right="2" w:firstLine="8"/>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One popular way for large corporations to raise capital for key investment ventures is through</w:t>
      </w:r>
      <w:r>
        <w:rPr>
          <w:rFonts w:ascii="Times New Roman" w:hAnsi="Times New Roman" w:eastAsia="Times New Roman" w:cs="Times New Roman"/>
          <w:sz w:val="24"/>
          <w:szCs w:val="24"/>
          <w:rtl w:val="0"/>
        </w:rPr>
        <w:t xml:space="preserve"> corporate</w:t>
      </w:r>
      <w:r>
        <w:rPr>
          <w:rFonts w:ascii="Times New Roman" w:hAnsi="Times New Roman" w:eastAsia="Times New Roman" w:cs="Times New Roman"/>
          <w:color w:val="000000"/>
          <w:sz w:val="24"/>
          <w:szCs w:val="24"/>
          <w:rtl w:val="0"/>
        </w:rPr>
        <w:t xml:space="preserve"> bonds. Bonds are debts that are raised by companies from investors. Shareholders</w:t>
      </w:r>
      <w:r>
        <w:rPr>
          <w:rFonts w:ascii="Times New Roman" w:hAnsi="Times New Roman" w:eastAsia="Times New Roman" w:cs="Times New Roman"/>
          <w:sz w:val="24"/>
          <w:szCs w:val="24"/>
          <w:rtl w:val="0"/>
        </w:rPr>
        <w:t xml:space="preserve"> raise</w:t>
      </w:r>
      <w:r>
        <w:rPr>
          <w:rFonts w:ascii="Times New Roman" w:hAnsi="Times New Roman" w:eastAsia="Times New Roman" w:cs="Times New Roman"/>
          <w:color w:val="000000"/>
          <w:sz w:val="24"/>
          <w:szCs w:val="24"/>
          <w:rtl w:val="0"/>
        </w:rPr>
        <w:t xml:space="preserve"> funds from the firm at a given time. At maturity, the company agrees to repay the principal</w:t>
      </w:r>
      <w:r>
        <w:rPr>
          <w:rFonts w:ascii="Times New Roman" w:hAnsi="Times New Roman" w:eastAsia="Times New Roman" w:cs="Times New Roman"/>
          <w:sz w:val="24"/>
          <w:szCs w:val="24"/>
          <w:rtl w:val="0"/>
        </w:rPr>
        <w:t>. Regular</w:t>
      </w:r>
      <w:r>
        <w:rPr>
          <w:rFonts w:ascii="Times New Roman" w:hAnsi="Times New Roman" w:eastAsia="Times New Roman" w:cs="Times New Roman"/>
          <w:color w:val="000000"/>
          <w:sz w:val="24"/>
          <w:szCs w:val="24"/>
          <w:rtl w:val="0"/>
        </w:rPr>
        <w:t xml:space="preserve"> interest payments made by the company include coupon payments (Sahlman,  2022). Corporate bonds are commonly issued by large corporations like Amazon to finance.</w:t>
      </w:r>
    </w:p>
    <w:p w14:paraId="0000009B">
      <w:pPr>
        <w:widowControl w:val="0"/>
        <w:pBdr>
          <w:top w:val="none" w:color="auto" w:sz="0" w:space="0"/>
          <w:left w:val="none" w:color="auto" w:sz="0" w:space="0"/>
          <w:bottom w:val="none" w:color="auto" w:sz="0" w:space="0"/>
          <w:right w:val="none" w:color="auto" w:sz="0" w:space="0"/>
          <w:between w:val="none" w:color="auto" w:sz="0" w:space="0"/>
        </w:pBdr>
        <w:spacing w:before="460" w:line="240" w:lineRule="auto"/>
        <w:ind w:right="60"/>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6 </w:t>
      </w:r>
    </w:p>
    <w:p w14:paraId="0000009C">
      <w:pPr>
        <w:widowControl w:val="0"/>
        <w:pBdr>
          <w:top w:val="none" w:color="auto" w:sz="0" w:space="0"/>
          <w:left w:val="none" w:color="auto" w:sz="0" w:space="0"/>
          <w:bottom w:val="none" w:color="auto" w:sz="0" w:space="0"/>
          <w:right w:val="none" w:color="auto" w:sz="0" w:space="0"/>
          <w:between w:val="none" w:color="auto" w:sz="0" w:space="0"/>
        </w:pBdr>
        <w:spacing w:line="344" w:lineRule="auto"/>
        <w:ind w:left="4" w:firstLine="9"/>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expansion and infrastructure projects. Bond financing enables companies to raise capital in large</w:t>
      </w:r>
      <w:r>
        <w:rPr>
          <w:rFonts w:ascii="Times New Roman" w:hAnsi="Times New Roman" w:eastAsia="Times New Roman" w:cs="Times New Roman"/>
          <w:sz w:val="24"/>
          <w:szCs w:val="24"/>
          <w:rtl w:val="0"/>
        </w:rPr>
        <w:t xml:space="preserve"> amounts</w:t>
      </w:r>
      <w:r>
        <w:rPr>
          <w:rFonts w:ascii="Times New Roman" w:hAnsi="Times New Roman" w:eastAsia="Times New Roman" w:cs="Times New Roman"/>
          <w:color w:val="000000"/>
          <w:sz w:val="24"/>
          <w:szCs w:val="24"/>
          <w:rtl w:val="0"/>
        </w:rPr>
        <w:t xml:space="preserve"> of money in the financial market. This form of funding applies well in high infrastructure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projects like logistics centres or distribution facilities. </w:t>
      </w:r>
      <w:r>
        <w:rPr>
          <w:rFonts w:ascii="Times New Roman" w:hAnsi="Times New Roman" w:eastAsia="Times New Roman" w:cs="Times New Roman"/>
          <w:sz w:val="24"/>
          <w:szCs w:val="24"/>
          <w:rtl w:val="0"/>
        </w:rPr>
        <w:t>Corporate bonds are available to access mass funding with comparatively stable interest rates, but they must be highly rated in terms of credit and favourable market conditions. This could be restrictive in times of financial market volatility.</w:t>
      </w:r>
    </w:p>
    <w:p w14:paraId="0000009D">
      <w:pPr>
        <w:pStyle w:val="3"/>
        <w:widowControl w:val="0"/>
        <w:spacing w:before="30" w:line="344" w:lineRule="auto"/>
        <w:ind w:left="7" w:right="2" w:firstLine="13"/>
      </w:pPr>
      <w:bookmarkStart w:id="12" w:name="_Toc19111"/>
      <w:r>
        <w:rPr>
          <w:rtl w:val="0"/>
        </w:rPr>
        <w:t>1.4 Financing Option 3: Green Financing Instruments / Government Grants</w:t>
      </w:r>
      <w:bookmarkEnd w:id="12"/>
      <w:r>
        <w:rPr>
          <w:rtl w:val="0"/>
        </w:rPr>
        <w:t xml:space="preserve"> </w:t>
      </w:r>
    </w:p>
    <w:p w14:paraId="0000009E">
      <w:pPr>
        <w:widowControl w:val="0"/>
        <w:pBdr>
          <w:top w:val="none" w:color="auto" w:sz="0" w:space="0"/>
          <w:left w:val="none" w:color="auto" w:sz="0" w:space="0"/>
          <w:bottom w:val="none" w:color="auto" w:sz="0" w:space="0"/>
          <w:right w:val="none" w:color="auto" w:sz="0" w:space="0"/>
          <w:between w:val="none" w:color="auto" w:sz="0" w:space="0"/>
        </w:pBdr>
        <w:spacing w:before="30" w:line="344" w:lineRule="auto"/>
        <w:ind w:left="7" w:right="2" w:firstLine="13"/>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The green financing instruments are aimed at financing environmentally sustainable projects. Such</w:t>
      </w:r>
      <w:r>
        <w:rPr>
          <w:rFonts w:ascii="Times New Roman" w:hAnsi="Times New Roman" w:eastAsia="Times New Roman" w:cs="Times New Roman"/>
          <w:sz w:val="24"/>
          <w:szCs w:val="24"/>
          <w:rtl w:val="0"/>
        </w:rPr>
        <w:t xml:space="preserve"> tools</w:t>
      </w:r>
      <w:r>
        <w:rPr>
          <w:rFonts w:ascii="Times New Roman" w:hAnsi="Times New Roman" w:eastAsia="Times New Roman" w:cs="Times New Roman"/>
          <w:color w:val="000000"/>
          <w:sz w:val="24"/>
          <w:szCs w:val="24"/>
          <w:rtl w:val="0"/>
        </w:rPr>
        <w:t xml:space="preserve"> are green bonds and sustainability-linked loans. Green bonds are debt securities which are</w:t>
      </w:r>
      <w:r>
        <w:rPr>
          <w:rFonts w:ascii="Times New Roman" w:hAnsi="Times New Roman" w:eastAsia="Times New Roman" w:cs="Times New Roman"/>
          <w:sz w:val="24"/>
          <w:szCs w:val="24"/>
          <w:rtl w:val="0"/>
        </w:rPr>
        <w:t xml:space="preserve"> employed</w:t>
      </w:r>
      <w:r>
        <w:rPr>
          <w:rFonts w:ascii="Times New Roman" w:hAnsi="Times New Roman" w:eastAsia="Times New Roman" w:cs="Times New Roman"/>
          <w:color w:val="000000"/>
          <w:sz w:val="24"/>
          <w:szCs w:val="24"/>
          <w:rtl w:val="0"/>
        </w:rPr>
        <w:t xml:space="preserve"> in the funding of projects that are positive to the environment (World Bank, 2026). SA  sustainability-linked loan links the conditions of borrowing with environmental performance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objectives. Those companies which are able to achieve sustainability goals might be charged with  lower interest rates. Green financing is gaining momentum among large corporations like Amazon</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to finance sustainable infrastructure. It is also able to</w:t>
      </w:r>
      <w:r>
        <w:rPr>
          <w:rFonts w:ascii="Times New Roman" w:hAnsi="Times New Roman" w:eastAsia="Times New Roman" w:cs="Times New Roman"/>
          <w:sz w:val="24"/>
          <w:szCs w:val="24"/>
          <w:rtl w:val="0"/>
        </w:rPr>
        <w:t xml:space="preserve"> enhance</w:t>
      </w:r>
      <w:r>
        <w:rPr>
          <w:rFonts w:ascii="Times New Roman" w:hAnsi="Times New Roman" w:eastAsia="Times New Roman" w:cs="Times New Roman"/>
          <w:color w:val="000000"/>
          <w:sz w:val="24"/>
          <w:szCs w:val="24"/>
          <w:rtl w:val="0"/>
        </w:rPr>
        <w:t xml:space="preserve"> the environmental reputation of the company. Sustainable investments are attracting more</w:t>
      </w:r>
      <w:r>
        <w:rPr>
          <w:rFonts w:ascii="Times New Roman" w:hAnsi="Times New Roman" w:eastAsia="Times New Roman" w:cs="Times New Roman"/>
          <w:sz w:val="24"/>
          <w:szCs w:val="24"/>
          <w:rtl w:val="0"/>
        </w:rPr>
        <w:t xml:space="preserve"> investors</w:t>
      </w:r>
      <w:r>
        <w:rPr>
          <w:rFonts w:ascii="Times New Roman" w:hAnsi="Times New Roman" w:eastAsia="Times New Roman" w:cs="Times New Roman"/>
          <w:color w:val="000000"/>
          <w:sz w:val="24"/>
          <w:szCs w:val="24"/>
          <w:rtl w:val="0"/>
        </w:rPr>
        <w:t xml:space="preserve">.  </w:t>
      </w:r>
      <w:r>
        <w:rPr>
          <w:rFonts w:ascii="Times New Roman" w:hAnsi="Times New Roman" w:eastAsia="Times New Roman" w:cs="Times New Roman"/>
          <w:sz w:val="24"/>
          <w:szCs w:val="24"/>
          <w:rtl w:val="0"/>
        </w:rPr>
        <w:t>Green financing is cost-effective and reputation-enhancing to the company in terms of corporate sustainability, but it is mandated to meet the rigid environmental requirements, which can add to monitoring and reporting expenses.</w:t>
      </w:r>
    </w:p>
    <w:p w14:paraId="0000009F">
      <w:pPr>
        <w:pStyle w:val="3"/>
        <w:widowControl w:val="0"/>
        <w:spacing w:before="29"/>
      </w:pPr>
      <w:bookmarkStart w:id="13" w:name="_Toc3583"/>
      <w:r>
        <w:rPr>
          <w:rtl w:val="0"/>
        </w:rPr>
        <w:t>1.5 Comparative Evaluation of Financing Options</w:t>
      </w:r>
      <w:bookmarkEnd w:id="13"/>
      <w:r>
        <w:rPr>
          <w:rtl w:val="0"/>
        </w:rPr>
        <w:t xml:space="preserve"> </w:t>
      </w:r>
    </w:p>
    <w:p w14:paraId="000000A0">
      <w:pPr>
        <w:widowControl w:val="0"/>
        <w:pBdr>
          <w:top w:val="none" w:color="auto" w:sz="0" w:space="0"/>
          <w:left w:val="none" w:color="auto" w:sz="0" w:space="0"/>
          <w:bottom w:val="none" w:color="auto" w:sz="0" w:space="0"/>
          <w:right w:val="none" w:color="auto" w:sz="0" w:space="0"/>
          <w:between w:val="none" w:color="auto" w:sz="0" w:space="0"/>
        </w:pBdr>
        <w:spacing w:before="130" w:line="345" w:lineRule="auto"/>
        <w:ind w:left="11" w:right="3"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The three options of financing vary in cost, flexibility, and financial risk. Bank loans by</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commercial banks provide fast access to capital and planned payment schemes. They, however,r  generate fixed repayment liabilities and interest rate risks. Corporate bonds enable companies to</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get huge </w:t>
      </w:r>
      <w:r>
        <w:rPr>
          <w:rFonts w:ascii="Times New Roman" w:hAnsi="Times New Roman" w:eastAsia="Times New Roman" w:cs="Times New Roman"/>
          <w:sz w:val="24"/>
          <w:szCs w:val="24"/>
          <w:rtl w:val="0"/>
        </w:rPr>
        <w:t>sums of</w:t>
      </w:r>
      <w:r>
        <w:rPr>
          <w:rFonts w:ascii="Times New Roman" w:hAnsi="Times New Roman" w:eastAsia="Times New Roman" w:cs="Times New Roman"/>
          <w:color w:val="000000"/>
          <w:sz w:val="24"/>
          <w:szCs w:val="24"/>
          <w:rtl w:val="0"/>
        </w:rPr>
        <w:t xml:space="preserve"> </w:t>
      </w:r>
      <w:r>
        <w:rPr>
          <w:rFonts w:ascii="Times New Roman" w:hAnsi="Times New Roman" w:eastAsia="Times New Roman" w:cs="Times New Roman"/>
          <w:sz w:val="24"/>
          <w:szCs w:val="24"/>
          <w:rtl w:val="0"/>
        </w:rPr>
        <w:t>long-term</w:t>
      </w:r>
      <w:r>
        <w:rPr>
          <w:rFonts w:ascii="Times New Roman" w:hAnsi="Times New Roman" w:eastAsia="Times New Roman" w:cs="Times New Roman"/>
          <w:color w:val="000000"/>
          <w:sz w:val="24"/>
          <w:szCs w:val="24"/>
          <w:rtl w:val="0"/>
        </w:rPr>
        <w:t xml:space="preserve"> investments (Ibrahim </w:t>
      </w:r>
      <w:r>
        <w:rPr>
          <w:rFonts w:ascii="Times New Roman" w:hAnsi="Times New Roman" w:eastAsia="Times New Roman" w:cs="Times New Roman"/>
          <w:i/>
          <w:iCs/>
          <w:color w:val="000000"/>
          <w:sz w:val="24"/>
          <w:szCs w:val="24"/>
          <w:rtl w:val="0"/>
        </w:rPr>
        <w:t>et al</w:t>
      </w:r>
      <w:r>
        <w:rPr>
          <w:rFonts w:ascii="Times New Roman" w:hAnsi="Times New Roman" w:eastAsia="Times New Roman" w:cs="Times New Roman"/>
          <w:color w:val="000000"/>
          <w:sz w:val="24"/>
          <w:szCs w:val="24"/>
          <w:rtl w:val="0"/>
        </w:rPr>
        <w:t>, 2023). Such an option can provide stable</w:t>
      </w:r>
      <w:r>
        <w:rPr>
          <w:rFonts w:ascii="Times New Roman" w:hAnsi="Times New Roman" w:eastAsia="Times New Roman" w:cs="Times New Roman"/>
          <w:sz w:val="24"/>
          <w:szCs w:val="24"/>
          <w:rtl w:val="0"/>
        </w:rPr>
        <w:t xml:space="preserve"> interest</w:t>
      </w:r>
      <w:r>
        <w:rPr>
          <w:rFonts w:ascii="Times New Roman" w:hAnsi="Times New Roman" w:eastAsia="Times New Roman" w:cs="Times New Roman"/>
          <w:color w:val="000000"/>
          <w:sz w:val="24"/>
          <w:szCs w:val="24"/>
          <w:rtl w:val="0"/>
        </w:rPr>
        <w:t xml:space="preserve"> rates, but it will rely on the favourable market conditions and high credit ratings. </w:t>
      </w:r>
    </w:p>
    <w:p w14:paraId="000000A1">
      <w:pPr>
        <w:spacing w:line="360" w:lineRule="auto"/>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sz w:val="24"/>
          <w:szCs w:val="24"/>
          <w:rtl w:val="0"/>
        </w:rPr>
        <w:t>Financially, companies would prefer to optimise their capital structure by reducing the weighted average cost of capital (WACC). The choice of sources of finance according to the capital structure theory should be a balance between the cost, risk and control. Hence, green bonds and other cheaper and less risky financing tools can be more appropriate for massive infrastructure projects.</w:t>
      </w:r>
    </w:p>
    <w:tbl>
      <w:tblPr>
        <w:tblStyle w:val="31"/>
        <w:tblW w:w="9900" w:type="dxa"/>
        <w:tblInd w:w="-24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1980"/>
        <w:gridCol w:w="2190"/>
        <w:gridCol w:w="1770"/>
        <w:gridCol w:w="1455"/>
        <w:gridCol w:w="2505"/>
      </w:tblGrid>
      <w:tr w14:paraId="1D23F72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615" w:hRule="atLeast"/>
        </w:trPr>
        <w:tc>
          <w:tcPr>
            <w:tcBorders>
              <w:top w:val="single" w:color="000000"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0A2">
            <w:pPr>
              <w:widowControl w:val="0"/>
              <w:jc w:val="center"/>
              <w:rPr>
                <w:sz w:val="20"/>
                <w:szCs w:val="20"/>
              </w:rPr>
            </w:pPr>
            <w:r>
              <w:rPr>
                <w:rFonts w:ascii="Times New Roman" w:hAnsi="Times New Roman" w:eastAsia="Times New Roman" w:cs="Times New Roman"/>
                <w:b/>
                <w:bCs/>
                <w:sz w:val="24"/>
                <w:szCs w:val="24"/>
                <w:rtl w:val="0"/>
              </w:rPr>
              <w:t>Financing Option</w:t>
            </w:r>
          </w:p>
        </w:tc>
        <w:tc>
          <w:tcPr>
            <w:tcBorders>
              <w:top w:val="single" w:color="000000"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3">
            <w:pPr>
              <w:widowControl w:val="0"/>
              <w:jc w:val="center"/>
              <w:rPr>
                <w:sz w:val="20"/>
                <w:szCs w:val="20"/>
              </w:rPr>
            </w:pPr>
            <w:r>
              <w:rPr>
                <w:rFonts w:ascii="Times New Roman" w:hAnsi="Times New Roman" w:eastAsia="Times New Roman" w:cs="Times New Roman"/>
                <w:b/>
                <w:bCs/>
                <w:sz w:val="24"/>
                <w:szCs w:val="24"/>
                <w:rtl w:val="0"/>
              </w:rPr>
              <w:t>Cost</w:t>
            </w:r>
          </w:p>
        </w:tc>
        <w:tc>
          <w:tcPr>
            <w:tcBorders>
              <w:top w:val="single" w:color="000000"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4">
            <w:pPr>
              <w:widowControl w:val="0"/>
              <w:jc w:val="center"/>
              <w:rPr>
                <w:sz w:val="20"/>
                <w:szCs w:val="20"/>
              </w:rPr>
            </w:pPr>
            <w:r>
              <w:rPr>
                <w:rFonts w:ascii="Times New Roman" w:hAnsi="Times New Roman" w:eastAsia="Times New Roman" w:cs="Times New Roman"/>
                <w:b/>
                <w:bCs/>
                <w:sz w:val="24"/>
                <w:szCs w:val="24"/>
                <w:rtl w:val="0"/>
              </w:rPr>
              <w:t>Risk</w:t>
            </w:r>
          </w:p>
        </w:tc>
        <w:tc>
          <w:tcPr>
            <w:tcBorders>
              <w:top w:val="single" w:color="000000"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5">
            <w:pPr>
              <w:widowControl w:val="0"/>
              <w:jc w:val="center"/>
              <w:rPr>
                <w:sz w:val="20"/>
                <w:szCs w:val="20"/>
              </w:rPr>
            </w:pPr>
            <w:r>
              <w:rPr>
                <w:rFonts w:ascii="Times New Roman" w:hAnsi="Times New Roman" w:eastAsia="Times New Roman" w:cs="Times New Roman"/>
                <w:b/>
                <w:bCs/>
                <w:sz w:val="24"/>
                <w:szCs w:val="24"/>
                <w:rtl w:val="0"/>
              </w:rPr>
              <w:t>Flexibility</w:t>
            </w:r>
          </w:p>
        </w:tc>
        <w:tc>
          <w:tcPr>
            <w:tcBorders>
              <w:top w:val="single" w:color="000000"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6">
            <w:pPr>
              <w:widowControl w:val="0"/>
              <w:jc w:val="center"/>
              <w:rPr>
                <w:sz w:val="20"/>
                <w:szCs w:val="20"/>
              </w:rPr>
            </w:pPr>
            <w:r>
              <w:rPr>
                <w:rFonts w:ascii="Times New Roman" w:hAnsi="Times New Roman" w:eastAsia="Times New Roman" w:cs="Times New Roman"/>
                <w:b/>
                <w:bCs/>
                <w:sz w:val="24"/>
                <w:szCs w:val="24"/>
                <w:rtl w:val="0"/>
              </w:rPr>
              <w:t>Suitability for Project</w:t>
            </w:r>
          </w:p>
        </w:tc>
      </w:tr>
      <w:tr w14:paraId="6C5AA27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45" w:hRule="atLeast"/>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0A7">
            <w:pPr>
              <w:widowControl w:val="0"/>
              <w:jc w:val="center"/>
              <w:rPr>
                <w:sz w:val="20"/>
                <w:szCs w:val="20"/>
              </w:rPr>
            </w:pPr>
            <w:r>
              <w:rPr>
                <w:rFonts w:ascii="Times New Roman" w:hAnsi="Times New Roman" w:eastAsia="Times New Roman" w:cs="Times New Roman"/>
                <w:sz w:val="24"/>
                <w:szCs w:val="24"/>
                <w:rtl w:val="0"/>
              </w:rPr>
              <w:t>Bank Loans</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8">
            <w:pPr>
              <w:widowControl w:val="0"/>
              <w:jc w:val="center"/>
              <w:rPr>
                <w:sz w:val="20"/>
                <w:szCs w:val="20"/>
              </w:rPr>
            </w:pPr>
            <w:r>
              <w:rPr>
                <w:rFonts w:ascii="Times New Roman" w:hAnsi="Times New Roman" w:eastAsia="Times New Roman" w:cs="Times New Roman"/>
                <w:sz w:val="24"/>
                <w:szCs w:val="24"/>
                <w:rtl w:val="0"/>
              </w:rPr>
              <w:t>Medium</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9">
            <w:pPr>
              <w:widowControl w:val="0"/>
              <w:jc w:val="center"/>
              <w:rPr>
                <w:sz w:val="20"/>
                <w:szCs w:val="20"/>
              </w:rPr>
            </w:pPr>
            <w:r>
              <w:rPr>
                <w:rFonts w:ascii="Times New Roman" w:hAnsi="Times New Roman" w:eastAsia="Times New Roman" w:cs="Times New Roman"/>
                <w:sz w:val="24"/>
                <w:szCs w:val="24"/>
                <w:rtl w:val="0"/>
              </w:rPr>
              <w:t>Interest rate risk</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A">
            <w:pPr>
              <w:widowControl w:val="0"/>
              <w:jc w:val="center"/>
              <w:rPr>
                <w:sz w:val="20"/>
                <w:szCs w:val="20"/>
              </w:rPr>
            </w:pPr>
            <w:r>
              <w:rPr>
                <w:rFonts w:ascii="Times New Roman" w:hAnsi="Times New Roman" w:eastAsia="Times New Roman" w:cs="Times New Roman"/>
                <w:sz w:val="24"/>
                <w:szCs w:val="24"/>
                <w:rtl w:val="0"/>
              </w:rPr>
              <w:t>High</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B">
            <w:pPr>
              <w:widowControl w:val="0"/>
              <w:jc w:val="center"/>
              <w:rPr>
                <w:sz w:val="20"/>
                <w:szCs w:val="20"/>
              </w:rPr>
            </w:pPr>
            <w:r>
              <w:rPr>
                <w:rFonts w:ascii="Times New Roman" w:hAnsi="Times New Roman" w:eastAsia="Times New Roman" w:cs="Times New Roman"/>
                <w:sz w:val="24"/>
                <w:szCs w:val="24"/>
                <w:rtl w:val="0"/>
              </w:rPr>
              <w:t>Moderate</w:t>
            </w:r>
          </w:p>
        </w:tc>
      </w:tr>
      <w:tr w14:paraId="50F471E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615" w:hRule="atLeast"/>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0AC">
            <w:pPr>
              <w:widowControl w:val="0"/>
              <w:jc w:val="center"/>
              <w:rPr>
                <w:sz w:val="20"/>
                <w:szCs w:val="20"/>
              </w:rPr>
            </w:pPr>
            <w:r>
              <w:rPr>
                <w:rFonts w:ascii="Times New Roman" w:hAnsi="Times New Roman" w:eastAsia="Times New Roman" w:cs="Times New Roman"/>
                <w:sz w:val="24"/>
                <w:szCs w:val="24"/>
                <w:rtl w:val="0"/>
              </w:rPr>
              <w:t>Corporate Bonds</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D">
            <w:pPr>
              <w:widowControl w:val="0"/>
              <w:jc w:val="center"/>
              <w:rPr>
                <w:sz w:val="20"/>
                <w:szCs w:val="20"/>
              </w:rPr>
            </w:pPr>
            <w:r>
              <w:rPr>
                <w:rFonts w:ascii="Times New Roman" w:hAnsi="Times New Roman" w:eastAsia="Times New Roman" w:cs="Times New Roman"/>
                <w:sz w:val="24"/>
                <w:szCs w:val="24"/>
                <w:rtl w:val="0"/>
              </w:rPr>
              <w:t xml:space="preserve">Low </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E">
            <w:pPr>
              <w:widowControl w:val="0"/>
              <w:jc w:val="center"/>
              <w:rPr>
                <w:sz w:val="20"/>
                <w:szCs w:val="20"/>
              </w:rPr>
            </w:pPr>
            <w:r>
              <w:rPr>
                <w:rFonts w:ascii="Times New Roman" w:hAnsi="Times New Roman" w:eastAsia="Times New Roman" w:cs="Times New Roman"/>
                <w:sz w:val="24"/>
                <w:szCs w:val="24"/>
                <w:rtl w:val="0"/>
              </w:rPr>
              <w:t>Market risk</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AF">
            <w:pPr>
              <w:widowControl w:val="0"/>
              <w:jc w:val="center"/>
              <w:rPr>
                <w:sz w:val="20"/>
                <w:szCs w:val="20"/>
              </w:rPr>
            </w:pPr>
            <w:r>
              <w:rPr>
                <w:rFonts w:ascii="Times New Roman" w:hAnsi="Times New Roman" w:eastAsia="Times New Roman" w:cs="Times New Roman"/>
                <w:sz w:val="24"/>
                <w:szCs w:val="24"/>
                <w:rtl w:val="0"/>
              </w:rPr>
              <w:t>Medium</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B0">
            <w:pPr>
              <w:widowControl w:val="0"/>
              <w:jc w:val="center"/>
              <w:rPr>
                <w:sz w:val="20"/>
                <w:szCs w:val="20"/>
              </w:rPr>
            </w:pPr>
            <w:r>
              <w:rPr>
                <w:rFonts w:ascii="Times New Roman" w:hAnsi="Times New Roman" w:eastAsia="Times New Roman" w:cs="Times New Roman"/>
                <w:sz w:val="24"/>
                <w:szCs w:val="24"/>
                <w:rtl w:val="0"/>
              </w:rPr>
              <w:t>High</w:t>
            </w:r>
          </w:p>
        </w:tc>
      </w:tr>
      <w:tr w14:paraId="32141F7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615" w:hRule="atLeast"/>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0B1">
            <w:pPr>
              <w:widowControl w:val="0"/>
              <w:jc w:val="center"/>
              <w:rPr>
                <w:sz w:val="20"/>
                <w:szCs w:val="20"/>
              </w:rPr>
            </w:pPr>
            <w:r>
              <w:rPr>
                <w:rFonts w:ascii="Times New Roman" w:hAnsi="Times New Roman" w:eastAsia="Times New Roman" w:cs="Times New Roman"/>
                <w:sz w:val="24"/>
                <w:szCs w:val="24"/>
                <w:rtl w:val="0"/>
              </w:rPr>
              <w:t>Green Financing</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B2">
            <w:pPr>
              <w:widowControl w:val="0"/>
              <w:jc w:val="center"/>
              <w:rPr>
                <w:sz w:val="20"/>
                <w:szCs w:val="20"/>
              </w:rPr>
            </w:pPr>
            <w:r>
              <w:rPr>
                <w:rFonts w:ascii="Times New Roman" w:hAnsi="Times New Roman" w:eastAsia="Times New Roman" w:cs="Times New Roman"/>
                <w:sz w:val="24"/>
                <w:szCs w:val="24"/>
                <w:rtl w:val="0"/>
              </w:rPr>
              <w:t>Low</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B3">
            <w:pPr>
              <w:widowControl w:val="0"/>
              <w:jc w:val="center"/>
              <w:rPr>
                <w:sz w:val="20"/>
                <w:szCs w:val="20"/>
              </w:rPr>
            </w:pPr>
            <w:r>
              <w:rPr>
                <w:rFonts w:ascii="Times New Roman" w:hAnsi="Times New Roman" w:eastAsia="Times New Roman" w:cs="Times New Roman"/>
                <w:sz w:val="24"/>
                <w:szCs w:val="24"/>
                <w:rtl w:val="0"/>
              </w:rPr>
              <w:t>Compliance risk</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B4">
            <w:pPr>
              <w:widowControl w:val="0"/>
              <w:jc w:val="center"/>
              <w:rPr>
                <w:sz w:val="20"/>
                <w:szCs w:val="20"/>
              </w:rPr>
            </w:pPr>
            <w:r>
              <w:rPr>
                <w:rFonts w:ascii="Times New Roman" w:hAnsi="Times New Roman" w:eastAsia="Times New Roman" w:cs="Times New Roman"/>
                <w:sz w:val="24"/>
                <w:szCs w:val="24"/>
                <w:rtl w:val="0"/>
              </w:rPr>
              <w:t>Medium</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0B5">
            <w:pPr>
              <w:widowControl w:val="0"/>
              <w:jc w:val="center"/>
              <w:rPr>
                <w:sz w:val="20"/>
                <w:szCs w:val="20"/>
              </w:rPr>
            </w:pPr>
            <w:r>
              <w:rPr>
                <w:rFonts w:ascii="Times New Roman" w:hAnsi="Times New Roman" w:eastAsia="Times New Roman" w:cs="Times New Roman"/>
                <w:sz w:val="24"/>
                <w:szCs w:val="24"/>
                <w:rtl w:val="0"/>
              </w:rPr>
              <w:t>Very High</w:t>
            </w:r>
          </w:p>
        </w:tc>
      </w:tr>
    </w:tbl>
    <w:p w14:paraId="000000B6">
      <w:pPr>
        <w:spacing w:line="360" w:lineRule="auto"/>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sz w:val="24"/>
          <w:szCs w:val="24"/>
          <w:rtl w:val="0"/>
        </w:rPr>
        <w:t>In general, though bank loans have flexibility, they can raise the level of financial risk because of interest rate variations. Large-scale projects should be financed by the use of corporate bonds because they can create large amounts of capital at uniform rates. Nonetheless, the best solution to this project would be green financing because not only would it help in lowering the cost of capital, but it would also contribute to the sustainability goals, improving the long-term strategic stance of the organisation.</w:t>
      </w:r>
    </w:p>
    <w:p w14:paraId="000000B7">
      <w:pPr>
        <w:pStyle w:val="2"/>
        <w:widowControl w:val="0"/>
        <w:spacing w:before="445"/>
        <w:ind w:left="17" w:firstLine="0"/>
      </w:pPr>
      <w:bookmarkStart w:id="14" w:name="_Toc12691"/>
      <w:r>
        <w:rPr>
          <w:rtl w:val="0"/>
        </w:rPr>
        <w:t>Section B: Capital Investment Appraisal</w:t>
      </w:r>
      <w:bookmarkEnd w:id="14"/>
      <w:r>
        <w:rPr>
          <w:rtl w:val="0"/>
        </w:rPr>
        <w:t xml:space="preserve"> </w:t>
      </w:r>
    </w:p>
    <w:p w14:paraId="000000B8">
      <w:pPr>
        <w:pStyle w:val="3"/>
        <w:widowControl w:val="0"/>
        <w:spacing w:before="134" w:line="240" w:lineRule="auto"/>
        <w:ind w:left="10" w:firstLine="0"/>
      </w:pPr>
      <w:bookmarkStart w:id="15" w:name="_Toc20145"/>
      <w:r>
        <w:rPr>
          <w:rtl w:val="0"/>
        </w:rPr>
        <w:t>2.1 Key Financial Assumptions</w:t>
      </w:r>
      <w:bookmarkEnd w:id="15"/>
      <w:r>
        <w:rPr>
          <w:rtl w:val="0"/>
        </w:rPr>
        <w:t xml:space="preserve"> </w:t>
      </w:r>
    </w:p>
    <w:p w14:paraId="000000B9">
      <w:pPr>
        <w:widowControl w:val="0"/>
        <w:pBdr>
          <w:top w:val="none" w:color="auto" w:sz="0" w:space="0"/>
          <w:left w:val="none" w:color="auto" w:sz="0" w:space="0"/>
          <w:bottom w:val="none" w:color="auto" w:sz="0" w:space="0"/>
          <w:right w:val="none" w:color="auto" w:sz="0" w:space="0"/>
          <w:between w:val="none" w:color="auto" w:sz="0" w:space="0"/>
        </w:pBdr>
        <w:spacing w:before="129" w:line="345" w:lineRule="auto"/>
        <w:ind w:left="6" w:right="4" w:firstLine="0"/>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Assuming a number of financial things are necessary to assess the capital project proposed. It is</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assumed that the project life is 12 years. This is the time representing the anticipated operational</w:t>
      </w:r>
      <w:r>
        <w:rPr>
          <w:rFonts w:ascii="Times New Roman" w:hAnsi="Times New Roman" w:eastAsia="Times New Roman" w:cs="Times New Roman"/>
          <w:sz w:val="24"/>
          <w:szCs w:val="24"/>
          <w:rtl w:val="0"/>
        </w:rPr>
        <w:t xml:space="preserve"> life</w:t>
      </w:r>
      <w:r>
        <w:rPr>
          <w:rFonts w:ascii="Times New Roman" w:hAnsi="Times New Roman" w:eastAsia="Times New Roman" w:cs="Times New Roman"/>
          <w:color w:val="000000"/>
          <w:sz w:val="24"/>
          <w:szCs w:val="24"/>
          <w:rtl w:val="0"/>
        </w:rPr>
        <w:t xml:space="preserve"> of the logistics facility. The project will cost an estimated 50 million initially. The discount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rate was assumed to be 8%. This is the average cost of capital of Amazon. This project should </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create consistent cash flows from logistic operations each year. </w:t>
      </w:r>
      <w:r>
        <w:rPr>
          <w:rFonts w:ascii="Times New Roman" w:hAnsi="Times New Roman" w:eastAsia="Times New Roman" w:cs="Times New Roman"/>
          <w:sz w:val="24"/>
          <w:szCs w:val="24"/>
          <w:rtl w:val="0"/>
        </w:rPr>
        <w:t>The analysis of the financial presupposes the 2% rate of inflation and the 25% corporate tax, which are reflected in the estimated cash flows. These are some of the assumptions that represent the normal economic circumstances and make it possible to give a more realistic view of the financial performance of the project.</w:t>
      </w:r>
    </w:p>
    <w:p w14:paraId="000000BA">
      <w:pPr>
        <w:pStyle w:val="3"/>
        <w:widowControl w:val="0"/>
        <w:spacing w:before="30" w:line="240" w:lineRule="auto"/>
        <w:ind w:left="10" w:firstLine="0"/>
      </w:pPr>
      <w:bookmarkStart w:id="16" w:name="_Toc11704"/>
      <w:r>
        <w:rPr>
          <w:rtl w:val="0"/>
        </w:rPr>
        <w:t>2.2 Net Present Value (NPV) Analysis</w:t>
      </w:r>
      <w:bookmarkEnd w:id="16"/>
      <w:r>
        <w:rPr>
          <w:rtl w:val="0"/>
        </w:rPr>
        <w:t xml:space="preserve"> </w:t>
      </w:r>
    </w:p>
    <w:tbl>
      <w:tblPr>
        <w:tblStyle w:val="32"/>
        <w:tblW w:w="7608" w:type="dxa"/>
        <w:tblInd w:w="87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500"/>
        <w:gridCol w:w="1726"/>
        <w:gridCol w:w="2326"/>
        <w:gridCol w:w="2056"/>
      </w:tblGrid>
      <w:tr w14:paraId="0BEB31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gridSpan w:val="4"/>
            <w:tcMar>
              <w:top w:w="100" w:type="dxa"/>
              <w:left w:w="100" w:type="dxa"/>
              <w:bottom w:w="100" w:type="dxa"/>
              <w:right w:w="100" w:type="dxa"/>
            </w:tcMar>
          </w:tcPr>
          <w:p w14:paraId="000000B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Net Present Value (NPV) Calculation</w:t>
            </w:r>
          </w:p>
        </w:tc>
      </w:tr>
      <w:tr w14:paraId="3BADAE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40" w:hRule="atLeast"/>
        </w:trPr>
        <w:tc>
          <w:tcPr>
            <w:gridSpan w:val="4"/>
            <w:tcMar>
              <w:top w:w="100" w:type="dxa"/>
              <w:left w:w="100" w:type="dxa"/>
              <w:bottom w:w="100" w:type="dxa"/>
              <w:right w:w="100" w:type="dxa"/>
            </w:tcMar>
          </w:tcPr>
          <w:p w14:paraId="000000BF">
            <w:pPr>
              <w:widowControl w:val="0"/>
              <w:pBdr>
                <w:top w:val="none" w:color="auto" w:sz="0" w:space="0"/>
                <w:left w:val="none" w:color="auto" w:sz="0" w:space="0"/>
                <w:bottom w:val="none" w:color="auto" w:sz="0" w:space="0"/>
                <w:right w:val="none" w:color="auto" w:sz="0" w:space="0"/>
                <w:between w:val="none" w:color="auto" w:sz="0" w:space="0"/>
              </w:pBdr>
              <w:spacing w:line="240" w:lineRule="auto"/>
              <w:ind w:right="46"/>
              <w:jc w:val="right"/>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Year Cash Flow (£m) Discount Factor (8%) Present Value (£m)</w:t>
            </w:r>
          </w:p>
        </w:tc>
      </w:tr>
      <w:tr w14:paraId="32453C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C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1 </w:t>
            </w:r>
          </w:p>
        </w:tc>
        <w:tc>
          <w:tcPr>
            <w:tcMar>
              <w:top w:w="100" w:type="dxa"/>
              <w:left w:w="100" w:type="dxa"/>
              <w:bottom w:w="100" w:type="dxa"/>
              <w:right w:w="100" w:type="dxa"/>
            </w:tcMar>
          </w:tcPr>
          <w:p w14:paraId="000000C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C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0.926 </w:t>
            </w:r>
          </w:p>
        </w:tc>
        <w:tc>
          <w:tcPr>
            <w:tcMar>
              <w:top w:w="100" w:type="dxa"/>
              <w:left w:w="100" w:type="dxa"/>
              <w:bottom w:w="100" w:type="dxa"/>
              <w:right w:w="100" w:type="dxa"/>
            </w:tcMar>
          </w:tcPr>
          <w:p w14:paraId="000000C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7.408</w:t>
            </w:r>
          </w:p>
        </w:tc>
      </w:tr>
      <w:tr w14:paraId="6D8D7F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C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2 </w:t>
            </w:r>
          </w:p>
        </w:tc>
        <w:tc>
          <w:tcPr>
            <w:tcMar>
              <w:top w:w="100" w:type="dxa"/>
              <w:left w:w="100" w:type="dxa"/>
              <w:bottom w:w="100" w:type="dxa"/>
              <w:right w:w="100" w:type="dxa"/>
            </w:tcMar>
          </w:tcPr>
          <w:p w14:paraId="000000C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C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0.857 </w:t>
            </w:r>
          </w:p>
        </w:tc>
        <w:tc>
          <w:tcPr>
            <w:tcMar>
              <w:top w:w="100" w:type="dxa"/>
              <w:left w:w="100" w:type="dxa"/>
              <w:bottom w:w="100" w:type="dxa"/>
              <w:right w:w="100" w:type="dxa"/>
            </w:tcMar>
          </w:tcPr>
          <w:p w14:paraId="000000C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6.856</w:t>
            </w:r>
          </w:p>
        </w:tc>
      </w:tr>
      <w:tr w14:paraId="751A38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C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3 </w:t>
            </w:r>
          </w:p>
        </w:tc>
        <w:tc>
          <w:tcPr>
            <w:tcMar>
              <w:top w:w="100" w:type="dxa"/>
              <w:left w:w="100" w:type="dxa"/>
              <w:bottom w:w="100" w:type="dxa"/>
              <w:right w:w="100" w:type="dxa"/>
            </w:tcMar>
          </w:tcPr>
          <w:p w14:paraId="000000CC">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C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0.794 </w:t>
            </w:r>
          </w:p>
        </w:tc>
        <w:tc>
          <w:tcPr>
            <w:tcMar>
              <w:top w:w="100" w:type="dxa"/>
              <w:left w:w="100" w:type="dxa"/>
              <w:bottom w:w="100" w:type="dxa"/>
              <w:right w:w="100" w:type="dxa"/>
            </w:tcMar>
          </w:tcPr>
          <w:p w14:paraId="000000C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6.352</w:t>
            </w:r>
          </w:p>
        </w:tc>
      </w:tr>
      <w:tr w14:paraId="5ADB67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C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4 </w:t>
            </w:r>
          </w:p>
        </w:tc>
        <w:tc>
          <w:tcPr>
            <w:tcMar>
              <w:top w:w="100" w:type="dxa"/>
              <w:left w:w="100" w:type="dxa"/>
              <w:bottom w:w="100" w:type="dxa"/>
              <w:right w:w="100" w:type="dxa"/>
            </w:tcMar>
          </w:tcPr>
          <w:p w14:paraId="000000D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D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0.735 </w:t>
            </w:r>
          </w:p>
        </w:tc>
        <w:tc>
          <w:tcPr>
            <w:tcMar>
              <w:top w:w="100" w:type="dxa"/>
              <w:left w:w="100" w:type="dxa"/>
              <w:bottom w:w="100" w:type="dxa"/>
              <w:right w:w="100" w:type="dxa"/>
            </w:tcMar>
          </w:tcPr>
          <w:p w14:paraId="000000D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5.88</w:t>
            </w:r>
          </w:p>
        </w:tc>
      </w:tr>
      <w:tr w14:paraId="01746A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D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5 </w:t>
            </w:r>
          </w:p>
        </w:tc>
        <w:tc>
          <w:tcPr>
            <w:tcMar>
              <w:top w:w="100" w:type="dxa"/>
              <w:left w:w="100" w:type="dxa"/>
              <w:bottom w:w="100" w:type="dxa"/>
              <w:right w:w="100" w:type="dxa"/>
            </w:tcMar>
          </w:tcPr>
          <w:p w14:paraId="000000D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D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0.681 </w:t>
            </w:r>
          </w:p>
        </w:tc>
        <w:tc>
          <w:tcPr>
            <w:tcMar>
              <w:top w:w="100" w:type="dxa"/>
              <w:left w:w="100" w:type="dxa"/>
              <w:bottom w:w="100" w:type="dxa"/>
              <w:right w:w="100" w:type="dxa"/>
            </w:tcMar>
          </w:tcPr>
          <w:p w14:paraId="000000D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5.448</w:t>
            </w:r>
          </w:p>
        </w:tc>
      </w:tr>
      <w:tr w14:paraId="7B1EB4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D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6 </w:t>
            </w:r>
          </w:p>
        </w:tc>
        <w:tc>
          <w:tcPr>
            <w:tcMar>
              <w:top w:w="100" w:type="dxa"/>
              <w:left w:w="100" w:type="dxa"/>
              <w:bottom w:w="100" w:type="dxa"/>
              <w:right w:w="100" w:type="dxa"/>
            </w:tcMar>
          </w:tcPr>
          <w:p w14:paraId="000000D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D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0.63 </w:t>
            </w:r>
          </w:p>
        </w:tc>
        <w:tc>
          <w:tcPr>
            <w:tcMar>
              <w:top w:w="100" w:type="dxa"/>
              <w:left w:w="100" w:type="dxa"/>
              <w:bottom w:w="100" w:type="dxa"/>
              <w:right w:w="100" w:type="dxa"/>
            </w:tcMar>
          </w:tcPr>
          <w:p w14:paraId="000000D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5.04</w:t>
            </w:r>
          </w:p>
        </w:tc>
      </w:tr>
      <w:tr w14:paraId="08D8C2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D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7 </w:t>
            </w:r>
          </w:p>
        </w:tc>
        <w:tc>
          <w:tcPr>
            <w:tcMar>
              <w:top w:w="100" w:type="dxa"/>
              <w:left w:w="100" w:type="dxa"/>
              <w:bottom w:w="100" w:type="dxa"/>
              <w:right w:w="100" w:type="dxa"/>
            </w:tcMar>
          </w:tcPr>
          <w:p w14:paraId="000000DC">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D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0.583 </w:t>
            </w:r>
          </w:p>
        </w:tc>
        <w:tc>
          <w:tcPr>
            <w:tcMar>
              <w:top w:w="100" w:type="dxa"/>
              <w:left w:w="100" w:type="dxa"/>
              <w:bottom w:w="100" w:type="dxa"/>
              <w:right w:w="100" w:type="dxa"/>
            </w:tcMar>
          </w:tcPr>
          <w:p w14:paraId="000000D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4.664</w:t>
            </w:r>
          </w:p>
        </w:tc>
      </w:tr>
      <w:tr w14:paraId="286110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D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8 </w:t>
            </w:r>
          </w:p>
        </w:tc>
        <w:tc>
          <w:tcPr>
            <w:tcMar>
              <w:top w:w="100" w:type="dxa"/>
              <w:left w:w="100" w:type="dxa"/>
              <w:bottom w:w="100" w:type="dxa"/>
              <w:right w:w="100" w:type="dxa"/>
            </w:tcMar>
          </w:tcPr>
          <w:p w14:paraId="000000E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E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0.54 </w:t>
            </w:r>
          </w:p>
        </w:tc>
        <w:tc>
          <w:tcPr>
            <w:tcMar>
              <w:top w:w="100" w:type="dxa"/>
              <w:left w:w="100" w:type="dxa"/>
              <w:bottom w:w="100" w:type="dxa"/>
              <w:right w:w="100" w:type="dxa"/>
            </w:tcMar>
          </w:tcPr>
          <w:p w14:paraId="000000E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4.32</w:t>
            </w:r>
          </w:p>
        </w:tc>
      </w:tr>
      <w:tr w14:paraId="22E234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E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9 </w:t>
            </w:r>
          </w:p>
        </w:tc>
        <w:tc>
          <w:tcPr>
            <w:tcMar>
              <w:top w:w="100" w:type="dxa"/>
              <w:left w:w="100" w:type="dxa"/>
              <w:bottom w:w="100" w:type="dxa"/>
              <w:right w:w="100" w:type="dxa"/>
            </w:tcMar>
          </w:tcPr>
          <w:p w14:paraId="000000E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E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0.5 </w:t>
            </w:r>
          </w:p>
        </w:tc>
        <w:tc>
          <w:tcPr>
            <w:tcMar>
              <w:top w:w="100" w:type="dxa"/>
              <w:left w:w="100" w:type="dxa"/>
              <w:bottom w:w="100" w:type="dxa"/>
              <w:right w:w="100" w:type="dxa"/>
            </w:tcMar>
          </w:tcPr>
          <w:p w14:paraId="000000E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4</w:t>
            </w:r>
          </w:p>
        </w:tc>
      </w:tr>
      <w:tr w14:paraId="24E155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E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10 </w:t>
            </w:r>
          </w:p>
        </w:tc>
        <w:tc>
          <w:tcPr>
            <w:tcMar>
              <w:top w:w="100" w:type="dxa"/>
              <w:left w:w="100" w:type="dxa"/>
              <w:bottom w:w="100" w:type="dxa"/>
              <w:right w:w="100" w:type="dxa"/>
            </w:tcMar>
          </w:tcPr>
          <w:p w14:paraId="000000E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0E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0.463 </w:t>
            </w:r>
          </w:p>
        </w:tc>
        <w:tc>
          <w:tcPr>
            <w:tcMar>
              <w:top w:w="100" w:type="dxa"/>
              <w:left w:w="100" w:type="dxa"/>
              <w:bottom w:w="100" w:type="dxa"/>
              <w:right w:w="100" w:type="dxa"/>
            </w:tcMar>
          </w:tcPr>
          <w:p w14:paraId="000000E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3.704</w:t>
            </w:r>
          </w:p>
        </w:tc>
      </w:tr>
      <w:tr w14:paraId="077BDA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gridSpan w:val="3"/>
            <w:tcMar>
              <w:top w:w="100" w:type="dxa"/>
              <w:left w:w="100" w:type="dxa"/>
              <w:bottom w:w="100" w:type="dxa"/>
              <w:right w:w="100" w:type="dxa"/>
            </w:tcMar>
          </w:tcPr>
          <w:p w14:paraId="000000E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Present value </w:t>
            </w:r>
          </w:p>
        </w:tc>
        <w:tc>
          <w:tcPr>
            <w:tcMar>
              <w:top w:w="100" w:type="dxa"/>
              <w:left w:w="100" w:type="dxa"/>
              <w:bottom w:w="100" w:type="dxa"/>
              <w:right w:w="100" w:type="dxa"/>
            </w:tcMar>
          </w:tcPr>
          <w:p w14:paraId="000000E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53.67</w:t>
            </w:r>
          </w:p>
        </w:tc>
      </w:tr>
      <w:tr w14:paraId="1BB5CF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gridSpan w:val="3"/>
            <w:tcMar>
              <w:top w:w="100" w:type="dxa"/>
              <w:left w:w="100" w:type="dxa"/>
              <w:bottom w:w="100" w:type="dxa"/>
              <w:right w:w="100" w:type="dxa"/>
            </w:tcMar>
          </w:tcPr>
          <w:p w14:paraId="000000E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Initial investment </w:t>
            </w:r>
          </w:p>
        </w:tc>
        <w:tc>
          <w:tcPr>
            <w:tcMar>
              <w:top w:w="100" w:type="dxa"/>
              <w:left w:w="100" w:type="dxa"/>
              <w:bottom w:w="100" w:type="dxa"/>
              <w:right w:w="100" w:type="dxa"/>
            </w:tcMar>
          </w:tcPr>
          <w:p w14:paraId="000000F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50</w:t>
            </w:r>
          </w:p>
        </w:tc>
      </w:tr>
      <w:tr w14:paraId="15A4C0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gridSpan w:val="3"/>
            <w:tcMar>
              <w:top w:w="100" w:type="dxa"/>
              <w:left w:w="100" w:type="dxa"/>
              <w:bottom w:w="100" w:type="dxa"/>
              <w:right w:w="100" w:type="dxa"/>
            </w:tcMar>
          </w:tcPr>
          <w:p w14:paraId="000000F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Net Present Value </w:t>
            </w:r>
          </w:p>
        </w:tc>
        <w:tc>
          <w:tcPr>
            <w:tcMar>
              <w:top w:w="100" w:type="dxa"/>
              <w:left w:w="100" w:type="dxa"/>
              <w:bottom w:w="100" w:type="dxa"/>
              <w:right w:w="100" w:type="dxa"/>
            </w:tcMar>
          </w:tcPr>
          <w:p w14:paraId="000000F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3.67</w:t>
            </w:r>
          </w:p>
        </w:tc>
      </w:tr>
    </w:tbl>
    <w:p w14:paraId="000000F7">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0F8">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0F9">
      <w:pPr>
        <w:widowControl w:val="0"/>
        <w:pBdr>
          <w:top w:val="none" w:color="auto" w:sz="0" w:space="0"/>
          <w:left w:val="none" w:color="auto" w:sz="0" w:space="0"/>
          <w:bottom w:val="none" w:color="auto" w:sz="0" w:space="0"/>
          <w:right w:val="none" w:color="auto" w:sz="0" w:space="0"/>
          <w:between w:val="none" w:color="auto" w:sz="0" w:space="0"/>
        </w:pBdr>
        <w:spacing w:line="344" w:lineRule="auto"/>
        <w:ind w:left="4" w:firstLine="7"/>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The project has a Net Present Value of £3.67M that is a positive value. This implies that the present</w:t>
      </w:r>
      <w:r>
        <w:rPr>
          <w:rFonts w:ascii="Times New Roman" w:hAnsi="Times New Roman" w:eastAsia="Times New Roman" w:cs="Times New Roman"/>
          <w:sz w:val="24"/>
          <w:szCs w:val="24"/>
          <w:rtl w:val="0"/>
        </w:rPr>
        <w:t xml:space="preserve"> value</w:t>
      </w:r>
      <w:r>
        <w:rPr>
          <w:rFonts w:ascii="Times New Roman" w:hAnsi="Times New Roman" w:eastAsia="Times New Roman" w:cs="Times New Roman"/>
          <w:color w:val="000000"/>
          <w:sz w:val="24"/>
          <w:szCs w:val="24"/>
          <w:rtl w:val="0"/>
        </w:rPr>
        <w:t xml:space="preserve"> of the future cash flow is greater than the initial cost of the business, which is 50 </w:t>
      </w:r>
      <w:r>
        <w:rPr>
          <w:rFonts w:ascii="Times New Roman" w:hAnsi="Times New Roman" w:eastAsia="Times New Roman" w:cs="Times New Roman"/>
          <w:sz w:val="24"/>
          <w:szCs w:val="24"/>
          <w:rtl w:val="0"/>
        </w:rPr>
        <w:t>million pounds</w:t>
      </w:r>
      <w:r>
        <w:rPr>
          <w:rFonts w:ascii="Times New Roman" w:hAnsi="Times New Roman" w:eastAsia="Times New Roman" w:cs="Times New Roman"/>
          <w:color w:val="000000"/>
          <w:sz w:val="24"/>
          <w:szCs w:val="24"/>
          <w:rtl w:val="0"/>
        </w:rPr>
        <w:t>. This</w:t>
      </w:r>
      <w:r>
        <w:rPr>
          <w:rFonts w:ascii="Times New Roman" w:hAnsi="Times New Roman" w:eastAsia="Times New Roman" w:cs="Times New Roman"/>
          <w:sz w:val="24"/>
          <w:szCs w:val="24"/>
          <w:rtl w:val="0"/>
        </w:rPr>
        <w:t xml:space="preserve"> outcome</w:t>
      </w:r>
      <w:r>
        <w:rPr>
          <w:rFonts w:ascii="Times New Roman" w:hAnsi="Times New Roman" w:eastAsia="Times New Roman" w:cs="Times New Roman"/>
          <w:color w:val="000000"/>
          <w:sz w:val="24"/>
          <w:szCs w:val="24"/>
          <w:rtl w:val="0"/>
        </w:rPr>
        <w:t xml:space="preserve"> justifies the process of going ahead with the project as it will improve the long-term</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financial performance (Corporate Finance Institute, 2026). </w:t>
      </w:r>
      <w:r>
        <w:rPr>
          <w:rFonts w:ascii="Times New Roman" w:hAnsi="Times New Roman" w:eastAsia="Times New Roman" w:cs="Times New Roman"/>
          <w:sz w:val="24"/>
          <w:szCs w:val="24"/>
          <w:rtl w:val="0"/>
        </w:rPr>
        <w:t>The NPV approach, however, presupposes that the future cash flows are expected to be forecasted and discounted at a constant rate, which is unlikely to reflect uncertainties in the real worldd,d such as a change in demand or an increase in costs.</w:t>
      </w:r>
    </w:p>
    <w:p w14:paraId="000000FA">
      <w:pPr>
        <w:pStyle w:val="3"/>
        <w:widowControl w:val="0"/>
        <w:spacing w:line="240" w:lineRule="auto"/>
        <w:ind w:left="10" w:firstLine="0"/>
      </w:pPr>
      <w:bookmarkStart w:id="17" w:name="_Toc17331"/>
      <w:r>
        <w:rPr>
          <w:rtl w:val="0"/>
        </w:rPr>
        <w:t>2.3 Internal Rate of Return (IRR) Analysis</w:t>
      </w:r>
      <w:bookmarkEnd w:id="17"/>
      <w:r>
        <w:rPr>
          <w:rtl w:val="0"/>
        </w:rPr>
        <w:t xml:space="preserve"> </w:t>
      </w:r>
    </w:p>
    <w:tbl>
      <w:tblPr>
        <w:tblStyle w:val="33"/>
        <w:tblW w:w="3376" w:type="dxa"/>
        <w:tblInd w:w="299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500"/>
        <w:gridCol w:w="1876"/>
      </w:tblGrid>
      <w:tr w14:paraId="0FF091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trPr>
        <w:tc>
          <w:tcPr>
            <w:gridSpan w:val="2"/>
            <w:tcMar>
              <w:top w:w="100" w:type="dxa"/>
              <w:left w:w="100" w:type="dxa"/>
              <w:bottom w:w="100" w:type="dxa"/>
              <w:right w:w="100" w:type="dxa"/>
            </w:tcMar>
          </w:tcPr>
          <w:p w14:paraId="000000F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Cash Flow Table for IRR</w:t>
            </w:r>
          </w:p>
        </w:tc>
      </w:tr>
      <w:tr w14:paraId="6E48C4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gridSpan w:val="2"/>
            <w:tcMar>
              <w:top w:w="100" w:type="dxa"/>
              <w:left w:w="100" w:type="dxa"/>
              <w:bottom w:w="100" w:type="dxa"/>
              <w:right w:w="100" w:type="dxa"/>
            </w:tcMar>
          </w:tcPr>
          <w:p w14:paraId="000000FD">
            <w:pPr>
              <w:widowControl w:val="0"/>
              <w:pBdr>
                <w:top w:val="none" w:color="auto" w:sz="0" w:space="0"/>
                <w:left w:val="none" w:color="auto" w:sz="0" w:space="0"/>
                <w:bottom w:val="none" w:color="auto" w:sz="0" w:space="0"/>
                <w:right w:val="none" w:color="auto" w:sz="0" w:space="0"/>
                <w:between w:val="none" w:color="auto" w:sz="0" w:space="0"/>
              </w:pBdr>
              <w:spacing w:line="240" w:lineRule="auto"/>
              <w:ind w:right="126"/>
              <w:jc w:val="right"/>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Year Cash Flow (£m)</w:t>
            </w:r>
          </w:p>
        </w:tc>
      </w:tr>
      <w:tr w14:paraId="50B225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0F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0 </w:t>
            </w:r>
          </w:p>
        </w:tc>
        <w:tc>
          <w:tcPr>
            <w:tcMar>
              <w:top w:w="100" w:type="dxa"/>
              <w:left w:w="100" w:type="dxa"/>
              <w:bottom w:w="100" w:type="dxa"/>
              <w:right w:w="100" w:type="dxa"/>
            </w:tcMar>
          </w:tcPr>
          <w:p w14:paraId="0000010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-50</w:t>
            </w:r>
          </w:p>
        </w:tc>
      </w:tr>
      <w:tr w14:paraId="12AAE9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0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1 </w:t>
            </w:r>
          </w:p>
        </w:tc>
        <w:tc>
          <w:tcPr>
            <w:tcMar>
              <w:top w:w="100" w:type="dxa"/>
              <w:left w:w="100" w:type="dxa"/>
              <w:bottom w:w="100" w:type="dxa"/>
              <w:right w:w="100" w:type="dxa"/>
            </w:tcMar>
          </w:tcPr>
          <w:p w14:paraId="0000010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4B5860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0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2 </w:t>
            </w:r>
          </w:p>
        </w:tc>
        <w:tc>
          <w:tcPr>
            <w:tcMar>
              <w:top w:w="100" w:type="dxa"/>
              <w:left w:w="100" w:type="dxa"/>
              <w:bottom w:w="100" w:type="dxa"/>
              <w:right w:w="100" w:type="dxa"/>
            </w:tcMar>
          </w:tcPr>
          <w:p w14:paraId="0000010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1B04A3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0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3 </w:t>
            </w:r>
          </w:p>
        </w:tc>
        <w:tc>
          <w:tcPr>
            <w:tcMar>
              <w:top w:w="100" w:type="dxa"/>
              <w:left w:w="100" w:type="dxa"/>
              <w:bottom w:w="100" w:type="dxa"/>
              <w:right w:w="100" w:type="dxa"/>
            </w:tcMar>
          </w:tcPr>
          <w:p w14:paraId="0000010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417675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07">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4 </w:t>
            </w:r>
          </w:p>
        </w:tc>
        <w:tc>
          <w:tcPr>
            <w:tcMar>
              <w:top w:w="100" w:type="dxa"/>
              <w:left w:w="100" w:type="dxa"/>
              <w:bottom w:w="100" w:type="dxa"/>
              <w:right w:w="100" w:type="dxa"/>
            </w:tcMar>
          </w:tcPr>
          <w:p w14:paraId="0000010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3B521E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0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5 </w:t>
            </w:r>
          </w:p>
        </w:tc>
        <w:tc>
          <w:tcPr>
            <w:tcMar>
              <w:top w:w="100" w:type="dxa"/>
              <w:left w:w="100" w:type="dxa"/>
              <w:bottom w:w="100" w:type="dxa"/>
              <w:right w:w="100" w:type="dxa"/>
            </w:tcMar>
          </w:tcPr>
          <w:p w14:paraId="0000010A">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07FA54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0B">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6 </w:t>
            </w:r>
          </w:p>
        </w:tc>
        <w:tc>
          <w:tcPr>
            <w:tcMar>
              <w:top w:w="100" w:type="dxa"/>
              <w:left w:w="100" w:type="dxa"/>
              <w:bottom w:w="100" w:type="dxa"/>
              <w:right w:w="100" w:type="dxa"/>
            </w:tcMar>
          </w:tcPr>
          <w:p w14:paraId="0000010C">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4239C8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0D">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7 </w:t>
            </w:r>
          </w:p>
        </w:tc>
        <w:tc>
          <w:tcPr>
            <w:tcMar>
              <w:top w:w="100" w:type="dxa"/>
              <w:left w:w="100" w:type="dxa"/>
              <w:bottom w:w="100" w:type="dxa"/>
              <w:right w:w="100" w:type="dxa"/>
            </w:tcMar>
          </w:tcPr>
          <w:p w14:paraId="0000010E">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27F8BB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0F">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8 </w:t>
            </w:r>
          </w:p>
        </w:tc>
        <w:tc>
          <w:tcPr>
            <w:tcMar>
              <w:top w:w="100" w:type="dxa"/>
              <w:left w:w="100" w:type="dxa"/>
              <w:bottom w:w="100" w:type="dxa"/>
              <w:right w:w="100" w:type="dxa"/>
            </w:tcMar>
          </w:tcPr>
          <w:p w14:paraId="0000011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2EEDB7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1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9 </w:t>
            </w:r>
          </w:p>
        </w:tc>
        <w:tc>
          <w:tcPr>
            <w:tcMar>
              <w:top w:w="100" w:type="dxa"/>
              <w:left w:w="100" w:type="dxa"/>
              <w:bottom w:w="100" w:type="dxa"/>
              <w:right w:w="100" w:type="dxa"/>
            </w:tcMar>
          </w:tcPr>
          <w:p w14:paraId="0000011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6076F1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1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 xml:space="preserve">10 </w:t>
            </w:r>
          </w:p>
        </w:tc>
        <w:tc>
          <w:tcPr>
            <w:tcMar>
              <w:top w:w="100" w:type="dxa"/>
              <w:left w:w="100" w:type="dxa"/>
              <w:bottom w:w="100" w:type="dxa"/>
              <w:right w:w="100" w:type="dxa"/>
            </w:tcMar>
          </w:tcPr>
          <w:p w14:paraId="00000114">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8</w:t>
            </w:r>
          </w:p>
        </w:tc>
      </w:tr>
      <w:tr w14:paraId="29B3E0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5" w:hRule="atLeast"/>
        </w:trPr>
        <w:tc>
          <w:tcPr>
            <w:tcMar>
              <w:top w:w="100" w:type="dxa"/>
              <w:left w:w="100" w:type="dxa"/>
              <w:bottom w:w="100" w:type="dxa"/>
              <w:right w:w="100" w:type="dxa"/>
            </w:tcMar>
          </w:tcPr>
          <w:p w14:paraId="00000115">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IRR </w:t>
            </w:r>
          </w:p>
        </w:tc>
        <w:tc>
          <w:tcPr>
            <w:tcMar>
              <w:top w:w="100" w:type="dxa"/>
              <w:left w:w="100" w:type="dxa"/>
              <w:bottom w:w="100" w:type="dxa"/>
              <w:right w:w="100" w:type="dxa"/>
            </w:tcMar>
          </w:tcPr>
          <w:p w14:paraId="00000116">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10%</w:t>
            </w:r>
          </w:p>
        </w:tc>
      </w:tr>
    </w:tbl>
    <w:p w14:paraId="00000117">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118">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119">
      <w:pPr>
        <w:widowControl w:val="0"/>
        <w:pBdr>
          <w:top w:val="none" w:color="auto" w:sz="0" w:space="0"/>
          <w:left w:val="none" w:color="auto" w:sz="0" w:space="0"/>
          <w:bottom w:val="none" w:color="auto" w:sz="0" w:space="0"/>
          <w:right w:val="none" w:color="auto" w:sz="0" w:space="0"/>
          <w:between w:val="none" w:color="auto" w:sz="0" w:space="0"/>
        </w:pBdr>
        <w:spacing w:line="345" w:lineRule="auto"/>
        <w:ind w:left="4" w:right="3" w:firstLine="7"/>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The profitability of an investment project is measured using the Internal Rate of Return. It is the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discount rate that sets the Net Present Value to zero. The IRR is roughly estimated at 10</w:t>
      </w:r>
      <w:r>
        <w:rPr>
          <w:rFonts w:ascii="Times New Roman" w:hAnsi="Times New Roman" w:eastAsia="Times New Roman" w:cs="Times New Roman"/>
          <w:sz w:val="24"/>
          <w:szCs w:val="24"/>
          <w:rtl w:val="0"/>
        </w:rPr>
        <w:t>%</w:t>
      </w:r>
      <w:r>
        <w:rPr>
          <w:rFonts w:ascii="Times New Roman" w:hAnsi="Times New Roman" w:eastAsia="Times New Roman" w:cs="Times New Roman"/>
          <w:color w:val="000000"/>
          <w:sz w:val="24"/>
          <w:szCs w:val="24"/>
          <w:rtl w:val="0"/>
        </w:rPr>
        <w:t xml:space="preserve"> based on the project cash flow estimates. This value is used to show the anticipated yearly returns</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of the project. The cost of capital that is assumed to be used at Amazon is 8%. </w:t>
      </w:r>
      <w:r>
        <w:rPr>
          <w:rFonts w:ascii="Times New Roman" w:hAnsi="Times New Roman" w:eastAsia="Times New Roman" w:cs="Times New Roman"/>
          <w:sz w:val="24"/>
          <w:szCs w:val="24"/>
          <w:rtl w:val="0"/>
        </w:rPr>
        <w:t>Whereas IRR can be useful in the comparison of returns, it can be misleading where projects have non-conventional cash flows; it limits its effectiveness as a single decision-making instrument when comparing projects of differing magnitude (Liu, 2022).</w:t>
      </w:r>
    </w:p>
    <w:p w14:paraId="0000011A">
      <w:pPr>
        <w:pStyle w:val="3"/>
        <w:widowControl w:val="0"/>
        <w:spacing w:before="439" w:line="240" w:lineRule="auto"/>
        <w:ind w:left="10" w:firstLine="0"/>
        <w:rPr>
          <w:rFonts w:ascii="Times New Roman" w:hAnsi="Times New Roman" w:eastAsia="Times New Roman" w:cs="Times New Roman"/>
          <w:color w:val="000000"/>
          <w:sz w:val="24"/>
          <w:szCs w:val="24"/>
        </w:rPr>
      </w:pPr>
      <w:bookmarkStart w:id="18" w:name="_Toc9726"/>
      <w:r>
        <w:rPr>
          <w:rtl w:val="0"/>
        </w:rPr>
        <w:t>2.4 Payback Period</w:t>
      </w:r>
      <w:bookmarkEnd w:id="18"/>
    </w:p>
    <w:p w14:paraId="0000011B">
      <w:pPr>
        <w:spacing w:line="360" w:lineRule="auto"/>
        <w:jc w:val="both"/>
        <w:rPr>
          <w:rFonts w:ascii="Times New Roman" w:hAnsi="Times New Roman" w:eastAsia="Times New Roman" w:cs="Times New Roman"/>
          <w:sz w:val="24"/>
          <w:szCs w:val="24"/>
        </w:rPr>
      </w:pPr>
    </w:p>
    <w:tbl>
      <w:tblPr>
        <w:tblStyle w:val="34"/>
        <w:tblW w:w="936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1283"/>
        <w:gridCol w:w="1978"/>
        <w:gridCol w:w="3056"/>
        <w:gridCol w:w="3043"/>
      </w:tblGrid>
      <w:tr w14:paraId="23A52AF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gridSpan w:val="4"/>
            <w:tcBorders>
              <w:top w:val="single" w:color="000000"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1C">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Payback Period Table</w:t>
            </w:r>
          </w:p>
        </w:tc>
      </w:tr>
      <w:tr w14:paraId="151044A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645"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20">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Year</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1">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Cash Flow (£ million)</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2">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Cumulative Cash Flow (£ million)</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3">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Remaining Investment (£ million)</w:t>
            </w:r>
          </w:p>
        </w:tc>
      </w:tr>
      <w:tr w14:paraId="26E177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24">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0</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5">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-50</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6">
            <w:pPr>
              <w:widowControl w:val="0"/>
              <w:rPr>
                <w:rFonts w:ascii="Times New Roman" w:hAnsi="Times New Roman" w:eastAsia="Times New Roman" w:cs="Times New Roman"/>
                <w:sz w:val="24"/>
                <w:szCs w:val="24"/>
              </w:rPr>
            </w:pP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7">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50</w:t>
            </w:r>
          </w:p>
        </w:tc>
      </w:tr>
      <w:tr w14:paraId="364B206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28">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1</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9">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8</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A">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-42</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B">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42</w:t>
            </w:r>
          </w:p>
        </w:tc>
      </w:tr>
      <w:tr w14:paraId="130C47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2C">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2</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D">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8</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E">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-34</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2F">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34</w:t>
            </w:r>
          </w:p>
        </w:tc>
      </w:tr>
      <w:tr w14:paraId="2BED28A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30">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3</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1">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8</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2">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-26</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3">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26</w:t>
            </w:r>
          </w:p>
        </w:tc>
      </w:tr>
      <w:tr w14:paraId="116507A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34">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4</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5">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8</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6">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-18</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7">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18</w:t>
            </w:r>
          </w:p>
        </w:tc>
      </w:tr>
      <w:tr w14:paraId="4A5354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38">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5</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9">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8</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A">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-10</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B">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10</w:t>
            </w:r>
          </w:p>
        </w:tc>
      </w:tr>
      <w:tr w14:paraId="289466E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3C">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6</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D">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8</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E">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3F">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2</w:t>
            </w:r>
          </w:p>
        </w:tc>
      </w:tr>
      <w:tr w14:paraId="6C6CD49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40">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7</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41">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8</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42">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6</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43">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0</w:t>
            </w:r>
          </w:p>
        </w:tc>
      </w:tr>
      <w:tr w14:paraId="1B1E4D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gridSpan w:val="3"/>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44">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Final payback period</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47">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2</w:t>
            </w:r>
          </w:p>
        </w:tc>
      </w:tr>
      <w:tr w14:paraId="0F55826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gridSpan w:val="3"/>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48">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Fraction of the year</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4B">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0.25</w:t>
            </w:r>
          </w:p>
        </w:tc>
      </w:tr>
      <w:tr w14:paraId="306DD7D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gridSpan w:val="3"/>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4C">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Payback period (Years)</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4F">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6.25</w:t>
            </w:r>
          </w:p>
        </w:tc>
      </w:tr>
    </w:tbl>
    <w:p w14:paraId="00000150">
      <w:pPr>
        <w:spacing w:line="360" w:lineRule="auto"/>
      </w:pPr>
    </w:p>
    <w:p w14:paraId="00000151">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152">
      <w:pPr>
        <w:widowControl w:val="0"/>
        <w:pBdr>
          <w:top w:val="none" w:color="auto" w:sz="0" w:space="0"/>
          <w:left w:val="none" w:color="auto" w:sz="0" w:space="0"/>
          <w:bottom w:val="none" w:color="auto" w:sz="0" w:space="0"/>
          <w:right w:val="none" w:color="auto" w:sz="0" w:space="0"/>
          <w:between w:val="none" w:color="auto" w:sz="0" w:space="0"/>
        </w:pBdr>
        <w:spacing w:line="345" w:lineRule="auto"/>
        <w:ind w:left="7" w:right="2" w:firstLine="0"/>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Payback period is the period in which the initial investment in a project is recouped. The initial</w:t>
      </w:r>
      <w:r>
        <w:rPr>
          <w:rFonts w:ascii="Times New Roman" w:hAnsi="Times New Roman" w:eastAsia="Times New Roman" w:cs="Times New Roman"/>
          <w:sz w:val="24"/>
          <w:szCs w:val="24"/>
          <w:rtl w:val="0"/>
        </w:rPr>
        <w:t xml:space="preserve"> investment</w:t>
      </w:r>
      <w:r>
        <w:rPr>
          <w:rFonts w:ascii="Times New Roman" w:hAnsi="Times New Roman" w:eastAsia="Times New Roman" w:cs="Times New Roman"/>
          <w:color w:val="000000"/>
          <w:sz w:val="24"/>
          <w:szCs w:val="24"/>
          <w:rtl w:val="0"/>
        </w:rPr>
        <w:t xml:space="preserve"> of 50 million pounds in the project pays back the initial investment after an estimated</w:t>
      </w:r>
      <w:r>
        <w:rPr>
          <w:rFonts w:ascii="Times New Roman" w:hAnsi="Times New Roman" w:eastAsia="Times New Roman" w:cs="Times New Roman"/>
          <w:sz w:val="24"/>
          <w:szCs w:val="24"/>
          <w:rtl w:val="0"/>
        </w:rPr>
        <w:t xml:space="preserve"> ratio</w:t>
      </w:r>
      <w:r>
        <w:rPr>
          <w:rFonts w:ascii="Times New Roman" w:hAnsi="Times New Roman" w:eastAsia="Times New Roman" w:cs="Times New Roman"/>
          <w:color w:val="000000"/>
          <w:sz w:val="24"/>
          <w:szCs w:val="24"/>
          <w:rtl w:val="0"/>
        </w:rPr>
        <w:t xml:space="preserve"> of 6.25 years based on the estimated annual cash inflows of 8 million pounds. This implies</w:t>
      </w:r>
      <w:r>
        <w:rPr>
          <w:rFonts w:ascii="Times New Roman" w:hAnsi="Times New Roman" w:eastAsia="Times New Roman" w:cs="Times New Roman"/>
          <w:sz w:val="24"/>
          <w:szCs w:val="24"/>
          <w:rtl w:val="0"/>
        </w:rPr>
        <w:t xml:space="preserve"> that</w:t>
      </w:r>
      <w:r>
        <w:rPr>
          <w:rFonts w:ascii="Times New Roman" w:hAnsi="Times New Roman" w:eastAsia="Times New Roman" w:cs="Times New Roman"/>
          <w:color w:val="000000"/>
          <w:sz w:val="24"/>
          <w:szCs w:val="24"/>
          <w:rtl w:val="0"/>
        </w:rPr>
        <w:t xml:space="preserve"> the project will recoup the costs of the project in six years and three months. But it does not</w:t>
      </w:r>
      <w:r>
        <w:rPr>
          <w:rFonts w:ascii="Times New Roman" w:hAnsi="Times New Roman" w:eastAsia="Times New Roman" w:cs="Times New Roman"/>
          <w:sz w:val="24"/>
          <w:szCs w:val="24"/>
          <w:rtl w:val="0"/>
        </w:rPr>
        <w:t xml:space="preserve"> take</w:t>
      </w:r>
      <w:r>
        <w:rPr>
          <w:rFonts w:ascii="Times New Roman" w:hAnsi="Times New Roman" w:eastAsia="Times New Roman" w:cs="Times New Roman"/>
          <w:color w:val="000000"/>
          <w:sz w:val="24"/>
          <w:szCs w:val="24"/>
          <w:rtl w:val="0"/>
        </w:rPr>
        <w:t xml:space="preserve"> into account the time value of money or post-payback cash flows. Although this is </w:t>
      </w:r>
      <w:r>
        <w:rPr>
          <w:rFonts w:ascii="Times New Roman" w:hAnsi="Times New Roman" w:eastAsia="Times New Roman" w:cs="Times New Roman"/>
          <w:sz w:val="24"/>
          <w:szCs w:val="24"/>
          <w:rtl w:val="0"/>
        </w:rPr>
        <w:t>an imitation</w:t>
      </w:r>
      <w:r>
        <w:rPr>
          <w:rFonts w:ascii="Times New Roman" w:hAnsi="Times New Roman" w:eastAsia="Times New Roman" w:cs="Times New Roman"/>
          <w:color w:val="000000"/>
          <w:sz w:val="24"/>
          <w:szCs w:val="24"/>
          <w:rtl w:val="0"/>
        </w:rPr>
        <w:t xml:space="preserve">, the calculated payback period shows that there was a reasonable recovery of investment  (Wallstreetprep, 2025). </w:t>
      </w:r>
      <w:r>
        <w:rPr>
          <w:rFonts w:ascii="Times New Roman" w:hAnsi="Times New Roman" w:eastAsia="Times New Roman" w:cs="Times New Roman"/>
          <w:sz w:val="24"/>
          <w:szCs w:val="24"/>
          <w:rtl w:val="0"/>
        </w:rPr>
        <w:t>One of the main weaknesses of the payback method is that it disregards other time values of money and cash flows that occur after the payback period, leading to poor investment decisions.</w:t>
      </w:r>
    </w:p>
    <w:p w14:paraId="00000153">
      <w:pPr>
        <w:pStyle w:val="3"/>
        <w:widowControl w:val="0"/>
        <w:spacing w:before="440" w:line="240" w:lineRule="auto"/>
        <w:ind w:left="10" w:firstLine="0"/>
      </w:pPr>
      <w:bookmarkStart w:id="19" w:name="_Toc6675"/>
      <w:r>
        <w:rPr>
          <w:rtl w:val="0"/>
        </w:rPr>
        <w:t>2.5 Profitability Index (PI)</w:t>
      </w:r>
      <w:bookmarkEnd w:id="19"/>
      <w:r>
        <w:rPr>
          <w:rtl w:val="0"/>
        </w:rPr>
        <w:t xml:space="preserve"> </w:t>
      </w:r>
    </w:p>
    <w:p w14:paraId="00000154"/>
    <w:p w14:paraId="00000155">
      <w:pPr>
        <w:spacing w:line="360" w:lineRule="auto"/>
        <w:jc w:val="both"/>
        <w:rPr>
          <w:rFonts w:ascii="Times New Roman" w:hAnsi="Times New Roman" w:eastAsia="Times New Roman" w:cs="Times New Roman"/>
          <w:sz w:val="24"/>
          <w:szCs w:val="24"/>
        </w:rPr>
      </w:pPr>
    </w:p>
    <w:sdt>
      <w:sdtPr>
        <w:tag w:val="goog_rdk_0"/>
        <w:id w:val="993425342"/>
        <w:lock w:val="contentLocked"/>
      </w:sdtPr>
      <w:sdtContent>
        <w:tbl>
          <w:tblPr>
            <w:tblStyle w:val="35"/>
            <w:tblW w:w="567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3870"/>
            <w:gridCol w:w="1800"/>
          </w:tblGrid>
          <w:tr w14:paraId="1BEE85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gridSpan w:val="2"/>
                <w:tcBorders>
                  <w:top w:val="single" w:color="000000"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56">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Profitability Index Calculation Table</w:t>
                </w:r>
              </w:p>
            </w:tc>
          </w:tr>
          <w:tr w14:paraId="2D440E7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645"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58">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Component</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59">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Value (£ million)</w:t>
                </w:r>
              </w:p>
            </w:tc>
          </w:tr>
          <w:tr w14:paraId="066F071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5A">
                <w:pPr>
                  <w:widowControl w:val="0"/>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Present Value of Future Cash Flows</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5B">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53.67</w:t>
                </w:r>
              </w:p>
            </w:tc>
          </w:tr>
          <w:tr w14:paraId="1A712DD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5C">
                <w:pPr>
                  <w:widowControl w:val="0"/>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Initial Investment</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5D">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50</w:t>
                </w:r>
              </w:p>
            </w:tc>
          </w:tr>
          <w:tr w14:paraId="04AB45C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jc w:val="center"/>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5E">
                <w:pPr>
                  <w:widowControl w:val="0"/>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Profitability Index (PI)</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5F">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1.07</w:t>
                </w:r>
              </w:p>
            </w:tc>
          </w:tr>
        </w:tbl>
      </w:sdtContent>
    </w:sdt>
    <w:p w14:paraId="00000160">
      <w:pPr>
        <w:spacing w:line="360" w:lineRule="auto"/>
        <w:jc w:val="both"/>
      </w:pPr>
    </w:p>
    <w:p w14:paraId="00000161">
      <w:pPr>
        <w:widowControl w:val="0"/>
        <w:pBdr>
          <w:top w:val="none" w:color="auto" w:sz="0" w:space="0"/>
          <w:left w:val="none" w:color="auto" w:sz="0" w:space="0"/>
          <w:bottom w:val="none" w:color="auto" w:sz="0" w:space="0"/>
          <w:right w:val="none" w:color="auto" w:sz="0" w:space="0"/>
          <w:between w:val="none" w:color="auto" w:sz="0" w:space="0"/>
        </w:pBdr>
        <w:rPr>
          <w:color w:val="000000"/>
        </w:rPr>
      </w:pPr>
    </w:p>
    <w:p w14:paraId="00000162">
      <w:pPr>
        <w:widowControl w:val="0"/>
        <w:pBdr>
          <w:top w:val="none" w:color="auto" w:sz="0" w:space="0"/>
          <w:left w:val="none" w:color="auto" w:sz="0" w:space="0"/>
          <w:bottom w:val="none" w:color="auto" w:sz="0" w:space="0"/>
          <w:right w:val="none" w:color="auto" w:sz="0" w:space="0"/>
          <w:between w:val="none" w:color="auto" w:sz="0" w:space="0"/>
        </w:pBdr>
        <w:spacing w:line="344" w:lineRule="auto"/>
        <w:ind w:left="6" w:right="4" w:firstLine="2"/>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color w:val="000000"/>
          <w:sz w:val="24"/>
          <w:szCs w:val="24"/>
          <w:rtl w:val="0"/>
        </w:rPr>
        <w:t xml:space="preserve">Profitability index shows the ratio between the future value of cash flows and the initial investment.  It assists in identifying the value generated on a unit of investment. In this project, the </w:t>
      </w:r>
      <w:r>
        <w:rPr>
          <w:rFonts w:ascii="Times New Roman" w:hAnsi="Times New Roman" w:eastAsia="Times New Roman" w:cs="Times New Roman"/>
          <w:sz w:val="24"/>
          <w:szCs w:val="24"/>
          <w:rtl w:val="0"/>
        </w:rPr>
        <w:t xml:space="preserve">present </w:t>
      </w:r>
      <w:r>
        <w:rPr>
          <w:rFonts w:ascii="Times New Roman" w:hAnsi="Times New Roman" w:eastAsia="Times New Roman" w:cs="Times New Roman"/>
          <w:color w:val="000000"/>
          <w:sz w:val="24"/>
          <w:szCs w:val="24"/>
          <w:rtl w:val="0"/>
        </w:rPr>
        <w:t>value of the cash flow in the future is estimated to be an amount of £53.67 million. The project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will need the initial capital investment of £50 million. Thus, the project can be deemed as </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economically feasible. This finding justifies the economic viability of the intended infrastructural</w:t>
      </w:r>
      <w:r>
        <w:rPr>
          <w:rFonts w:ascii="Times New Roman" w:hAnsi="Times New Roman" w:eastAsia="Times New Roman" w:cs="Times New Roman"/>
          <w:sz w:val="24"/>
          <w:szCs w:val="24"/>
          <w:rtl w:val="0"/>
        </w:rPr>
        <w:t xml:space="preserve"> investment</w:t>
      </w:r>
      <w:r>
        <w:rPr>
          <w:rFonts w:ascii="Times New Roman" w:hAnsi="Times New Roman" w:eastAsia="Times New Roman" w:cs="Times New Roman"/>
          <w:color w:val="000000"/>
          <w:sz w:val="24"/>
          <w:szCs w:val="24"/>
          <w:rtl w:val="0"/>
        </w:rPr>
        <w:t xml:space="preserve"> (Rumallang </w:t>
      </w:r>
      <w:r>
        <w:rPr>
          <w:rFonts w:ascii="Times New Roman" w:hAnsi="Times New Roman" w:eastAsia="Times New Roman" w:cs="Times New Roman"/>
          <w:i/>
          <w:iCs/>
          <w:color w:val="000000"/>
          <w:sz w:val="24"/>
          <w:szCs w:val="24"/>
          <w:rtl w:val="0"/>
        </w:rPr>
        <w:t>et al</w:t>
      </w:r>
      <w:r>
        <w:rPr>
          <w:rFonts w:ascii="Times New Roman" w:hAnsi="Times New Roman" w:eastAsia="Times New Roman" w:cs="Times New Roman"/>
          <w:color w:val="000000"/>
          <w:sz w:val="24"/>
          <w:szCs w:val="24"/>
          <w:rtl w:val="0"/>
        </w:rPr>
        <w:t xml:space="preserve">, 2025). </w:t>
      </w:r>
      <w:r>
        <w:rPr>
          <w:rFonts w:ascii="Times New Roman" w:hAnsi="Times New Roman" w:eastAsia="Times New Roman" w:cs="Times New Roman"/>
          <w:sz w:val="24"/>
          <w:szCs w:val="24"/>
          <w:rtl w:val="0"/>
        </w:rPr>
        <w:t>Although the profitability index is a relatively good measure of the value creation, it might not be an efficient measure for comparing big projects since big projects may not be well represented by the profitability index.</w:t>
      </w:r>
      <w:r>
        <w:rPr>
          <w:rFonts w:ascii="Times New Roman" w:hAnsi="Times New Roman" w:eastAsia="Times New Roman" w:cs="Times New Roman"/>
          <w:color w:val="000000"/>
          <w:sz w:val="24"/>
          <w:szCs w:val="24"/>
          <w:shd w:val="clear" w:fill="D9EAD3"/>
          <w:rtl w:val="0"/>
        </w:rPr>
        <w:t xml:space="preserve"> </w:t>
      </w:r>
    </w:p>
    <w:p w14:paraId="00000163">
      <w:pPr>
        <w:pStyle w:val="3"/>
        <w:widowControl w:val="0"/>
        <w:spacing w:line="344" w:lineRule="auto"/>
        <w:ind w:left="6" w:right="4" w:firstLine="2"/>
        <w:jc w:val="both"/>
      </w:pPr>
      <w:bookmarkStart w:id="20" w:name="_Toc5604"/>
      <w:r>
        <w:rPr>
          <w:rtl w:val="0"/>
        </w:rPr>
        <w:t>2.6 Scenario Analysis (Base, Best, Worst Case)</w:t>
      </w:r>
      <w:bookmarkEnd w:id="20"/>
      <w:r>
        <w:rPr>
          <w:rtl w:val="0"/>
        </w:rPr>
        <w:t xml:space="preserve"> </w:t>
      </w:r>
    </w:p>
    <w:p w14:paraId="00000164">
      <w:pPr>
        <w:pStyle w:val="4"/>
        <w:widowControl w:val="0"/>
        <w:spacing w:before="134" w:line="240" w:lineRule="auto"/>
        <w:ind w:left="10" w:firstLine="0"/>
      </w:pPr>
      <w:bookmarkStart w:id="21" w:name="_heading=h.pqtgp5hi3g36" w:colFirst="0" w:colLast="0"/>
      <w:bookmarkEnd w:id="21"/>
      <w:bookmarkStart w:id="22" w:name="_Toc24434"/>
      <w:r>
        <w:rPr>
          <w:rtl w:val="0"/>
        </w:rPr>
        <w:t>2.6.1 Scenario Comparison (Base, Best, and Worst Case)</w:t>
      </w:r>
      <w:bookmarkEnd w:id="22"/>
      <w:r>
        <w:rPr>
          <w:rtl w:val="0"/>
        </w:rPr>
        <w:t xml:space="preserve"> </w:t>
      </w:r>
    </w:p>
    <w:p w14:paraId="00000165">
      <w:pPr>
        <w:spacing w:line="360" w:lineRule="auto"/>
        <w:jc w:val="both"/>
        <w:rPr>
          <w:rFonts w:ascii="Times New Roman" w:hAnsi="Times New Roman" w:eastAsia="Times New Roman" w:cs="Times New Roman"/>
          <w:sz w:val="24"/>
          <w:szCs w:val="24"/>
        </w:rPr>
      </w:pPr>
    </w:p>
    <w:sdt>
      <w:sdtPr>
        <w:tag w:val="goog_rdk_1"/>
        <w:id w:val="-1432904504"/>
        <w:lock w:val="contentLocked"/>
      </w:sdtPr>
      <w:sdtContent>
        <w:tbl>
          <w:tblPr>
            <w:tblStyle w:val="36"/>
            <w:tblW w:w="936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1213"/>
            <w:gridCol w:w="2061"/>
            <w:gridCol w:w="2874"/>
            <w:gridCol w:w="2000"/>
            <w:gridCol w:w="1212"/>
          </w:tblGrid>
          <w:tr w14:paraId="436E3E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645" w:hRule="atLeast"/>
            </w:trPr>
            <w:tc>
              <w:tcPr>
                <w:tcBorders>
                  <w:top w:val="single" w:color="000000"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66">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Scenario</w:t>
                </w:r>
              </w:p>
            </w:tc>
            <w:tc>
              <w:tcPr>
                <w:tcBorders>
                  <w:top w:val="single" w:color="000000"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67">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Annual Cash Flow (£m)</w:t>
                </w:r>
              </w:p>
            </w:tc>
            <w:tc>
              <w:tcPr>
                <w:tcBorders>
                  <w:top w:val="single" w:color="000000"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68">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Present Value of Cash Flows (£m)</w:t>
                </w:r>
              </w:p>
            </w:tc>
            <w:tc>
              <w:tcPr>
                <w:tcBorders>
                  <w:top w:val="single" w:color="000000"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69">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Initial Investment (£m)</w:t>
                </w:r>
              </w:p>
            </w:tc>
            <w:tc>
              <w:tcPr>
                <w:tcBorders>
                  <w:top w:val="single" w:color="000000"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6A">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tl w:val="0"/>
                  </w:rPr>
                  <w:t>NPV (£m)</w:t>
                </w:r>
              </w:p>
            </w:tc>
          </w:tr>
          <w:tr w14:paraId="40BD407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6B">
                <w:pPr>
                  <w:widowControl w:val="0"/>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Best Case</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6C">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10</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6D">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67.09</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6E">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50</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6F">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17.09</w:t>
                </w:r>
              </w:p>
            </w:tc>
          </w:tr>
          <w:tr w14:paraId="0318EE1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70">
                <w:pPr>
                  <w:widowControl w:val="0"/>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Base Case</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71">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8</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72">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53.67</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73">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50</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74">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3.67</w:t>
                </w:r>
              </w:p>
            </w:tc>
          </w:tr>
          <w:tr w14:paraId="17F4920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360" w:hRule="atLeast"/>
            </w:trPr>
            <w:tc>
              <w:tcPr>
                <w:tcBorders>
                  <w:top w:val="single" w:color="CCCCCC" w:sz="6" w:space="0"/>
                  <w:left w:val="single" w:color="000000" w:sz="6" w:space="0"/>
                  <w:bottom w:val="single" w:color="000000" w:sz="6" w:space="0"/>
                  <w:right w:val="single" w:color="000000" w:sz="6" w:space="0"/>
                </w:tcBorders>
                <w:tcMar>
                  <w:top w:w="40" w:type="dxa"/>
                  <w:left w:w="40" w:type="dxa"/>
                  <w:bottom w:w="40" w:type="dxa"/>
                  <w:right w:w="40" w:type="dxa"/>
                </w:tcMar>
                <w:vAlign w:val="bottom"/>
              </w:tcPr>
              <w:p w14:paraId="00000175">
                <w:pPr>
                  <w:widowControl w:val="0"/>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Worst Case</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76">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6</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77">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40.25</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78">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50</w:t>
                </w:r>
              </w:p>
            </w:tc>
            <w:tc>
              <w:tcPr>
                <w:tcBorders>
                  <w:top w:val="single" w:color="CCCCCC" w:sz="6" w:space="0"/>
                  <w:left w:val="single" w:color="CCCCCC" w:sz="6" w:space="0"/>
                  <w:bottom w:val="single" w:color="000000" w:sz="6" w:space="0"/>
                  <w:right w:val="single" w:color="000000" w:sz="6" w:space="0"/>
                </w:tcBorders>
                <w:tcMar>
                  <w:top w:w="40" w:type="dxa"/>
                  <w:left w:w="40" w:type="dxa"/>
                  <w:bottom w:w="40" w:type="dxa"/>
                  <w:right w:w="40" w:type="dxa"/>
                </w:tcMar>
                <w:vAlign w:val="bottom"/>
              </w:tcPr>
              <w:p w14:paraId="00000179">
                <w:pPr>
                  <w:widowControl w:val="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-9.75</w:t>
                </w:r>
              </w:p>
            </w:tc>
          </w:tr>
        </w:tbl>
      </w:sdtContent>
    </w:sdt>
    <w:p w14:paraId="0000017A">
      <w:pPr>
        <w:spacing w:line="360" w:lineRule="auto"/>
        <w:jc w:val="both"/>
      </w:pPr>
    </w:p>
    <w:p w14:paraId="0000017B">
      <w:pPr>
        <w:spacing w:line="360" w:lineRule="auto"/>
        <w:jc w:val="both"/>
        <w:rPr>
          <w:color w:val="000000"/>
        </w:rPr>
      </w:pPr>
      <w:r>
        <w:rPr>
          <w:rFonts w:ascii="Times New Roman" w:hAnsi="Times New Roman" w:eastAsia="Times New Roman" w:cs="Times New Roman"/>
          <w:sz w:val="24"/>
          <w:szCs w:val="24"/>
          <w:rtl w:val="0"/>
        </w:rPr>
        <w:t>Changes in demand, cost, and efficiency are also issues that affect the difference in the cash flows under different scenarios. To give an example, an increase in demand and efficiency results in a higher cash flow per annum in the best-case scenario, whereas a decrease in demand or an increase in operating costs in the worst-case scenario decreases profitability. The project has a number of uncertainties with regard to its financial viability. Alterations in market demand, disruptions in operations and fluctuations in input costs can have a great impact on the estimated cash flows. Besides inflation, changes in regulations, and technological risks, among other external factors, might affect long-term performance. Thus, investment decisions cannot be based on the simple estimates of the base-case but should take into consideration the possible variability in the results.</w:t>
      </w:r>
    </w:p>
    <w:p w14:paraId="0000017C">
      <w:pPr>
        <w:pStyle w:val="3"/>
        <w:widowControl w:val="0"/>
        <w:spacing w:line="240" w:lineRule="auto"/>
        <w:ind w:left="10" w:firstLine="0"/>
      </w:pPr>
      <w:bookmarkStart w:id="23" w:name="_heading=h.kldeoq3jx2oo" w:colFirst="0" w:colLast="0"/>
      <w:bookmarkEnd w:id="23"/>
      <w:bookmarkStart w:id="24" w:name="_Toc15413"/>
      <w:r>
        <w:rPr>
          <w:rtl w:val="0"/>
        </w:rPr>
        <w:t>2.6.2 Impact of Uncertainty on Financial Outcomes</w:t>
      </w:r>
      <w:bookmarkEnd w:id="24"/>
      <w:r>
        <w:rPr>
          <w:rtl w:val="0"/>
        </w:rPr>
        <w:t xml:space="preserve"> </w:t>
      </w:r>
    </w:p>
    <w:p w14:paraId="0000017D">
      <w:pPr>
        <w:widowControl w:val="0"/>
        <w:pBdr>
          <w:top w:val="none" w:color="auto" w:sz="0" w:space="0"/>
          <w:left w:val="none" w:color="auto" w:sz="0" w:space="0"/>
          <w:bottom w:val="none" w:color="auto" w:sz="0" w:space="0"/>
          <w:right w:val="none" w:color="auto" w:sz="0" w:space="0"/>
          <w:between w:val="none" w:color="auto" w:sz="0" w:space="0"/>
        </w:pBdr>
        <w:spacing w:before="134" w:line="345" w:lineRule="auto"/>
        <w:ind w:left="4" w:right="5" w:firstLine="9"/>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color w:val="000000"/>
          <w:sz w:val="24"/>
          <w:szCs w:val="24"/>
          <w:rtl w:val="0"/>
        </w:rPr>
        <w:t>Capital investment projects can be greatly influenced by uncertainty in terms of financial results.  Profitability of projects may be affected by changes in the levels of revenue or operating costs.  Increased demand has the ability to boost cash flows over a year and improve Net Present Value.  The anticipated financial returns may be decreased by lower demand (Ijrpr, 2026). Financial</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performance can also be influenced by rises in the costs of construction or operation. Scenario</w:t>
      </w:r>
      <w:r>
        <w:rPr>
          <w:rFonts w:ascii="Times New Roman" w:hAnsi="Times New Roman" w:eastAsia="Times New Roman" w:cs="Times New Roman"/>
          <w:sz w:val="24"/>
          <w:szCs w:val="24"/>
          <w:rtl w:val="0"/>
        </w:rPr>
        <w:t xml:space="preserve"> analysis</w:t>
      </w:r>
      <w:r>
        <w:rPr>
          <w:rFonts w:ascii="Times New Roman" w:hAnsi="Times New Roman" w:eastAsia="Times New Roman" w:cs="Times New Roman"/>
          <w:color w:val="000000"/>
          <w:sz w:val="24"/>
          <w:szCs w:val="24"/>
          <w:rtl w:val="0"/>
        </w:rPr>
        <w:t xml:space="preserve"> assists the management in being aware of the possible financial risks. </w:t>
      </w:r>
      <w:r>
        <w:rPr>
          <w:rFonts w:ascii="Times New Roman" w:hAnsi="Times New Roman" w:eastAsia="Times New Roman" w:cs="Times New Roman"/>
          <w:sz w:val="24"/>
          <w:szCs w:val="24"/>
          <w:rtl w:val="0"/>
        </w:rPr>
        <w:t>It is believed that the Net Present Value (NPV) method is the most dependable method of investment appraisal since it quantifies the value creation directly. Conversely, the IRR technique can give conflicting decisions under some circumstances. Hence, NPV should be given more weight in the ultimate decision-making of investments.</w:t>
      </w:r>
    </w:p>
    <w:p w14:paraId="0000017E">
      <w:pPr>
        <w:pStyle w:val="2"/>
        <w:widowControl w:val="0"/>
        <w:spacing w:before="439" w:line="240" w:lineRule="auto"/>
      </w:pPr>
      <w:bookmarkStart w:id="25" w:name="_Toc26713"/>
      <w:r>
        <w:rPr>
          <w:rtl w:val="0"/>
        </w:rPr>
        <w:t>Section C: Cost Control Plan</w:t>
      </w:r>
      <w:bookmarkEnd w:id="25"/>
      <w:r>
        <w:rPr>
          <w:rtl w:val="0"/>
        </w:rPr>
        <w:t xml:space="preserve"> </w:t>
      </w:r>
    </w:p>
    <w:p w14:paraId="0000017F">
      <w:pPr>
        <w:spacing w:line="360" w:lineRule="auto"/>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sz w:val="24"/>
          <w:szCs w:val="24"/>
          <w:rtl w:val="0"/>
        </w:rPr>
        <w:t>A good system of cost control for this project must be done in a systematic procedure, which involves cost planning, cost monitoring, variance analysis, and correction. This control system will provide continuous monitoring and management of financial performance on a project lifecycle basis.</w:t>
      </w:r>
    </w:p>
    <w:p w14:paraId="00000180">
      <w:pPr>
        <w:pStyle w:val="3"/>
        <w:widowControl w:val="0"/>
        <w:spacing w:before="134" w:line="240" w:lineRule="auto"/>
        <w:ind w:left="8" w:firstLine="0"/>
      </w:pPr>
      <w:bookmarkStart w:id="26" w:name="_Toc4249"/>
      <w:r>
        <w:rPr>
          <w:rtl w:val="0"/>
        </w:rPr>
        <w:t>3.1 Importance of Cost Control in Capital Projects</w:t>
      </w:r>
      <w:bookmarkEnd w:id="26"/>
      <w:r>
        <w:rPr>
          <w:rtl w:val="0"/>
        </w:rPr>
        <w:t xml:space="preserve"> </w:t>
      </w:r>
    </w:p>
    <w:p w14:paraId="00000181">
      <w:pPr>
        <w:widowControl w:val="0"/>
        <w:pBdr>
          <w:top w:val="none" w:color="auto" w:sz="0" w:space="0"/>
          <w:left w:val="none" w:color="auto" w:sz="0" w:space="0"/>
          <w:bottom w:val="none" w:color="auto" w:sz="0" w:space="0"/>
          <w:right w:val="none" w:color="auto" w:sz="0" w:space="0"/>
          <w:between w:val="none" w:color="auto" w:sz="0" w:space="0"/>
        </w:pBdr>
        <w:spacing w:before="135" w:line="344" w:lineRule="auto"/>
        <w:ind w:left="4" w:right="4" w:firstLine="6"/>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tl w:val="0"/>
        </w:rPr>
        <w:t>In capital-intensive</w:t>
      </w:r>
      <w:r>
        <w:rPr>
          <w:rFonts w:ascii="Times New Roman" w:hAnsi="Times New Roman" w:eastAsia="Times New Roman" w:cs="Times New Roman"/>
          <w:color w:val="000000"/>
          <w:sz w:val="24"/>
          <w:szCs w:val="24"/>
          <w:rtl w:val="0"/>
        </w:rPr>
        <w:t xml:space="preserve"> projects, cost control is a must. It assists in ensuring that the project is finished</w:t>
      </w:r>
      <w:r>
        <w:rPr>
          <w:rFonts w:ascii="Times New Roman" w:hAnsi="Times New Roman" w:eastAsia="Times New Roman" w:cs="Times New Roman"/>
          <w:sz w:val="24"/>
          <w:szCs w:val="24"/>
          <w:rtl w:val="0"/>
        </w:rPr>
        <w:t xml:space="preserve"> within</w:t>
      </w:r>
      <w:r>
        <w:rPr>
          <w:rFonts w:ascii="Times New Roman" w:hAnsi="Times New Roman" w:eastAsia="Times New Roman" w:cs="Times New Roman"/>
          <w:color w:val="000000"/>
          <w:sz w:val="24"/>
          <w:szCs w:val="24"/>
          <w:rtl w:val="0"/>
        </w:rPr>
        <w:t xml:space="preserve"> the approved financial budget. Good cost management will avoid unnecessary expenditure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and wastage of money (Venkataraman and Pinto, 2023). Development of large construction</w:t>
      </w:r>
      <w:r>
        <w:rPr>
          <w:rFonts w:ascii="Times New Roman" w:hAnsi="Times New Roman" w:eastAsia="Times New Roman" w:cs="Times New Roman"/>
          <w:sz w:val="24"/>
          <w:szCs w:val="24"/>
          <w:rtl w:val="0"/>
        </w:rPr>
        <w:t xml:space="preserve"> projects</w:t>
      </w:r>
      <w:r>
        <w:rPr>
          <w:rFonts w:ascii="Times New Roman" w:hAnsi="Times New Roman" w:eastAsia="Times New Roman" w:cs="Times New Roman"/>
          <w:color w:val="000000"/>
          <w:sz w:val="24"/>
          <w:szCs w:val="24"/>
          <w:rtl w:val="0"/>
        </w:rPr>
        <w:t xml:space="preserve"> is often associated with a lot of finances and stakeholders. Costs can be blown out of</w:t>
      </w:r>
      <w:r>
        <w:rPr>
          <w:rFonts w:ascii="Times New Roman" w:hAnsi="Times New Roman" w:eastAsia="Times New Roman" w:cs="Times New Roman"/>
          <w:sz w:val="24"/>
          <w:szCs w:val="24"/>
          <w:rtl w:val="0"/>
        </w:rPr>
        <w:t xml:space="preserve"> control</w:t>
      </w:r>
      <w:r>
        <w:rPr>
          <w:rFonts w:ascii="Times New Roman" w:hAnsi="Times New Roman" w:eastAsia="Times New Roman" w:cs="Times New Roman"/>
          <w:color w:val="000000"/>
          <w:sz w:val="24"/>
          <w:szCs w:val="24"/>
          <w:rtl w:val="0"/>
        </w:rPr>
        <w:t xml:space="preserve"> without proper monitoring of costs. Effective cost control systems can assist organisations</w:t>
      </w:r>
      <w:r>
        <w:rPr>
          <w:rFonts w:ascii="Times New Roman" w:hAnsi="Times New Roman" w:eastAsia="Times New Roman" w:cs="Times New Roman"/>
          <w:sz w:val="24"/>
          <w:szCs w:val="24"/>
          <w:rtl w:val="0"/>
        </w:rPr>
        <w:t xml:space="preserve"> in</w:t>
      </w:r>
      <w:r>
        <w:rPr>
          <w:rFonts w:ascii="Times New Roman" w:hAnsi="Times New Roman" w:eastAsia="Times New Roman" w:cs="Times New Roman"/>
          <w:color w:val="000000"/>
          <w:sz w:val="24"/>
          <w:szCs w:val="24"/>
          <w:rtl w:val="0"/>
        </w:rPr>
        <w:t xml:space="preserve"> controlling financial risks as well as enhancing the performance of projects. </w:t>
      </w:r>
    </w:p>
    <w:p w14:paraId="00000182">
      <w:pPr>
        <w:pStyle w:val="3"/>
        <w:widowControl w:val="0"/>
        <w:spacing w:before="24" w:line="240" w:lineRule="auto"/>
        <w:ind w:left="8" w:firstLine="0"/>
      </w:pPr>
      <w:bookmarkStart w:id="27" w:name="_Toc30214"/>
      <w:r>
        <w:rPr>
          <w:rtl w:val="0"/>
        </w:rPr>
        <w:t>3.2 Contingency Budgeting</w:t>
      </w:r>
      <w:bookmarkEnd w:id="27"/>
      <w:r>
        <w:rPr>
          <w:rtl w:val="0"/>
        </w:rPr>
        <w:t xml:space="preserve"> </w:t>
      </w:r>
    </w:p>
    <w:p w14:paraId="00000183">
      <w:pPr>
        <w:widowControl w:val="0"/>
        <w:pBdr>
          <w:top w:val="none" w:color="auto" w:sz="0" w:space="0"/>
          <w:left w:val="none" w:color="auto" w:sz="0" w:space="0"/>
          <w:bottom w:val="none" w:color="auto" w:sz="0" w:space="0"/>
          <w:right w:val="none" w:color="auto" w:sz="0" w:space="0"/>
          <w:between w:val="none" w:color="auto" w:sz="0" w:space="0"/>
        </w:pBdr>
        <w:spacing w:before="134" w:line="345" w:lineRule="auto"/>
        <w:ind w:left="13" w:right="3" w:hanging="6"/>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Another significant aspect of financial planning in capital projects is contingency budgeting. It</w:t>
      </w:r>
      <w:r>
        <w:rPr>
          <w:rFonts w:ascii="Times New Roman" w:hAnsi="Times New Roman" w:eastAsia="Times New Roman" w:cs="Times New Roman"/>
          <w:sz w:val="24"/>
          <w:szCs w:val="24"/>
          <w:rtl w:val="0"/>
        </w:rPr>
        <w:t xml:space="preserve"> entails</w:t>
      </w:r>
      <w:r>
        <w:rPr>
          <w:rFonts w:ascii="Times New Roman" w:hAnsi="Times New Roman" w:eastAsia="Times New Roman" w:cs="Times New Roman"/>
          <w:color w:val="000000"/>
          <w:sz w:val="24"/>
          <w:szCs w:val="24"/>
          <w:rtl w:val="0"/>
        </w:rPr>
        <w:t xml:space="preserve"> the provision of extra finance to manage unforeseen costs in the implementation of a project  (Healthcare funding, 2026). Some uncertainties that are usually encountered in construction projects include the price changes of materials, labour shortage, or postponements. A </w:t>
      </w:r>
      <w:r>
        <w:rPr>
          <w:rFonts w:ascii="Times New Roman" w:hAnsi="Times New Roman" w:eastAsia="Times New Roman" w:cs="Times New Roman"/>
          <w:sz w:val="24"/>
          <w:szCs w:val="24"/>
          <w:rtl w:val="0"/>
        </w:rPr>
        <w:t>contingency plan</w:t>
      </w:r>
      <w:r>
        <w:rPr>
          <w:rFonts w:ascii="Times New Roman" w:hAnsi="Times New Roman" w:eastAsia="Times New Roman" w:cs="Times New Roman"/>
          <w:color w:val="000000"/>
          <w:sz w:val="24"/>
          <w:szCs w:val="24"/>
          <w:rtl w:val="0"/>
        </w:rPr>
        <w:t>t will assist organisations to deal with such risks without influencing the entire project</w:t>
      </w:r>
      <w:r>
        <w:rPr>
          <w:rFonts w:ascii="Times New Roman" w:hAnsi="Times New Roman" w:eastAsia="Times New Roman" w:cs="Times New Roman"/>
          <w:sz w:val="24"/>
          <w:szCs w:val="24"/>
          <w:rtl w:val="0"/>
        </w:rPr>
        <w:t xml:space="preserve"> timeline</w:t>
      </w:r>
      <w:r>
        <w:rPr>
          <w:rFonts w:ascii="Times New Roman" w:hAnsi="Times New Roman" w:eastAsia="Times New Roman" w:cs="Times New Roman"/>
          <w:color w:val="000000"/>
          <w:sz w:val="24"/>
          <w:szCs w:val="24"/>
          <w:rtl w:val="0"/>
        </w:rPr>
        <w:t>. The contingency fund is normally computed as a percentage of the project cost. This</w:t>
      </w:r>
      <w:r>
        <w:rPr>
          <w:rFonts w:ascii="Times New Roman" w:hAnsi="Times New Roman" w:eastAsia="Times New Roman" w:cs="Times New Roman"/>
          <w:sz w:val="24"/>
          <w:szCs w:val="24"/>
          <w:rtl w:val="0"/>
        </w:rPr>
        <w:t xml:space="preserve"> digital</w:t>
      </w:r>
      <w:r>
        <w:rPr>
          <w:rFonts w:ascii="Times New Roman" w:hAnsi="Times New Roman" w:eastAsia="Times New Roman" w:cs="Times New Roman"/>
          <w:color w:val="000000"/>
          <w:sz w:val="24"/>
          <w:szCs w:val="24"/>
          <w:rtl w:val="0"/>
        </w:rPr>
        <w:t xml:space="preserve"> reserve offers flexibility in project management. </w:t>
      </w:r>
      <w:r>
        <w:rPr>
          <w:rFonts w:ascii="Times New Roman" w:hAnsi="Times New Roman" w:eastAsia="Times New Roman" w:cs="Times New Roman"/>
          <w:sz w:val="24"/>
          <w:szCs w:val="24"/>
          <w:rtl w:val="0"/>
        </w:rPr>
        <w:t>Contingency budgeting is especially required in the framework of this project to consider such risks as delays in the installation of equipment, changes in the costs of materials, and unforeseen construction issues.</w:t>
      </w:r>
    </w:p>
    <w:p w14:paraId="00000184">
      <w:pPr>
        <w:pStyle w:val="3"/>
        <w:widowControl w:val="0"/>
        <w:spacing w:before="30" w:line="240" w:lineRule="auto"/>
        <w:ind w:left="8" w:firstLine="0"/>
      </w:pPr>
      <w:bookmarkStart w:id="28" w:name="_Toc16035"/>
      <w:r>
        <w:rPr>
          <w:rtl w:val="0"/>
        </w:rPr>
        <w:t>3.3 Earned Value Management (EVM) Indicators</w:t>
      </w:r>
      <w:bookmarkEnd w:id="28"/>
      <w:r>
        <w:rPr>
          <w:rtl w:val="0"/>
        </w:rPr>
        <w:t xml:space="preserve"> </w:t>
      </w:r>
    </w:p>
    <w:p w14:paraId="00000185">
      <w:pPr>
        <w:widowControl w:val="0"/>
        <w:pBdr>
          <w:top w:val="none" w:color="auto" w:sz="0" w:space="0"/>
          <w:left w:val="none" w:color="auto" w:sz="0" w:space="0"/>
          <w:bottom w:val="none" w:color="auto" w:sz="0" w:space="0"/>
          <w:right w:val="none" w:color="auto" w:sz="0" w:space="0"/>
          <w:between w:val="none" w:color="auto" w:sz="0" w:space="0"/>
        </w:pBdr>
        <w:spacing w:before="134" w:line="240" w:lineRule="auto"/>
        <w:ind w:left="14" w:firstLine="0"/>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Cost Variance (CV) </w:t>
      </w:r>
    </w:p>
    <w:p w14:paraId="00000186">
      <w:pPr>
        <w:widowControl w:val="0"/>
        <w:pBdr>
          <w:top w:val="none" w:color="auto" w:sz="0" w:space="0"/>
          <w:left w:val="none" w:color="auto" w:sz="0" w:space="0"/>
          <w:bottom w:val="none" w:color="auto" w:sz="0" w:space="0"/>
          <w:right w:val="none" w:color="auto" w:sz="0" w:space="0"/>
          <w:between w:val="none" w:color="auto" w:sz="0" w:space="0"/>
        </w:pBdr>
        <w:spacing w:before="135" w:line="344" w:lineRule="auto"/>
        <w:ind w:left="13" w:right="4"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Cost Variance is used to determine the difference between the earned value and the actual project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costs. It shows how the project is over-budgeted or under-budgeted. A positive indicates that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spending is not as much as it was planned. A negative value implies a high cost of the project  (Barrientos-Orellana </w:t>
      </w:r>
      <w:r>
        <w:rPr>
          <w:rFonts w:ascii="Times New Roman" w:hAnsi="Times New Roman" w:eastAsia="Times New Roman" w:cs="Times New Roman"/>
          <w:i/>
          <w:iCs/>
          <w:color w:val="000000"/>
          <w:sz w:val="24"/>
          <w:szCs w:val="24"/>
          <w:rtl w:val="0"/>
        </w:rPr>
        <w:t>et al.</w:t>
      </w:r>
      <w:r>
        <w:rPr>
          <w:rFonts w:ascii="Times New Roman" w:hAnsi="Times New Roman" w:eastAsia="Times New Roman" w:cs="Times New Roman"/>
          <w:color w:val="000000"/>
          <w:sz w:val="24"/>
          <w:szCs w:val="24"/>
          <w:rtl w:val="0"/>
        </w:rPr>
        <w:t xml:space="preserve">, 2023). </w:t>
      </w:r>
    </w:p>
    <w:p w14:paraId="00000187">
      <w:pPr>
        <w:widowControl w:val="0"/>
        <w:pBdr>
          <w:top w:val="none" w:color="auto" w:sz="0" w:space="0"/>
          <w:left w:val="none" w:color="auto" w:sz="0" w:space="0"/>
          <w:bottom w:val="none" w:color="auto" w:sz="0" w:space="0"/>
          <w:right w:val="none" w:color="auto" w:sz="0" w:space="0"/>
          <w:between w:val="none" w:color="auto" w:sz="0" w:space="0"/>
        </w:pBdr>
        <w:spacing w:before="31" w:line="240" w:lineRule="auto"/>
        <w:ind w:left="17" w:firstLine="0"/>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Schedule Variance (SV) </w:t>
      </w:r>
    </w:p>
    <w:p w14:paraId="00000188">
      <w:pPr>
        <w:widowControl w:val="0"/>
        <w:pBdr>
          <w:top w:val="none" w:color="auto" w:sz="0" w:space="0"/>
          <w:left w:val="none" w:color="auto" w:sz="0" w:space="0"/>
          <w:bottom w:val="none" w:color="auto" w:sz="0" w:space="0"/>
          <w:right w:val="none" w:color="auto" w:sz="0" w:space="0"/>
          <w:between w:val="none" w:color="auto" w:sz="0" w:space="0"/>
        </w:pBdr>
        <w:spacing w:before="134" w:line="344" w:lineRule="auto"/>
        <w:ind w:left="6" w:right="3" w:firstLine="12"/>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Schedule Variance is used to measure the variance between the earned value and the planned value.  It reflects on whether the project is performing ahead of schedule or behind schedule  (GeeksforGeeks, 2025). A positive value indicates that the project is being completed at a higher</w:t>
      </w:r>
      <w:r>
        <w:rPr>
          <w:rFonts w:ascii="Times New Roman" w:hAnsi="Times New Roman" w:eastAsia="Times New Roman" w:cs="Times New Roman"/>
          <w:sz w:val="24"/>
          <w:szCs w:val="24"/>
          <w:rtl w:val="0"/>
        </w:rPr>
        <w:t xml:space="preserve"> rate</w:t>
      </w:r>
      <w:r>
        <w:rPr>
          <w:rFonts w:ascii="Times New Roman" w:hAnsi="Times New Roman" w:eastAsia="Times New Roman" w:cs="Times New Roman"/>
          <w:color w:val="000000"/>
          <w:sz w:val="24"/>
          <w:szCs w:val="24"/>
          <w:rtl w:val="0"/>
        </w:rPr>
        <w:t xml:space="preserve"> than expected. A negative value is the number that denotes delays. </w:t>
      </w:r>
    </w:p>
    <w:p w14:paraId="00000189">
      <w:pPr>
        <w:widowControl w:val="0"/>
        <w:pBdr>
          <w:top w:val="none" w:color="auto" w:sz="0" w:space="0"/>
          <w:left w:val="none" w:color="auto" w:sz="0" w:space="0"/>
          <w:bottom w:val="none" w:color="auto" w:sz="0" w:space="0"/>
          <w:right w:val="none" w:color="auto" w:sz="0" w:space="0"/>
          <w:between w:val="none" w:color="auto" w:sz="0" w:space="0"/>
        </w:pBdr>
        <w:spacing w:before="30" w:line="240" w:lineRule="auto"/>
        <w:ind w:left="14" w:firstLine="0"/>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tl w:val="0"/>
        </w:rPr>
        <w:t xml:space="preserve">Cost Performance Index (CPI) </w:t>
      </w:r>
    </w:p>
    <w:p w14:paraId="0000018A">
      <w:pPr>
        <w:widowControl w:val="0"/>
        <w:pBdr>
          <w:top w:val="none" w:color="auto" w:sz="0" w:space="0"/>
          <w:left w:val="none" w:color="auto" w:sz="0" w:space="0"/>
          <w:bottom w:val="none" w:color="auto" w:sz="0" w:space="0"/>
          <w:right w:val="none" w:color="auto" w:sz="0" w:space="0"/>
          <w:between w:val="none" w:color="auto" w:sz="0" w:space="0"/>
        </w:pBdr>
        <w:spacing w:before="134" w:line="344" w:lineRule="auto"/>
        <w:ind w:left="4" w:right="2" w:firstLine="9"/>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Cost Performance Index is used to determine cost effectiveness in project management. It is</w:t>
      </w:r>
      <w:r>
        <w:rPr>
          <w:rFonts w:ascii="Times New Roman" w:hAnsi="Times New Roman" w:eastAsia="Times New Roman" w:cs="Times New Roman"/>
          <w:sz w:val="24"/>
          <w:szCs w:val="24"/>
          <w:rtl w:val="0"/>
        </w:rPr>
        <w:t xml:space="preserve"> computed</w:t>
      </w:r>
      <w:r>
        <w:rPr>
          <w:rFonts w:ascii="Times New Roman" w:hAnsi="Times New Roman" w:eastAsia="Times New Roman" w:cs="Times New Roman"/>
          <w:color w:val="000000"/>
          <w:sz w:val="24"/>
          <w:szCs w:val="24"/>
          <w:rtl w:val="0"/>
        </w:rPr>
        <w:t xml:space="preserve"> as the ratio of earned value and actual cost. A figure exceeding one depicts a high</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performance in costs. The value below one represents the lack of cost efficiency in the operations</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of the project (Venkataraman and Pinto, 2023). </w:t>
      </w:r>
    </w:p>
    <w:p w14:paraId="0000018B">
      <w:pPr>
        <w:spacing w:line="360" w:lineRule="auto"/>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sz w:val="24"/>
          <w:szCs w:val="24"/>
          <w:rtl w:val="0"/>
        </w:rPr>
        <w:t>This can be illustrated by using the earned value management technique in tracking the installation of the automated systems at the distribution centre, whereby delays or cost overruns may really affect the entire project budget.</w:t>
      </w:r>
    </w:p>
    <w:p w14:paraId="0000018C">
      <w:pPr>
        <w:pStyle w:val="3"/>
        <w:widowControl w:val="0"/>
        <w:spacing w:before="30" w:line="240" w:lineRule="auto"/>
        <w:ind w:left="8" w:firstLine="0"/>
      </w:pPr>
      <w:bookmarkStart w:id="29" w:name="_Toc32717"/>
      <w:r>
        <w:rPr>
          <w:rtl w:val="0"/>
        </w:rPr>
        <w:t>3.4 Cost Monitoring and Procurement Controls</w:t>
      </w:r>
      <w:bookmarkEnd w:id="29"/>
      <w:r>
        <w:rPr>
          <w:rtl w:val="0"/>
        </w:rPr>
        <w:t xml:space="preserve"> </w:t>
      </w:r>
    </w:p>
    <w:p w14:paraId="0000018D">
      <w:pPr>
        <w:widowControl w:val="0"/>
        <w:pBdr>
          <w:top w:val="none" w:color="auto" w:sz="0" w:space="0"/>
          <w:left w:val="none" w:color="auto" w:sz="0" w:space="0"/>
          <w:bottom w:val="none" w:color="auto" w:sz="0" w:space="0"/>
          <w:right w:val="none" w:color="auto" w:sz="0" w:space="0"/>
          <w:between w:val="none" w:color="auto" w:sz="0" w:space="0"/>
        </w:pBdr>
        <w:spacing w:before="135" w:line="344" w:lineRule="auto"/>
        <w:ind w:left="4" w:right="4" w:firstLine="7"/>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There should be cost monitoring in order to monitor spending of the project and maintain financial</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discipline. Project managers also look through financial reports and compare the actual costs with</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the approved budget regularly. This procedure assists in detecting cost overspending at the initial</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stages (CMU, 2026). Another aspect of procurement that is significant in construction projects is</w:t>
      </w:r>
      <w:r>
        <w:rPr>
          <w:rFonts w:ascii="Times New Roman" w:hAnsi="Times New Roman" w:eastAsia="Times New Roman" w:cs="Times New Roman"/>
          <w:sz w:val="24"/>
          <w:szCs w:val="24"/>
          <w:rtl w:val="0"/>
        </w:rPr>
        <w:t xml:space="preserve"> procurement</w:t>
      </w:r>
      <w:r>
        <w:rPr>
          <w:rFonts w:ascii="Times New Roman" w:hAnsi="Times New Roman" w:eastAsia="Times New Roman" w:cs="Times New Roman"/>
          <w:color w:val="000000"/>
          <w:sz w:val="24"/>
          <w:szCs w:val="24"/>
          <w:rtl w:val="0"/>
        </w:rPr>
        <w:t xml:space="preserve"> control. Transparency in the selection and purchase decisions of suppliers is provided</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by having clear procurement policies. Competitive bidding practice assists in the acquisition of </w:t>
      </w:r>
      <w:r>
        <w:rPr>
          <w:rFonts w:ascii="Times New Roman" w:hAnsi="Times New Roman" w:eastAsia="Times New Roman" w:cs="Times New Roman"/>
          <w:sz w:val="24"/>
          <w:szCs w:val="24"/>
          <w:rtl w:val="0"/>
        </w:rPr>
        <w:t xml:space="preserve"> materials</w:t>
      </w:r>
      <w:r>
        <w:rPr>
          <w:rFonts w:ascii="Times New Roman" w:hAnsi="Times New Roman" w:eastAsia="Times New Roman" w:cs="Times New Roman"/>
          <w:color w:val="000000"/>
          <w:sz w:val="24"/>
          <w:szCs w:val="24"/>
          <w:rtl w:val="0"/>
        </w:rPr>
        <w:t xml:space="preserve"> and services at fair prices. Effective procurement management minimises the financial</w:t>
      </w:r>
      <w:r>
        <w:rPr>
          <w:rFonts w:ascii="Times New Roman" w:hAnsi="Times New Roman" w:eastAsia="Times New Roman" w:cs="Times New Roman"/>
          <w:sz w:val="24"/>
          <w:szCs w:val="24"/>
          <w:rtl w:val="0"/>
        </w:rPr>
        <w:t xml:space="preserve"> risks</w:t>
      </w:r>
      <w:r>
        <w:rPr>
          <w:rFonts w:ascii="Times New Roman" w:hAnsi="Times New Roman" w:eastAsia="Times New Roman" w:cs="Times New Roman"/>
          <w:color w:val="000000"/>
          <w:sz w:val="24"/>
          <w:szCs w:val="24"/>
          <w:rtl w:val="0"/>
        </w:rPr>
        <w:t xml:space="preserve"> and enhances cost effectiveness. </w:t>
      </w:r>
      <w:r>
        <w:rPr>
          <w:rFonts w:ascii="Times New Roman" w:hAnsi="Times New Roman" w:eastAsia="Times New Roman" w:cs="Times New Roman"/>
          <w:sz w:val="24"/>
          <w:szCs w:val="24"/>
          <w:rtl w:val="0"/>
        </w:rPr>
        <w:t>In the project, frequent monitoring of costs will help point out the variances in construction costs, labour costs and procurement activities at early stages so that corrective action can be taken in a timely manner.</w:t>
      </w:r>
    </w:p>
    <w:p w14:paraId="0000018E">
      <w:pPr>
        <w:pStyle w:val="3"/>
        <w:widowControl w:val="0"/>
        <w:spacing w:before="30" w:line="240" w:lineRule="auto"/>
        <w:ind w:left="8" w:firstLine="0"/>
      </w:pPr>
      <w:bookmarkStart w:id="30" w:name="_Toc6722"/>
      <w:r>
        <w:rPr>
          <w:rtl w:val="0"/>
        </w:rPr>
        <w:t>3.5 Risk Mitigation Strategies</w:t>
      </w:r>
      <w:bookmarkEnd w:id="30"/>
    </w:p>
    <w:p w14:paraId="0000018F">
      <w:pPr>
        <w:widowControl w:val="0"/>
        <w:pBdr>
          <w:top w:val="none" w:color="auto" w:sz="0" w:space="0"/>
          <w:left w:val="none" w:color="auto" w:sz="0" w:space="0"/>
          <w:bottom w:val="none" w:color="auto" w:sz="0" w:space="0"/>
          <w:right w:val="none" w:color="auto" w:sz="0" w:space="0"/>
          <w:between w:val="none" w:color="auto" w:sz="0" w:space="0"/>
        </w:pBdr>
        <w:spacing w:line="345" w:lineRule="auto"/>
        <w:ind w:left="4" w:right="4" w:firstLine="7"/>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tl w:val="0"/>
        </w:rPr>
        <w:t>The mitigation strategies of risks are used to minimise financial uncertainties in capital projects.  Construction costs are usually controlled by the use of fixed price contracts. Such contracts shift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the risks and costs to the contractors (Shibani </w:t>
      </w:r>
      <w:r>
        <w:rPr>
          <w:rFonts w:ascii="Times New Roman" w:hAnsi="Times New Roman" w:eastAsia="Times New Roman" w:cs="Times New Roman"/>
          <w:i/>
          <w:iCs/>
          <w:color w:val="000000"/>
          <w:sz w:val="24"/>
          <w:szCs w:val="24"/>
          <w:rtl w:val="0"/>
        </w:rPr>
        <w:t>et al</w:t>
      </w:r>
      <w:r>
        <w:rPr>
          <w:rFonts w:ascii="Times New Roman" w:hAnsi="Times New Roman" w:eastAsia="Times New Roman" w:cs="Times New Roman"/>
          <w:color w:val="000000"/>
          <w:sz w:val="24"/>
          <w:szCs w:val="24"/>
          <w:rtl w:val="0"/>
        </w:rPr>
        <w:t>, 2024). Hedging may also be used to cushion</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against the movement of prices in raw materials. Project managers are also required to manage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scope change in the execution of the project. Scope creep would raise the costs and delays of</w:t>
      </w:r>
      <w:r>
        <w:rPr>
          <w:rFonts w:ascii="Times New Roman" w:hAnsi="Times New Roman" w:eastAsia="Times New Roman" w:cs="Times New Roman"/>
          <w:sz w:val="24"/>
          <w:szCs w:val="24"/>
          <w:rtl w:val="0"/>
        </w:rPr>
        <w:t xml:space="preserve"> projects</w:t>
      </w:r>
      <w:r>
        <w:rPr>
          <w:rFonts w:ascii="Times New Roman" w:hAnsi="Times New Roman" w:eastAsia="Times New Roman" w:cs="Times New Roman"/>
          <w:color w:val="000000"/>
          <w:sz w:val="24"/>
          <w:szCs w:val="24"/>
          <w:rtl w:val="0"/>
        </w:rPr>
        <w:t>. Project planning and stringent approval practices assist in curbing the uncontrolled</w:t>
      </w:r>
      <w:r>
        <w:rPr>
          <w:rFonts w:ascii="Times New Roman" w:hAnsi="Times New Roman" w:eastAsia="Times New Roman" w:cs="Times New Roman"/>
          <w:sz w:val="24"/>
          <w:szCs w:val="24"/>
          <w:rtl w:val="0"/>
        </w:rPr>
        <w:t xml:space="preserve"> object</w:t>
      </w:r>
      <w:r>
        <w:rPr>
          <w:rFonts w:ascii="Times New Roman" w:hAnsi="Times New Roman" w:eastAsia="Times New Roman" w:cs="Times New Roman"/>
          <w:color w:val="000000"/>
          <w:sz w:val="24"/>
          <w:szCs w:val="24"/>
          <w:rtl w:val="0"/>
        </w:rPr>
        <w:t xml:space="preserve"> expansion. </w:t>
      </w:r>
      <w:r>
        <w:rPr>
          <w:rFonts w:ascii="Times New Roman" w:hAnsi="Times New Roman" w:eastAsia="Times New Roman" w:cs="Times New Roman"/>
          <w:sz w:val="24"/>
          <w:szCs w:val="24"/>
          <w:rtl w:val="0"/>
        </w:rPr>
        <w:t>The scope creep can be avoided by the implementation of a formal change control process. This will involve the development of a change control board to scrutinise and accept all changes suggested, and any change in project scope should be in line with budgetary and time factors. It is necessary to have a well-established project baseline to prevent uncontrolled cost increments. The financial risks also cannot be controlled without efficient cost control since the uncontrolled cost overruns can considerably decrease the project's profitability, and jeopardise the feasibility.</w:t>
      </w:r>
    </w:p>
    <w:p w14:paraId="00000190">
      <w:pPr>
        <w:spacing w:line="360" w:lineRule="auto"/>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sz w:val="24"/>
          <w:szCs w:val="24"/>
          <w:rtl w:val="0"/>
        </w:rPr>
        <w:t>Under cost control, project management models like PMBOK propose a move towards monitoring the performance of the project on a continual basis through tools like earned value management and variance analysis. Use of the principles will result in effective management of project costs in line with organisational objectives.</w:t>
      </w:r>
    </w:p>
    <w:p w14:paraId="00000191">
      <w:pPr>
        <w:pStyle w:val="2"/>
        <w:widowControl w:val="0"/>
        <w:spacing w:before="439" w:line="240" w:lineRule="auto"/>
        <w:ind w:left="17" w:firstLine="0"/>
      </w:pPr>
      <w:bookmarkStart w:id="31" w:name="_Toc25657"/>
      <w:r>
        <w:rPr>
          <w:rtl w:val="0"/>
        </w:rPr>
        <w:t>Section D: Project Financial Reporting Framework</w:t>
      </w:r>
      <w:bookmarkEnd w:id="31"/>
      <w:r>
        <w:rPr>
          <w:rtl w:val="0"/>
        </w:rPr>
        <w:t xml:space="preserve"> </w:t>
      </w:r>
    </w:p>
    <w:p w14:paraId="00000192">
      <w:pPr>
        <w:pStyle w:val="3"/>
        <w:widowControl w:val="0"/>
        <w:spacing w:before="134" w:line="240" w:lineRule="auto"/>
        <w:ind w:left="11" w:firstLine="0"/>
      </w:pPr>
      <w:bookmarkStart w:id="32" w:name="_Toc24768"/>
      <w:r>
        <w:rPr>
          <w:rtl w:val="0"/>
        </w:rPr>
        <w:t>4.1 Types and Frequency of Financial Reports</w:t>
      </w:r>
      <w:bookmarkEnd w:id="32"/>
      <w:r>
        <w:rPr>
          <w:rtl w:val="0"/>
        </w:rPr>
        <w:t xml:space="preserve"> </w:t>
      </w:r>
    </w:p>
    <w:p w14:paraId="00000193">
      <w:pPr>
        <w:widowControl w:val="0"/>
        <w:pBdr>
          <w:top w:val="none" w:color="auto" w:sz="0" w:space="0"/>
          <w:left w:val="none" w:color="auto" w:sz="0" w:space="0"/>
          <w:bottom w:val="none" w:color="auto" w:sz="0" w:space="0"/>
          <w:right w:val="none" w:color="auto" w:sz="0" w:space="0"/>
          <w:between w:val="none" w:color="auto" w:sz="0" w:space="0"/>
        </w:pBdr>
        <w:spacing w:before="135" w:line="345" w:lineRule="auto"/>
        <w:ind w:left="7" w:right="4" w:firstLine="0"/>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Project management requires regular financial reporting. The monthly financial statements give a</w:t>
      </w:r>
      <w:r>
        <w:rPr>
          <w:rFonts w:ascii="Times New Roman" w:hAnsi="Times New Roman" w:eastAsia="Times New Roman" w:cs="Times New Roman"/>
          <w:sz w:val="24"/>
          <w:szCs w:val="24"/>
          <w:rtl w:val="0"/>
        </w:rPr>
        <w:t xml:space="preserve"> summary</w:t>
      </w:r>
      <w:r>
        <w:rPr>
          <w:rFonts w:ascii="Times New Roman" w:hAnsi="Times New Roman" w:eastAsia="Times New Roman" w:cs="Times New Roman"/>
          <w:color w:val="000000"/>
          <w:sz w:val="24"/>
          <w:szCs w:val="24"/>
          <w:rtl w:val="0"/>
        </w:rPr>
        <w:t xml:space="preserve"> of the project income, expenditure and budget performance. The cost tracking reports</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trace the real expenses in relation to the authorised budget. Such reports assist in detecting possible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cost overruns (WVI, 2026). A visual overview of key project investments is given in capital</w:t>
      </w:r>
      <w:r>
        <w:rPr>
          <w:rFonts w:ascii="Times New Roman" w:hAnsi="Times New Roman" w:eastAsia="Times New Roman" w:cs="Times New Roman"/>
          <w:sz w:val="24"/>
          <w:szCs w:val="24"/>
          <w:rtl w:val="0"/>
        </w:rPr>
        <w:t xml:space="preserve"> expenditure</w:t>
      </w:r>
      <w:r>
        <w:rPr>
          <w:rFonts w:ascii="Times New Roman" w:hAnsi="Times New Roman" w:eastAsia="Times New Roman" w:cs="Times New Roman"/>
          <w:color w:val="000000"/>
          <w:sz w:val="24"/>
          <w:szCs w:val="24"/>
          <w:rtl w:val="0"/>
        </w:rPr>
        <w:t xml:space="preserve"> dashboards. These reports enable the project managers and financial departments to</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track the financial performance and to make sure that the project is being undertaken as planned</w:t>
      </w:r>
      <w:r>
        <w:rPr>
          <w:rFonts w:ascii="Times New Roman" w:hAnsi="Times New Roman" w:eastAsia="Times New Roman" w:cs="Times New Roman"/>
          <w:sz w:val="24"/>
          <w:szCs w:val="24"/>
          <w:rtl w:val="0"/>
        </w:rPr>
        <w:t xml:space="preserve"> in</w:t>
      </w:r>
      <w:r>
        <w:rPr>
          <w:rFonts w:ascii="Times New Roman" w:hAnsi="Times New Roman" w:eastAsia="Times New Roman" w:cs="Times New Roman"/>
          <w:color w:val="000000"/>
          <w:sz w:val="24"/>
          <w:szCs w:val="24"/>
          <w:rtl w:val="0"/>
        </w:rPr>
        <w:t xml:space="preserve"> terms of budget and time.</w:t>
      </w:r>
      <w:r>
        <w:rPr>
          <w:rFonts w:ascii="Times New Roman" w:hAnsi="Times New Roman" w:eastAsia="Times New Roman" w:cs="Times New Roman"/>
          <w:sz w:val="24"/>
          <w:szCs w:val="24"/>
          <w:rtl w:val="0"/>
        </w:rPr>
        <w:t xml:space="preserve"> Frequencies of reporting should be in line with the life cycle of the project. The monthly financial report will give a picture of budget performance, and the weekly cost tracking report will allow us to identify deviations in time. Expenditure on capital may also be monitored in real-time by the use of real-time dashboards.</w:t>
      </w:r>
    </w:p>
    <w:p w14:paraId="00000194">
      <w:pPr>
        <w:pStyle w:val="3"/>
        <w:widowControl w:val="0"/>
        <w:spacing w:before="25" w:line="240" w:lineRule="auto"/>
        <w:ind w:left="11" w:firstLine="0"/>
      </w:pPr>
      <w:bookmarkStart w:id="33" w:name="_Toc10393"/>
      <w:r>
        <w:rPr>
          <w:rtl w:val="0"/>
        </w:rPr>
        <w:t>4.2 Key Financial KPIs</w:t>
      </w:r>
      <w:bookmarkEnd w:id="33"/>
      <w:r>
        <w:rPr>
          <w:rtl w:val="0"/>
        </w:rPr>
        <w:t xml:space="preserve"> </w:t>
      </w:r>
    </w:p>
    <w:p w14:paraId="00000195">
      <w:pPr>
        <w:widowControl w:val="0"/>
        <w:pBdr>
          <w:top w:val="none" w:color="auto" w:sz="0" w:space="0"/>
          <w:left w:val="none" w:color="auto" w:sz="0" w:space="0"/>
          <w:bottom w:val="none" w:color="auto" w:sz="0" w:space="0"/>
          <w:right w:val="none" w:color="auto" w:sz="0" w:space="0"/>
          <w:between w:val="none" w:color="auto" w:sz="0" w:space="0"/>
        </w:pBdr>
        <w:spacing w:before="134" w:line="345" w:lineRule="auto"/>
        <w:ind w:left="4" w:right="3" w:firstLine="4"/>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tl w:val="0"/>
        </w:rPr>
        <w:t>Key financial performance indicators are used to measure the efficiency as well as the financial</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health of a project. Cost variance is used to compare actual costs incurred with the budget that is</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planned. Schedule variance is used to evaluate whether the activities in a project are being carried</w:t>
      </w:r>
      <w:r>
        <w:rPr>
          <w:rFonts w:ascii="Times New Roman" w:hAnsi="Times New Roman" w:eastAsia="Times New Roman" w:cs="Times New Roman"/>
          <w:sz w:val="24"/>
          <w:szCs w:val="24"/>
          <w:rtl w:val="0"/>
        </w:rPr>
        <w:t xml:space="preserve"> out</w:t>
      </w:r>
      <w:r>
        <w:rPr>
          <w:rFonts w:ascii="Times New Roman" w:hAnsi="Times New Roman" w:eastAsia="Times New Roman" w:cs="Times New Roman"/>
          <w:color w:val="000000"/>
          <w:sz w:val="24"/>
          <w:szCs w:val="24"/>
          <w:rtl w:val="0"/>
        </w:rPr>
        <w:t xml:space="preserve"> on schedule (Konior, 2022). The burn rate is used to indicate how fast project funds are being</w:t>
      </w:r>
      <w:r>
        <w:rPr>
          <w:rFonts w:ascii="Times New Roman" w:hAnsi="Times New Roman" w:eastAsia="Times New Roman" w:cs="Times New Roman"/>
          <w:sz w:val="24"/>
          <w:szCs w:val="24"/>
          <w:rtl w:val="0"/>
        </w:rPr>
        <w:t xml:space="preserve"> spent</w:t>
      </w:r>
      <w:r>
        <w:rPr>
          <w:rFonts w:ascii="Times New Roman" w:hAnsi="Times New Roman" w:eastAsia="Times New Roman" w:cs="Times New Roman"/>
          <w:color w:val="000000"/>
          <w:sz w:val="24"/>
          <w:szCs w:val="24"/>
          <w:rtl w:val="0"/>
        </w:rPr>
        <w:t>. The cash flow projections predict the future financial inflows and outflows. The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indicators assist the management in tracking financial performance and making timely decisions</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in the project lifecycle. </w:t>
      </w:r>
    </w:p>
    <w:p w14:paraId="00000196">
      <w:pPr>
        <w:pStyle w:val="3"/>
        <w:widowControl w:val="0"/>
        <w:spacing w:before="30" w:line="240" w:lineRule="auto"/>
        <w:ind w:left="11" w:firstLine="0"/>
      </w:pPr>
      <w:bookmarkStart w:id="34" w:name="_Toc29363"/>
      <w:r>
        <w:rPr>
          <w:rtl w:val="0"/>
        </w:rPr>
        <w:t>4.3 Governance and Reporting Structure</w:t>
      </w:r>
      <w:bookmarkEnd w:id="34"/>
      <w:r>
        <w:rPr>
          <w:rtl w:val="0"/>
        </w:rPr>
        <w:t xml:space="preserve"> </w:t>
      </w:r>
    </w:p>
    <w:p w14:paraId="00000197">
      <w:pPr>
        <w:widowControl w:val="0"/>
        <w:pBdr>
          <w:top w:val="none" w:color="auto" w:sz="0" w:space="0"/>
          <w:left w:val="none" w:color="auto" w:sz="0" w:space="0"/>
          <w:bottom w:val="none" w:color="auto" w:sz="0" w:space="0"/>
          <w:right w:val="none" w:color="auto" w:sz="0" w:space="0"/>
          <w:between w:val="none" w:color="auto" w:sz="0" w:space="0"/>
        </w:pBdr>
        <w:spacing w:before="134" w:line="344" w:lineRule="auto"/>
        <w:ind w:left="11" w:right="3" w:hanging="5"/>
        <w:jc w:val="both"/>
        <w:rPr>
          <w:rFonts w:ascii="Times New Roman" w:hAnsi="Times New Roman" w:eastAsia="Times New Roman" w:cs="Times New Roman"/>
          <w:color w:val="000000"/>
          <w:sz w:val="24"/>
          <w:szCs w:val="24"/>
          <w:shd w:val="clear" w:fill="D9EAD3"/>
        </w:rPr>
      </w:pPr>
      <w:r>
        <w:rPr>
          <w:rFonts w:ascii="Times New Roman" w:hAnsi="Times New Roman" w:eastAsia="Times New Roman" w:cs="Times New Roman"/>
          <w:color w:val="000000"/>
          <w:sz w:val="24"/>
          <w:szCs w:val="24"/>
          <w:rtl w:val="0"/>
        </w:rPr>
        <w:t>A good governance structure will guarantee that there is good communication of financial</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information. Financial reports of the project are usually discussed with senior management teams</w:t>
      </w:r>
      <w:r>
        <w:rPr>
          <w:rFonts w:ascii="Times New Roman" w:hAnsi="Times New Roman" w:eastAsia="Times New Roman" w:cs="Times New Roman"/>
          <w:sz w:val="24"/>
          <w:szCs w:val="24"/>
          <w:rtl w:val="0"/>
        </w:rPr>
        <w:t xml:space="preserve"> and project</w:t>
      </w:r>
      <w:r>
        <w:rPr>
          <w:rFonts w:ascii="Times New Roman" w:hAnsi="Times New Roman" w:eastAsia="Times New Roman" w:cs="Times New Roman"/>
          <w:color w:val="000000"/>
          <w:sz w:val="24"/>
          <w:szCs w:val="24"/>
          <w:rtl w:val="0"/>
        </w:rPr>
        <w:t xml:space="preserve"> managers (Parliament, 2026). Top managers look at financial performance and give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 xml:space="preserve">significant approvals. The major financial information can also be given to the company boards </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and investors. This reporting framework promotes transparency and accountability as well as</w:t>
      </w:r>
      <w:r>
        <w:rPr>
          <w:rFonts w:ascii="Times New Roman" w:hAnsi="Times New Roman" w:eastAsia="Times New Roman" w:cs="Times New Roman"/>
          <w:sz w:val="24"/>
          <w:szCs w:val="24"/>
          <w:rtl w:val="0"/>
        </w:rPr>
        <w:t xml:space="preserve"> effective financial</w:t>
      </w:r>
      <w:r>
        <w:rPr>
          <w:rFonts w:ascii="Times New Roman" w:hAnsi="Times New Roman" w:eastAsia="Times New Roman" w:cs="Times New Roman"/>
          <w:color w:val="000000"/>
          <w:sz w:val="24"/>
          <w:szCs w:val="24"/>
          <w:rtl w:val="0"/>
        </w:rPr>
        <w:t xml:space="preserve"> management during the project lifecycle. </w:t>
      </w:r>
      <w:r>
        <w:rPr>
          <w:rFonts w:ascii="Times New Roman" w:hAnsi="Times New Roman" w:eastAsia="Times New Roman" w:cs="Times New Roman"/>
          <w:sz w:val="24"/>
          <w:szCs w:val="24"/>
          <w:rtl w:val="0"/>
        </w:rPr>
        <w:t>The financial reporting must be based on transparent governance. Operational reports are drawn by project teams and discussed by project managers and the finance teams. These reports are then presented to the top management and the project steering committee, where they are used to make strategic decisions. This hierarchical movement guarantees accountability and transparency.</w:t>
      </w:r>
    </w:p>
    <w:p w14:paraId="00000198">
      <w:pPr>
        <w:pStyle w:val="3"/>
        <w:widowControl w:val="0"/>
        <w:spacing w:before="29" w:line="240" w:lineRule="auto"/>
        <w:ind w:left="11" w:firstLine="0"/>
      </w:pPr>
      <w:bookmarkStart w:id="35" w:name="_Toc24994"/>
      <w:r>
        <w:rPr>
          <w:rtl w:val="0"/>
        </w:rPr>
        <w:t>4.4 Use of Financial Software Tools</w:t>
      </w:r>
      <w:bookmarkEnd w:id="35"/>
      <w:r>
        <w:rPr>
          <w:rtl w:val="0"/>
        </w:rPr>
        <w:t xml:space="preserve"> </w:t>
      </w:r>
    </w:p>
    <w:p w14:paraId="00000199">
      <w:pPr>
        <w:widowControl w:val="0"/>
        <w:pBdr>
          <w:top w:val="none" w:color="auto" w:sz="0" w:space="0"/>
          <w:left w:val="none" w:color="auto" w:sz="0" w:space="0"/>
          <w:bottom w:val="none" w:color="auto" w:sz="0" w:space="0"/>
          <w:right w:val="none" w:color="auto" w:sz="0" w:space="0"/>
          <w:between w:val="none" w:color="auto" w:sz="0" w:space="0"/>
        </w:pBdr>
        <w:spacing w:before="129" w:line="345" w:lineRule="auto"/>
        <w:ind w:left="6" w:right="4" w:firstLine="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tl w:val="0"/>
        </w:rPr>
        <w:t>Financial software programs facilitate proper financial monitoring and reporting. The ERP systems</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merge financial information in various departments (Greg, 2026). Project accounting tools assist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in monitoring project budgets, project expenses, and resource allocation. These systems enhance</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color w:val="000000"/>
          <w:sz w:val="24"/>
          <w:szCs w:val="24"/>
          <w:rtl w:val="0"/>
        </w:rPr>
        <w:t>the transparency of finances and allow organisations to produce financial reports on time in order</w:t>
      </w:r>
      <w:r>
        <w:rPr>
          <w:rFonts w:ascii="Times New Roman" w:hAnsi="Times New Roman" w:eastAsia="Times New Roman" w:cs="Times New Roman"/>
          <w:sz w:val="24"/>
          <w:szCs w:val="24"/>
          <w:rtl w:val="0"/>
        </w:rPr>
        <w:t xml:space="preserve"> to</w:t>
      </w:r>
      <w:r>
        <w:rPr>
          <w:rFonts w:ascii="Times New Roman" w:hAnsi="Times New Roman" w:eastAsia="Times New Roman" w:cs="Times New Roman"/>
          <w:color w:val="000000"/>
          <w:sz w:val="24"/>
          <w:szCs w:val="24"/>
          <w:rtl w:val="0"/>
        </w:rPr>
        <w:t xml:space="preserve"> evaluate projects and make decisions. </w:t>
      </w:r>
      <w:r>
        <w:rPr>
          <w:rFonts w:ascii="Times New Roman" w:hAnsi="Times New Roman" w:eastAsia="Times New Roman" w:cs="Times New Roman"/>
          <w:sz w:val="24"/>
          <w:szCs w:val="24"/>
          <w:rtl w:val="0"/>
        </w:rPr>
        <w:t>By adopting the so-called integrated ERP systems, i.e., SAP or Oracle, one can track financial data in real time and enhance the efficiency and quality of reporting procedures.</w:t>
      </w:r>
    </w:p>
    <w:p w14:paraId="0000019A">
      <w:pPr>
        <w:spacing w:line="360" w:lineRule="auto"/>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sz w:val="24"/>
          <w:szCs w:val="24"/>
          <w:rtl w:val="0"/>
        </w:rPr>
        <w:t>Sound financial reporting assists decision-making as it has sufficient and correct information on the performance of the project in time. It allows the management to discover cost overruns, evaluate the financial risks and implement corrective measures. This adds transparency, increases accountability and makes the project stay within the budgetary goals.</w:t>
      </w:r>
    </w:p>
    <w:p w14:paraId="0000019B">
      <w:pPr>
        <w:pStyle w:val="2"/>
        <w:spacing w:line="360" w:lineRule="auto"/>
        <w:jc w:val="both"/>
      </w:pPr>
      <w:bookmarkStart w:id="36" w:name="_Toc22162"/>
      <w:r>
        <w:rPr>
          <w:rtl w:val="0"/>
        </w:rPr>
        <w:t>Conclusion and Recommendations</w:t>
      </w:r>
      <w:bookmarkEnd w:id="36"/>
      <w:r>
        <w:rPr>
          <w:rtl w:val="0"/>
        </w:rPr>
        <w:t xml:space="preserve"> </w:t>
      </w:r>
    </w:p>
    <w:p w14:paraId="0000019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financial analysis of the intended 50 million pound logistics distribution centre depicts that the project will be financially viable. The capital budgeting findings indicate that there is a positive Net Present Value (NPV) of 3.67 million pounds, the Internal Rate of Return (IRR) of about 10, which is higher than the cost of capital and a profitability index of more than 1. These results indicate that the project will prove to be a value-generating project during its lifecycle.</w:t>
      </w:r>
    </w:p>
    <w:p w14:paraId="0000019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The scenario analysis, however, brings out the fact that the financial performance of the project is sensitive to variations in cash flows. In the worst-case scenario, the NPV turns out to be negative, which means that variations in demand, cost rise or inefficient operation of the project may have a serious impact on the viability of the project. Risk management and unremitting financial monitoring should therefore support the investment decision.</w:t>
      </w:r>
    </w:p>
    <w:p w14:paraId="0000019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On the one hand, a mix of corporate bonds and green financing instruments is advisable with respect to financing. This will allow access to long-term capital at a comparatively cheaper cost and remain sustainable. Bank loans have flexibility, but can lead the organisation to greater financial risk because of fluctuations in interest rates.</w:t>
      </w:r>
    </w:p>
    <w:p w14:paraId="0000019F">
      <w:pPr>
        <w:spacing w:line="360" w:lineRule="auto"/>
        <w:jc w:val="both"/>
        <w:rPr>
          <w:rFonts w:ascii="Times New Roman" w:hAnsi="Times New Roman" w:eastAsia="Times New Roman" w:cs="Times New Roman"/>
          <w:sz w:val="24"/>
          <w:szCs w:val="24"/>
          <w:shd w:val="clear" w:fill="D9EAD3"/>
        </w:rPr>
      </w:pPr>
      <w:r>
        <w:rPr>
          <w:rFonts w:ascii="Times New Roman" w:hAnsi="Times New Roman" w:eastAsia="Times New Roman" w:cs="Times New Roman"/>
          <w:sz w:val="24"/>
          <w:szCs w:val="24"/>
          <w:rtl w:val="0"/>
        </w:rPr>
        <w:t>To achieve the success of project delivery, the organisation should have a sound cost control system which incorporates contingency budgeting, earned value control, and tight control on procurement. Also, a good financial reporting system must be put in place to facilitate transparency, responsibility and the eventual decision-making process in the project life cycle. In general, the project is recommendable, but as long as adequate financial management and risk mitigation measures exist, to deal with uncertainties and improve long-term performance.</w:t>
      </w:r>
    </w:p>
    <w:p w14:paraId="000001A0">
      <w:pPr>
        <w:widowControl w:val="0"/>
        <w:pBdr>
          <w:top w:val="none" w:color="auto" w:sz="0" w:space="0"/>
          <w:left w:val="none" w:color="auto" w:sz="0" w:space="0"/>
          <w:bottom w:val="none" w:color="auto" w:sz="0" w:space="0"/>
          <w:right w:val="none" w:color="auto" w:sz="0" w:space="0"/>
          <w:between w:val="none" w:color="auto" w:sz="0" w:space="0"/>
        </w:pBdr>
        <w:spacing w:before="30" w:line="345" w:lineRule="auto"/>
        <w:ind w:left="7" w:right="3" w:firstLine="0"/>
        <w:jc w:val="both"/>
        <w:rPr>
          <w:rFonts w:ascii="Times New Roman" w:hAnsi="Times New Roman" w:eastAsia="Times New Roman" w:cs="Times New Roman"/>
          <w:sz w:val="24"/>
          <w:szCs w:val="24"/>
        </w:rPr>
      </w:pPr>
    </w:p>
    <w:p w14:paraId="000001A1">
      <w:pPr>
        <w:widowControl w:val="0"/>
        <w:pBdr>
          <w:top w:val="none" w:color="auto" w:sz="0" w:space="0"/>
          <w:left w:val="none" w:color="auto" w:sz="0" w:space="0"/>
          <w:bottom w:val="none" w:color="auto" w:sz="0" w:space="0"/>
          <w:right w:val="none" w:color="auto" w:sz="0" w:space="0"/>
          <w:between w:val="none" w:color="auto" w:sz="0" w:space="0"/>
        </w:pBdr>
        <w:spacing w:line="240" w:lineRule="auto"/>
        <w:ind w:left="0" w:firstLine="0"/>
        <w:rPr>
          <w:rFonts w:ascii="Times New Roman" w:hAnsi="Times New Roman" w:eastAsia="Times New Roman" w:cs="Times New Roman"/>
          <w:b/>
          <w:bCs/>
          <w:sz w:val="24"/>
          <w:szCs w:val="24"/>
        </w:rPr>
      </w:pPr>
    </w:p>
    <w:p w14:paraId="000001A2">
      <w:pPr>
        <w:pStyle w:val="2"/>
        <w:widowControl w:val="0"/>
        <w:spacing w:line="240" w:lineRule="auto"/>
        <w:ind w:left="9" w:firstLine="0"/>
      </w:pPr>
      <w:bookmarkStart w:id="37" w:name="_heading=h.audu84l8af2c" w:colFirst="0" w:colLast="0"/>
      <w:bookmarkEnd w:id="37"/>
      <w:r>
        <w:br w:type="page"/>
      </w:r>
    </w:p>
    <w:p w14:paraId="000001A3">
      <w:pPr>
        <w:pStyle w:val="2"/>
        <w:spacing w:line="360" w:lineRule="auto"/>
        <w:ind w:left="0" w:firstLine="0"/>
        <w:jc w:val="both"/>
      </w:pPr>
      <w:bookmarkStart w:id="38" w:name="_Toc30267"/>
      <w:r>
        <w:rPr>
          <w:rtl w:val="0"/>
        </w:rPr>
        <w:t>Reference</w:t>
      </w:r>
      <w:bookmarkEnd w:id="38"/>
    </w:p>
    <w:p w14:paraId="000001A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Awati, R. and Yasar, K. (2025) </w:t>
      </w:r>
      <w:r>
        <w:rPr>
          <w:rFonts w:ascii="Times New Roman" w:hAnsi="Times New Roman" w:eastAsia="Times New Roman" w:cs="Times New Roman"/>
          <w:i/>
          <w:iCs/>
          <w:sz w:val="24"/>
          <w:szCs w:val="24"/>
          <w:rtl w:val="0"/>
        </w:rPr>
        <w:t>What is Amazon? Definition and Company History: TechTarget</w:t>
      </w:r>
      <w:r>
        <w:rPr>
          <w:rFonts w:ascii="Times New Roman" w:hAnsi="Times New Roman" w:eastAsia="Times New Roman" w:cs="Times New Roman"/>
          <w:sz w:val="24"/>
          <w:szCs w:val="24"/>
          <w:rtl w:val="0"/>
        </w:rPr>
        <w:t xml:space="preserve">, </w:t>
      </w:r>
      <w:r>
        <w:rPr>
          <w:rFonts w:ascii="Times New Roman" w:hAnsi="Times New Roman" w:eastAsia="Times New Roman" w:cs="Times New Roman"/>
          <w:i/>
          <w:iCs/>
          <w:sz w:val="24"/>
          <w:szCs w:val="24"/>
          <w:rtl w:val="0"/>
        </w:rPr>
        <w:t>WhatIs</w:t>
      </w:r>
      <w:r>
        <w:rPr>
          <w:rFonts w:ascii="Times New Roman" w:hAnsi="Times New Roman" w:eastAsia="Times New Roman" w:cs="Times New Roman"/>
          <w:sz w:val="24"/>
          <w:szCs w:val="24"/>
          <w:rtl w:val="0"/>
        </w:rPr>
        <w:t xml:space="preserve">. Available at: </w:t>
      </w:r>
      <w:r>
        <w:fldChar w:fldCharType="begin"/>
      </w:r>
      <w:r>
        <w:instrText xml:space="preserve"> HYPERLINK "https://www.techtarget.com/whatis/definition/Amazon" \h </w:instrText>
      </w:r>
      <w:r>
        <w:fldChar w:fldCharType="separate"/>
      </w:r>
      <w:r>
        <w:rPr>
          <w:rFonts w:ascii="Times New Roman" w:hAnsi="Times New Roman" w:eastAsia="Times New Roman" w:cs="Times New Roman"/>
          <w:color w:val="1155CC"/>
          <w:sz w:val="24"/>
          <w:szCs w:val="24"/>
          <w:u w:val="single"/>
          <w:rtl w:val="0"/>
        </w:rPr>
        <w:t>https://www.techtarget.com/whatis/definition/Amazon</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A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Barrientos-Orellana, A., Ballesteros-Pérez, P., Mora-Melià, D., Cerezo-Narváez, A. and Gutiérrez-Bahamondes, J.H. (2023). Comparison of the stability and accuracy of deterministic project cost prediction methods in earned value management. Buildings, 13(5), p.1206.</w:t>
      </w:r>
      <w:r>
        <w:fldChar w:fldCharType="begin"/>
      </w:r>
      <w:r>
        <w:instrText xml:space="preserve"> HYPERLINK "https://www.mdpi.com/2075-5309/13/5/1206" \h </w:instrText>
      </w:r>
      <w:r>
        <w:fldChar w:fldCharType="separate"/>
      </w:r>
      <w:r>
        <w:rPr>
          <w:rFonts w:ascii="Times New Roman" w:hAnsi="Times New Roman" w:eastAsia="Times New Roman" w:cs="Times New Roman"/>
          <w:color w:val="1155CC"/>
          <w:sz w:val="24"/>
          <w:szCs w:val="24"/>
          <w:u w:val="single"/>
          <w:rtl w:val="0"/>
        </w:rPr>
        <w:t>https://www.mdpi.com/2075-5309/13/5/1206</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A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CMU. (2026) </w:t>
      </w:r>
      <w:r>
        <w:rPr>
          <w:rFonts w:ascii="Times New Roman" w:hAnsi="Times New Roman" w:eastAsia="Times New Roman" w:cs="Times New Roman"/>
          <w:i/>
          <w:iCs/>
          <w:sz w:val="24"/>
          <w:szCs w:val="24"/>
          <w:rtl w:val="0"/>
        </w:rPr>
        <w:t>Project Management for Construction: Cost Control, Monitoring and Accounting</w:t>
      </w:r>
      <w:r>
        <w:rPr>
          <w:rFonts w:ascii="Times New Roman" w:hAnsi="Times New Roman" w:eastAsia="Times New Roman" w:cs="Times New Roman"/>
          <w:sz w:val="24"/>
          <w:szCs w:val="24"/>
          <w:rtl w:val="0"/>
        </w:rPr>
        <w:t xml:space="preserve">. Available at: </w:t>
      </w:r>
      <w:r>
        <w:fldChar w:fldCharType="begin"/>
      </w:r>
      <w:r>
        <w:instrText xml:space="preserve"> HYPERLINK "https://www.cmu.edu/cee/projects/PMbook/12_Cost_Control,_Monitoring,_and_Accounting.html" \h </w:instrText>
      </w:r>
      <w:r>
        <w:fldChar w:fldCharType="separate"/>
      </w:r>
      <w:r>
        <w:rPr>
          <w:rFonts w:ascii="Times New Roman" w:hAnsi="Times New Roman" w:eastAsia="Times New Roman" w:cs="Times New Roman"/>
          <w:color w:val="1155CC"/>
          <w:sz w:val="24"/>
          <w:szCs w:val="24"/>
          <w:u w:val="single"/>
          <w:rtl w:val="0"/>
        </w:rPr>
        <w:t>https://www.cmu.edu/cee/projects/PMbook/12_Cost_Control,_Monitoring,_and_Accounting.html</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A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Corporate Finance Institute. (2026). Corporate Finance Institute. Available at: </w:t>
      </w:r>
      <w:r>
        <w:fldChar w:fldCharType="begin"/>
      </w:r>
      <w:r>
        <w:instrText xml:space="preserve"> HYPERLINK "https://corporatefinanceinstitute.com/resources/valuation/net-present-value-npv/" \h </w:instrText>
      </w:r>
      <w:r>
        <w:fldChar w:fldCharType="separate"/>
      </w:r>
      <w:r>
        <w:rPr>
          <w:rFonts w:ascii="Times New Roman" w:hAnsi="Times New Roman" w:eastAsia="Times New Roman" w:cs="Times New Roman"/>
          <w:color w:val="1155CC"/>
          <w:sz w:val="24"/>
          <w:szCs w:val="24"/>
          <w:u w:val="single"/>
          <w:rtl w:val="0"/>
        </w:rPr>
        <w:t>https://corporatefinanceinstitute.com/resources/valuation/net-present-value-npv/</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A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Gatti, S. (2023). Project finance in theory and practice: designing, structuring, and financing private and public projects. Elsevier.</w:t>
      </w:r>
      <w:r>
        <w:fldChar w:fldCharType="begin"/>
      </w:r>
      <w:r>
        <w:instrText xml:space="preserve"> HYPERLINK "https://books.google.com/books?hl=en&amp;lr=&amp;id=CJqhEAAAQBAJ&amp;oi=fnd&amp;pg=PP1&amp;dq=Financing+of+big+infrastructure+projects+is+usually+by+commercial+bank+loans.+Businesses+take+loans+from+a+bank+over+a+specified+time.+&amp;ots=CnDhhDE7Mw&amp;sig=T34j3hFlWbXiwEXfysU5bhzl00k" \h </w:instrText>
      </w:r>
      <w:r>
        <w:fldChar w:fldCharType="separate"/>
      </w:r>
      <w:r>
        <w:rPr>
          <w:rFonts w:ascii="Times New Roman" w:hAnsi="Times New Roman" w:eastAsia="Times New Roman" w:cs="Times New Roman"/>
          <w:color w:val="1155CC"/>
          <w:sz w:val="24"/>
          <w:szCs w:val="24"/>
          <w:u w:val="single"/>
          <w:rtl w:val="0"/>
        </w:rPr>
        <w:t>https://books.google.com/books?hl=en&amp;lr=&amp;id=CJqhEAAAQBAJ&amp;oi=fnd&amp;pg=PP1&amp;dq=Financing+of+big+infrastructure+projects+is+usually+by+commercial+bank+loans.+Businesses+take+loans+from+a+bank+over+a+specified+time.+&amp;ots=CnDhhDE7Mw&amp;sig=T34j3hFlWbXiwEXfysU5bhzl00k</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A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GeeksforGeeks. (2025). What is schedule variance and how to calculate it?, GeeksforGeeks. Available at: </w:t>
      </w:r>
      <w:r>
        <w:fldChar w:fldCharType="begin"/>
      </w:r>
      <w:r>
        <w:instrText xml:space="preserve"> HYPERLINK "https://www.geeksforgeeks.org/business-studies/what-is-schedule-variance-and-how-to-calculate-it" \h </w:instrText>
      </w:r>
      <w:r>
        <w:fldChar w:fldCharType="separate"/>
      </w:r>
      <w:r>
        <w:rPr>
          <w:rFonts w:ascii="Times New Roman" w:hAnsi="Times New Roman" w:eastAsia="Times New Roman" w:cs="Times New Roman"/>
          <w:color w:val="1155CC"/>
          <w:sz w:val="24"/>
          <w:szCs w:val="24"/>
          <w:u w:val="single"/>
          <w:rtl w:val="0"/>
        </w:rPr>
        <w:t>https://www.geeksforgeeks.org/business-studies/what-is-schedule-variance-and-how-to-calculate-it</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A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Greg, J. (2026). ERP-ENABLED REAL-TIME FINANCIAL REPORTING.</w:t>
      </w:r>
      <w:r>
        <w:fldChar w:fldCharType="begin"/>
      </w:r>
      <w:r>
        <w:instrText xml:space="preserve"> HYPERLINK "https://www.researchgate.net/profile/Jeremiah-Greg/publication/399345901_ERP-ENABLED_REAL-TIME_FINANCIAL_REPORTING/links/69577c689aa6b4649dc735e1/ERP-ENABLED-REAL-TIME-FINANCIAL-REPORTING.pdf" \h </w:instrText>
      </w:r>
      <w:r>
        <w:fldChar w:fldCharType="separate"/>
      </w:r>
      <w:r>
        <w:rPr>
          <w:rFonts w:ascii="Times New Roman" w:hAnsi="Times New Roman" w:eastAsia="Times New Roman" w:cs="Times New Roman"/>
          <w:color w:val="1155CC"/>
          <w:sz w:val="24"/>
          <w:szCs w:val="24"/>
          <w:u w:val="single"/>
          <w:rtl w:val="0"/>
        </w:rPr>
        <w:t>https://www.researchgate.net/profile/Jeremiah-Greg/publication/399345901_ERP-ENABLED_REAL-TIME_FINANCIAL_REPORTING/links/69577c689aa6b4649dc735e1/ERP-ENABLED-REAL-TIME-FINANCIAL-REPORTING.pdf</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A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Healthcare funding. (2026) NSW. Available at: </w:t>
      </w:r>
      <w:r>
        <w:fldChar w:fldCharType="begin"/>
      </w:r>
      <w:r>
        <w:instrText xml:space="preserve"> HYPERLINK "https://healthcarefunding.specialcommission.nsw.gov.au/assets/Uploads/publications/Exhibits-143/Exhibit-D_TAB_D.001.137_MOH.9999.0891.0001.PDF" \h </w:instrText>
      </w:r>
      <w:r>
        <w:fldChar w:fldCharType="separate"/>
      </w:r>
      <w:r>
        <w:rPr>
          <w:rFonts w:ascii="Times New Roman" w:hAnsi="Times New Roman" w:eastAsia="Times New Roman" w:cs="Times New Roman"/>
          <w:color w:val="1155CC"/>
          <w:sz w:val="24"/>
          <w:szCs w:val="24"/>
          <w:u w:val="single"/>
          <w:rtl w:val="0"/>
        </w:rPr>
        <w:t>https://healthcarefunding.specialcommission.nsw.gov.au/assets/Uploads/publications/Exhibits-143/Exhibit-D_TAB_D.001.137_MOH.9999.0891.0001.PDF</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A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Ibrahim, A.K., Amini-Philips, A. and Eyinade, W. (2023). An SME loan structuring framework: Customised credit solutions in North American commercial banking. International Journal of Advanced Multidisciplinary Research and Studies, 3.</w:t>
      </w:r>
      <w:r>
        <w:fldChar w:fldCharType="begin"/>
      </w:r>
      <w:r>
        <w:instrText xml:space="preserve"> HYPERLINK "https://www.multiresearchjournal.com/admin/uploads/archives/archive-1758626369.pdf" \h </w:instrText>
      </w:r>
      <w:r>
        <w:fldChar w:fldCharType="separate"/>
      </w:r>
      <w:r>
        <w:rPr>
          <w:rFonts w:ascii="Times New Roman" w:hAnsi="Times New Roman" w:eastAsia="Times New Roman" w:cs="Times New Roman"/>
          <w:color w:val="1155CC"/>
          <w:sz w:val="24"/>
          <w:szCs w:val="24"/>
          <w:u w:val="single"/>
          <w:rtl w:val="0"/>
        </w:rPr>
        <w:t>https://www.multiresearchjournal.com/admin/uploads/archives/archive-1758626369.pdf</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A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Ijrpr. (2026) International journal with doi publication fee under 500 IJRPR| ... Available at: </w:t>
      </w:r>
      <w:r>
        <w:fldChar w:fldCharType="begin"/>
      </w:r>
      <w:r>
        <w:instrText xml:space="preserve"> HYPERLINK "https://ijrpr.com/uploads/V6ISSUE11/IJRPR56253.pdf" \h </w:instrText>
      </w:r>
      <w:r>
        <w:fldChar w:fldCharType="separate"/>
      </w:r>
      <w:r>
        <w:rPr>
          <w:rFonts w:ascii="Times New Roman" w:hAnsi="Times New Roman" w:eastAsia="Times New Roman" w:cs="Times New Roman"/>
          <w:color w:val="1155CC"/>
          <w:sz w:val="24"/>
          <w:szCs w:val="24"/>
          <w:u w:val="single"/>
          <w:rtl w:val="0"/>
        </w:rPr>
        <w:t>https://ijrpr.com/uploads/V6ISSUE11/IJRPR56253.pdf</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A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Konior, J. (2022). Determining cost and time performance indexes for diversified investment tasks. Buildings, 12(8), p.1198.</w:t>
      </w:r>
      <w:r>
        <w:fldChar w:fldCharType="begin"/>
      </w:r>
      <w:r>
        <w:instrText xml:space="preserve"> HYPERLINK "https://www.mdpi.com/2075-5309/12/8/1198" \h </w:instrText>
      </w:r>
      <w:r>
        <w:fldChar w:fldCharType="separate"/>
      </w:r>
      <w:r>
        <w:rPr>
          <w:rFonts w:ascii="Times New Roman" w:hAnsi="Times New Roman" w:eastAsia="Times New Roman" w:cs="Times New Roman"/>
          <w:color w:val="1155CC"/>
          <w:sz w:val="24"/>
          <w:szCs w:val="24"/>
          <w:u w:val="single"/>
          <w:rtl w:val="0"/>
        </w:rPr>
        <w:t>https://www.mdpi.com/2075-5309/12/8/1198</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A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Liu, Y. (2022). Evaluation method based on NPV and IRR. In 2022 2nd International Conference on Enterprise Management and Economic Development (ICEMED 2022) (pp. 816-820). Atlantis Press.</w:t>
      </w:r>
      <w:r>
        <w:fldChar w:fldCharType="begin"/>
      </w:r>
      <w:r>
        <w:instrText xml:space="preserve"> HYPERLINK "https://www.atlantis-press.com/proceedings/icemed-22/125975479" \h </w:instrText>
      </w:r>
      <w:r>
        <w:fldChar w:fldCharType="separate"/>
      </w:r>
      <w:r>
        <w:rPr>
          <w:rFonts w:ascii="Times New Roman" w:hAnsi="Times New Roman" w:eastAsia="Times New Roman" w:cs="Times New Roman"/>
          <w:color w:val="1155CC"/>
          <w:sz w:val="24"/>
          <w:szCs w:val="24"/>
          <w:u w:val="single"/>
          <w:rtl w:val="0"/>
        </w:rPr>
        <w:t>https://www.atlantis-press.com/proceedings/icemed-22/125975479</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B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Parliament. (2026) Home — office of the auditor-general New Zealand. Available at: </w:t>
      </w:r>
      <w:r>
        <w:fldChar w:fldCharType="begin"/>
      </w:r>
      <w:r>
        <w:instrText xml:space="preserve"> HYPERLINK "https://oag.parliament.nz/" \h </w:instrText>
      </w:r>
      <w:r>
        <w:fldChar w:fldCharType="separate"/>
      </w:r>
      <w:r>
        <w:rPr>
          <w:rFonts w:ascii="Times New Roman" w:hAnsi="Times New Roman" w:eastAsia="Times New Roman" w:cs="Times New Roman"/>
          <w:color w:val="1155CC"/>
          <w:sz w:val="24"/>
          <w:szCs w:val="24"/>
          <w:u w:val="single"/>
          <w:rtl w:val="0"/>
        </w:rPr>
        <w:t>https://oag.parliament.nz/</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B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RBA. (2025). Banks’ funding costs and lending rates: Explainer: Education, Reserve Bank of Australia. Available at: </w:t>
      </w:r>
      <w:r>
        <w:fldChar w:fldCharType="begin"/>
      </w:r>
      <w:r>
        <w:instrText xml:space="preserve"> HYPERLINK "https://www.rba.gov.au/education/resources/explainers/banks-funding-costs-and-lending-rates.html" \h </w:instrText>
      </w:r>
      <w:r>
        <w:fldChar w:fldCharType="separate"/>
      </w:r>
      <w:r>
        <w:rPr>
          <w:rFonts w:ascii="Times New Roman" w:hAnsi="Times New Roman" w:eastAsia="Times New Roman" w:cs="Times New Roman"/>
          <w:color w:val="1155CC"/>
          <w:sz w:val="24"/>
          <w:szCs w:val="24"/>
          <w:u w:val="single"/>
          <w:rtl w:val="0"/>
        </w:rPr>
        <w:t>https://www.rba.gov.au/education/resources/explainers/banks-funding-costs-and-lending-rates.html</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B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Rumallang, A., Salam, M., Fudjaja, L. and Diansari, P. (2025), March. Gross margin, profitability index, and financial feasibility analyses of potato farming: Empirical facts from Gowa Regency, Indonesia. In IOP Conference Series: Earth and Environmental Science (Vol. 1471, No. 1, p. 012036). IOP Publishing.</w:t>
      </w:r>
      <w:r>
        <w:fldChar w:fldCharType="begin"/>
      </w:r>
      <w:r>
        <w:instrText xml:space="preserve"> HYPERLINK "https://iopscience.iop.org/article/10.1088/1755-1315/1471/1/012036/meta" \h </w:instrText>
      </w:r>
      <w:r>
        <w:fldChar w:fldCharType="separate"/>
      </w:r>
      <w:r>
        <w:rPr>
          <w:rFonts w:ascii="Times New Roman" w:hAnsi="Times New Roman" w:eastAsia="Times New Roman" w:cs="Times New Roman"/>
          <w:color w:val="1155CC"/>
          <w:sz w:val="24"/>
          <w:szCs w:val="24"/>
          <w:u w:val="single"/>
          <w:rtl w:val="0"/>
        </w:rPr>
        <w:t>https://iopscience.iop.org/article/10.1088/1755-1315/1471/1/012036/meta</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B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Sahlman, W.A. (2022). The structure and governance of venture-capital organizations. In Venture capital (pp. 3-51). Routledge.</w:t>
      </w:r>
      <w:r>
        <w:fldChar w:fldCharType="begin"/>
      </w:r>
      <w:r>
        <w:instrText xml:space="preserve"> HYPERLINK "https://www.taylorfrancis.com/chapters/edit/10.4324/9781315235110-2/structure-governance-venture-capital-organizations-william-sahlman" \h </w:instrText>
      </w:r>
      <w:r>
        <w:fldChar w:fldCharType="separate"/>
      </w:r>
      <w:r>
        <w:rPr>
          <w:rFonts w:ascii="Times New Roman" w:hAnsi="Times New Roman" w:eastAsia="Times New Roman" w:cs="Times New Roman"/>
          <w:color w:val="1155CC"/>
          <w:sz w:val="24"/>
          <w:szCs w:val="24"/>
          <w:u w:val="single"/>
          <w:rtl w:val="0"/>
        </w:rPr>
        <w:t>https://www.taylorfrancis.com/chapters/edit/10.4324/9781315235110-2/structure-governance-venture-capital-organizations-william-sahlman</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B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Shibani, A., Hasan, D., Saaifan, J., Sabboubeh, H., Eltaip, M., Saidani, M. and Gherbal, N. (2024). Financial risk management in the construction projects. Journal of King Saud University-Engineering Sciences, 36(8), pp.552-561.</w:t>
      </w:r>
      <w:r>
        <w:fldChar w:fldCharType="begin"/>
      </w:r>
      <w:r>
        <w:instrText xml:space="preserve"> HYPERLINK "https://www.sciencedirect.com/science/article/pii/S1018363922000435" \h </w:instrText>
      </w:r>
      <w:r>
        <w:fldChar w:fldCharType="separate"/>
      </w:r>
      <w:r>
        <w:rPr>
          <w:rFonts w:ascii="Times New Roman" w:hAnsi="Times New Roman" w:eastAsia="Times New Roman" w:cs="Times New Roman"/>
          <w:color w:val="1155CC"/>
          <w:sz w:val="24"/>
          <w:szCs w:val="24"/>
          <w:u w:val="single"/>
          <w:rtl w:val="0"/>
        </w:rPr>
        <w:t>https://www.sciencedirect.com/science/article/pii/S1018363922000435</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B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Venkataraman, R.R. and Pinto, J.K., (2023). Cost and value management in projects. John Wiley &amp; Sons.</w:t>
      </w:r>
      <w:r>
        <w:fldChar w:fldCharType="begin"/>
      </w:r>
      <w:r>
        <w:instrText xml:space="preserve"> HYPERLINK "https://books.google.com/books?hl=en&amp;lr=&amp;id=OemxEAAAQBAJ&amp;oi=fnd&amp;pg=PR13&amp;dq=Importance+of+Cost+Control+in+Capital+Projects&amp;ots=4akFyKs0YQ&amp;sig=kijOG1X_9RFzGexhP5j-4WA7_7I" \h </w:instrText>
      </w:r>
      <w:r>
        <w:fldChar w:fldCharType="separate"/>
      </w:r>
      <w:r>
        <w:rPr>
          <w:rFonts w:ascii="Times New Roman" w:hAnsi="Times New Roman" w:eastAsia="Times New Roman" w:cs="Times New Roman"/>
          <w:color w:val="1155CC"/>
          <w:sz w:val="24"/>
          <w:szCs w:val="24"/>
          <w:u w:val="single"/>
          <w:rtl w:val="0"/>
        </w:rPr>
        <w:t>https://books.google.com/books?hl=en&amp;lr=&amp;id=OemxEAAAQBAJ&amp;oi=fnd&amp;pg=PR13&amp;dq=Importance+of+Cost+Control+in+Capital+Projects&amp;ots=4akFyKs0YQ&amp;sig=kijOG1X_9RFzGexhP5j-4WA7_7I</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w:t>
      </w:r>
    </w:p>
    <w:p w14:paraId="000001B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Venkataraman, R.R. and Pinto, J.K., (2023). Cost and value management in projects. John Wiley &amp; Sons.</w:t>
      </w:r>
      <w:r>
        <w:fldChar w:fldCharType="begin"/>
      </w:r>
      <w:r>
        <w:instrText xml:space="preserve"> HYPERLINK "https://books.google.com/books?hl=en&amp;lr=&amp;id=OemxEAAAQBAJ&amp;oi=fnd&amp;pg=PR13&amp;dq=Cost+Performance+Index+is+used+to+determine+cost+effectiveness+in+project+management.+It+is+computed+as+the+ratio+of+earned+value+and+actual+cost.+&amp;ots=4akFyKs3VQ&amp;sig=Gm2ctdIVfnM07ayuv7cQFfx5x5w" \h </w:instrText>
      </w:r>
      <w:r>
        <w:fldChar w:fldCharType="separate"/>
      </w:r>
      <w:r>
        <w:rPr>
          <w:rFonts w:ascii="Times New Roman" w:hAnsi="Times New Roman" w:eastAsia="Times New Roman" w:cs="Times New Roman"/>
          <w:color w:val="1155CC"/>
          <w:sz w:val="24"/>
          <w:szCs w:val="24"/>
          <w:u w:val="single"/>
          <w:rtl w:val="0"/>
        </w:rPr>
        <w:t>https://books.google.com/books?hl=en&amp;lr=&amp;id=OemxEAAAQBAJ&amp;oi=fnd&amp;pg=PR13&amp;dq=Cost+Performance+Index+is+used+to+determine+cost+effectiveness+in+project+management.+It+is+computed+as+the+ratio+of+earned+value+and+actual+cost.+&amp;ots=4akFyKs3VQ&amp;sig=Gm2ctdIVfnM07ayuv7cQFfx5x5w</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w:t>
      </w:r>
    </w:p>
    <w:p w14:paraId="000001B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Wallstreetprep. (2025) Wall Street Prep. Available at: </w:t>
      </w:r>
      <w:r>
        <w:fldChar w:fldCharType="begin"/>
      </w:r>
      <w:r>
        <w:instrText xml:space="preserve"> HYPERLINK "https://www.wallstreetprep.com/knowledge/payback-period/" \h </w:instrText>
      </w:r>
      <w:r>
        <w:fldChar w:fldCharType="separate"/>
      </w:r>
      <w:r>
        <w:rPr>
          <w:rFonts w:ascii="Times New Roman" w:hAnsi="Times New Roman" w:eastAsia="Times New Roman" w:cs="Times New Roman"/>
          <w:color w:val="1155CC"/>
          <w:sz w:val="24"/>
          <w:szCs w:val="24"/>
          <w:u w:val="single"/>
          <w:rtl w:val="0"/>
        </w:rPr>
        <w:t>https://www.wallstreetprep.com/knowledge/payback-period/</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B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World Bank. (2026) PUBLIC-PRIVATE-PARTNERSHIP LEGAL RESOURCE CENTER. Available at: </w:t>
      </w:r>
      <w:r>
        <w:fldChar w:fldCharType="begin"/>
      </w:r>
      <w:r>
        <w:instrText xml:space="preserve"> HYPERLINK "https://ppp.worldbank.org/financing-instruments-climate-finance-asset-recycling" \h </w:instrText>
      </w:r>
      <w:r>
        <w:fldChar w:fldCharType="separate"/>
      </w:r>
      <w:r>
        <w:rPr>
          <w:rFonts w:ascii="Times New Roman" w:hAnsi="Times New Roman" w:eastAsia="Times New Roman" w:cs="Times New Roman"/>
          <w:color w:val="1155CC"/>
          <w:sz w:val="24"/>
          <w:szCs w:val="24"/>
          <w:u w:val="single"/>
          <w:rtl w:val="0"/>
        </w:rPr>
        <w:t>https://ppp.worldbank.org/financing-instruments-climate-finance-asset-recycling</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B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tl w:val="0"/>
        </w:rPr>
        <w:t xml:space="preserve">WVI. (2026) Revised variance &amp; reporting project financial reporting. Available at: </w:t>
      </w:r>
      <w:r>
        <w:fldChar w:fldCharType="begin"/>
      </w:r>
      <w:r>
        <w:instrText xml:space="preserve"> HYPERLINK "https://www.wvi.org/sites/default/files/Revised%20Variance%20explanation%20&amp;%20Reporting.pdf" \h </w:instrText>
      </w:r>
      <w:r>
        <w:fldChar w:fldCharType="separate"/>
      </w:r>
      <w:r>
        <w:rPr>
          <w:rFonts w:ascii="Times New Roman" w:hAnsi="Times New Roman" w:eastAsia="Times New Roman" w:cs="Times New Roman"/>
          <w:color w:val="1155CC"/>
          <w:sz w:val="24"/>
          <w:szCs w:val="24"/>
          <w:u w:val="single"/>
          <w:rtl w:val="0"/>
        </w:rPr>
        <w:t>https://www.wvi.org/sites/default/files/Revised%20Variance%20explanation%20&amp;%20Reporting.pdf</w:t>
      </w:r>
      <w:r>
        <w:rPr>
          <w:rFonts w:ascii="Times New Roman" w:hAnsi="Times New Roman" w:eastAsia="Times New Roman" w:cs="Times New Roman"/>
          <w:color w:val="1155CC"/>
          <w:sz w:val="24"/>
          <w:szCs w:val="24"/>
          <w:u w:val="single"/>
          <w:rtl w:val="0"/>
        </w:rPr>
        <w:fldChar w:fldCharType="end"/>
      </w:r>
      <w:r>
        <w:rPr>
          <w:rFonts w:ascii="Times New Roman" w:hAnsi="Times New Roman" w:eastAsia="Times New Roman" w:cs="Times New Roman"/>
          <w:sz w:val="24"/>
          <w:szCs w:val="24"/>
          <w:rtl w:val="0"/>
        </w:rPr>
        <w:t xml:space="preserve"> (Accessed: 16 March 2026). </w:t>
      </w:r>
    </w:p>
    <w:p w14:paraId="000001BA">
      <w:pPr>
        <w:widowControl w:val="0"/>
        <w:pBdr>
          <w:top w:val="none" w:color="auto" w:sz="0" w:space="0"/>
          <w:left w:val="none" w:color="auto" w:sz="0" w:space="0"/>
          <w:bottom w:val="none" w:color="auto" w:sz="0" w:space="0"/>
          <w:right w:val="none" w:color="auto" w:sz="0" w:space="0"/>
          <w:between w:val="none" w:color="auto" w:sz="0" w:space="0"/>
        </w:pBdr>
        <w:spacing w:before="30" w:line="345" w:lineRule="auto"/>
        <w:ind w:left="6" w:right="10" w:firstLine="0"/>
        <w:rPr>
          <w:rFonts w:ascii="Times New Roman" w:hAnsi="Times New Roman" w:eastAsia="Times New Roman" w:cs="Times New Roman"/>
          <w:sz w:val="24"/>
          <w:szCs w:val="24"/>
        </w:rPr>
      </w:pPr>
    </w:p>
    <w:sectPr>
      <w:footerReference r:id="rId6" w:type="default"/>
      <w:pgSz w:w="12240" w:h="15840"/>
      <w:pgMar w:top="1425" w:right="1375" w:bottom="905" w:left="1435" w:header="0" w:footer="720"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08791CB9-EA22-4EBA-8135-58839B27AEE5}"/>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BAE5A8B2-50BE-4F0B-ABF6-8FDD66F0D1E6}"/>
  </w:font>
  <w:font w:name="Wingdings">
    <w:panose1 w:val="05000000000000000000"/>
    <w:charset w:val="02"/>
    <w:family w:val="auto"/>
    <w:pitch w:val="default"/>
    <w:sig w:usb0="00000000" w:usb1="00000000" w:usb2="00000000" w:usb3="00000000" w:csb0="80000000" w:csb1="00000000"/>
    <w:embedRegular r:id="rId3" w:fontKey="{ADD9351B-36F3-470C-AB06-558FF3D50828}"/>
  </w:font>
  <w:font w:name="Calibri">
    <w:panose1 w:val="020F0502020204030204"/>
    <w:charset w:val="00"/>
    <w:family w:val="swiss"/>
    <w:pitch w:val="default"/>
    <w:sig w:usb0="E4002EFF" w:usb1="C200247B" w:usb2="00000009" w:usb3="00000000" w:csb0="200001FF" w:csb1="00000000"/>
    <w:embedRegular r:id="rId4" w:fontKey="{DDCD2F7B-5CD1-4FEE-8F90-2B37E3505D10}"/>
  </w:font>
  <w:font w:name="等线">
    <w:altName w:val="Microsoft YaHei"/>
    <w:panose1 w:val="00000000000000000000"/>
    <w:charset w:val="86"/>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embedRegular r:id="rId5" w:fontKey="{CEED0CD1-C3D5-41C0-939D-0E74A9FEF59C}"/>
  </w:font>
  <w:font w:name="MS Gothic">
    <w:panose1 w:val="020B0609070205080204"/>
    <w:charset w:val="80"/>
    <w:family w:val="auto"/>
    <w:pitch w:val="default"/>
    <w:sig w:usb0="E00002FF" w:usb1="6AC7FDFB" w:usb2="08000012" w:usb3="00000000" w:csb0="4002009F" w:csb1="DFD70000"/>
    <w:embedRegular r:id="rId6" w:fontKey="{A40F7754-45FA-419B-B472-9C3AC0372A6F}"/>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BC">
    <w:pPr>
      <w:ind w:left="7920" w:firstLine="720"/>
      <w:rPr>
        <w:rFonts w:ascii="Times New Roman" w:hAnsi="Times New Roman" w:eastAsia="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14085">
    <w:pPr>
      <w:ind w:left="7920" w:firstLine="720"/>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821C8A0">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6821C8A0">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09CC2CC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lang w:val="en-IN"/>
    </w:rPr>
  </w:style>
  <w:style w:type="paragraph" w:styleId="2">
    <w:name w:val="heading 1"/>
    <w:basedOn w:val="1"/>
    <w:next w:val="1"/>
    <w:qFormat/>
    <w:uiPriority w:val="0"/>
    <w:pPr>
      <w:keepNext/>
      <w:keepLines/>
      <w:spacing w:line="240" w:lineRule="auto"/>
      <w:ind w:left="9" w:firstLine="0"/>
    </w:pPr>
    <w:rPr>
      <w:rFonts w:ascii="Times New Roman" w:hAnsi="Times New Roman" w:eastAsia="Times New Roman" w:cs="Times New Roman"/>
      <w:b/>
      <w:bCs/>
      <w:sz w:val="24"/>
      <w:szCs w:val="24"/>
    </w:rPr>
  </w:style>
  <w:style w:type="paragraph" w:styleId="3">
    <w:name w:val="heading 2"/>
    <w:basedOn w:val="1"/>
    <w:next w:val="1"/>
    <w:qFormat/>
    <w:uiPriority w:val="0"/>
    <w:pPr>
      <w:keepNext/>
      <w:keepLines/>
      <w:spacing w:before="134" w:line="240" w:lineRule="auto"/>
      <w:ind w:left="10" w:firstLine="0"/>
    </w:pPr>
    <w:rPr>
      <w:rFonts w:ascii="Times New Roman" w:hAnsi="Times New Roman" w:eastAsia="Times New Roman" w:cs="Times New Roman"/>
      <w:b/>
      <w:bCs/>
      <w:sz w:val="24"/>
      <w:szCs w:val="24"/>
    </w:rPr>
  </w:style>
  <w:style w:type="paragraph" w:styleId="4">
    <w:name w:val="heading 3"/>
    <w:basedOn w:val="1"/>
    <w:next w:val="1"/>
    <w:qFormat/>
    <w:uiPriority w:val="0"/>
    <w:pPr>
      <w:keepNext/>
      <w:keepLines/>
      <w:spacing w:before="134" w:line="240" w:lineRule="auto"/>
      <w:ind w:left="20" w:firstLine="0"/>
    </w:pPr>
    <w:rPr>
      <w:rFonts w:ascii="Times New Roman" w:hAnsi="Times New Roman" w:eastAsia="Times New Roman" w:cs="Times New Roman"/>
      <w:b/>
      <w:bCs/>
      <w:sz w:val="24"/>
      <w:szCs w:val="24"/>
    </w:rPr>
  </w:style>
  <w:style w:type="paragraph" w:styleId="5">
    <w:name w:val="heading 4"/>
    <w:basedOn w:val="1"/>
    <w:next w:val="1"/>
    <w:qFormat/>
    <w:uiPriority w:val="0"/>
    <w:pPr>
      <w:keepNext/>
      <w:keepLines/>
      <w:spacing w:before="240" w:after="40"/>
    </w:pPr>
    <w:rPr>
      <w:b/>
      <w:bCs/>
      <w:sz w:val="24"/>
      <w:szCs w:val="24"/>
    </w:rPr>
  </w:style>
  <w:style w:type="paragraph" w:styleId="6">
    <w:name w:val="heading 5"/>
    <w:basedOn w:val="1"/>
    <w:next w:val="1"/>
    <w:qFormat/>
    <w:uiPriority w:val="0"/>
    <w:pPr>
      <w:keepNext/>
      <w:keepLines/>
      <w:spacing w:before="220" w:after="40"/>
    </w:pPr>
    <w:rPr>
      <w:b/>
      <w:bCs/>
    </w:rPr>
  </w:style>
  <w:style w:type="paragraph" w:styleId="7">
    <w:name w:val="heading 6"/>
    <w:basedOn w:val="1"/>
    <w:next w:val="1"/>
    <w:uiPriority w:val="0"/>
    <w:pPr>
      <w:keepNext/>
      <w:keepLines/>
      <w:spacing w:before="200" w:after="40"/>
    </w:pPr>
    <w:rPr>
      <w:b/>
      <w:bCs/>
      <w:sz w:val="20"/>
      <w:szCs w:val="20"/>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uiPriority w:val="0"/>
    <w:pPr>
      <w:tabs>
        <w:tab w:val="center" w:pos="4153"/>
        <w:tab w:val="right" w:pos="8306"/>
      </w:tabs>
      <w:snapToGrid w:val="0"/>
      <w:jc w:val="left"/>
    </w:pPr>
    <w:rPr>
      <w:sz w:val="18"/>
      <w:szCs w:val="18"/>
    </w:rPr>
  </w:style>
  <w:style w:type="paragraph" w:styleId="11">
    <w:name w:val="header"/>
    <w:basedOn w:val="1"/>
    <w:uiPriority w:val="0"/>
    <w:pPr>
      <w:tabs>
        <w:tab w:val="center" w:pos="4153"/>
        <w:tab w:val="right" w:pos="8306"/>
      </w:tabs>
      <w:snapToGrid w:val="0"/>
    </w:pPr>
    <w:rPr>
      <w:sz w:val="18"/>
      <w:szCs w:val="18"/>
    </w:rPr>
  </w:style>
  <w:style w:type="paragraph" w:styleId="12">
    <w:name w:val="Subtitle"/>
    <w:basedOn w:val="1"/>
    <w:next w:val="1"/>
    <w:uiPriority w:val="0"/>
    <w:pPr>
      <w:keepNext/>
      <w:keepLines/>
      <w:spacing w:before="360" w:after="80"/>
    </w:pPr>
    <w:rPr>
      <w:rFonts w:ascii="Georgia" w:hAnsi="Georgia" w:eastAsia="Georgia" w:cs="Georgia"/>
      <w:i/>
      <w:iCs/>
      <w:color w:val="666666"/>
      <w:sz w:val="48"/>
      <w:szCs w:val="48"/>
    </w:rPr>
  </w:style>
  <w:style w:type="paragraph" w:styleId="13">
    <w:name w:val="Title"/>
    <w:basedOn w:val="1"/>
    <w:next w:val="1"/>
    <w:qFormat/>
    <w:uiPriority w:val="0"/>
    <w:pPr>
      <w:keepNext/>
      <w:keepLines/>
      <w:spacing w:before="480" w:after="120"/>
    </w:pPr>
    <w:rPr>
      <w:b/>
      <w:bCs/>
      <w:sz w:val="72"/>
      <w:szCs w:val="72"/>
    </w:rPr>
  </w:style>
  <w:style w:type="paragraph" w:styleId="14">
    <w:name w:val="toc 1"/>
    <w:basedOn w:val="1"/>
    <w:next w:val="1"/>
    <w:uiPriority w:val="0"/>
  </w:style>
  <w:style w:type="paragraph" w:styleId="15">
    <w:name w:val="toc 2"/>
    <w:basedOn w:val="1"/>
    <w:next w:val="1"/>
    <w:uiPriority w:val="0"/>
    <w:pPr>
      <w:ind w:left="420" w:leftChars="200"/>
    </w:pPr>
  </w:style>
  <w:style w:type="paragraph" w:styleId="16">
    <w:name w:val="toc 3"/>
    <w:basedOn w:val="1"/>
    <w:next w:val="1"/>
    <w:uiPriority w:val="0"/>
    <w:pPr>
      <w:ind w:left="840" w:leftChars="400"/>
    </w:pPr>
  </w:style>
  <w:style w:type="table" w:customStyle="1" w:styleId="17">
    <w:name w:val="TableNormal"/>
    <w:qFormat/>
    <w:uiPriority w:val="0"/>
    <w:tblPr>
      <w:tblCellMar>
        <w:top w:w="100" w:type="dxa"/>
        <w:left w:w="100" w:type="dxa"/>
        <w:bottom w:w="100" w:type="dxa"/>
        <w:right w:w="100" w:type="dxa"/>
      </w:tblCellMar>
    </w:tblPr>
  </w:style>
  <w:style w:type="table" w:customStyle="1" w:styleId="18">
    <w:name w:val="_Style 12"/>
    <w:basedOn w:val="17"/>
    <w:qFormat/>
    <w:uiPriority w:val="0"/>
  </w:style>
  <w:style w:type="table" w:customStyle="1" w:styleId="19">
    <w:name w:val="_Style 13"/>
    <w:basedOn w:val="17"/>
    <w:qFormat/>
    <w:uiPriority w:val="0"/>
  </w:style>
  <w:style w:type="table" w:customStyle="1" w:styleId="20">
    <w:name w:val="_Style 14"/>
    <w:basedOn w:val="17"/>
    <w:uiPriority w:val="0"/>
  </w:style>
  <w:style w:type="table" w:customStyle="1" w:styleId="21">
    <w:name w:val="_Style 15"/>
    <w:basedOn w:val="17"/>
    <w:qFormat/>
    <w:uiPriority w:val="0"/>
  </w:style>
  <w:style w:type="table" w:customStyle="1" w:styleId="22">
    <w:name w:val="_Style 16"/>
    <w:basedOn w:val="17"/>
    <w:qFormat/>
    <w:uiPriority w:val="0"/>
  </w:style>
  <w:style w:type="table" w:customStyle="1" w:styleId="23">
    <w:name w:val="_Style 17"/>
    <w:basedOn w:val="17"/>
    <w:qFormat/>
    <w:uiPriority w:val="0"/>
  </w:style>
  <w:style w:type="table" w:customStyle="1" w:styleId="24">
    <w:name w:val="_Style 18"/>
    <w:basedOn w:val="17"/>
    <w:qFormat/>
    <w:uiPriority w:val="0"/>
  </w:style>
  <w:style w:type="table" w:customStyle="1" w:styleId="25">
    <w:name w:val="_Style 19"/>
    <w:basedOn w:val="17"/>
    <w:qFormat/>
    <w:uiPriority w:val="0"/>
  </w:style>
  <w:style w:type="table" w:customStyle="1" w:styleId="26">
    <w:name w:val="_Style 20"/>
    <w:basedOn w:val="17"/>
    <w:qFormat/>
    <w:uiPriority w:val="0"/>
  </w:style>
  <w:style w:type="table" w:customStyle="1" w:styleId="27">
    <w:name w:val="_Style 21"/>
    <w:basedOn w:val="17"/>
    <w:qFormat/>
    <w:uiPriority w:val="0"/>
  </w:style>
  <w:style w:type="table" w:customStyle="1" w:styleId="28">
    <w:name w:val="_Style 23"/>
    <w:basedOn w:val="17"/>
    <w:uiPriority w:val="0"/>
  </w:style>
  <w:style w:type="table" w:customStyle="1" w:styleId="29">
    <w:name w:val="_Style 24"/>
    <w:basedOn w:val="17"/>
    <w:qFormat/>
    <w:uiPriority w:val="0"/>
  </w:style>
  <w:style w:type="table" w:customStyle="1" w:styleId="30">
    <w:name w:val="_Style 25"/>
    <w:basedOn w:val="17"/>
    <w:qFormat/>
    <w:uiPriority w:val="0"/>
  </w:style>
  <w:style w:type="table" w:customStyle="1" w:styleId="31">
    <w:name w:val="_Style 26"/>
    <w:basedOn w:val="17"/>
    <w:qFormat/>
    <w:uiPriority w:val="0"/>
    <w:tblPr>
      <w:tblCellMar>
        <w:top w:w="100" w:type="dxa"/>
        <w:left w:w="100" w:type="dxa"/>
        <w:bottom w:w="100" w:type="dxa"/>
        <w:right w:w="100" w:type="dxa"/>
      </w:tblCellMar>
    </w:tblPr>
  </w:style>
  <w:style w:type="table" w:customStyle="1" w:styleId="32">
    <w:name w:val="_Style 27"/>
    <w:basedOn w:val="17"/>
    <w:uiPriority w:val="0"/>
  </w:style>
  <w:style w:type="table" w:customStyle="1" w:styleId="33">
    <w:name w:val="_Style 28"/>
    <w:basedOn w:val="17"/>
    <w:qFormat/>
    <w:uiPriority w:val="0"/>
  </w:style>
  <w:style w:type="table" w:customStyle="1" w:styleId="34">
    <w:name w:val="_Style 29"/>
    <w:basedOn w:val="17"/>
    <w:qFormat/>
    <w:uiPriority w:val="0"/>
    <w:tblPr>
      <w:tblCellMar>
        <w:top w:w="100" w:type="dxa"/>
        <w:left w:w="100" w:type="dxa"/>
        <w:bottom w:w="100" w:type="dxa"/>
        <w:right w:w="100" w:type="dxa"/>
      </w:tblCellMar>
    </w:tblPr>
  </w:style>
  <w:style w:type="table" w:customStyle="1" w:styleId="35">
    <w:name w:val="_Style 30"/>
    <w:basedOn w:val="17"/>
    <w:qFormat/>
    <w:uiPriority w:val="0"/>
    <w:tblPr>
      <w:tblCellMar>
        <w:top w:w="100" w:type="dxa"/>
        <w:left w:w="100" w:type="dxa"/>
        <w:bottom w:w="100" w:type="dxa"/>
        <w:right w:w="100" w:type="dxa"/>
      </w:tblCellMar>
    </w:tblPr>
  </w:style>
  <w:style w:type="table" w:customStyle="1" w:styleId="36">
    <w:name w:val="_Style 31"/>
    <w:basedOn w:val="17"/>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WjFXjVveL5jHqLTSsvlNWA7OnQ==">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</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20</Pages>
  <Words>788</Words>
  <Characters>4239</Characters>
  <TotalTime>2</TotalTime>
  <ScaleCrop>false</ScaleCrop>
  <LinksUpToDate>false</LinksUpToDate>
  <CharactersWithSpaces>5025</CharactersWithSpaces>
  <Application>WPS Office_12.1.0.25242_F1E327BC-269C-435d-A152-05C5408002CA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2026-03-19T14:36:00Z</dcterms:created>
  <dc:creator>ARAQNUS</dc:creator>
  <cp:lastModifiedBy>Md Ashadul sk</cp:lastModifiedBy>
  <dcterms:modified xsi:type="dcterms:W3CDTF">2026-03-20T09:45:59Z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7bd83263-a59f-4fa5-a2d9-7f382bddcd6a</vt:lpwstr>
  </property>
  <property fmtid="{D5CDD505-2E9C-101B-9397-08002B2CF9AE}" pid="3" name="KSOTemplateDocerSaveRecord">
    <vt:lpwstr>eyJoZGlkIjoiZmY3Mjg1MTA1YjAwOGRmOTEzN2VkNmFkZTYzOGM0YjYiLCJ1c2VySWQiOiI1Njc1NjU2OTA3MjEifQ==</vt:lpwstr>
  </property>
  <property fmtid="{D5CDD505-2E9C-101B-9397-08002B2CF9AE}" pid="4" name="KSOProductBuildVer">
    <vt:lpwstr>1033-12.1.0.25242</vt:lpwstr>
  </property>
  <property fmtid="{D5CDD505-2E9C-101B-9397-08002B2CF9AE}" pid="5" name="ICV">
    <vt:lpwstr>F3956CB5498F4A108813E4B347088052_12</vt:lpwstr>
  </property>
</Properties>
</file>